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CEA67B" w14:textId="3554FEF5" w:rsidR="00F250ED" w:rsidRDefault="00F250ED" w:rsidP="006A5C1D">
      <w:pPr>
        <w:pStyle w:val="BusinessUnitName"/>
        <w:framePr w:w="6124" w:h="284" w:hRule="exact" w:vSpace="1276" w:wrap="notBeside" w:vAnchor="page" w:hAnchor="page" w:x="1098" w:y="669" w:anchorLock="1"/>
        <w:rPr>
          <w:rFonts w:asciiTheme="minorHAnsi" w:eastAsia="Calibri" w:hAnsiTheme="minorHAnsi"/>
          <w:b w:val="0"/>
          <w:caps w:val="0"/>
          <w:noProof w:val="0"/>
          <w:color w:val="000000"/>
          <w:spacing w:val="0"/>
          <w:sz w:val="24"/>
          <w:szCs w:val="22"/>
          <w:lang w:eastAsia="en-AU"/>
        </w:rPr>
      </w:pPr>
      <w:bookmarkStart w:id="0" w:name="_GoBack"/>
      <w:bookmarkEnd w:id="0"/>
    </w:p>
    <w:sdt>
      <w:sdtPr>
        <w:rPr>
          <w:rFonts w:asciiTheme="minorHAnsi" w:eastAsia="Calibri" w:hAnsiTheme="minorHAnsi"/>
          <w:b w:val="0"/>
          <w:caps w:val="0"/>
          <w:noProof w:val="0"/>
          <w:color w:val="000000"/>
          <w:spacing w:val="0"/>
          <w:sz w:val="24"/>
          <w:szCs w:val="22"/>
          <w:lang w:eastAsia="en-AU"/>
        </w:rPr>
        <w:id w:val="1194425976"/>
        <w:docPartObj>
          <w:docPartGallery w:val="Cover Pages"/>
          <w:docPartUnique/>
        </w:docPartObj>
      </w:sdtPr>
      <w:sdtEndPr/>
      <w:sdtContent>
        <w:p w14:paraId="5A2C4CD3" w14:textId="19C6EF15" w:rsidR="009204C0" w:rsidRPr="006B17BE" w:rsidRDefault="008A4070" w:rsidP="006A5C1D">
          <w:pPr>
            <w:pStyle w:val="BusinessUnitName"/>
            <w:framePr w:w="6124" w:h="284" w:hRule="exact" w:vSpace="1276" w:wrap="notBeside" w:vAnchor="page" w:hAnchor="page" w:x="1098" w:y="669" w:anchorLock="1"/>
            <w:rPr>
              <w:rFonts w:asciiTheme="minorHAnsi" w:hAnsiTheme="minorHAnsi"/>
              <w:sz w:val="24"/>
            </w:rPr>
          </w:pPr>
          <w:r w:rsidRPr="006B17BE">
            <w:rPr>
              <w:rFonts w:asciiTheme="minorHAnsi" w:hAnsiTheme="minorHAnsi"/>
              <w:sz w:val="24"/>
            </w:rPr>
            <w:t>Land and Water</w:t>
          </w:r>
        </w:p>
        <w:p w14:paraId="708C1756" w14:textId="77777777" w:rsidR="009204C0" w:rsidRPr="006B17BE" w:rsidRDefault="009204C0" w:rsidP="001B7EBE">
          <w:pPr>
            <w:pStyle w:val="BodyText"/>
            <w:framePr w:w="9809" w:h="1701" w:hRule="exact" w:wrap="notBeside" w:vAnchor="page" w:hAnchor="margin" w:y="14516" w:anchorLock="1"/>
            <w:rPr>
              <w:rFonts w:asciiTheme="minorHAnsi" w:hAnsiTheme="minorHAnsi"/>
              <w:szCs w:val="24"/>
            </w:rPr>
          </w:pPr>
        </w:p>
        <w:p w14:paraId="49683288" w14:textId="77777777" w:rsidR="009204C0" w:rsidRPr="006B17BE" w:rsidRDefault="009204C0" w:rsidP="001B7EBE">
          <w:pPr>
            <w:pStyle w:val="BodyText"/>
            <w:framePr w:w="9809" w:h="1701" w:hRule="exact" w:wrap="notBeside" w:vAnchor="page" w:hAnchor="margin" w:y="14516" w:anchorLock="1"/>
            <w:rPr>
              <w:rFonts w:asciiTheme="minorHAnsi" w:hAnsiTheme="minorHAnsi"/>
              <w:szCs w:val="24"/>
            </w:rPr>
          </w:pPr>
        </w:p>
        <w:p w14:paraId="1031D1CC" w14:textId="77777777" w:rsidR="009204C0" w:rsidRPr="006B17BE" w:rsidRDefault="009204C0" w:rsidP="009204C0">
          <w:pPr>
            <w:pStyle w:val="Title"/>
            <w:rPr>
              <w:rFonts w:asciiTheme="minorHAnsi" w:hAnsiTheme="minorHAnsi"/>
              <w:sz w:val="24"/>
              <w:szCs w:val="24"/>
            </w:rPr>
          </w:pPr>
          <w:r w:rsidRPr="006B17BE">
            <w:rPr>
              <w:rFonts w:asciiTheme="minorHAnsi" w:hAnsiTheme="minorHAnsi"/>
              <w:noProof/>
              <w:sz w:val="24"/>
              <w:szCs w:val="24"/>
            </w:rPr>
            <mc:AlternateContent>
              <mc:Choice Requires="wps">
                <w:drawing>
                  <wp:anchor distT="0" distB="0" distL="114300" distR="114300" simplePos="0" relativeHeight="251659264" behindDoc="1" locked="1" layoutInCell="1" allowOverlap="1" wp14:anchorId="62DBDCB7" wp14:editId="6D46BFD5">
                    <wp:simplePos x="0" y="0"/>
                    <wp:positionH relativeFrom="page">
                      <wp:posOffset>-360045</wp:posOffset>
                    </wp:positionH>
                    <wp:positionV relativeFrom="page">
                      <wp:posOffset>-360045</wp:posOffset>
                    </wp:positionV>
                    <wp:extent cx="8143875" cy="8490585"/>
                    <wp:effectExtent l="0" t="0" r="9525" b="5715"/>
                    <wp:wrapNone/>
                    <wp:docPr id="87" name="Rectangle 87" descr="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3875" cy="8490585"/>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F1775" id="Rectangle 87" o:spid="_x0000_s1026" alt="background" style="position:absolute;margin-left:-28.35pt;margin-top:-28.35pt;width:641.25pt;height:668.5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" fillcolor="#41b6e6 [3204]" stroked="f">
                    <w10:wrap anchorx="page" anchory="page"/>
                    <w10:anchorlock/>
                  </v:rect>
                </w:pict>
              </mc:Fallback>
            </mc:AlternateContent>
          </w:r>
          <w:r w:rsidRPr="006B17BE">
            <w:rPr>
              <w:rFonts w:asciiTheme="minorHAnsi" w:hAnsiTheme="minorHAnsi"/>
              <w:noProof/>
              <w:sz w:val="24"/>
              <w:szCs w:val="24"/>
            </w:rPr>
            <mc:AlternateContent>
              <mc:Choice Requires="wpg">
                <w:drawing>
                  <wp:anchor distT="0" distB="0" distL="114300" distR="114300" simplePos="0" relativeHeight="251660288" behindDoc="1" locked="0" layoutInCell="1" allowOverlap="1" wp14:anchorId="27AF49D9" wp14:editId="56F54C55">
                    <wp:simplePos x="0" y="0"/>
                    <wp:positionH relativeFrom="column">
                      <wp:posOffset>-1245235</wp:posOffset>
                    </wp:positionH>
                    <wp:positionV relativeFrom="paragraph">
                      <wp:posOffset>-119380</wp:posOffset>
                    </wp:positionV>
                    <wp:extent cx="9381490" cy="10126345"/>
                    <wp:effectExtent l="0" t="0" r="0" b="8255"/>
                    <wp:wrapNone/>
                    <wp:docPr id="3" name="Group 3"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81490" cy="10126345"/>
                              <a:chOff x="-827" y="918"/>
                              <a:chExt cx="14774" cy="15947"/>
                            </a:xfrm>
                          </wpg:grpSpPr>
                          <wpg:grpSp>
                            <wpg:cNvPr id="5" name="Group 99"/>
                            <wpg:cNvGrpSpPr>
                              <a:grpSpLocks/>
                            </wpg:cNvGrpSpPr>
                            <wpg:grpSpPr bwMode="auto">
                              <a:xfrm>
                                <a:off x="-262" y="918"/>
                                <a:ext cx="12749" cy="1610"/>
                                <a:chOff x="0" y="0"/>
                                <a:chExt cx="80962" cy="10223"/>
                              </a:xfrm>
                            </wpg:grpSpPr>
                            <wpg:grpSp>
                              <wpg:cNvPr id="6" name="Group 81"/>
                              <wpg:cNvGrpSpPr>
                                <a:grpSpLocks/>
                              </wpg:cNvGrpSpPr>
                              <wpg:grpSpPr bwMode="auto">
                                <a:xfrm>
                                  <a:off x="0" y="0"/>
                                  <a:ext cx="80962" cy="10223"/>
                                  <a:chOff x="254" y="226"/>
                                  <a:chExt cx="80962" cy="10223"/>
                                </a:xfrm>
                              </wpg:grpSpPr>
                              <wps:wsp>
                                <wps:cNvPr id="7" name="Freeform 70" descr="background"/>
                                <wps:cNvSpPr>
                                  <a:spLocks noEditPoints="1"/>
                                </wps:cNvSpPr>
                                <wps:spPr bwMode="auto">
                                  <a:xfrm>
                                    <a:off x="254" y="226"/>
                                    <a:ext cx="80962" cy="10224"/>
                                  </a:xfrm>
                                  <a:custGeom>
                                    <a:avLst/>
                                    <a:gdLst>
                                      <a:gd name="T0" fmla="*/ 2147483647 w 2488"/>
                                      <a:gd name="T1" fmla="*/ 2147483647 h 313"/>
                                      <a:gd name="T2" fmla="*/ 2147483647 w 2488"/>
                                      <a:gd name="T3" fmla="*/ 2147483647 h 313"/>
                                      <a:gd name="T4" fmla="*/ 2147483647 w 2488"/>
                                      <a:gd name="T5" fmla="*/ 2147483647 h 313"/>
                                      <a:gd name="T6" fmla="*/ 2147483647 w 2488"/>
                                      <a:gd name="T7" fmla="*/ 2147483647 h 313"/>
                                      <a:gd name="T8" fmla="*/ 2147483647 w 2488"/>
                                      <a:gd name="T9" fmla="*/ 2147483647 h 313"/>
                                      <a:gd name="T10" fmla="*/ 2147483647 w 2488"/>
                                      <a:gd name="T11" fmla="*/ 2147483647 h 313"/>
                                      <a:gd name="T12" fmla="*/ 2147483647 w 2488"/>
                                      <a:gd name="T13" fmla="*/ 0 h 313"/>
                                      <a:gd name="T14" fmla="*/ 0 w 2488"/>
                                      <a:gd name="T15" fmla="*/ 0 h 313"/>
                                      <a:gd name="T16" fmla="*/ 0 w 2488"/>
                                      <a:gd name="T17" fmla="*/ 2147483647 h 313"/>
                                      <a:gd name="T18" fmla="*/ 2147483647 w 2488"/>
                                      <a:gd name="T19" fmla="*/ 2147483647 h 313"/>
                                      <a:gd name="T20" fmla="*/ 2147483647 w 2488"/>
                                      <a:gd name="T21" fmla="*/ 2147483647 h 313"/>
                                      <a:gd name="T22" fmla="*/ 2147483647 w 2488"/>
                                      <a:gd name="T23" fmla="*/ 2147483647 h 313"/>
                                      <a:gd name="T24" fmla="*/ 2147483647 w 2488"/>
                                      <a:gd name="T25" fmla="*/ 2147483647 h 313"/>
                                      <a:gd name="T26" fmla="*/ 2147483647 w 2488"/>
                                      <a:gd name="T27" fmla="*/ 0 h 313"/>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2488" h="313">
                                        <a:moveTo>
                                          <a:pt x="2488" y="21"/>
                                        </a:moveTo>
                                        <a:cubicBezTo>
                                          <a:pt x="2284" y="21"/>
                                          <a:pt x="2284" y="21"/>
                                          <a:pt x="2284" y="21"/>
                                        </a:cubicBezTo>
                                        <a:cubicBezTo>
                                          <a:pt x="1994" y="21"/>
                                          <a:pt x="1887" y="107"/>
                                          <a:pt x="1808" y="137"/>
                                        </a:cubicBezTo>
                                        <a:cubicBezTo>
                                          <a:pt x="1905" y="218"/>
                                          <a:pt x="2037" y="313"/>
                                          <a:pt x="2278" y="313"/>
                                        </a:cubicBezTo>
                                        <a:cubicBezTo>
                                          <a:pt x="2336" y="313"/>
                                          <a:pt x="2488" y="313"/>
                                          <a:pt x="2488" y="313"/>
                                        </a:cubicBezTo>
                                        <a:cubicBezTo>
                                          <a:pt x="2488" y="21"/>
                                          <a:pt x="2488" y="21"/>
                                          <a:pt x="2488" y="21"/>
                                        </a:cubicBezTo>
                                        <a:moveTo>
                                          <a:pt x="1354" y="0"/>
                                        </a:moveTo>
                                        <a:cubicBezTo>
                                          <a:pt x="0" y="0"/>
                                          <a:pt x="0" y="0"/>
                                          <a:pt x="0" y="0"/>
                                        </a:cubicBezTo>
                                        <a:cubicBezTo>
                                          <a:pt x="0" y="157"/>
                                          <a:pt x="0" y="157"/>
                                          <a:pt x="0" y="157"/>
                                        </a:cubicBezTo>
                                        <a:cubicBezTo>
                                          <a:pt x="1524" y="157"/>
                                          <a:pt x="1524" y="157"/>
                                          <a:pt x="1524" y="157"/>
                                        </a:cubicBezTo>
                                        <a:cubicBezTo>
                                          <a:pt x="1709" y="157"/>
                                          <a:pt x="1769" y="152"/>
                                          <a:pt x="1808" y="137"/>
                                        </a:cubicBezTo>
                                        <a:cubicBezTo>
                                          <a:pt x="1808" y="137"/>
                                          <a:pt x="1808" y="137"/>
                                          <a:pt x="1808" y="137"/>
                                        </a:cubicBezTo>
                                        <a:cubicBezTo>
                                          <a:pt x="1808" y="137"/>
                                          <a:pt x="1808" y="137"/>
                                          <a:pt x="1808" y="137"/>
                                        </a:cubicBezTo>
                                        <a:cubicBezTo>
                                          <a:pt x="1710" y="57"/>
                                          <a:pt x="1548" y="0"/>
                                          <a:pt x="1354" y="0"/>
                                        </a:cubicBezTo>
                                      </a:path>
                                    </a:pathLst>
                                  </a:custGeom>
                                  <a:solidFill>
                                    <a:srgbClr val="365F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71" descr="background"/>
                                <wps:cNvSpPr>
                                  <a:spLocks/>
                                </wps:cNvSpPr>
                                <wps:spPr bwMode="auto">
                                  <a:xfrm>
                                    <a:off x="254" y="912"/>
                                    <a:ext cx="58837" cy="4442"/>
                                  </a:xfrm>
                                  <a:custGeom>
                                    <a:avLst/>
                                    <a:gdLst>
                                      <a:gd name="T0" fmla="*/ 2147483647 w 1808"/>
                                      <a:gd name="T1" fmla="*/ 2147483647 h 136"/>
                                      <a:gd name="T2" fmla="*/ 2147483647 w 1808"/>
                                      <a:gd name="T3" fmla="*/ 0 h 136"/>
                                      <a:gd name="T4" fmla="*/ 0 w 1808"/>
                                      <a:gd name="T5" fmla="*/ 0 h 136"/>
                                      <a:gd name="T6" fmla="*/ 0 w 1808"/>
                                      <a:gd name="T7" fmla="*/ 2147483647 h 136"/>
                                      <a:gd name="T8" fmla="*/ 2147483647 w 1808"/>
                                      <a:gd name="T9" fmla="*/ 2147483647 h 136"/>
                                      <a:gd name="T10" fmla="*/ 2147483647 w 1808"/>
                                      <a:gd name="T11" fmla="*/ 2147483647 h 136"/>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08" h="136">
                                        <a:moveTo>
                                          <a:pt x="1808" y="116"/>
                                        </a:moveTo>
                                        <a:cubicBezTo>
                                          <a:pt x="1698" y="54"/>
                                          <a:pt x="1548" y="0"/>
                                          <a:pt x="1354" y="0"/>
                                        </a:cubicBezTo>
                                        <a:cubicBezTo>
                                          <a:pt x="0" y="0"/>
                                          <a:pt x="0" y="0"/>
                                          <a:pt x="0" y="0"/>
                                        </a:cubicBezTo>
                                        <a:cubicBezTo>
                                          <a:pt x="0" y="136"/>
                                          <a:pt x="0" y="136"/>
                                          <a:pt x="0" y="136"/>
                                        </a:cubicBezTo>
                                        <a:cubicBezTo>
                                          <a:pt x="1524" y="136"/>
                                          <a:pt x="1524" y="136"/>
                                          <a:pt x="1524" y="136"/>
                                        </a:cubicBezTo>
                                        <a:cubicBezTo>
                                          <a:pt x="1709" y="136"/>
                                          <a:pt x="1769" y="131"/>
                                          <a:pt x="1808" y="116"/>
                                        </a:cubicBezTo>
                                      </a:path>
                                    </a:pathLst>
                                  </a:custGeom>
                                  <a:solidFill>
                                    <a:schemeClr val="tx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9" name="Group 105"/>
                                <wpg:cNvGrpSpPr>
                                  <a:grpSpLocks/>
                                </wpg:cNvGrpSpPr>
                                <wpg:grpSpPr bwMode="auto">
                                  <a:xfrm>
                                    <a:off x="9186" y="3326"/>
                                    <a:ext cx="8853" cy="1049"/>
                                    <a:chOff x="6800" y="3263"/>
                                    <a:chExt cx="8851" cy="1047"/>
                                  </a:xfrm>
                                </wpg:grpSpPr>
                                <wps:wsp>
                                  <wps:cNvPr id="10" name="Freeform 72" descr="background"/>
                                  <wps:cNvSpPr>
                                    <a:spLocks/>
                                  </wps:cNvSpPr>
                                  <wps:spPr bwMode="auto">
                                    <a:xfrm>
                                      <a:off x="6800" y="3556"/>
                                      <a:ext cx="1042" cy="717"/>
                                    </a:xfrm>
                                    <a:custGeom>
                                      <a:avLst/>
                                      <a:gdLst>
                                        <a:gd name="T0" fmla="*/ 110421359 w 32"/>
                                        <a:gd name="T1" fmla="*/ 0 h 22"/>
                                        <a:gd name="T2" fmla="*/ 89717600 w 32"/>
                                        <a:gd name="T3" fmla="*/ 76215829 h 22"/>
                                        <a:gd name="T4" fmla="*/ 69013874 w 32"/>
                                        <a:gd name="T5" fmla="*/ 76215829 h 22"/>
                                        <a:gd name="T6" fmla="*/ 58660953 w 32"/>
                                        <a:gd name="T7" fmla="*/ 31178875 h 22"/>
                                        <a:gd name="T8" fmla="*/ 55210663 w 32"/>
                                        <a:gd name="T9" fmla="*/ 24250341 h 22"/>
                                        <a:gd name="T10" fmla="*/ 55210663 w 32"/>
                                        <a:gd name="T11" fmla="*/ 24250341 h 22"/>
                                        <a:gd name="T12" fmla="*/ 51760406 w 32"/>
                                        <a:gd name="T13" fmla="*/ 31178875 h 22"/>
                                        <a:gd name="T14" fmla="*/ 41408526 w 32"/>
                                        <a:gd name="T15" fmla="*/ 76215829 h 22"/>
                                        <a:gd name="T16" fmla="*/ 20703726 w 32"/>
                                        <a:gd name="T17" fmla="*/ 76215829 h 22"/>
                                        <a:gd name="T18" fmla="*/ 0 w 32"/>
                                        <a:gd name="T19" fmla="*/ 0 h 22"/>
                                        <a:gd name="T20" fmla="*/ 17253469 w 32"/>
                                        <a:gd name="T21" fmla="*/ 0 h 22"/>
                                        <a:gd name="T22" fmla="*/ 27605348 w 32"/>
                                        <a:gd name="T23" fmla="*/ 45036954 h 22"/>
                                        <a:gd name="T24" fmla="*/ 31055605 w 32"/>
                                        <a:gd name="T25" fmla="*/ 58893989 h 22"/>
                                        <a:gd name="T26" fmla="*/ 31055605 w 32"/>
                                        <a:gd name="T27" fmla="*/ 58893989 h 22"/>
                                        <a:gd name="T28" fmla="*/ 34506937 w 32"/>
                                        <a:gd name="T29" fmla="*/ 45036954 h 22"/>
                                        <a:gd name="T30" fmla="*/ 44858816 w 32"/>
                                        <a:gd name="T31" fmla="*/ 0 h 22"/>
                                        <a:gd name="T32" fmla="*/ 65562542 w 32"/>
                                        <a:gd name="T33" fmla="*/ 0 h 22"/>
                                        <a:gd name="T34" fmla="*/ 79365754 w 32"/>
                                        <a:gd name="T35" fmla="*/ 48500683 h 22"/>
                                        <a:gd name="T36" fmla="*/ 79365754 w 32"/>
                                        <a:gd name="T37" fmla="*/ 58893989 h 22"/>
                                        <a:gd name="T38" fmla="*/ 79365754 w 32"/>
                                        <a:gd name="T39" fmla="*/ 58893989 h 22"/>
                                        <a:gd name="T40" fmla="*/ 82816011 w 32"/>
                                        <a:gd name="T41" fmla="*/ 45036954 h 22"/>
                                        <a:gd name="T42" fmla="*/ 93167890 w 32"/>
                                        <a:gd name="T43" fmla="*/ 0 h 22"/>
                                        <a:gd name="T44" fmla="*/ 110421359 w 32"/>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2" h="22">
                                          <a:moveTo>
                                            <a:pt x="32"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5" y="9"/>
                                            <a:pt x="15" y="9"/>
                                            <a:pt x="15" y="9"/>
                                          </a:cubicBezTo>
                                          <a:cubicBezTo>
                                            <a:pt x="12" y="22"/>
                                            <a:pt x="12" y="22"/>
                                            <a:pt x="12" y="22"/>
                                          </a:cubicBezTo>
                                          <a:cubicBezTo>
                                            <a:pt x="6" y="22"/>
                                            <a:pt x="6" y="22"/>
                                            <a:pt x="6" y="22"/>
                                          </a:cubicBezTo>
                                          <a:cubicBezTo>
                                            <a:pt x="3" y="15"/>
                                            <a:pt x="1" y="8"/>
                                            <a:pt x="0" y="0"/>
                                          </a:cubicBezTo>
                                          <a:cubicBezTo>
                                            <a:pt x="5" y="0"/>
                                            <a:pt x="5" y="0"/>
                                            <a:pt x="5" y="0"/>
                                          </a:cubicBezTo>
                                          <a:cubicBezTo>
                                            <a:pt x="6" y="5"/>
                                            <a:pt x="7" y="9"/>
                                            <a:pt x="8" y="13"/>
                                          </a:cubicBezTo>
                                          <a:cubicBezTo>
                                            <a:pt x="9" y="14"/>
                                            <a:pt x="9" y="16"/>
                                            <a:pt x="9" y="17"/>
                                          </a:cubicBezTo>
                                          <a:cubicBezTo>
                                            <a:pt x="9" y="17"/>
                                            <a:pt x="9" y="17"/>
                                            <a:pt x="9" y="17"/>
                                          </a:cubicBezTo>
                                          <a:cubicBezTo>
                                            <a:pt x="10" y="13"/>
                                            <a:pt x="10" y="13"/>
                                            <a:pt x="10" y="13"/>
                                          </a:cubicBezTo>
                                          <a:cubicBezTo>
                                            <a:pt x="13" y="0"/>
                                            <a:pt x="13" y="0"/>
                                            <a:pt x="13" y="0"/>
                                          </a:cubicBezTo>
                                          <a:cubicBezTo>
                                            <a:pt x="19" y="0"/>
                                            <a:pt x="19" y="0"/>
                                            <a:pt x="19" y="0"/>
                                          </a:cubicBezTo>
                                          <a:cubicBezTo>
                                            <a:pt x="23" y="14"/>
                                            <a:pt x="23" y="14"/>
                                            <a:pt x="23" y="14"/>
                                          </a:cubicBezTo>
                                          <a:cubicBezTo>
                                            <a:pt x="23" y="17"/>
                                            <a:pt x="23" y="17"/>
                                            <a:pt x="23" y="17"/>
                                          </a:cubicBezTo>
                                          <a:cubicBezTo>
                                            <a:pt x="23" y="17"/>
                                            <a:pt x="23" y="17"/>
                                            <a:pt x="23" y="17"/>
                                          </a:cubicBezTo>
                                          <a:cubicBezTo>
                                            <a:pt x="24" y="16"/>
                                            <a:pt x="24" y="14"/>
                                            <a:pt x="24" y="13"/>
                                          </a:cubicBezTo>
                                          <a:cubicBezTo>
                                            <a:pt x="25" y="9"/>
                                            <a:pt x="26" y="5"/>
                                            <a:pt x="27" y="0"/>
                                          </a:cubicBezTo>
                                          <a:lnTo>
                                            <a:pt x="32"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3" descr="background"/>
                                  <wps:cNvSpPr>
                                    <a:spLocks/>
                                  </wps:cNvSpPr>
                                  <wps:spPr bwMode="auto">
                                    <a:xfrm>
                                      <a:off x="7969" y="3556"/>
                                      <a:ext cx="1073" cy="717"/>
                                    </a:xfrm>
                                    <a:custGeom>
                                      <a:avLst/>
                                      <a:gdLst>
                                        <a:gd name="T0" fmla="*/ 113457167 w 33"/>
                                        <a:gd name="T1" fmla="*/ 0 h 22"/>
                                        <a:gd name="T2" fmla="*/ 89390297 w 33"/>
                                        <a:gd name="T3" fmla="*/ 76215829 h 22"/>
                                        <a:gd name="T4" fmla="*/ 6876151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1257533 w 33"/>
                                        <a:gd name="T15" fmla="*/ 76215829 h 22"/>
                                        <a:gd name="T16" fmla="*/ 20628783 w 33"/>
                                        <a:gd name="T17" fmla="*/ 76215829 h 22"/>
                                        <a:gd name="T18" fmla="*/ 0 w 33"/>
                                        <a:gd name="T19" fmla="*/ 0 h 22"/>
                                        <a:gd name="T20" fmla="*/ 17190631 w 33"/>
                                        <a:gd name="T21" fmla="*/ 0 h 22"/>
                                        <a:gd name="T22" fmla="*/ 30943141 w 33"/>
                                        <a:gd name="T23" fmla="*/ 45036954 h 22"/>
                                        <a:gd name="T24" fmla="*/ 30943141 w 33"/>
                                        <a:gd name="T25" fmla="*/ 58893989 h 22"/>
                                        <a:gd name="T26" fmla="*/ 30943141 w 33"/>
                                        <a:gd name="T27" fmla="*/ 58893989 h 22"/>
                                        <a:gd name="T28" fmla="*/ 34381294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6" y="22"/>
                                          </a:cubicBezTo>
                                          <a:cubicBezTo>
                                            <a:pt x="20" y="22"/>
                                            <a:pt x="20" y="22"/>
                                            <a:pt x="20" y="22"/>
                                          </a:cubicBezTo>
                                          <a:cubicBezTo>
                                            <a:pt x="17" y="9"/>
                                            <a:pt x="17" y="9"/>
                                            <a:pt x="17" y="9"/>
                                          </a:cubicBezTo>
                                          <a:cubicBezTo>
                                            <a:pt x="16" y="7"/>
                                            <a:pt x="16" y="7"/>
                                            <a:pt x="16" y="7"/>
                                          </a:cubicBezTo>
                                          <a:cubicBezTo>
                                            <a:pt x="16" y="7"/>
                                            <a:pt x="16" y="7"/>
                                            <a:pt x="16" y="7"/>
                                          </a:cubicBezTo>
                                          <a:cubicBezTo>
                                            <a:pt x="16" y="9"/>
                                            <a:pt x="16" y="9"/>
                                            <a:pt x="16" y="9"/>
                                          </a:cubicBezTo>
                                          <a:cubicBezTo>
                                            <a:pt x="12" y="22"/>
                                            <a:pt x="12" y="22"/>
                                            <a:pt x="12" y="22"/>
                                          </a:cubicBezTo>
                                          <a:cubicBezTo>
                                            <a:pt x="6" y="22"/>
                                            <a:pt x="6" y="22"/>
                                            <a:pt x="6" y="22"/>
                                          </a:cubicBezTo>
                                          <a:cubicBezTo>
                                            <a:pt x="4" y="15"/>
                                            <a:pt x="1" y="8"/>
                                            <a:pt x="0" y="0"/>
                                          </a:cubicBezTo>
                                          <a:cubicBezTo>
                                            <a:pt x="5" y="0"/>
                                            <a:pt x="5" y="0"/>
                                            <a:pt x="5" y="0"/>
                                          </a:cubicBezTo>
                                          <a:cubicBezTo>
                                            <a:pt x="6" y="5"/>
                                            <a:pt x="7" y="9"/>
                                            <a:pt x="9" y="13"/>
                                          </a:cubicBezTo>
                                          <a:cubicBezTo>
                                            <a:pt x="9" y="14"/>
                                            <a:pt x="9" y="16"/>
                                            <a:pt x="9" y="17"/>
                                          </a:cubicBezTo>
                                          <a:cubicBezTo>
                                            <a:pt x="9" y="17"/>
                                            <a:pt x="9" y="17"/>
                                            <a:pt x="9" y="17"/>
                                          </a:cubicBezTo>
                                          <a:cubicBezTo>
                                            <a:pt x="10" y="13"/>
                                            <a:pt x="10" y="13"/>
                                            <a:pt x="10"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4" y="14"/>
                                            <a:pt x="25" y="13"/>
                                          </a:cubicBezTo>
                                          <a:cubicBezTo>
                                            <a:pt x="26" y="9"/>
                                            <a:pt x="27" y="5"/>
                                            <a:pt x="28" y="0"/>
                                          </a:cubicBezTo>
                                          <a:lnTo>
                                            <a:pt x="3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4" descr="background"/>
                                  <wps:cNvSpPr>
                                    <a:spLocks/>
                                  </wps:cNvSpPr>
                                  <wps:spPr bwMode="auto">
                                    <a:xfrm>
                                      <a:off x="9144" y="3556"/>
                                      <a:ext cx="1073" cy="717"/>
                                    </a:xfrm>
                                    <a:custGeom>
                                      <a:avLst/>
                                      <a:gdLst>
                                        <a:gd name="T0" fmla="*/ 113457167 w 33"/>
                                        <a:gd name="T1" fmla="*/ 0 h 22"/>
                                        <a:gd name="T2" fmla="*/ 92828416 w 33"/>
                                        <a:gd name="T3" fmla="*/ 76215829 h 22"/>
                                        <a:gd name="T4" fmla="*/ 72199634 w 33"/>
                                        <a:gd name="T5" fmla="*/ 76215829 h 22"/>
                                        <a:gd name="T6" fmla="*/ 58447123 w 33"/>
                                        <a:gd name="T7" fmla="*/ 31178875 h 22"/>
                                        <a:gd name="T8" fmla="*/ 55010044 w 33"/>
                                        <a:gd name="T9" fmla="*/ 24250341 h 22"/>
                                        <a:gd name="T10" fmla="*/ 55010044 w 33"/>
                                        <a:gd name="T11" fmla="*/ 24250341 h 22"/>
                                        <a:gd name="T12" fmla="*/ 55010044 w 33"/>
                                        <a:gd name="T13" fmla="*/ 31178875 h 22"/>
                                        <a:gd name="T14" fmla="*/ 44695685 w 33"/>
                                        <a:gd name="T15" fmla="*/ 76215829 h 22"/>
                                        <a:gd name="T16" fmla="*/ 20628783 w 33"/>
                                        <a:gd name="T17" fmla="*/ 76215829 h 22"/>
                                        <a:gd name="T18" fmla="*/ 0 w 33"/>
                                        <a:gd name="T19" fmla="*/ 0 h 22"/>
                                        <a:gd name="T20" fmla="*/ 20628783 w 33"/>
                                        <a:gd name="T21" fmla="*/ 0 h 22"/>
                                        <a:gd name="T22" fmla="*/ 30943141 w 33"/>
                                        <a:gd name="T23" fmla="*/ 45036954 h 22"/>
                                        <a:gd name="T24" fmla="*/ 34381294 w 33"/>
                                        <a:gd name="T25" fmla="*/ 58893989 h 22"/>
                                        <a:gd name="T26" fmla="*/ 34381294 w 33"/>
                                        <a:gd name="T27" fmla="*/ 58893989 h 22"/>
                                        <a:gd name="T28" fmla="*/ 37819413 w 33"/>
                                        <a:gd name="T29" fmla="*/ 45036954 h 22"/>
                                        <a:gd name="T30" fmla="*/ 48133805 w 33"/>
                                        <a:gd name="T31" fmla="*/ 0 h 22"/>
                                        <a:gd name="T32" fmla="*/ 65323395 w 33"/>
                                        <a:gd name="T33" fmla="*/ 0 h 22"/>
                                        <a:gd name="T34" fmla="*/ 79075906 w 33"/>
                                        <a:gd name="T35" fmla="*/ 48500683 h 22"/>
                                        <a:gd name="T36" fmla="*/ 82514025 w 33"/>
                                        <a:gd name="T37" fmla="*/ 58893989 h 22"/>
                                        <a:gd name="T38" fmla="*/ 82514025 w 33"/>
                                        <a:gd name="T39" fmla="*/ 58893989 h 22"/>
                                        <a:gd name="T40" fmla="*/ 85952145 w 33"/>
                                        <a:gd name="T41" fmla="*/ 45036954 h 22"/>
                                        <a:gd name="T42" fmla="*/ 96266536 w 33"/>
                                        <a:gd name="T43" fmla="*/ 0 h 22"/>
                                        <a:gd name="T44" fmla="*/ 113457167 w 33"/>
                                        <a:gd name="T45" fmla="*/ 0 h 2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3" h="22">
                                          <a:moveTo>
                                            <a:pt x="33" y="0"/>
                                          </a:moveTo>
                                          <a:cubicBezTo>
                                            <a:pt x="31" y="8"/>
                                            <a:pt x="29" y="15"/>
                                            <a:pt x="27" y="22"/>
                                          </a:cubicBezTo>
                                          <a:cubicBezTo>
                                            <a:pt x="21" y="22"/>
                                            <a:pt x="21" y="22"/>
                                            <a:pt x="21" y="22"/>
                                          </a:cubicBezTo>
                                          <a:cubicBezTo>
                                            <a:pt x="17" y="9"/>
                                            <a:pt x="17" y="9"/>
                                            <a:pt x="17" y="9"/>
                                          </a:cubicBezTo>
                                          <a:cubicBezTo>
                                            <a:pt x="16" y="7"/>
                                            <a:pt x="16" y="7"/>
                                            <a:pt x="16" y="7"/>
                                          </a:cubicBezTo>
                                          <a:cubicBezTo>
                                            <a:pt x="16" y="7"/>
                                            <a:pt x="16" y="7"/>
                                            <a:pt x="16" y="7"/>
                                          </a:cubicBezTo>
                                          <a:cubicBezTo>
                                            <a:pt x="16" y="9"/>
                                            <a:pt x="16" y="9"/>
                                            <a:pt x="16" y="9"/>
                                          </a:cubicBezTo>
                                          <a:cubicBezTo>
                                            <a:pt x="13" y="22"/>
                                            <a:pt x="13" y="22"/>
                                            <a:pt x="13" y="22"/>
                                          </a:cubicBezTo>
                                          <a:cubicBezTo>
                                            <a:pt x="6" y="22"/>
                                            <a:pt x="6" y="22"/>
                                            <a:pt x="6" y="22"/>
                                          </a:cubicBezTo>
                                          <a:cubicBezTo>
                                            <a:pt x="4" y="15"/>
                                            <a:pt x="2" y="8"/>
                                            <a:pt x="0" y="0"/>
                                          </a:cubicBezTo>
                                          <a:cubicBezTo>
                                            <a:pt x="6" y="0"/>
                                            <a:pt x="6" y="0"/>
                                            <a:pt x="6" y="0"/>
                                          </a:cubicBezTo>
                                          <a:cubicBezTo>
                                            <a:pt x="7" y="5"/>
                                            <a:pt x="8" y="9"/>
                                            <a:pt x="9" y="13"/>
                                          </a:cubicBezTo>
                                          <a:cubicBezTo>
                                            <a:pt x="9" y="14"/>
                                            <a:pt x="9" y="16"/>
                                            <a:pt x="10" y="17"/>
                                          </a:cubicBezTo>
                                          <a:cubicBezTo>
                                            <a:pt x="10" y="17"/>
                                            <a:pt x="10" y="17"/>
                                            <a:pt x="10" y="17"/>
                                          </a:cubicBezTo>
                                          <a:cubicBezTo>
                                            <a:pt x="11" y="13"/>
                                            <a:pt x="11" y="13"/>
                                            <a:pt x="11" y="13"/>
                                          </a:cubicBezTo>
                                          <a:cubicBezTo>
                                            <a:pt x="14" y="0"/>
                                            <a:pt x="14" y="0"/>
                                            <a:pt x="14" y="0"/>
                                          </a:cubicBezTo>
                                          <a:cubicBezTo>
                                            <a:pt x="19" y="0"/>
                                            <a:pt x="19" y="0"/>
                                            <a:pt x="19" y="0"/>
                                          </a:cubicBezTo>
                                          <a:cubicBezTo>
                                            <a:pt x="23" y="14"/>
                                            <a:pt x="23" y="14"/>
                                            <a:pt x="23" y="14"/>
                                          </a:cubicBezTo>
                                          <a:cubicBezTo>
                                            <a:pt x="24" y="17"/>
                                            <a:pt x="24" y="17"/>
                                            <a:pt x="24" y="17"/>
                                          </a:cubicBezTo>
                                          <a:cubicBezTo>
                                            <a:pt x="24" y="17"/>
                                            <a:pt x="24" y="17"/>
                                            <a:pt x="24" y="17"/>
                                          </a:cubicBezTo>
                                          <a:cubicBezTo>
                                            <a:pt x="24" y="16"/>
                                            <a:pt x="25" y="14"/>
                                            <a:pt x="25" y="13"/>
                                          </a:cubicBezTo>
                                          <a:cubicBezTo>
                                            <a:pt x="26" y="9"/>
                                            <a:pt x="27" y="5"/>
                                            <a:pt x="28" y="0"/>
                                          </a:cubicBezTo>
                                          <a:lnTo>
                                            <a:pt x="33" y="0"/>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Oval 75" descr="background"/>
                                  <wps:cNvSpPr>
                                    <a:spLocks noChangeArrowheads="1"/>
                                  </wps:cNvSpPr>
                                  <wps:spPr bwMode="auto">
                                    <a:xfrm>
                                      <a:off x="10312" y="4044"/>
                                      <a:ext cx="229" cy="229"/>
                                    </a:xfrm>
                                    <a:prstGeom prst="ellipse">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76" descr="background"/>
                                  <wps:cNvSpPr>
                                    <a:spLocks/>
                                  </wps:cNvSpPr>
                                  <wps:spPr bwMode="auto">
                                    <a:xfrm>
                                      <a:off x="10674" y="3556"/>
                                      <a:ext cx="552" cy="717"/>
                                    </a:xfrm>
                                    <a:custGeom>
                                      <a:avLst/>
                                      <a:gdLst>
                                        <a:gd name="T0" fmla="*/ 58246975 w 17"/>
                                        <a:gd name="T1" fmla="*/ 72751024 h 22"/>
                                        <a:gd name="T2" fmla="*/ 34262867 w 17"/>
                                        <a:gd name="T3" fmla="*/ 76215829 h 22"/>
                                        <a:gd name="T4" fmla="*/ 0 w 17"/>
                                        <a:gd name="T5" fmla="*/ 41572181 h 22"/>
                                        <a:gd name="T6" fmla="*/ 37689456 w 17"/>
                                        <a:gd name="T7" fmla="*/ 0 h 22"/>
                                        <a:gd name="T8" fmla="*/ 54820354 w 17"/>
                                        <a:gd name="T9" fmla="*/ 3464805 h 22"/>
                                        <a:gd name="T10" fmla="*/ 51394804 w 17"/>
                                        <a:gd name="T11" fmla="*/ 17321840 h 22"/>
                                        <a:gd name="T12" fmla="*/ 37689456 w 17"/>
                                        <a:gd name="T13" fmla="*/ 13857035 h 22"/>
                                        <a:gd name="T14" fmla="*/ 20557519 w 17"/>
                                        <a:gd name="T15" fmla="*/ 38108452 h 22"/>
                                        <a:gd name="T16" fmla="*/ 37689456 w 17"/>
                                        <a:gd name="T17" fmla="*/ 62358794 h 22"/>
                                        <a:gd name="T18" fmla="*/ 54820354 w 17"/>
                                        <a:gd name="T19" fmla="*/ 58893989 h 22"/>
                                        <a:gd name="T20" fmla="*/ 58246975 w 17"/>
                                        <a:gd name="T21" fmla="*/ 72751024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7" h="22">
                                          <a:moveTo>
                                            <a:pt x="17" y="21"/>
                                          </a:moveTo>
                                          <a:cubicBezTo>
                                            <a:pt x="14" y="22"/>
                                            <a:pt x="12" y="22"/>
                                            <a:pt x="10" y="22"/>
                                          </a:cubicBezTo>
                                          <a:cubicBezTo>
                                            <a:pt x="3" y="22"/>
                                            <a:pt x="0" y="18"/>
                                            <a:pt x="0" y="12"/>
                                          </a:cubicBezTo>
                                          <a:cubicBezTo>
                                            <a:pt x="0" y="4"/>
                                            <a:pt x="5" y="0"/>
                                            <a:pt x="11" y="0"/>
                                          </a:cubicBezTo>
                                          <a:cubicBezTo>
                                            <a:pt x="13" y="0"/>
                                            <a:pt x="15" y="0"/>
                                            <a:pt x="16" y="1"/>
                                          </a:cubicBezTo>
                                          <a:cubicBezTo>
                                            <a:pt x="15" y="5"/>
                                            <a:pt x="15" y="5"/>
                                            <a:pt x="15" y="5"/>
                                          </a:cubicBezTo>
                                          <a:cubicBezTo>
                                            <a:pt x="14" y="5"/>
                                            <a:pt x="13" y="4"/>
                                            <a:pt x="11" y="4"/>
                                          </a:cubicBezTo>
                                          <a:cubicBezTo>
                                            <a:pt x="8" y="4"/>
                                            <a:pt x="6" y="7"/>
                                            <a:pt x="6" y="11"/>
                                          </a:cubicBezTo>
                                          <a:cubicBezTo>
                                            <a:pt x="6" y="16"/>
                                            <a:pt x="8" y="18"/>
                                            <a:pt x="11" y="18"/>
                                          </a:cubicBezTo>
                                          <a:cubicBezTo>
                                            <a:pt x="13" y="18"/>
                                            <a:pt x="14" y="18"/>
                                            <a:pt x="16" y="17"/>
                                          </a:cubicBezTo>
                                          <a:lnTo>
                                            <a:pt x="17" y="21"/>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77" descr="background"/>
                                  <wps:cNvSpPr>
                                    <a:spLocks/>
                                  </wps:cNvSpPr>
                                  <wps:spPr bwMode="auto">
                                    <a:xfrm>
                                      <a:off x="11322" y="3556"/>
                                      <a:ext cx="520" cy="755"/>
                                    </a:xfrm>
                                    <a:custGeom>
                                      <a:avLst/>
                                      <a:gdLst>
                                        <a:gd name="T0" fmla="*/ 24062448 w 16"/>
                                        <a:gd name="T1" fmla="*/ 81425207 h 23"/>
                                        <a:gd name="T2" fmla="*/ 0 w 16"/>
                                        <a:gd name="T3" fmla="*/ 77885472 h 23"/>
                                        <a:gd name="T4" fmla="*/ 3437038 w 16"/>
                                        <a:gd name="T5" fmla="*/ 60183446 h 23"/>
                                        <a:gd name="T6" fmla="*/ 24062448 w 16"/>
                                        <a:gd name="T7" fmla="*/ 63724265 h 23"/>
                                        <a:gd name="T8" fmla="*/ 34374600 w 16"/>
                                        <a:gd name="T9" fmla="*/ 56643678 h 23"/>
                                        <a:gd name="T10" fmla="*/ 20624338 w 16"/>
                                        <a:gd name="T11" fmla="*/ 46023323 h 23"/>
                                        <a:gd name="T12" fmla="*/ 3437038 w 16"/>
                                        <a:gd name="T13" fmla="*/ 24781529 h 23"/>
                                        <a:gd name="T14" fmla="*/ 30936523 w 16"/>
                                        <a:gd name="T15" fmla="*/ 0 h 23"/>
                                        <a:gd name="T16" fmla="*/ 48123823 w 16"/>
                                        <a:gd name="T17" fmla="*/ 3539768 h 23"/>
                                        <a:gd name="T18" fmla="*/ 48123823 w 16"/>
                                        <a:gd name="T19" fmla="*/ 17700942 h 23"/>
                                        <a:gd name="T20" fmla="*/ 30936523 w 16"/>
                                        <a:gd name="T21" fmla="*/ 14161174 h 23"/>
                                        <a:gd name="T22" fmla="*/ 20624338 w 16"/>
                                        <a:gd name="T23" fmla="*/ 21241794 h 23"/>
                                        <a:gd name="T24" fmla="*/ 34374600 w 16"/>
                                        <a:gd name="T25" fmla="*/ 31862149 h 23"/>
                                        <a:gd name="T26" fmla="*/ 54998938 w 16"/>
                                        <a:gd name="T27" fmla="*/ 53103910 h 23"/>
                                        <a:gd name="T28" fmla="*/ 24062448 w 16"/>
                                        <a:gd name="T29" fmla="*/ 81425207 h 23"/>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6" h="23">
                                          <a:moveTo>
                                            <a:pt x="7" y="23"/>
                                          </a:moveTo>
                                          <a:cubicBezTo>
                                            <a:pt x="5" y="23"/>
                                            <a:pt x="3" y="22"/>
                                            <a:pt x="0" y="22"/>
                                          </a:cubicBezTo>
                                          <a:cubicBezTo>
                                            <a:pt x="1" y="17"/>
                                            <a:pt x="1" y="17"/>
                                            <a:pt x="1" y="17"/>
                                          </a:cubicBezTo>
                                          <a:cubicBezTo>
                                            <a:pt x="3" y="18"/>
                                            <a:pt x="5" y="18"/>
                                            <a:pt x="7" y="18"/>
                                          </a:cubicBezTo>
                                          <a:cubicBezTo>
                                            <a:pt x="9" y="18"/>
                                            <a:pt x="10" y="18"/>
                                            <a:pt x="10" y="16"/>
                                          </a:cubicBezTo>
                                          <a:cubicBezTo>
                                            <a:pt x="10" y="15"/>
                                            <a:pt x="9" y="14"/>
                                            <a:pt x="6" y="13"/>
                                          </a:cubicBezTo>
                                          <a:cubicBezTo>
                                            <a:pt x="3" y="12"/>
                                            <a:pt x="1" y="10"/>
                                            <a:pt x="1" y="7"/>
                                          </a:cubicBezTo>
                                          <a:cubicBezTo>
                                            <a:pt x="1" y="3"/>
                                            <a:pt x="4" y="0"/>
                                            <a:pt x="9" y="0"/>
                                          </a:cubicBezTo>
                                          <a:cubicBezTo>
                                            <a:pt x="11" y="0"/>
                                            <a:pt x="13" y="0"/>
                                            <a:pt x="14" y="1"/>
                                          </a:cubicBezTo>
                                          <a:cubicBezTo>
                                            <a:pt x="14" y="5"/>
                                            <a:pt x="14" y="5"/>
                                            <a:pt x="14" y="5"/>
                                          </a:cubicBezTo>
                                          <a:cubicBezTo>
                                            <a:pt x="12" y="4"/>
                                            <a:pt x="11" y="4"/>
                                            <a:pt x="9" y="4"/>
                                          </a:cubicBezTo>
                                          <a:cubicBezTo>
                                            <a:pt x="7" y="4"/>
                                            <a:pt x="6" y="5"/>
                                            <a:pt x="6" y="6"/>
                                          </a:cubicBezTo>
                                          <a:cubicBezTo>
                                            <a:pt x="6" y="8"/>
                                            <a:pt x="7" y="8"/>
                                            <a:pt x="10" y="9"/>
                                          </a:cubicBezTo>
                                          <a:cubicBezTo>
                                            <a:pt x="14" y="10"/>
                                            <a:pt x="16" y="12"/>
                                            <a:pt x="16" y="15"/>
                                          </a:cubicBezTo>
                                          <a:cubicBezTo>
                                            <a:pt x="16" y="20"/>
                                            <a:pt x="12" y="23"/>
                                            <a:pt x="7" y="23"/>
                                          </a:cubicBez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78" descr="background"/>
                                  <wps:cNvSpPr>
                                    <a:spLocks noEditPoints="1"/>
                                  </wps:cNvSpPr>
                                  <wps:spPr bwMode="auto">
                                    <a:xfrm>
                                      <a:off x="11938" y="3263"/>
                                      <a:ext cx="298" cy="1010"/>
                                    </a:xfrm>
                                    <a:custGeom>
                                      <a:avLst/>
                                      <a:gdLst>
                                        <a:gd name="T0" fmla="*/ 10906436 w 9"/>
                                        <a:gd name="T1" fmla="*/ 107174195 h 31"/>
                                        <a:gd name="T2" fmla="*/ 10906436 w 9"/>
                                        <a:gd name="T3" fmla="*/ 44943860 h 31"/>
                                        <a:gd name="T4" fmla="*/ 0 w 9"/>
                                        <a:gd name="T5" fmla="*/ 44943860 h 31"/>
                                        <a:gd name="T6" fmla="*/ 0 w 9"/>
                                        <a:gd name="T7" fmla="*/ 31114646 h 31"/>
                                        <a:gd name="T8" fmla="*/ 29084966 w 9"/>
                                        <a:gd name="T9" fmla="*/ 31114646 h 31"/>
                                        <a:gd name="T10" fmla="*/ 29084966 w 9"/>
                                        <a:gd name="T11" fmla="*/ 107174195 h 31"/>
                                        <a:gd name="T12" fmla="*/ 10906436 w 9"/>
                                        <a:gd name="T13" fmla="*/ 107174195 h 31"/>
                                        <a:gd name="T14" fmla="*/ 21813997 w 9"/>
                                        <a:gd name="T15" fmla="*/ 20743804 h 31"/>
                                        <a:gd name="T16" fmla="*/ 7270968 w 9"/>
                                        <a:gd name="T17" fmla="*/ 10371885 h 31"/>
                                        <a:gd name="T18" fmla="*/ 21813997 w 9"/>
                                        <a:gd name="T19" fmla="*/ 0 h 31"/>
                                        <a:gd name="T20" fmla="*/ 32720433 w 9"/>
                                        <a:gd name="T21" fmla="*/ 10371885 h 31"/>
                                        <a:gd name="T22" fmla="*/ 21813997 w 9"/>
                                        <a:gd name="T23" fmla="*/ 20743804 h 31"/>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9" h="31">
                                          <a:moveTo>
                                            <a:pt x="3" y="31"/>
                                          </a:moveTo>
                                          <a:cubicBezTo>
                                            <a:pt x="3" y="13"/>
                                            <a:pt x="3" y="13"/>
                                            <a:pt x="3" y="13"/>
                                          </a:cubicBezTo>
                                          <a:cubicBezTo>
                                            <a:pt x="0" y="13"/>
                                            <a:pt x="0" y="13"/>
                                            <a:pt x="0" y="13"/>
                                          </a:cubicBezTo>
                                          <a:cubicBezTo>
                                            <a:pt x="0" y="9"/>
                                            <a:pt x="0" y="9"/>
                                            <a:pt x="0" y="9"/>
                                          </a:cubicBezTo>
                                          <a:cubicBezTo>
                                            <a:pt x="8" y="9"/>
                                            <a:pt x="8" y="9"/>
                                            <a:pt x="8" y="9"/>
                                          </a:cubicBezTo>
                                          <a:cubicBezTo>
                                            <a:pt x="8" y="31"/>
                                            <a:pt x="8" y="31"/>
                                            <a:pt x="8" y="31"/>
                                          </a:cubicBezTo>
                                          <a:lnTo>
                                            <a:pt x="3" y="31"/>
                                          </a:lnTo>
                                          <a:close/>
                                          <a:moveTo>
                                            <a:pt x="6" y="6"/>
                                          </a:moveTo>
                                          <a:cubicBezTo>
                                            <a:pt x="4" y="6"/>
                                            <a:pt x="2" y="5"/>
                                            <a:pt x="2" y="3"/>
                                          </a:cubicBezTo>
                                          <a:cubicBezTo>
                                            <a:pt x="2" y="1"/>
                                            <a:pt x="4" y="0"/>
                                            <a:pt x="6" y="0"/>
                                          </a:cubicBezTo>
                                          <a:cubicBezTo>
                                            <a:pt x="8" y="0"/>
                                            <a:pt x="9" y="1"/>
                                            <a:pt x="9" y="3"/>
                                          </a:cubicBezTo>
                                          <a:cubicBezTo>
                                            <a:pt x="9" y="5"/>
                                            <a:pt x="8" y="6"/>
                                            <a:pt x="6" y="6"/>
                                          </a:cubicBez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79" descr="background"/>
                                  <wps:cNvSpPr>
                                    <a:spLocks/>
                                  </wps:cNvSpPr>
                                  <wps:spPr bwMode="auto">
                                    <a:xfrm>
                                      <a:off x="12426" y="3556"/>
                                      <a:ext cx="426" cy="717"/>
                                    </a:xfrm>
                                    <a:custGeom>
                                      <a:avLst/>
                                      <a:gdLst>
                                        <a:gd name="T0" fmla="*/ 42171149 w 13"/>
                                        <a:gd name="T1" fmla="*/ 17321840 h 22"/>
                                        <a:gd name="T2" fmla="*/ 35143001 w 13"/>
                                        <a:gd name="T3" fmla="*/ 17321840 h 22"/>
                                        <a:gd name="T4" fmla="*/ 17570960 w 13"/>
                                        <a:gd name="T5" fmla="*/ 31178875 h 22"/>
                                        <a:gd name="T6" fmla="*/ 17570960 w 13"/>
                                        <a:gd name="T7" fmla="*/ 76215829 h 22"/>
                                        <a:gd name="T8" fmla="*/ 0 w 13"/>
                                        <a:gd name="T9" fmla="*/ 76215829 h 22"/>
                                        <a:gd name="T10" fmla="*/ 0 w 13"/>
                                        <a:gd name="T11" fmla="*/ 0 h 22"/>
                                        <a:gd name="T12" fmla="*/ 14057410 w 13"/>
                                        <a:gd name="T13" fmla="*/ 0 h 22"/>
                                        <a:gd name="T14" fmla="*/ 17570960 w 13"/>
                                        <a:gd name="T15" fmla="*/ 13857035 h 22"/>
                                        <a:gd name="T16" fmla="*/ 35143001 w 13"/>
                                        <a:gd name="T17" fmla="*/ 0 h 22"/>
                                        <a:gd name="T18" fmla="*/ 45685780 w 13"/>
                                        <a:gd name="T19" fmla="*/ 0 h 22"/>
                                        <a:gd name="T20" fmla="*/ 42171149 w 13"/>
                                        <a:gd name="T21" fmla="*/ 17321840 h 22"/>
                                        <a:gd name="T22" fmla="*/ 0 60000 65536"/>
                                        <a:gd name="T23" fmla="*/ 0 60000 65536"/>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Lst>
                                      <a:ahLst/>
                                      <a:cxnLst>
                                        <a:cxn ang="T22">
                                          <a:pos x="T0" y="T1"/>
                                        </a:cxn>
                                        <a:cxn ang="T23">
                                          <a:pos x="T2" y="T3"/>
                                        </a:cxn>
                                        <a:cxn ang="T24">
                                          <a:pos x="T4" y="T5"/>
                                        </a:cxn>
                                        <a:cxn ang="T25">
                                          <a:pos x="T6" y="T7"/>
                                        </a:cxn>
                                        <a:cxn ang="T26">
                                          <a:pos x="T8" y="T9"/>
                                        </a:cxn>
                                        <a:cxn ang="T27">
                                          <a:pos x="T10" y="T11"/>
                                        </a:cxn>
                                        <a:cxn ang="T28">
                                          <a:pos x="T12" y="T13"/>
                                        </a:cxn>
                                        <a:cxn ang="T29">
                                          <a:pos x="T14" y="T15"/>
                                        </a:cxn>
                                        <a:cxn ang="T30">
                                          <a:pos x="T16" y="T17"/>
                                        </a:cxn>
                                        <a:cxn ang="T31">
                                          <a:pos x="T18" y="T19"/>
                                        </a:cxn>
                                        <a:cxn ang="T32">
                                          <a:pos x="T20" y="T21"/>
                                        </a:cxn>
                                      </a:cxnLst>
                                      <a:rect l="0" t="0" r="r" b="b"/>
                                      <a:pathLst>
                                        <a:path w="13" h="22">
                                          <a:moveTo>
                                            <a:pt x="12" y="5"/>
                                          </a:moveTo>
                                          <a:cubicBezTo>
                                            <a:pt x="12" y="5"/>
                                            <a:pt x="11" y="5"/>
                                            <a:pt x="10" y="5"/>
                                          </a:cubicBezTo>
                                          <a:cubicBezTo>
                                            <a:pt x="9" y="5"/>
                                            <a:pt x="7" y="6"/>
                                            <a:pt x="5" y="9"/>
                                          </a:cubicBezTo>
                                          <a:cubicBezTo>
                                            <a:pt x="5" y="22"/>
                                            <a:pt x="5" y="22"/>
                                            <a:pt x="5" y="22"/>
                                          </a:cubicBezTo>
                                          <a:cubicBezTo>
                                            <a:pt x="0" y="22"/>
                                            <a:pt x="0" y="22"/>
                                            <a:pt x="0" y="22"/>
                                          </a:cubicBezTo>
                                          <a:cubicBezTo>
                                            <a:pt x="0" y="0"/>
                                            <a:pt x="0" y="0"/>
                                            <a:pt x="0" y="0"/>
                                          </a:cubicBezTo>
                                          <a:cubicBezTo>
                                            <a:pt x="4" y="0"/>
                                            <a:pt x="4" y="0"/>
                                            <a:pt x="4" y="0"/>
                                          </a:cubicBezTo>
                                          <a:cubicBezTo>
                                            <a:pt x="5" y="4"/>
                                            <a:pt x="5" y="4"/>
                                            <a:pt x="5" y="4"/>
                                          </a:cubicBezTo>
                                          <a:cubicBezTo>
                                            <a:pt x="7" y="1"/>
                                            <a:pt x="8" y="0"/>
                                            <a:pt x="10" y="0"/>
                                          </a:cubicBezTo>
                                          <a:cubicBezTo>
                                            <a:pt x="11" y="0"/>
                                            <a:pt x="12" y="0"/>
                                            <a:pt x="13" y="0"/>
                                          </a:cubicBezTo>
                                          <a:lnTo>
                                            <a:pt x="12" y="5"/>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80" descr="background"/>
                                  <wps:cNvSpPr>
                                    <a:spLocks noEditPoints="1"/>
                                  </wps:cNvSpPr>
                                  <wps:spPr bwMode="auto">
                                    <a:xfrm>
                                      <a:off x="12947" y="3556"/>
                                      <a:ext cx="718" cy="755"/>
                                    </a:xfrm>
                                    <a:custGeom>
                                      <a:avLst/>
                                      <a:gdLst>
                                        <a:gd name="T0" fmla="*/ 38214799 w 22"/>
                                        <a:gd name="T1" fmla="*/ 81425207 h 23"/>
                                        <a:gd name="T2" fmla="*/ 0 w 22"/>
                                        <a:gd name="T3" fmla="*/ 42482471 h 23"/>
                                        <a:gd name="T4" fmla="*/ 38214799 w 22"/>
                                        <a:gd name="T5" fmla="*/ 0 h 23"/>
                                        <a:gd name="T6" fmla="*/ 76428554 w 22"/>
                                        <a:gd name="T7" fmla="*/ 38942736 h 23"/>
                                        <a:gd name="T8" fmla="*/ 38214799 w 22"/>
                                        <a:gd name="T9" fmla="*/ 81425207 h 23"/>
                                        <a:gd name="T10" fmla="*/ 38214799 w 22"/>
                                        <a:gd name="T11" fmla="*/ 14161174 h 23"/>
                                        <a:gd name="T12" fmla="*/ 17370182 w 22"/>
                                        <a:gd name="T13" fmla="*/ 38942736 h 23"/>
                                        <a:gd name="T14" fmla="*/ 38214799 w 22"/>
                                        <a:gd name="T15" fmla="*/ 63724265 h 23"/>
                                        <a:gd name="T16" fmla="*/ 55583937 w 22"/>
                                        <a:gd name="T17" fmla="*/ 38942736 h 23"/>
                                        <a:gd name="T18" fmla="*/ 38214799 w 22"/>
                                        <a:gd name="T19" fmla="*/ 14161174 h 23"/>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22" h="23">
                                          <a:moveTo>
                                            <a:pt x="11" y="23"/>
                                          </a:moveTo>
                                          <a:cubicBezTo>
                                            <a:pt x="3" y="23"/>
                                            <a:pt x="0" y="18"/>
                                            <a:pt x="0" y="12"/>
                                          </a:cubicBezTo>
                                          <a:cubicBezTo>
                                            <a:pt x="0" y="4"/>
                                            <a:pt x="4" y="0"/>
                                            <a:pt x="11" y="0"/>
                                          </a:cubicBezTo>
                                          <a:cubicBezTo>
                                            <a:pt x="18" y="0"/>
                                            <a:pt x="22" y="4"/>
                                            <a:pt x="22" y="11"/>
                                          </a:cubicBezTo>
                                          <a:cubicBezTo>
                                            <a:pt x="22" y="18"/>
                                            <a:pt x="18" y="23"/>
                                            <a:pt x="11" y="23"/>
                                          </a:cubicBezTo>
                                          <a:close/>
                                          <a:moveTo>
                                            <a:pt x="11" y="4"/>
                                          </a:moveTo>
                                          <a:cubicBezTo>
                                            <a:pt x="7" y="4"/>
                                            <a:pt x="5" y="7"/>
                                            <a:pt x="5" y="11"/>
                                          </a:cubicBezTo>
                                          <a:cubicBezTo>
                                            <a:pt x="5" y="15"/>
                                            <a:pt x="7" y="18"/>
                                            <a:pt x="11" y="18"/>
                                          </a:cubicBezTo>
                                          <a:cubicBezTo>
                                            <a:pt x="15" y="18"/>
                                            <a:pt x="16" y="15"/>
                                            <a:pt x="16" y="11"/>
                                          </a:cubicBezTo>
                                          <a:cubicBezTo>
                                            <a:pt x="16" y="7"/>
                                            <a:pt x="15" y="4"/>
                                            <a:pt x="11" y="4"/>
                                          </a:cubicBez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Oval 81" descr="background"/>
                                  <wps:cNvSpPr>
                                    <a:spLocks noChangeArrowheads="1"/>
                                  </wps:cNvSpPr>
                                  <wps:spPr bwMode="auto">
                                    <a:xfrm>
                                      <a:off x="13830" y="4044"/>
                                      <a:ext cx="190" cy="229"/>
                                    </a:xfrm>
                                    <a:prstGeom prst="ellipse">
                                      <a:avLst/>
                                    </a:pr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82" descr="background"/>
                                  <wps:cNvSpPr>
                                    <a:spLocks noEditPoints="1"/>
                                  </wps:cNvSpPr>
                                  <wps:spPr bwMode="auto">
                                    <a:xfrm>
                                      <a:off x="14217" y="3556"/>
                                      <a:ext cx="584" cy="755"/>
                                    </a:xfrm>
                                    <a:custGeom>
                                      <a:avLst/>
                                      <a:gdLst>
                                        <a:gd name="T0" fmla="*/ 47829957 w 18"/>
                                        <a:gd name="T1" fmla="*/ 77885472 h 23"/>
                                        <a:gd name="T2" fmla="*/ 47829957 w 18"/>
                                        <a:gd name="T3" fmla="*/ 70804852 h 23"/>
                                        <a:gd name="T4" fmla="*/ 23914962 w 18"/>
                                        <a:gd name="T5" fmla="*/ 81425207 h 23"/>
                                        <a:gd name="T6" fmla="*/ 0 w 18"/>
                                        <a:gd name="T7" fmla="*/ 56643678 h 23"/>
                                        <a:gd name="T8" fmla="*/ 34164552 w 18"/>
                                        <a:gd name="T9" fmla="*/ 31862149 h 23"/>
                                        <a:gd name="T10" fmla="*/ 44413070 w 18"/>
                                        <a:gd name="T11" fmla="*/ 31862149 h 23"/>
                                        <a:gd name="T12" fmla="*/ 44413070 w 18"/>
                                        <a:gd name="T13" fmla="*/ 28321297 h 23"/>
                                        <a:gd name="T14" fmla="*/ 27330811 w 18"/>
                                        <a:gd name="T15" fmla="*/ 14161174 h 23"/>
                                        <a:gd name="T16" fmla="*/ 6832703 w 18"/>
                                        <a:gd name="T17" fmla="*/ 17700942 h 23"/>
                                        <a:gd name="T18" fmla="*/ 3416887 w 18"/>
                                        <a:gd name="T19" fmla="*/ 3539768 h 23"/>
                                        <a:gd name="T20" fmla="*/ 30747665 w 18"/>
                                        <a:gd name="T21" fmla="*/ 0 h 23"/>
                                        <a:gd name="T22" fmla="*/ 61495330 w 18"/>
                                        <a:gd name="T23" fmla="*/ 24781529 h 23"/>
                                        <a:gd name="T24" fmla="*/ 61495330 w 18"/>
                                        <a:gd name="T25" fmla="*/ 77885472 h 23"/>
                                        <a:gd name="T26" fmla="*/ 47829957 w 18"/>
                                        <a:gd name="T27" fmla="*/ 77885472 h 23"/>
                                        <a:gd name="T28" fmla="*/ 44413070 w 18"/>
                                        <a:gd name="T29" fmla="*/ 42482471 h 23"/>
                                        <a:gd name="T30" fmla="*/ 34164552 w 18"/>
                                        <a:gd name="T31" fmla="*/ 42482471 h 23"/>
                                        <a:gd name="T32" fmla="*/ 17082260 w 18"/>
                                        <a:gd name="T33" fmla="*/ 56643678 h 23"/>
                                        <a:gd name="T34" fmla="*/ 27330811 w 18"/>
                                        <a:gd name="T35" fmla="*/ 67264033 h 23"/>
                                        <a:gd name="T36" fmla="*/ 44413070 w 18"/>
                                        <a:gd name="T37" fmla="*/ 60183446 h 23"/>
                                        <a:gd name="T38" fmla="*/ 44413070 w 18"/>
                                        <a:gd name="T39" fmla="*/ 42482471 h 23"/>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18" h="23">
                                          <a:moveTo>
                                            <a:pt x="14" y="22"/>
                                          </a:moveTo>
                                          <a:cubicBezTo>
                                            <a:pt x="14" y="20"/>
                                            <a:pt x="14" y="20"/>
                                            <a:pt x="14" y="20"/>
                                          </a:cubicBezTo>
                                          <a:cubicBezTo>
                                            <a:pt x="12" y="22"/>
                                            <a:pt x="10" y="23"/>
                                            <a:pt x="7" y="23"/>
                                          </a:cubicBezTo>
                                          <a:cubicBezTo>
                                            <a:pt x="2" y="23"/>
                                            <a:pt x="0" y="20"/>
                                            <a:pt x="0" y="16"/>
                                          </a:cubicBezTo>
                                          <a:cubicBezTo>
                                            <a:pt x="0" y="11"/>
                                            <a:pt x="4" y="9"/>
                                            <a:pt x="10" y="9"/>
                                          </a:cubicBezTo>
                                          <a:cubicBezTo>
                                            <a:pt x="13" y="9"/>
                                            <a:pt x="13" y="9"/>
                                            <a:pt x="13" y="9"/>
                                          </a:cubicBezTo>
                                          <a:cubicBezTo>
                                            <a:pt x="13" y="8"/>
                                            <a:pt x="13" y="8"/>
                                            <a:pt x="13" y="8"/>
                                          </a:cubicBezTo>
                                          <a:cubicBezTo>
                                            <a:pt x="13" y="5"/>
                                            <a:pt x="12" y="4"/>
                                            <a:pt x="8" y="4"/>
                                          </a:cubicBezTo>
                                          <a:cubicBezTo>
                                            <a:pt x="6" y="4"/>
                                            <a:pt x="4" y="4"/>
                                            <a:pt x="2" y="5"/>
                                          </a:cubicBezTo>
                                          <a:cubicBezTo>
                                            <a:pt x="1" y="1"/>
                                            <a:pt x="1" y="1"/>
                                            <a:pt x="1" y="1"/>
                                          </a:cubicBezTo>
                                          <a:cubicBezTo>
                                            <a:pt x="3" y="0"/>
                                            <a:pt x="6" y="0"/>
                                            <a:pt x="9" y="0"/>
                                          </a:cubicBezTo>
                                          <a:cubicBezTo>
                                            <a:pt x="16" y="0"/>
                                            <a:pt x="18" y="3"/>
                                            <a:pt x="18" y="7"/>
                                          </a:cubicBezTo>
                                          <a:cubicBezTo>
                                            <a:pt x="18" y="22"/>
                                            <a:pt x="18" y="22"/>
                                            <a:pt x="18" y="22"/>
                                          </a:cubicBezTo>
                                          <a:lnTo>
                                            <a:pt x="14" y="22"/>
                                          </a:lnTo>
                                          <a:close/>
                                          <a:moveTo>
                                            <a:pt x="13" y="12"/>
                                          </a:moveTo>
                                          <a:cubicBezTo>
                                            <a:pt x="10" y="12"/>
                                            <a:pt x="10" y="12"/>
                                            <a:pt x="10" y="12"/>
                                          </a:cubicBezTo>
                                          <a:cubicBezTo>
                                            <a:pt x="7" y="12"/>
                                            <a:pt x="5" y="14"/>
                                            <a:pt x="5" y="16"/>
                                          </a:cubicBezTo>
                                          <a:cubicBezTo>
                                            <a:pt x="5" y="17"/>
                                            <a:pt x="6" y="19"/>
                                            <a:pt x="8" y="19"/>
                                          </a:cubicBezTo>
                                          <a:cubicBezTo>
                                            <a:pt x="10" y="19"/>
                                            <a:pt x="12" y="18"/>
                                            <a:pt x="13" y="17"/>
                                          </a:cubicBezTo>
                                          <a:lnTo>
                                            <a:pt x="13" y="1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83" descr="background"/>
                                  <wps:cNvSpPr>
                                    <a:spLocks/>
                                  </wps:cNvSpPr>
                                  <wps:spPr bwMode="auto">
                                    <a:xfrm>
                                      <a:off x="15030" y="3556"/>
                                      <a:ext cx="622" cy="755"/>
                                    </a:xfrm>
                                    <a:custGeom>
                                      <a:avLst/>
                                      <a:gdLst>
                                        <a:gd name="T0" fmla="*/ 52651580 w 19"/>
                                        <a:gd name="T1" fmla="*/ 77885472 h 23"/>
                                        <a:gd name="T2" fmla="*/ 52651580 w 19"/>
                                        <a:gd name="T3" fmla="*/ 67264033 h 23"/>
                                        <a:gd name="T4" fmla="*/ 24570899 w 19"/>
                                        <a:gd name="T5" fmla="*/ 81425207 h 23"/>
                                        <a:gd name="T6" fmla="*/ 0 w 19"/>
                                        <a:gd name="T7" fmla="*/ 49563091 h 23"/>
                                        <a:gd name="T8" fmla="*/ 0 w 19"/>
                                        <a:gd name="T9" fmla="*/ 0 h 23"/>
                                        <a:gd name="T10" fmla="*/ 17550188 w 19"/>
                                        <a:gd name="T11" fmla="*/ 0 h 23"/>
                                        <a:gd name="T12" fmla="*/ 17550188 w 19"/>
                                        <a:gd name="T13" fmla="*/ 46023323 h 23"/>
                                        <a:gd name="T14" fmla="*/ 31590529 w 19"/>
                                        <a:gd name="T15" fmla="*/ 63724265 h 23"/>
                                        <a:gd name="T16" fmla="*/ 49141765 w 19"/>
                                        <a:gd name="T17" fmla="*/ 53103910 h 23"/>
                                        <a:gd name="T18" fmla="*/ 49141765 w 19"/>
                                        <a:gd name="T19" fmla="*/ 0 h 23"/>
                                        <a:gd name="T20" fmla="*/ 66691953 w 19"/>
                                        <a:gd name="T21" fmla="*/ 0 h 23"/>
                                        <a:gd name="T22" fmla="*/ 66691953 w 19"/>
                                        <a:gd name="T23" fmla="*/ 77885472 h 23"/>
                                        <a:gd name="T24" fmla="*/ 52651580 w 19"/>
                                        <a:gd name="T25" fmla="*/ 77885472 h 2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19" h="23">
                                          <a:moveTo>
                                            <a:pt x="15" y="22"/>
                                          </a:moveTo>
                                          <a:cubicBezTo>
                                            <a:pt x="15" y="19"/>
                                            <a:pt x="15" y="19"/>
                                            <a:pt x="15" y="19"/>
                                          </a:cubicBezTo>
                                          <a:cubicBezTo>
                                            <a:pt x="12" y="22"/>
                                            <a:pt x="10" y="23"/>
                                            <a:pt x="7" y="23"/>
                                          </a:cubicBezTo>
                                          <a:cubicBezTo>
                                            <a:pt x="2" y="23"/>
                                            <a:pt x="0" y="19"/>
                                            <a:pt x="0" y="14"/>
                                          </a:cubicBezTo>
                                          <a:cubicBezTo>
                                            <a:pt x="0" y="0"/>
                                            <a:pt x="0" y="0"/>
                                            <a:pt x="0" y="0"/>
                                          </a:cubicBezTo>
                                          <a:cubicBezTo>
                                            <a:pt x="5" y="0"/>
                                            <a:pt x="5" y="0"/>
                                            <a:pt x="5" y="0"/>
                                          </a:cubicBezTo>
                                          <a:cubicBezTo>
                                            <a:pt x="5" y="13"/>
                                            <a:pt x="5" y="13"/>
                                            <a:pt x="5" y="13"/>
                                          </a:cubicBezTo>
                                          <a:cubicBezTo>
                                            <a:pt x="5" y="16"/>
                                            <a:pt x="6" y="18"/>
                                            <a:pt x="9" y="18"/>
                                          </a:cubicBezTo>
                                          <a:cubicBezTo>
                                            <a:pt x="11" y="18"/>
                                            <a:pt x="12" y="17"/>
                                            <a:pt x="14" y="15"/>
                                          </a:cubicBezTo>
                                          <a:cubicBezTo>
                                            <a:pt x="14" y="0"/>
                                            <a:pt x="14" y="0"/>
                                            <a:pt x="14" y="0"/>
                                          </a:cubicBezTo>
                                          <a:cubicBezTo>
                                            <a:pt x="19" y="0"/>
                                            <a:pt x="19" y="0"/>
                                            <a:pt x="19" y="0"/>
                                          </a:cubicBezTo>
                                          <a:cubicBezTo>
                                            <a:pt x="19" y="22"/>
                                            <a:pt x="19" y="22"/>
                                            <a:pt x="19" y="22"/>
                                          </a:cubicBezTo>
                                          <a:lnTo>
                                            <a:pt x="15" y="22"/>
                                          </a:lnTo>
                                          <a:close/>
                                        </a:path>
                                      </a:pathLst>
                                    </a:custGeom>
                                    <a:solidFill>
                                      <a:srgbClr val="4F81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74" name="Freeform 84"/>
                                <wps:cNvSpPr>
                                  <a:spLocks/>
                                </wps:cNvSpPr>
                                <wps:spPr bwMode="auto">
                                  <a:xfrm>
                                    <a:off x="59091" y="912"/>
                                    <a:ext cx="22125" cy="8883"/>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04" descr="background"/>
                                <wps:cNvSpPr>
                                  <a:spLocks/>
                                </wps:cNvSpPr>
                                <wps:spPr bwMode="auto">
                                  <a:xfrm>
                                    <a:off x="59103" y="929"/>
                                    <a:ext cx="22106" cy="8861"/>
                                  </a:xfrm>
                                  <a:custGeom>
                                    <a:avLst/>
                                    <a:gdLst>
                                      <a:gd name="T0" fmla="*/ 2147483647 w 680"/>
                                      <a:gd name="T1" fmla="*/ 0 h 272"/>
                                      <a:gd name="T2" fmla="*/ 0 w 680"/>
                                      <a:gd name="T3" fmla="*/ 2147483647 h 272"/>
                                      <a:gd name="T4" fmla="*/ 2147483647 w 680"/>
                                      <a:gd name="T5" fmla="*/ 2147483647 h 272"/>
                                      <a:gd name="T6" fmla="*/ 2147483647 w 680"/>
                                      <a:gd name="T7" fmla="*/ 2147483647 h 272"/>
                                      <a:gd name="T8" fmla="*/ 2147483647 w 680"/>
                                      <a:gd name="T9" fmla="*/ 0 h 272"/>
                                      <a:gd name="T10" fmla="*/ 2147483647 w 680"/>
                                      <a:gd name="T11" fmla="*/ 0 h 272"/>
                                      <a:gd name="T12" fmla="*/ 0 60000 65536"/>
                                      <a:gd name="T13" fmla="*/ 0 60000 65536"/>
                                      <a:gd name="T14" fmla="*/ 0 60000 65536"/>
                                      <a:gd name="T15" fmla="*/ 0 60000 65536"/>
                                      <a:gd name="T16" fmla="*/ 0 60000 65536"/>
                                      <a:gd name="T17" fmla="*/ 0 60000 65536"/>
                                      <a:gd name="T18" fmla="*/ 0 w 680"/>
                                      <a:gd name="T19" fmla="*/ 0 h 272"/>
                                      <a:gd name="T20" fmla="*/ 680 w 680"/>
                                      <a:gd name="T21" fmla="*/ 272 h 272"/>
                                    </a:gdLst>
                                    <a:ahLst/>
                                    <a:cxnLst>
                                      <a:cxn ang="T12">
                                        <a:pos x="T0" y="T1"/>
                                      </a:cxn>
                                      <a:cxn ang="T13">
                                        <a:pos x="T2" y="T3"/>
                                      </a:cxn>
                                      <a:cxn ang="T14">
                                        <a:pos x="T4" y="T5"/>
                                      </a:cxn>
                                      <a:cxn ang="T15">
                                        <a:pos x="T6" y="T7"/>
                                      </a:cxn>
                                      <a:cxn ang="T16">
                                        <a:pos x="T8" y="T9"/>
                                      </a:cxn>
                                      <a:cxn ang="T17">
                                        <a:pos x="T10" y="T11"/>
                                      </a:cxn>
                                    </a:cxnLst>
                                    <a:rect l="T18" t="T19" r="T20" b="T21"/>
                                    <a:pathLst>
                                      <a:path w="680" h="272">
                                        <a:moveTo>
                                          <a:pt x="476" y="0"/>
                                        </a:moveTo>
                                        <a:cubicBezTo>
                                          <a:pt x="186" y="0"/>
                                          <a:pt x="79" y="86"/>
                                          <a:pt x="0" y="116"/>
                                        </a:cubicBezTo>
                                        <a:cubicBezTo>
                                          <a:pt x="128" y="189"/>
                                          <a:pt x="229" y="272"/>
                                          <a:pt x="470" y="272"/>
                                        </a:cubicBezTo>
                                        <a:cubicBezTo>
                                          <a:pt x="528" y="272"/>
                                          <a:pt x="680" y="272"/>
                                          <a:pt x="680" y="272"/>
                                        </a:cubicBezTo>
                                        <a:cubicBezTo>
                                          <a:pt x="680" y="0"/>
                                          <a:pt x="680" y="0"/>
                                          <a:pt x="680" y="0"/>
                                        </a:cubicBezTo>
                                        <a:lnTo>
                                          <a:pt x="476" y="0"/>
                                        </a:lnTo>
                                        <a:close/>
                                      </a:path>
                                    </a:pathLst>
                                  </a:cu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157AED" w14:textId="77777777" w:rsidR="00424B9E" w:rsidRPr="007367A7" w:rsidRDefault="00424B9E" w:rsidP="001B7EBE">
                                      <w:pPr>
                                        <w:rPr>
                                          <w:rFonts w:eastAsia="Times New Roman"/>
                                          <w:color w:val="41B6E6" w:themeColor="accent1"/>
                                        </w:rPr>
                                      </w:pPr>
                                    </w:p>
                                  </w:txbxContent>
                                </wps:txbx>
                                <wps:bodyPr rot="0" vert="horz" wrap="square" lIns="91440" tIns="45720" rIns="91440" bIns="45720" anchor="t" anchorCtr="0" upright="1">
                                  <a:noAutofit/>
                                </wps:bodyPr>
                              </wps:wsp>
                            </wpg:grpSp>
                            <pic:pic xmlns:pic="http://schemas.openxmlformats.org/drawingml/2006/picture">
                              <pic:nvPicPr>
                                <pic:cNvPr id="76" name="Picture 40" descr="CSIRO logo"/>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65836" y="863"/>
                                  <a:ext cx="8941" cy="8789"/>
                                </a:xfrm>
                                <a:prstGeom prst="rect">
                                  <a:avLst/>
                                </a:prstGeom>
                                <a:noFill/>
                                <a:extLst>
                                  <a:ext uri="{909E8E84-426E-40DD-AFC4-6F175D3DCCD1}">
                                    <a14:hiddenFill xmlns:a14="http://schemas.microsoft.com/office/drawing/2010/main">
                                      <a:solidFill>
                                        <a:srgbClr val="FFFFFF"/>
                                      </a:solidFill>
                                    </a14:hiddenFill>
                                  </a:ext>
                                </a:extLst>
                              </pic:spPr>
                            </pic:pic>
                          </wpg:grpSp>
                          <wpg:grpSp>
                            <wpg:cNvPr id="77" name="Group 69"/>
                            <wpg:cNvGrpSpPr>
                              <a:grpSpLocks/>
                            </wpg:cNvGrpSpPr>
                            <wpg:grpSpPr bwMode="auto">
                              <a:xfrm>
                                <a:off x="-827" y="10206"/>
                                <a:ext cx="14774" cy="6659"/>
                                <a:chOff x="0" y="0"/>
                                <a:chExt cx="93818" cy="42291"/>
                              </a:xfrm>
                            </wpg:grpSpPr>
                            <wps:wsp>
                              <wps:cNvPr id="78" name="Rectangle 68"/>
                              <wps:cNvSpPr>
                                <a:spLocks noChangeArrowheads="1"/>
                              </wps:cNvSpPr>
                              <wps:spPr bwMode="auto">
                                <a:xfrm>
                                  <a:off x="5257" y="10287"/>
                                  <a:ext cx="75990" cy="32004"/>
                                </a:xfrm>
                                <a:prstGeom prst="rect">
                                  <a:avLst/>
                                </a:prstGeom>
                                <a:solidFill>
                                  <a:schemeClr val="bg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g:grpSp>
                              <wpg:cNvPr id="79" name="Group 67"/>
                              <wpg:cNvGrpSpPr>
                                <a:grpSpLocks/>
                              </wpg:cNvGrpSpPr>
                              <wpg:grpSpPr bwMode="auto">
                                <a:xfrm>
                                  <a:off x="0" y="0"/>
                                  <a:ext cx="93818" cy="26426"/>
                                  <a:chOff x="0" y="0"/>
                                  <a:chExt cx="93818" cy="26426"/>
                                </a:xfrm>
                              </wpg:grpSpPr>
                              <wps:wsp>
                                <wps:cNvPr id="80" name="Freeform 115" descr="background"/>
                                <wps:cNvSpPr>
                                  <a:spLocks/>
                                </wps:cNvSpPr>
                                <wps:spPr bwMode="auto">
                                  <a:xfrm>
                                    <a:off x="0" y="0"/>
                                    <a:ext cx="47104" cy="12071"/>
                                  </a:xfrm>
                                  <a:custGeom>
                                    <a:avLst/>
                                    <a:gdLst>
                                      <a:gd name="T0" fmla="*/ 2147483647 w 1458"/>
                                      <a:gd name="T1" fmla="*/ 2147483647 h 374"/>
                                      <a:gd name="T2" fmla="*/ 2147483647 w 1458"/>
                                      <a:gd name="T3" fmla="*/ 0 h 374"/>
                                      <a:gd name="T4" fmla="*/ 0 w 1458"/>
                                      <a:gd name="T5" fmla="*/ 0 h 374"/>
                                      <a:gd name="T6" fmla="*/ 0 w 1458"/>
                                      <a:gd name="T7" fmla="*/ 2147483647 h 374"/>
                                      <a:gd name="T8" fmla="*/ 2147483647 w 1458"/>
                                      <a:gd name="T9" fmla="*/ 2147483647 h 374"/>
                                      <a:gd name="T10" fmla="*/ 2147483647 w 1458"/>
                                      <a:gd name="T11" fmla="*/ 2147483647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8" h="374">
                                        <a:moveTo>
                                          <a:pt x="1458" y="321"/>
                                        </a:moveTo>
                                        <a:cubicBezTo>
                                          <a:pt x="1158" y="150"/>
                                          <a:pt x="746" y="0"/>
                                          <a:pt x="214" y="0"/>
                                        </a:cubicBezTo>
                                        <a:cubicBezTo>
                                          <a:pt x="0" y="0"/>
                                          <a:pt x="0" y="0"/>
                                          <a:pt x="0" y="0"/>
                                        </a:cubicBezTo>
                                        <a:cubicBezTo>
                                          <a:pt x="0" y="374"/>
                                          <a:pt x="0" y="374"/>
                                          <a:pt x="0" y="374"/>
                                        </a:cubicBezTo>
                                        <a:cubicBezTo>
                                          <a:pt x="680" y="374"/>
                                          <a:pt x="680" y="374"/>
                                          <a:pt x="680" y="374"/>
                                        </a:cubicBezTo>
                                        <a:cubicBezTo>
                                          <a:pt x="1186" y="374"/>
                                          <a:pt x="1351" y="362"/>
                                          <a:pt x="1458" y="321"/>
                                        </a:cubicBezTo>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6" descr="background"/>
                                <wps:cNvSpPr>
                                  <a:spLocks/>
                                </wps:cNvSpPr>
                                <wps:spPr bwMode="auto">
                                  <a:xfrm>
                                    <a:off x="0" y="14031"/>
                                    <a:ext cx="21545" cy="6197"/>
                                  </a:xfrm>
                                  <a:custGeom>
                                    <a:avLst/>
                                    <a:gdLst>
                                      <a:gd name="T0" fmla="*/ 2147483647 w 667"/>
                                      <a:gd name="T1" fmla="*/ 2147483647 h 192"/>
                                      <a:gd name="T2" fmla="*/ 2147483647 w 667"/>
                                      <a:gd name="T3" fmla="*/ 0 h 192"/>
                                      <a:gd name="T4" fmla="*/ 0 w 667"/>
                                      <a:gd name="T5" fmla="*/ 0 h 192"/>
                                      <a:gd name="T6" fmla="*/ 0 w 667"/>
                                      <a:gd name="T7" fmla="*/ 2147483647 h 192"/>
                                      <a:gd name="T8" fmla="*/ 2147483647 w 667"/>
                                      <a:gd name="T9" fmla="*/ 2147483647 h 192"/>
                                      <a:gd name="T10" fmla="*/ 2147483647 w 667"/>
                                      <a:gd name="T11" fmla="*/ 2147483647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667" h="192">
                                        <a:moveTo>
                                          <a:pt x="667" y="165"/>
                                        </a:moveTo>
                                        <a:cubicBezTo>
                                          <a:pt x="513" y="77"/>
                                          <a:pt x="302" y="0"/>
                                          <a:pt x="29" y="0"/>
                                        </a:cubicBezTo>
                                        <a:cubicBezTo>
                                          <a:pt x="0" y="0"/>
                                          <a:pt x="0" y="0"/>
                                          <a:pt x="0" y="0"/>
                                        </a:cubicBezTo>
                                        <a:cubicBezTo>
                                          <a:pt x="0" y="192"/>
                                          <a:pt x="0" y="192"/>
                                          <a:pt x="0" y="192"/>
                                        </a:cubicBezTo>
                                        <a:cubicBezTo>
                                          <a:pt x="268" y="192"/>
                                          <a:pt x="268" y="192"/>
                                          <a:pt x="268" y="192"/>
                                        </a:cubicBezTo>
                                        <a:cubicBezTo>
                                          <a:pt x="528" y="192"/>
                                          <a:pt x="612" y="186"/>
                                          <a:pt x="667" y="165"/>
                                        </a:cubicBezTo>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7" descr="background"/>
                                <wps:cNvSpPr>
                                  <a:spLocks/>
                                </wps:cNvSpPr>
                                <wps:spPr bwMode="auto">
                                  <a:xfrm>
                                    <a:off x="21441" y="14031"/>
                                    <a:ext cx="72269" cy="12395"/>
                                  </a:xfrm>
                                  <a:custGeom>
                                    <a:avLst/>
                                    <a:gdLst>
                                      <a:gd name="T0" fmla="*/ 2147483647 w 2237"/>
                                      <a:gd name="T1" fmla="*/ 0 h 384"/>
                                      <a:gd name="T2" fmla="*/ 0 w 2237"/>
                                      <a:gd name="T3" fmla="*/ 2147483647 h 384"/>
                                      <a:gd name="T4" fmla="*/ 2147483647 w 2237"/>
                                      <a:gd name="T5" fmla="*/ 2147483647 h 384"/>
                                      <a:gd name="T6" fmla="*/ 2147483647 w 2237"/>
                                      <a:gd name="T7" fmla="*/ 2147483647 h 384"/>
                                      <a:gd name="T8" fmla="*/ 2147483647 w 2237"/>
                                      <a:gd name="T9" fmla="*/ 0 h 384"/>
                                      <a:gd name="T10" fmla="*/ 2147483647 w 2237"/>
                                      <a:gd name="T11" fmla="*/ 0 h 38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37" h="384">
                                        <a:moveTo>
                                          <a:pt x="669" y="0"/>
                                        </a:moveTo>
                                        <a:cubicBezTo>
                                          <a:pt x="262" y="0"/>
                                          <a:pt x="112" y="122"/>
                                          <a:pt x="0" y="165"/>
                                        </a:cubicBezTo>
                                        <a:cubicBezTo>
                                          <a:pt x="180" y="268"/>
                                          <a:pt x="322" y="384"/>
                                          <a:pt x="661" y="384"/>
                                        </a:cubicBezTo>
                                        <a:cubicBezTo>
                                          <a:pt x="743" y="384"/>
                                          <a:pt x="2237" y="384"/>
                                          <a:pt x="2237" y="384"/>
                                        </a:cubicBezTo>
                                        <a:cubicBezTo>
                                          <a:pt x="2237" y="0"/>
                                          <a:pt x="2237" y="0"/>
                                          <a:pt x="2237" y="0"/>
                                        </a:cubicBezTo>
                                        <a:lnTo>
                                          <a:pt x="669"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8" descr="background"/>
                                <wps:cNvSpPr>
                                  <a:spLocks/>
                                </wps:cNvSpPr>
                                <wps:spPr bwMode="auto">
                                  <a:xfrm>
                                    <a:off x="46981" y="0"/>
                                    <a:ext cx="46837" cy="24180"/>
                                  </a:xfrm>
                                  <a:custGeom>
                                    <a:avLst/>
                                    <a:gdLst>
                                      <a:gd name="T0" fmla="*/ 2147483647 w 1450"/>
                                      <a:gd name="T1" fmla="*/ 0 h 749"/>
                                      <a:gd name="T2" fmla="*/ 0 w 1450"/>
                                      <a:gd name="T3" fmla="*/ 2147483647 h 749"/>
                                      <a:gd name="T4" fmla="*/ 2147483647 w 1450"/>
                                      <a:gd name="T5" fmla="*/ 2147483647 h 749"/>
                                      <a:gd name="T6" fmla="*/ 2147483647 w 1450"/>
                                      <a:gd name="T7" fmla="*/ 2147483647 h 749"/>
                                      <a:gd name="T8" fmla="*/ 2147483647 w 1450"/>
                                      <a:gd name="T9" fmla="*/ 0 h 749"/>
                                      <a:gd name="T10" fmla="*/ 2147483647 w 1450"/>
                                      <a:gd name="T11" fmla="*/ 0 h 749"/>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450" h="749">
                                        <a:moveTo>
                                          <a:pt x="1306" y="0"/>
                                        </a:moveTo>
                                        <a:cubicBezTo>
                                          <a:pt x="512" y="0"/>
                                          <a:pt x="218" y="238"/>
                                          <a:pt x="0" y="321"/>
                                        </a:cubicBezTo>
                                        <a:cubicBezTo>
                                          <a:pt x="351" y="522"/>
                                          <a:pt x="628" y="749"/>
                                          <a:pt x="1291" y="749"/>
                                        </a:cubicBezTo>
                                        <a:cubicBezTo>
                                          <a:pt x="1450" y="749"/>
                                          <a:pt x="1446" y="749"/>
                                          <a:pt x="1446" y="749"/>
                                        </a:cubicBezTo>
                                        <a:cubicBezTo>
                                          <a:pt x="1446" y="0"/>
                                          <a:pt x="1446" y="0"/>
                                          <a:pt x="1446" y="0"/>
                                        </a:cubicBezTo>
                                        <a:lnTo>
                                          <a:pt x="1306" y="0"/>
                                        </a:lnTo>
                                        <a:close/>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9" descr="background"/>
                                <wps:cNvSpPr>
                                  <a:spLocks/>
                                </wps:cNvSpPr>
                                <wps:spPr bwMode="auto">
                                  <a:xfrm>
                                    <a:off x="0" y="22702"/>
                                    <a:ext cx="71170" cy="1422"/>
                                  </a:xfrm>
                                  <a:custGeom>
                                    <a:avLst/>
                                    <a:gdLst>
                                      <a:gd name="T0" fmla="*/ 2147483647 w 2203"/>
                                      <a:gd name="T1" fmla="*/ 2147483647 h 44"/>
                                      <a:gd name="T2" fmla="*/ 2147483647 w 2203"/>
                                      <a:gd name="T3" fmla="*/ 0 h 44"/>
                                      <a:gd name="T4" fmla="*/ 0 w 2203"/>
                                      <a:gd name="T5" fmla="*/ 0 h 44"/>
                                      <a:gd name="T6" fmla="*/ 0 w 2203"/>
                                      <a:gd name="T7" fmla="*/ 2147483647 h 44"/>
                                      <a:gd name="T8" fmla="*/ 2147483647 w 2203"/>
                                      <a:gd name="T9" fmla="*/ 2147483647 h 44"/>
                                      <a:gd name="T10" fmla="*/ 2147483647 w 2203"/>
                                      <a:gd name="T11" fmla="*/ 214748364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2203" h="44">
                                        <a:moveTo>
                                          <a:pt x="2203" y="38"/>
                                        </a:moveTo>
                                        <a:cubicBezTo>
                                          <a:pt x="2169" y="21"/>
                                          <a:pt x="2120" y="0"/>
                                          <a:pt x="2058" y="0"/>
                                        </a:cubicBezTo>
                                        <a:cubicBezTo>
                                          <a:pt x="0" y="0"/>
                                          <a:pt x="0" y="0"/>
                                          <a:pt x="0" y="0"/>
                                        </a:cubicBezTo>
                                        <a:cubicBezTo>
                                          <a:pt x="0" y="44"/>
                                          <a:pt x="0" y="44"/>
                                          <a:pt x="0" y="44"/>
                                        </a:cubicBezTo>
                                        <a:cubicBezTo>
                                          <a:pt x="2112" y="44"/>
                                          <a:pt x="2112" y="44"/>
                                          <a:pt x="2112" y="44"/>
                                        </a:cubicBezTo>
                                        <a:cubicBezTo>
                                          <a:pt x="2112" y="44"/>
                                          <a:pt x="2193" y="40"/>
                                          <a:pt x="2203" y="38"/>
                                        </a:cubicBezTo>
                                      </a:path>
                                    </a:pathLst>
                                  </a:custGeom>
                                  <a:solidFill>
                                    <a:schemeClr val="tx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20" descr="background"/>
                                <wps:cNvSpPr>
                                  <a:spLocks/>
                                </wps:cNvSpPr>
                                <wps:spPr bwMode="auto">
                                  <a:xfrm>
                                    <a:off x="71102" y="22702"/>
                                    <a:ext cx="22644" cy="2838"/>
                                  </a:xfrm>
                                  <a:custGeom>
                                    <a:avLst/>
                                    <a:gdLst>
                                      <a:gd name="T0" fmla="*/ 2147483647 w 701"/>
                                      <a:gd name="T1" fmla="*/ 0 h 88"/>
                                      <a:gd name="T2" fmla="*/ 0 w 701"/>
                                      <a:gd name="T3" fmla="*/ 2147483647 h 88"/>
                                      <a:gd name="T4" fmla="*/ 2147483647 w 701"/>
                                      <a:gd name="T5" fmla="*/ 2147483647 h 88"/>
                                      <a:gd name="T6" fmla="*/ 2147483647 w 701"/>
                                      <a:gd name="T7" fmla="*/ 2147483647 h 88"/>
                                      <a:gd name="T8" fmla="*/ 2147483647 w 701"/>
                                      <a:gd name="T9" fmla="*/ 0 h 88"/>
                                      <a:gd name="T10" fmla="*/ 2147483647 w 701"/>
                                      <a:gd name="T11" fmla="*/ 0 h 8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01" h="88">
                                        <a:moveTo>
                                          <a:pt x="153" y="0"/>
                                        </a:moveTo>
                                        <a:cubicBezTo>
                                          <a:pt x="60" y="0"/>
                                          <a:pt x="26" y="28"/>
                                          <a:pt x="0" y="38"/>
                                        </a:cubicBezTo>
                                        <a:cubicBezTo>
                                          <a:pt x="41" y="61"/>
                                          <a:pt x="74" y="88"/>
                                          <a:pt x="151" y="88"/>
                                        </a:cubicBezTo>
                                        <a:cubicBezTo>
                                          <a:pt x="701" y="88"/>
                                          <a:pt x="701" y="88"/>
                                          <a:pt x="701" y="88"/>
                                        </a:cubicBezTo>
                                        <a:cubicBezTo>
                                          <a:pt x="701" y="0"/>
                                          <a:pt x="701" y="0"/>
                                          <a:pt x="701" y="0"/>
                                        </a:cubicBezTo>
                                        <a:lnTo>
                                          <a:pt x="1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22" descr="background"/>
                                <wps:cNvSpPr>
                                  <a:spLocks/>
                                </wps:cNvSpPr>
                                <wps:spPr bwMode="auto">
                                  <a:xfrm>
                                    <a:off x="0" y="18445"/>
                                    <a:ext cx="60090" cy="2807"/>
                                  </a:xfrm>
                                  <a:custGeom>
                                    <a:avLst/>
                                    <a:gdLst>
                                      <a:gd name="T0" fmla="*/ 2147483647 w 1860"/>
                                      <a:gd name="T1" fmla="*/ 2147483647 h 87"/>
                                      <a:gd name="T2" fmla="*/ 2147483647 w 1860"/>
                                      <a:gd name="T3" fmla="*/ 2147483647 h 87"/>
                                      <a:gd name="T4" fmla="*/ 2147483647 w 1860"/>
                                      <a:gd name="T5" fmla="*/ 0 h 87"/>
                                      <a:gd name="T6" fmla="*/ 0 w 1860"/>
                                      <a:gd name="T7" fmla="*/ 0 h 87"/>
                                      <a:gd name="T8" fmla="*/ 0 w 1860"/>
                                      <a:gd name="T9" fmla="*/ 2147483647 h 87"/>
                                      <a:gd name="T10" fmla="*/ 2147483647 w 1860"/>
                                      <a:gd name="T11" fmla="*/ 2147483647 h 87"/>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860" h="87">
                                        <a:moveTo>
                                          <a:pt x="1707" y="87"/>
                                        </a:moveTo>
                                        <a:cubicBezTo>
                                          <a:pt x="1800" y="87"/>
                                          <a:pt x="1834" y="59"/>
                                          <a:pt x="1860" y="50"/>
                                        </a:cubicBezTo>
                                        <a:cubicBezTo>
                                          <a:pt x="1819" y="26"/>
                                          <a:pt x="1786" y="0"/>
                                          <a:pt x="1709" y="0"/>
                                        </a:cubicBezTo>
                                        <a:cubicBezTo>
                                          <a:pt x="0" y="0"/>
                                          <a:pt x="0" y="0"/>
                                          <a:pt x="0" y="0"/>
                                        </a:cubicBezTo>
                                        <a:cubicBezTo>
                                          <a:pt x="0" y="87"/>
                                          <a:pt x="0" y="87"/>
                                          <a:pt x="0" y="87"/>
                                        </a:cubicBezTo>
                                        <a:lnTo>
                                          <a:pt x="1707" y="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w14:anchorId="27AF49D9" id="Group 3" o:spid="_x0000_s1026" alt="background" style="position:absolute;margin-left:-98.05pt;margin-top:-9.4pt;width:738.7pt;height:797.35pt;z-index:-251656192" coordorigin="-827,918" coordsize="14774,159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">
                    <v:group id="Group 99" o:spid="_x0000_s1027" style="position:absolute;left:-262;top:918;width:12749;height:1610"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group id="Group 81" o:spid="_x0000_s1028" style="position:absolute;width:80962;height:10223" coordorigin="254,226" coordsize="80962,102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70" o:spid="_x0000_s1029" alt="background" style="position:absolute;left:254;top:226;width:80962;height:10224;visibility:visible;mso-wrap-style:square;v-text-anchor:top" coordsize="248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GFvsUA&#10;AADaAAAADwAAAGRycy9kb3ducmV2LnhtbESP0WrCQBRE3wv9h+UW+iK6saZGU1eRgpIXrdp+wDV7&#10;TUKzd0N2q7Ff7xaEPg4zc4aZLTpTizO1rrKsYDiIQBDnVldcKPj6XPUnIJxH1lhbJgVXcrCYPz7M&#10;MNX2wns6H3whAoRdigpK75tUSpeXZNANbEMcvJNtDfog20LqFi8Bbmr5EkVjabDisFBiQ+8l5d+H&#10;H6NgE6+PWW+a/JrX7SjfxT7efFCm1PNTt3wD4anz/+F7O9MKEvi7Em6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QYW+xQAAANoAAAAPAAAAAAAAAAAAAAAAAJgCAABkcnMv&#10;ZG93bnJldi54bWxQSwUGAAAAAAQABAD1AAAAigMAAAAA&#10;" path="m2488,21v-204,,-204,,-204,c1994,21,1887,107,1808,137v97,81,229,176,470,176c2336,313,2488,313,2488,313v,-292,,-292,,-292m1354,c,,,,,,,157,,157,,157v1524,,1524,,1524,c1709,157,1769,152,1808,137v,,,,,c1808,137,1808,137,1808,137,1710,57,1548,,1354,e" fillcolor="#365f91" stroked="f">
                          <v:path arrowok="t" o:connecttype="custom" o:connectlocs="2147483646,2147483646;2147483646,2147483646;2147483646,2147483646;2147483646,2147483646;2147483646,2147483646;2147483646,2147483646;2147483646,0;0,0;0,2147483646;2147483646,2147483646;2147483646,2147483646;2147483646,2147483646;2147483646,2147483646;2147483646,0" o:connectangles="0,0,0,0,0,0,0,0,0,0,0,0,0,0"/>
                          <o:lock v:ext="edit" verticies="t"/>
                        </v:shape>
                        <v:shape id="Freeform 71" o:spid="_x0000_s1030" alt="background" style="position:absolute;left:254;top:912;width:58837;height:4442;visibility:visible;mso-wrap-style:square;v-text-anchor:top" coordsize="1808,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0Fy78A&#10;AADaAAAADwAAAGRycy9kb3ducmV2LnhtbERP3WrCMBS+H/gO4Qi7GZpuF2VWo4ggir3S7QGOzTGt&#10;Niclydr69svFYJcf3/9qM9pW9ORD41jB+zwDQVw53bBR8P21n32CCBFZY+uYFDwpwGY9eVlhod3A&#10;Z+ov0YgUwqFABXWMXSFlqGqyGOauI07czXmLMUFvpPY4pHDbyo8sy6XFhlNDjR3taqoelx+r4GTO&#10;26tfdOX1VuJo5AEf97dcqdfpuF2CiDTGf/Gf+6gVpK3pSroB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TQXLvwAAANoAAAAPAAAAAAAAAAAAAAAAAJgCAABkcnMvZG93bnJl&#10;di54bWxQSwUGAAAAAAQABAD1AAAAhAMAAAAA&#10;" path="m1808,116c1698,54,1548,,1354,,,,,,,,,136,,136,,136v1524,,1524,,1524,c1709,136,1769,131,1808,116e" fillcolor="black [3215]" stroked="f">
                          <v:path arrowok="t" o:connecttype="custom" o:connectlocs="2147483646,2147483646;2147483646,0;0,0;0,2147483646;2147483646,2147483646;2147483646,2147483646" o:connectangles="0,0,0,0,0,0"/>
                        </v:shape>
                        <v:group id="Group 105" o:spid="_x0000_s1031" style="position:absolute;left:9186;top:3326;width:8853;height:1049" coordorigin="6800,3263" coordsize="8851,10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72" o:spid="_x0000_s1032" alt="background" style="position:absolute;left:6800;top:3556;width:1042;height:717;visibility:visible;mso-wrap-style:square;v-text-anchor:top" coordsize="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eJMMA&#10;AADbAAAADwAAAGRycy9kb3ducmV2LnhtbESPQWvCQBCF74L/YRmhN7NpCkWjqxTB0h5aahLvQ3ZM&#10;gtnZkN1q+u87h0JvM7w3732z3U+uVzcaQ+fZwGOSgiKuve24MVCVx+UKVIjIFnvPZOCHAux389kW&#10;c+vvfKJbERslIRxyNNDGOORah7olhyHxA7FoFz86jLKOjbYj3iXc9TpL02ftsGNpaHGgQ0v1tfh2&#10;BvjrA5vy1T8N7+u0yrKV5fOnNeZhMb1sQEWa4r/57/rNCr7Qyy8ygN7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EeJMMAAADbAAAADwAAAAAAAAAAAAAAAACYAgAAZHJzL2Rv&#10;d25yZXYueG1sUEsFBgAAAAAEAAQA9QAAAIgDAAAAAA==&#10;" path="m32,c31,8,29,15,26,22v-6,,-6,,-6,c17,9,17,9,17,9,16,7,16,7,16,7v,,,,,c15,9,15,9,15,9,12,22,12,22,12,22v-6,,-6,,-6,c3,15,1,8,,,5,,5,,5,,6,5,7,9,8,13v1,1,1,3,1,4c9,17,9,17,9,17v1,-4,1,-4,1,-4c13,,13,,13,v6,,6,,6,c23,14,23,14,23,14v,3,,3,,3c23,17,23,17,23,17v1,-1,1,-3,1,-4c25,9,26,5,27,r5,xe" fillcolor="#4f81bd" stroked="f">
                            <v:path arrowok="t" o:connecttype="custom" o:connectlocs="2147483646,0;2147483646,2147483646;2147483646,2147483646;1910147282,1016147881;1797797214,790340659;1797797214,790340659;1685448220,1016147881;1348365128,2147483646;674165078,2147483646;0,0;561816084,0;898899144,1467795274;1011248138,1919408642;1011248138,1919408642;1123632136,1467795274;1460715196,0;2134880274,0;2147483646,1580681351;2147483646,1919408642;2147483646,1919408642;2147483646,1467795274;2147483646,0;2147483646,0" o:connectangles="0,0,0,0,0,0,0,0,0,0,0,0,0,0,0,0,0,0,0,0,0,0,0"/>
                          </v:shape>
                          <v:shape id="Freeform 73" o:spid="_x0000_s1033" alt="background" style="position:absolute;left:7969;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jMcMA&#10;AADbAAAADwAAAGRycy9kb3ducmV2LnhtbERP22rCQBB9F/oPyxT6InWTVqxEN6EIQumDoO0HDNkx&#10;WZudDdnNxX59tyD4NodznW0x2UYM1HnjWEG6SEAQl04brhR8f+2f1yB8QNbYOCYFV/JQ5A+zLWba&#10;jXyk4RQqEUPYZ6igDqHNpPRlTRb9wrXEkTu7zmKIsKuk7nCM4baRL0mykhYNx4YaW9rVVP6ceqvA&#10;mMvnfHXo5e+Qjm/za9W/LpteqafH6X0DItAU7uKb+0PH+Sn8/xIP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4jMcMAAADbAAAADwAAAAAAAAAAAAAAAACYAgAAZHJzL2Rv&#10;d25yZXYueG1sUEsFBgAAAAAEAAQA9QAAAIgDAAAAAA==&#10;" path="m33,c31,8,29,15,26,22v-6,,-6,,-6,c17,9,17,9,17,9,16,7,16,7,16,7v,,,,,c16,9,16,9,16,9,12,22,12,22,12,22v-6,,-6,,-6,c4,15,1,8,,,5,,5,,5,,6,5,7,9,9,13v,1,,3,,4c9,17,9,17,9,17v1,-4,1,-4,1,-4c14,,14,,14,v5,,5,,5,c23,14,23,14,23,14v1,3,1,3,1,3c24,17,24,17,24,17v,-1,,-3,1,-4c26,9,27,5,28,r5,xe" fillcolor="#4f81bd" stroked="f">
                            <v:path arrowok="t" o:connecttype="custom" o:connectlocs="2147483646,0;2147483646,2147483646;2147483646,2147483646;1900417060,1016147881;1788659916,790340659;1788659916,790340659;1788659916,1016147881;1341494937,2147483646;670748005,2147483646;0,0;558955972,0;1006120918,1467795274;1006120918,1919408642;1006120918,1919408642;1117912984,1467795274;1565077963,0;2124000086,0;2147483646,1580681351;2147483646,1919408642;2147483646,1919408642;2147483646,1467795274;2147483646,0;2147483646,0" o:connectangles="0,0,0,0,0,0,0,0,0,0,0,0,0,0,0,0,0,0,0,0,0,0,0"/>
                          </v:shape>
                          <v:shape id="Freeform 74" o:spid="_x0000_s1034" alt="background" style="position:absolute;left:9144;top:3556;width:1073;height:717;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y9RsIA&#10;AADbAAAADwAAAGRycy9kb3ducmV2LnhtbERP22rCQBB9F/oPyxR8kbrxgi1pNlIKgvRBUPsBQ3aa&#10;bJudDdnNRb++Kwi+zeFcJ9uOthY9td44VrCYJyCIC6cNlwq+z7uXNxA+IGusHZOCC3nY5k+TDFPt&#10;Bj5SfwqliCHsU1RQhdCkUvqiIot+7hriyP241mKIsC2lbnGI4baWyyTZSIuGY0OFDX1WVPydOqvA&#10;mN+v2ebQyWu/GF5nl7JbretOqenz+PEOItAYHuK7e6/j/CXcfok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L1GwgAAANsAAAAPAAAAAAAAAAAAAAAAAJgCAABkcnMvZG93&#10;bnJldi54bWxQSwUGAAAAAAQABAD1AAAAhwMAAAAA&#10;" path="m33,c31,8,29,15,27,22v-6,,-6,,-6,c17,9,17,9,17,9,16,7,16,7,16,7v,,,,,c16,9,16,9,16,9,13,22,13,22,13,22v-7,,-7,,-7,c4,15,2,8,,,6,,6,,6,,7,5,8,9,9,13v,1,,3,1,4c10,17,10,17,10,17v1,-4,1,-4,1,-4c14,,14,,14,v5,,5,,5,c23,14,23,14,23,14v1,3,1,3,1,3c24,17,24,17,24,17v,-1,1,-3,1,-4c26,9,27,5,28,r5,xe" fillcolor="#4f81bd" stroked="f">
                            <v:path arrowok="t" o:connecttype="custom" o:connectlocs="2147483646,0;2147483646,2147483646;2147483646,2147483646;1900417060,1016147881;1788659916,790340659;1788659916,790340659;1788659916,1016147881;1453286970,2147483646;670748005,2147483646;0,0;670748005,0;1006120918,1467795274;1117912984,1919408642;1117912984,1919408642;1229703944,1467795274;1565077963,0;2124000086,0;2147483646,1580681351;2147483646,1919408642;2147483646,1919408642;2147483646,1467795274;2147483646,0;2147483646,0" o:connectangles="0,0,0,0,0,0,0,0,0,0,0,0,0,0,0,0,0,0,0,0,0,0,0"/>
                          </v:shape>
                          <v:oval id="Oval 75" o:spid="_x0000_s1035" alt="background" style="position:absolute;left:10312;top:4044;width:229;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H28EA&#10;AADbAAAADwAAAGRycy9kb3ducmV2LnhtbERPTWvCQBC9F/wPywheik60UCS6CSIWhB7aRtHrkB2T&#10;YHY2ZLca/323UOhtHu9z1vlgW3Xj3jdONMxnCSiW0plGKg3Hw9t0CcoHEkOtE9bwYA95NnpaU2rc&#10;Xb74VoRKxRDxKWmoQ+hSRF/WbMnPXMcSuYvrLYUI+wpNT/cYbltcJMkrWmokNtTU8bbm8lp8Ww3v&#10;u9PeFp8YHsc5Yvlx3sjuudJ6Mh42K1CBh/Av/nPvTZz/Ar+/xAMw+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2R9vBAAAA2wAAAA8AAAAAAAAAAAAAAAAAmAIAAGRycy9kb3du&#10;cmV2LnhtbFBLBQYAAAAABAAEAPUAAACGAwAAAAA=&#10;" fillcolor="#4f81bd" stroked="f"/>
                          <v:shape id="Freeform 76" o:spid="_x0000_s1036" alt="background" style="position:absolute;left:10674;top:3556;width:552;height:717;visibility:visible;mso-wrap-style:square;v-text-anchor:top" coordsize="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KXcMEA&#10;AADbAAAADwAAAGRycy9kb3ducmV2LnhtbERP32vCMBB+F/wfwgl7m6lOinRGcaPCEJzoxp7P5mxK&#10;m0tpMq3/vRkMfLuP7+ctVr1txIU6XzlWMBknIIgLpysuFXx/bZ7nIHxA1tg4JgU38rBaDgcLzLS7&#10;8oEux1CKGMI+QwUmhDaT0heGLPqxa4kjd3adxRBhV0rd4TWG20ZOkySVFiuODQZbejdU1Mdfq6Cu&#10;3+z2J0/z6jPP691pxibdvyj1NOrXryAC9eEh/nd/6Dh/Bn+/xA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5il3DBAAAA2wAAAA8AAAAAAAAAAAAAAAAAmAIAAGRycy9kb3du&#10;cmV2LnhtbFBLBQYAAAAABAAEAPUAAACGAwAAAAA=&#10;" path="m17,21v-3,1,-5,1,-7,1c3,22,,18,,12,,4,5,,11,v2,,4,,5,1c15,5,15,5,15,5,14,5,13,4,11,4,8,4,6,7,6,11v,5,2,7,5,7c13,18,14,18,16,17r1,4xe" fillcolor="#4f81bd" stroked="f">
                            <v:path arrowok="t" o:connecttype="custom" o:connectlocs="1891313541,2147483646;1112535446,2147483646;0,1354875172;1223798807,0;1780049142,112921145;1668819518,564534513;1223798807,451613368;667514735,1241989095;1223798807,2032329786;1780049142,1919408642;1891313541,2147483646" o:connectangles="0,0,0,0,0,0,0,0,0,0,0"/>
                          </v:shape>
                          <v:shape id="Freeform 77" o:spid="_x0000_s1037" alt="background" style="position:absolute;left:11322;top:3556;width:520;height:755;visibility:visible;mso-wrap-style:square;v-text-anchor:top" coordsize="16,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8KOcMA&#10;AADbAAAADwAAAGRycy9kb3ducmV2LnhtbERPTUsDMRC9C/6HMIKX0mYV1HbbtJRCQYUeuhba47AZ&#10;N8HNZE3idvvvTUHwNo/3OYvV4FrRU4jWs4KHSQGCuPbacqPg8LEdT0HEhKyx9UwKLhRhtby9WWCp&#10;/Zn31FepETmEY4kKTEpdKWWsDTmME98RZ+7TB4cpw9BIHfCcw10rH4viWTq0nBsMdrQxVH9VP07B&#10;zvrTcXphs3576u13V72M3kdBqfu7YT0HkWhI/+I/96vO82dw/SU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8KOcMAAADbAAAADwAAAAAAAAAAAAAAAACYAgAAZHJzL2Rv&#10;d25yZXYueG1sUEsFBgAAAAAEAAQA9QAAAIgDAAAAAA==&#10;" path="m7,23c5,23,3,22,,22,1,17,1,17,1,17v2,1,4,1,6,1c9,18,10,18,10,16,10,15,9,14,6,13,3,12,1,10,1,7,1,3,4,,9,v2,,4,,5,1c14,5,14,5,14,5,12,4,11,4,9,4,7,4,6,5,6,6v,2,1,2,4,3c14,10,16,12,16,15v,5,-4,8,-9,8xe" fillcolor="#4f81bd" stroked="f">
                            <v:path arrowok="t" o:connecttype="custom" o:connectlocs="782029560,2147483646;0,2147483646;111703735,1975587032;782029560,2091818264;1117174500,1859390300;670290985,1510765603;111703735,813480626;1005436998,0;1564024248,116196732;1564024248,581052661;1005436998,464855929;670290985,697284977;1117174500,1045909674;1787465485,1743193567;782029560,2147483646" o:connectangles="0,0,0,0,0,0,0,0,0,0,0,0,0,0,0"/>
                          </v:shape>
                          <v:shape id="Freeform 78" o:spid="_x0000_s1038" alt="background" style="position:absolute;left:11938;top:3263;width:298;height:1010;visibility:visible;mso-wrap-style:square;v-text-anchor:top" coordsize="9,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97l8IA&#10;AADbAAAADwAAAGRycy9kb3ducmV2LnhtbERPTWvCQBC9F/wPywheSt3oodTUTZBSQeipsbU9jtkx&#10;CWZnY3bU+O+7B6HHx/te5oNr1YX60Hg2MJsmoIhLbxuuDHxt108voIIgW2w9k4EbBciz0cMSU+uv&#10;/EmXQioVQzikaKAW6VKtQ1mTwzD1HXHkDr53KBH2lbY9XmO4a/U8SZ61w4ZjQ40dvdVUHouzM3Da&#10;8fdss1/8norHj/OtKyV5/xFjJuNh9QpKaJB/8d29sQbmcX38En+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3uXwgAAANsAAAAPAAAAAAAAAAAAAAAAAJgCAABkcnMvZG93&#10;bnJldi54bWxQSwUGAAAAAAQABAD1AAAAhwMAAAAA&#10;" path="m3,31c3,13,3,13,3,13,,13,,13,,13,,9,,9,,9v8,,8,,8,c8,31,8,31,8,31r-5,xm6,6c4,6,2,5,2,3,2,1,4,,6,,8,,9,1,9,3,9,5,8,6,6,6xe" fillcolor="#4f81bd" stroked="f">
                            <v:path arrowok="t" o:connecttype="custom" o:connectlocs="361124214,2147483646;361124214,1464299955;0,1464299955;0,1013735241;963035541,1013735241;963035541,2147483646;361124214,2147483646;722285678,675846517;240749829,337922705;722285678,0;1083409893,337922705;722285678,675846517" o:connectangles="0,0,0,0,0,0,0,0,0,0,0,0"/>
                            <o:lock v:ext="edit" verticies="t"/>
                          </v:shape>
                          <v:shape id="Freeform 79" o:spid="_x0000_s1039" alt="background" style="position:absolute;left:12426;top:3556;width:426;height:717;visibility:visible;mso-wrap-style:square;v-text-anchor:top" coordsize="1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YF68QA&#10;AADbAAAADwAAAGRycy9kb3ducmV2LnhtbESPwWrDMBBE74X8g9hAL6WRk4Nx3SihmARyMsRtocfF&#10;2lim1sqxFNv9+6hQ6HGYmTfMdj/bTow0+NaxgvUqAUFcO91yo+Dj/ficgfABWWPnmBT8kIf9bvGw&#10;xVy7ic80VqEREcI+RwUmhD6X0teGLPqV64mjd3GDxRDl0Eg94BThtpObJEmlxZbjgsGeCkP1d3Wz&#10;Cry5fBXrzwKfKuePyfVaZoexVOpxOb+9ggg0h//wX/ukFaQv8Psl/gC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2BevEAAAA2wAAAA8AAAAAAAAAAAAAAAAAmAIAAGRycy9k&#10;b3ducmV2LnhtbFBLBQYAAAAABAAEAPUAAACJAwAAAAA=&#10;" path="m12,5v,,-1,,-2,c9,5,7,6,5,9v,13,,13,,13c,22,,22,,22,,,,,,,4,,4,,4,,5,4,5,4,5,4,7,1,8,,10,v1,,2,,3,l12,5xe" fillcolor="#4f81bd" stroked="f">
                            <v:path arrowok="t" o:connecttype="custom" o:connectlocs="1381916113,564534513;1151609110,564534513;575786843,1016147881;575786843,2147483646;0,2147483646;0,0;460650512,0;575786843,451613368;1151609110,0;1497087868,0;1381916113,564534513" o:connectangles="0,0,0,0,0,0,0,0,0,0,0"/>
                          </v:shape>
                          <v:shape id="Freeform 80" o:spid="_x0000_s1040" alt="background" style="position:absolute;left:12947;top:3556;width:718;height:755;visibility:visible;mso-wrap-style:square;v-text-anchor:top" coordsize="2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RGnsEA&#10;AADbAAAADwAAAGRycy9kb3ducmV2LnhtbERPz2vCMBS+D/wfwht4m+kqulKNRYSJhx3UuZ0fzbMp&#10;Ni+1yWz335uD4PHj+70sBtuIG3W+dqzgfZKAIC6drrlScPr+fMtA+ICssXFMCv7JQ7EavSwx167n&#10;A92OoRIxhH2OCkwIbS6lLw1Z9BPXEkfu7DqLIcKukrrDPobbRqZJMpcWa44NBlvaGCovxz+rQP/U&#10;+muXHqbX037K/e8249klU2r8OqwXIAIN4Sl+uHdawUdcH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kRp7BAAAA2wAAAA8AAAAAAAAAAAAAAAAAmAIAAGRycy9kb3du&#10;cmV2LnhtbFBLBQYAAAAABAAEAPUAAACGAwAAAAA=&#10;" path="m11,23c3,23,,18,,12,,4,4,,11,v7,,11,4,11,11c22,18,18,23,11,23xm11,4c7,4,5,7,5,11v,4,2,7,6,7c15,18,16,15,16,11,16,7,15,4,11,4xe" fillcolor="#4f81bd" stroked="f">
                            <v:path arrowok="t" o:connecttype="custom" o:connectlocs="1247192076,2147483646;0,1394533287;1247192076,0;2147483646,1278337638;1247192076,2147483646;1247192076,464855929;566899576,1278337638;1247192076,2091818264;1814057580,1278337638;1247192076,464855929" o:connectangles="0,0,0,0,0,0,0,0,0,0"/>
                            <o:lock v:ext="edit" verticies="t"/>
                          </v:shape>
                          <v:oval id="Oval 81" o:spid="_x0000_s1041" alt="background" style="position:absolute;left:13830;top:4044;width:190;height: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eZl8QA&#10;AADbAAAADwAAAGRycy9kb3ducmV2LnhtbESPQWvCQBSE74L/YXmFXqS+pIcqMRsRsSD00BrFXh/Z&#10;ZxKafRuyW43/vlso9DjMzDdMvh5tp648+NaJhnSegGKpnGml1nA6vj4tQflAYqhzwhru7GFdTCc5&#10;Zcbd5MDXMtQqQsRnpKEJoc8QfdWwJT93PUv0Lm6wFKIcajQD3SLcdvicJC9oqZW40FDP24arr/Lb&#10;anjbnfe2/MBwP6WI1fvnRnazWuvHh3GzAhV4DP/hv/beaFik8Psl/gAs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mZfEAAAA2wAAAA8AAAAAAAAAAAAAAAAAmAIAAGRycy9k&#10;b3ducmV2LnhtbFBLBQYAAAAABAAEAPUAAACJAwAAAAA=&#10;" fillcolor="#4f81bd" stroked="f"/>
                          <v:shape id="Freeform 82" o:spid="_x0000_s1042" alt="background" style="position:absolute;left:14217;top:3556;width:584;height:755;visibility:visible;mso-wrap-style:square;v-text-anchor:top" coordsize="18,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nOcQA&#10;AADbAAAADwAAAGRycy9kb3ducmV2LnhtbESPT2vCQBTE74LfYXmCN91UpLapmyDSggUPatv7S/bl&#10;D82+jdlV0356VxA8DjPzG2aZ9qYRZ+pcbVnB0zQCQZxbXXOp4PvrY/ICwnlkjY1lUvBHDtJkOFhi&#10;rO2F93Q++FIECLsYFVTet7GULq/IoJvaljh4he0M+iC7UuoOLwFuGjmLomdpsOawUGFL64ry38PJ&#10;KNgU9pS9v/7P5efaHX+2RcZmlyk1HvWrNxCeev8I39sbrWAxg9uX8ANkc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JznEAAAA2wAAAA8AAAAAAAAAAAAAAAAAmAIAAGRycy9k&#10;b3ducmV2LnhtbFBLBQYAAAAABAAEAPUAAACJAwAAAAA=&#10;" path="m14,22v,-2,,-2,,-2c12,22,10,23,7,23,2,23,,20,,16,,11,4,9,10,9v3,,3,,3,c13,8,13,8,13,8,13,5,12,4,8,4,6,4,4,4,2,5,1,1,1,1,1,1,3,,6,,9,v7,,9,3,9,7c18,22,18,22,18,22r-4,xm13,12v-3,,-3,,-3,c7,12,5,14,5,16v,1,1,3,3,3c10,19,12,18,13,17r,-5xe" fillcolor="#4f81bd" stroked="f">
                            <v:path arrowok="t" o:connecttype="custom" o:connectlocs="1551816383,2147483646;1551816383,2147483646;775907656,2147483646;0,1859390300;1108449909,1045909674;1440957382,1045909674;1440957382,929677358;886732979,464855929;221683253,581052661;110859000,116196732;997590909,0;1995181818,813480626;1995181818,2147483646;1551816383,2147483646;1440957382,1394533287;1108449909,1394533287;554224436,1859390300;886732979,2147483646;1440957382,1975587032;1440957382,1394533287" o:connectangles="0,0,0,0,0,0,0,0,0,0,0,0,0,0,0,0,0,0,0,0"/>
                            <o:lock v:ext="edit" verticies="t"/>
                          </v:shape>
                          <v:shape id="Freeform 83" o:spid="_x0000_s1043" alt="background" style="position:absolute;left:15030;top:3556;width:622;height:755;visibility:visible;mso-wrap-style:square;v-text-anchor:top" coordsize="1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5R8IA&#10;AADbAAAADwAAAGRycy9kb3ducmV2LnhtbESPQWsCMRSE74X+h/AK3mpSC1q2RpFCizep9tLbI3lu&#10;1t28LEm6rv/eFASPw8x8wyzXo+/EQDE1gTW8TBUIYhNsw7WGn8Pn8xuIlJEtdoFJw4USrFePD0us&#10;bDjzNw37XIsC4VShBpdzX0mZjCOPaRp64uIdQ/SYi4y1tBHPBe47OVNqLj02XBYc9vThyLT7P6/B&#10;mLhR7aHtk9sNv7Ot8o09fWk9eRo37yAyjfkevrW3VsPiFf6/lB8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H7lHwgAAANsAAAAPAAAAAAAAAAAAAAAAAJgCAABkcnMvZG93&#10;bnJldi54bWxQSwUGAAAAAAQABAD1AAAAhwMAAAAA&#10;" path="m15,22v,-3,,-3,,-3c12,22,10,23,7,23,2,23,,19,,14,,,,,,,5,,5,,5,v,13,,13,,13c5,16,6,18,9,18v2,,3,-1,5,-3c14,,14,,14,v5,,5,,5,c19,22,19,22,19,22r-4,xe" fillcolor="#4f81bd" stroked="f">
                            <v:path arrowok="t" o:connecttype="custom" o:connectlocs="1723646461,2147483646;1723646461,2147483646;804373641,2147483646;0,1626962335;0,0;574537733,0;574537733,1510765603;1034174160,2091818264;1608746202,1743193567;1608746202,0;2147483646,0;2147483646,2147483646;1723646461,2147483646" o:connectangles="0,0,0,0,0,0,0,0,0,0,0,0,0"/>
                          </v:shape>
                        </v:group>
                        <v:shape id="Freeform 84" o:spid="_x0000_s1044" style="position:absolute;left:59091;top:912;width:22125;height:8883;visibility:visible;mso-wrap-style:square;v-text-anchor:top" coordsize="68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lwMEA&#10;AADbAAAADwAAAGRycy9kb3ducmV2LnhtbESPzYvCMBTE7wv+D+EJ3tbUxS+qUUQQ6mEP68f90Tyb&#10;0ualJFmt/71ZEPY4zMxvmPW2t624kw+1YwWTcQaCuHS65krB5Xz4XIIIEVlj65gUPCnAdjP4WGOu&#10;3YN/6H6KlUgQDjkqMDF2uZShNGQxjF1HnLyb8xZjkr6S2uMjwW0rv7JsLi3WnBYMdrQ3VDanX6sg&#10;zlpX6Kv1TfF97AvTzHdMqNRo2O9WICL18T/8bhdawWIKf1/S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JcDBAAAA2wAAAA8AAAAAAAAAAAAAAAAAmAIAAGRycy9kb3du&#10;cmV2LnhtbFBLBQYAAAAABAAEAPUAAACGAwAAAAA=&#10;" path="m476,c186,,79,86,,116v128,73,229,156,470,156c528,272,680,272,680,272,680,,680,,680,l476,xe" fillcolor="white [3212]" stroked="f">
                          <v:path arrowok="t" o:connecttype="custom" o:connectlocs="2147483646,0;0,2147483646;2147483646,2147483646;2147483646,2147483646;2147483646,0;2147483646,0" o:connectangles="0,0,0,0,0,0"/>
                        </v:shape>
                        <v:shape id="Freeform 104" o:spid="_x0000_s1045" alt="background" style="position:absolute;left:59103;top:929;width:22106;height:8861;visibility:visible;mso-wrap-style:square;v-text-anchor:top" coordsize="680,27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yI+sUA&#10;AADbAAAADwAAAGRycy9kb3ducmV2LnhtbESP3WoCMRSE7wXfIZyCdzVpwdZuN4oVXCpYimsf4LA5&#10;+0M3J8sm6urTm0LBy2FmvmHS5WBbcaLeN441PE0VCOLCmYYrDT+HzeMchA/IBlvHpOFCHpaL8SjF&#10;xLgz7+mUh0pECPsENdQhdImUvqjJop+6jjh6pesthij7SpoezxFuW/ms1Iu02HBcqLGjdU3Fb360&#10;GrZus1Vv14+vXbnOM7ULWXb4tlpPHobVO4hAQ7iH/9ufRsPrDP6+x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zIj6xQAAANsAAAAPAAAAAAAAAAAAAAAAAJgCAABkcnMv&#10;ZG93bnJldi54bWxQSwUGAAAAAAQABAD1AAAAigMAAAAA&#10;" adj="-11796480,,5400" path="m476,c186,,79,86,,116v128,73,229,156,470,156c528,272,680,272,680,272,680,,680,,680,l476,xe" fillcolor="white [3212]" stroked="f">
                          <v:stroke joinstyle="miter"/>
                          <v:formulas/>
                          <v:path arrowok="t" o:connecttype="custom" o:connectlocs="2147483646,0;0,2147483646;2147483646,2147483646;2147483646,2147483646;2147483646,0;2147483646,0" o:connectangles="0,0,0,0,0,0" textboxrect="0,0,680,272"/>
                          <v:textbox>
                            <w:txbxContent>
                              <w:p w14:paraId="3E157AED" w14:textId="77777777" w:rsidR="00424B9E" w:rsidRPr="007367A7" w:rsidRDefault="00424B9E" w:rsidP="001B7EBE">
                                <w:pPr>
                                  <w:rPr>
                                    <w:rFonts w:eastAsia="Times New Roman"/>
                                    <w:color w:val="41B6E6" w:themeColor="accent1"/>
                                  </w:rPr>
                                </w:pPr>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46" type="#_x0000_t75" alt="CSIRO logo" style="position:absolute;left:65836;top:863;width:8941;height:87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3FkeHEAAAA2wAAAA8AAABkcnMvZG93bnJldi54bWxEj0FrAjEUhO8F/0N4Qm81Ww9ruxqlCEIp&#10;K6Xag96em+dmcfOyblKN/74pFDwOM/MNM1tE24oL9b5xrOB5lIEgrpxuuFbwvV09vYDwAVlj65gU&#10;3MjDYj54mGGh3ZW/6LIJtUgQ9gUqMCF0hZS+MmTRj1xHnLyj6y2GJPta6h6vCW5bOc6yXFpsOC0Y&#10;7GhpqDptfqyCQ3ludzv3mn+auI64/yiPEy6VehzGtymIQDHcw//td61gksPfl/QD5PwX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3FkeHEAAAA2wAAAA8AAAAAAAAAAAAAAAAA&#10;nwIAAGRycy9kb3ducmV2LnhtbFBLBQYAAAAABAAEAPcAAACQAwAAAAA=&#10;">
                        <v:imagedata r:id="rId8" o:title="CSIRO logo"/>
                        <v:path arrowok="t"/>
                      </v:shape>
                    </v:group>
                    <v:group id="Group 69" o:spid="_x0000_s1047" style="position:absolute;left:-827;top:10206;width:14774;height:6659" coordsize="93818,42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rect id="Rectangle 68" o:spid="_x0000_s1048" style="position:absolute;left:5257;top:10287;width:75990;height:3200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2YcEA&#10;AADbAAAADwAAAGRycy9kb3ducmV2LnhtbERPTW+CQBC9N/E/bMakt7LYBjGU1TRNa9RbafE8YadA&#10;ZGcpuyL+e/dg0uPL+843k+nESINrLStYRDEI4srqlmsFP9+fTysQziNr7CyTgis52KxnDzlm2l74&#10;i8bC1yKEsMtQQeN9n0npqoYMusj2xIH7tYNBH+BQSz3gJYSbTj7H8VIabDk0NNjTe0PVqTgbBeck&#10;3X9Mx7/tSxmX6aHskp3f9ko9zqe3VxCeJv8vvrt3WkEaxoYv4QfI9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MtmHBAAAA2wAAAA8AAAAAAAAAAAAAAAAAmAIAAGRycy9kb3du&#10;cmV2LnhtbFBLBQYAAAAABAAEAPUAAACGAwAAAAA=&#10;" fillcolor="white [3212]" stroked="f" strokeweight="2pt"/>
                      <v:group id="Group 67" o:spid="_x0000_s1049" style="position:absolute;width:93818;height:26426" coordsize="93818,264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115" o:spid="_x0000_s1050" alt="background" style="position:absolute;width:47104;height:12071;visibility:visible;mso-wrap-style:square;v-text-anchor:top" coordsize="1458,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5sIA&#10;AADbAAAADwAAAGRycy9kb3ducmV2LnhtbERPz2vCMBS+D/wfwhO8DE3dYUg1lk4odDgGUxF2ezRv&#10;TVjzUppUu/9+OQx2/Ph+74rJdeJGQ7CeFaxXGQjixmvLrYLLuVpuQISIrLHzTAp+KECxnz3sMNf+&#10;zh90O8VWpBAOOSowMfa5lKEx5DCsfE+cuC8/OIwJDq3UA95TuOvkU5Y9S4eWU4PBng6Gmu/T6BTo&#10;d1eNb8fu8lqfry+G7GNpP0elFvOp3IKINMV/8Z+71go2aX36kn6A3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VTmwgAAANsAAAAPAAAAAAAAAAAAAAAAAJgCAABkcnMvZG93&#10;bnJldi54bWxQSwUGAAAAAAQABAD1AAAAhwMAAAAA&#10;" path="m1458,321c1158,150,746,,214,,,,,,,,,374,,374,,374v680,,680,,680,c1186,374,1351,362,1458,321e" fillcolor="black [3213]" stroked="f">
                          <v:path arrowok="t" o:connecttype="custom" o:connectlocs="2147483646,2147483646;2147483646,0;0,0;0,2147483646;2147483646,2147483646;2147483646,2147483646" o:connectangles="0,0,0,0,0,0"/>
                        </v:shape>
                        <v:shape id="Freeform 116" o:spid="_x0000_s1051" alt="background" style="position:absolute;top:14031;width:21545;height:6197;visibility:visible;mso-wrap-style:square;v-text-anchor:top" coordsize="667,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4U/cQA&#10;AADbAAAADwAAAGRycy9kb3ducmV2LnhtbESPQWvCQBSE74X+h+UVvNWNEUIaXSUUlHqz2kK9PbLP&#10;JDT7NuxuTfTXu4VCj8PMfMMs16PpxIWcby0rmE0TEMSV1S3XCj6Om+cchA/IGjvLpOBKHtarx4cl&#10;FtoO/E6XQ6hFhLAvUEETQl9I6auGDPqp7Ymjd7bOYIjS1VI7HCLcdDJNkkwabDkuNNjTa0PV9+HH&#10;KJjb06cu29u23Dva2a+XPs1OO6UmT2O5ABFoDP/hv/abVpDP4PdL/AF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uFP3EAAAA2wAAAA8AAAAAAAAAAAAAAAAAmAIAAGRycy9k&#10;b3ducmV2LnhtbFBLBQYAAAAABAAEAPUAAACJAwAAAAA=&#10;" path="m667,165c513,77,302,,29,,,,,,,,,192,,192,,192v268,,268,,268,c528,192,612,186,667,165e" fillcolor="#41b6e6 [3204]" stroked="f">
                          <v:path arrowok="t" o:connecttype="custom" o:connectlocs="2147483646,2147483646;2147483646,0;0,0;0,2147483646;2147483646,2147483646;2147483646,2147483646" o:connectangles="0,0,0,0,0,0"/>
                        </v:shape>
                        <v:shape id="Freeform 117" o:spid="_x0000_s1052" alt="background" style="position:absolute;left:21441;top:14031;width:72269;height:12395;visibility:visible;mso-wrap-style:square;v-text-anchor:top" coordsize="2237,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H5r8A&#10;AADbAAAADwAAAGRycy9kb3ducmV2LnhtbESPwQrCMBBE74L/EFbwpqkiItUoKoiCJ6vgdWnWtths&#10;ShNt9euNIHgcZuYNs1i1phRPql1hWcFoGIEgTq0uOFNwOe8GMxDOI2ssLZOCFzlYLbudBcbaNnyi&#10;Z+IzESDsYlSQe1/FUro0J4NuaCvi4N1sbdAHWWdS19gEuCnlOIqm0mDBYSHHirY5pffkYRTsq9Ot&#10;2ayvNqHdcfSevq+TjPdK9Xvteg7CU+v/4V/7oBXMxvD9En6AX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38ofmvwAAANsAAAAPAAAAAAAAAAAAAAAAAJgCAABkcnMvZG93bnJl&#10;di54bWxQSwUGAAAAAAQABAD1AAAAhAMAAAAA&#10;" path="m669,c262,,112,122,,165,180,268,322,384,661,384v82,,1576,,1576,c2237,,2237,,2237,l669,xe" fillcolor="#41b6e6 [3204]" stroked="f">
                          <v:path arrowok="t" o:connecttype="custom" o:connectlocs="2147483646,0;0,2147483646;2147483646,2147483646;2147483646,2147483646;2147483646,0;2147483646,0" o:connectangles="0,0,0,0,0,0"/>
                        </v:shape>
                        <v:shape id="Freeform 118" o:spid="_x0000_s1053" alt="background" style="position:absolute;left:46981;width:46837;height:24180;visibility:visible;mso-wrap-style:square;v-text-anchor:top" coordsize="1450,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PST8MA&#10;AADbAAAADwAAAGRycy9kb3ducmV2LnhtbESPQWsCMRSE7wX/Q3hCbzWrFStbo4go1JtaDz0+N8/N&#10;4uZlSVJ39debQsHjMDPfMLNFZ2txJR8qxwqGgwwEceF0xaWC4/fmbQoiRGSNtWNScKMAi3nvZYa5&#10;di3v6XqIpUgQDjkqMDE2uZShMGQxDFxDnLyz8xZjkr6U2mOb4LaWoyybSIsVpwWDDa0MFZfDr1XQ&#10;tj/j44e5b0++1Jttttqd1tVOqdd+t/wEEamLz/B/+0srmL7D35f0A+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PST8MAAADbAAAADwAAAAAAAAAAAAAAAACYAgAAZHJzL2Rv&#10;d25yZXYueG1sUEsFBgAAAAAEAAQA9QAAAIgDAAAAAA==&#10;" path="m1306,c512,,218,238,,321,351,522,628,749,1291,749v159,,155,,155,c1446,,1446,,1446,l1306,xe" fillcolor="black [3213]" stroked="f">
                          <v:path arrowok="t" o:connecttype="custom" o:connectlocs="2147483646,0;0,2147483646;2147483646,2147483646;2147483646,2147483646;2147483646,0;2147483646,0" o:connectangles="0,0,0,0,0,0"/>
                        </v:shape>
                        <v:shape id="Freeform 119" o:spid="_x0000_s1054" alt="background" style="position:absolute;top:22702;width:71170;height:1422;visibility:visible;mso-wrap-style:square;v-text-anchor:top" coordsize="220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YY+MQA&#10;AADbAAAADwAAAGRycy9kb3ducmV2LnhtbESPQWvCQBSE7wX/w/KEXqRuFKsSXUUCRUtPxh709sg+&#10;k2D2bdjdaPz33UKhx2FmvmHW29404k7O15YVTMYJCOLC6ppLBd+nj7clCB+QNTaWScGTPGw3g5c1&#10;pto++Ej3PJQiQtinqKAKoU2l9EVFBv3YtsTRu1pnMETpSqkdPiLcNHKaJHNpsOa4UGFLWUXFLe+M&#10;gmnSvXejxehqF1n2tXfnS+b0p1Kvw363AhGoD//hv/ZBK1jO4PdL/AF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mGPjEAAAA2wAAAA8AAAAAAAAAAAAAAAAAmAIAAGRycy9k&#10;b3ducmV2LnhtbFBLBQYAAAAABAAEAPUAAACJAwAAAAA=&#10;" path="m2203,38c2169,21,2120,,2058,,,,,,,,,44,,44,,44v2112,,2112,,2112,c2112,44,2193,40,2203,38e" fillcolor="black [3213]" stroked="f">
                          <v:path arrowok="t" o:connecttype="custom" o:connectlocs="2147483646,2147483646;2147483646,0;0,0;0,2147483646;2147483646,2147483646;2147483646,2147483646" o:connectangles="0,0,0,0,0,0"/>
                        </v:shape>
                        <v:shape id="Freeform 120" o:spid="_x0000_s1055" alt="background" style="position:absolute;left:71102;top:22702;width:22644;height:2838;visibility:visible;mso-wrap-style:square;v-text-anchor:top" coordsize="70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i6MAA&#10;AADbAAAADwAAAGRycy9kb3ducmV2LnhtbESPQYvCMBSE78L+h/AW9qapyyqlNooIsnpU6/3RPNvS&#10;5iU0Wdv990YQPA4z8w2Tb0bTiTv1vrGsYD5LQBCXVjdcKSgu+2kKwgdkjZ1lUvBPHjbrj0mOmbYD&#10;n+h+DpWIEPYZKqhDcJmUvqzJoJ9ZRxy9m+0Nhij7Suoehwg3nfxOkqU02HBcqNHRrqayPf8ZBcb9&#10;HIuruzWX3e/AuC8SHg6tUl+f43YFItAY3uFX+6AVpAt4fok/QK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z+i6MAAAADbAAAADwAAAAAAAAAAAAAAAACYAgAAZHJzL2Rvd25y&#10;ZXYueG1sUEsFBgAAAAAEAAQA9QAAAIUDAAAAAA==&#10;" path="m153,c60,,26,28,,38,41,61,74,88,151,88v550,,550,,550,c701,,701,,701,l153,xe" stroked="f">
                          <v:path arrowok="t" o:connecttype="custom" o:connectlocs="2147483646,0;0,2147483646;2147483646,2147483646;2147483646,2147483646;2147483646,0;2147483646,0" o:connectangles="0,0,0,0,0,0"/>
                        </v:shape>
                        <v:shape id="Freeform 122" o:spid="_x0000_s1056" alt="background" style="position:absolute;top:18445;width:60090;height:2807;visibility:visible;mso-wrap-style:square;v-text-anchor:top" coordsize="18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pJlsYA&#10;AADbAAAADwAAAGRycy9kb3ducmV2LnhtbESPzW7CMBCE70h9B2uRegOHHvgJGASICi5ILXCA2ype&#10;koh4ndpuCDx9XalSj6OZ+UYzW7SmEg05X1pWMOgnIIgzq0vOFZyO770xCB+QNVaWScGDPCzmL50Z&#10;ptre+ZOaQ8hFhLBPUUERQp1K6bOCDPq+rYmjd7XOYIjS5VI7vEe4qeRbkgylwZLjQoE1rQvKbodv&#10;o2DiH+FyXm0+Vrv91/Z5aZxZb0ZKvXbb5RREoDb8h//aO61gPITfL/EH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pJlsYAAADbAAAADwAAAAAAAAAAAAAAAACYAgAAZHJz&#10;L2Rvd25yZXYueG1sUEsFBgAAAAAEAAQA9QAAAIsDAAAAAA==&#10;" path="m1707,87v93,,127,-28,153,-37c1819,26,1786,,1709,,,,,,,,,87,,87,,87r1707,xe" stroked="f">
                          <v:path arrowok="t" o:connecttype="custom" o:connectlocs="2147483646,2147483646;2147483646,2147483646;2147483646,0;0,0;0,2147483646;2147483646,2147483646" o:connectangles="0,0,0,0,0,0"/>
                        </v:shape>
                      </v:group>
                    </v:group>
                  </v:group>
                </w:pict>
              </mc:Fallback>
            </mc:AlternateContent>
          </w:r>
        </w:p>
        <w:p w14:paraId="0BDB5717" w14:textId="77777777" w:rsidR="009204C0" w:rsidRPr="006B17BE" w:rsidRDefault="009204C0" w:rsidP="009204C0">
          <w:pPr>
            <w:pStyle w:val="Title"/>
            <w:rPr>
              <w:rFonts w:asciiTheme="minorHAnsi" w:hAnsiTheme="minorHAnsi"/>
              <w:sz w:val="24"/>
              <w:szCs w:val="24"/>
            </w:rPr>
          </w:pPr>
        </w:p>
        <w:p w14:paraId="10B7A049" w14:textId="5A23B1BB" w:rsidR="009204C0" w:rsidRPr="006939D9" w:rsidRDefault="00CD78F5" w:rsidP="009204C0">
          <w:pPr>
            <w:pStyle w:val="Title"/>
            <w:rPr>
              <w:b/>
              <w:color w:val="FFFFFF" w:themeColor="background1"/>
              <w:sz w:val="72"/>
              <w:szCs w:val="72"/>
            </w:rPr>
          </w:pPr>
          <w:r w:rsidRPr="006939D9">
            <w:rPr>
              <w:b/>
              <w:color w:val="FFFFFF" w:themeColor="background1"/>
              <w:sz w:val="72"/>
              <w:szCs w:val="72"/>
            </w:rPr>
            <w:t xml:space="preserve">Assessment of regional-scale effects on groundwater balance </w:t>
          </w:r>
          <w:r w:rsidR="00327BE5" w:rsidRPr="006939D9">
            <w:rPr>
              <w:b/>
              <w:color w:val="FFFFFF" w:themeColor="background1"/>
              <w:sz w:val="72"/>
              <w:szCs w:val="72"/>
            </w:rPr>
            <w:t xml:space="preserve">and quality </w:t>
          </w:r>
          <w:r w:rsidRPr="006939D9">
            <w:rPr>
              <w:b/>
              <w:color w:val="FFFFFF" w:themeColor="background1"/>
              <w:sz w:val="72"/>
              <w:szCs w:val="72"/>
            </w:rPr>
            <w:t>linked to increased</w:t>
          </w:r>
          <w:r w:rsidR="009204C0" w:rsidRPr="006939D9">
            <w:rPr>
              <w:b/>
              <w:color w:val="FFFFFF" w:themeColor="background1"/>
              <w:sz w:val="72"/>
              <w:szCs w:val="72"/>
            </w:rPr>
            <w:t xml:space="preserve"> inter-aquifer leakage </w:t>
          </w:r>
        </w:p>
        <w:p w14:paraId="798FB395" w14:textId="6565B038" w:rsidR="009204C0" w:rsidRPr="006B17BE" w:rsidRDefault="009204C0" w:rsidP="009204C0">
          <w:pPr>
            <w:pStyle w:val="CoverTitle"/>
            <w:rPr>
              <w:rFonts w:asciiTheme="minorHAnsi" w:hAnsiTheme="minorHAnsi"/>
              <w:sz w:val="24"/>
              <w:szCs w:val="24"/>
            </w:rPr>
          </w:pPr>
        </w:p>
        <w:p w14:paraId="4EEF66BF" w14:textId="470C2C99" w:rsidR="009204C0" w:rsidRPr="006B17BE" w:rsidRDefault="00D2362F" w:rsidP="009204C0">
          <w:pPr>
            <w:rPr>
              <w:rFonts w:asciiTheme="minorHAnsi" w:hAnsiTheme="minorHAnsi"/>
              <w:b/>
              <w:color w:val="FFFFFF" w:themeColor="background1"/>
              <w:sz w:val="24"/>
              <w:szCs w:val="24"/>
            </w:rPr>
          </w:pPr>
          <w:r w:rsidRPr="006B17BE">
            <w:rPr>
              <w:rFonts w:asciiTheme="minorHAnsi" w:hAnsiTheme="minorHAnsi"/>
              <w:b/>
              <w:color w:val="FFFFFF" w:themeColor="background1"/>
              <w:sz w:val="24"/>
              <w:szCs w:val="24"/>
            </w:rPr>
            <w:t xml:space="preserve">Saskia Noorduijn, </w:t>
          </w:r>
          <w:r w:rsidR="00327BE5" w:rsidRPr="006B17BE">
            <w:rPr>
              <w:rFonts w:asciiTheme="minorHAnsi" w:hAnsiTheme="minorHAnsi"/>
              <w:b/>
              <w:color w:val="FFFFFF" w:themeColor="background1"/>
              <w:sz w:val="24"/>
              <w:szCs w:val="24"/>
            </w:rPr>
            <w:t xml:space="preserve">Jim McCallum, </w:t>
          </w:r>
          <w:r w:rsidR="009204C0" w:rsidRPr="006B17BE">
            <w:rPr>
              <w:rFonts w:asciiTheme="minorHAnsi" w:hAnsiTheme="minorHAnsi"/>
              <w:b/>
              <w:color w:val="FFFFFF" w:themeColor="background1"/>
              <w:sz w:val="24"/>
              <w:szCs w:val="24"/>
            </w:rPr>
            <w:t>Rebecca Doble,</w:t>
          </w:r>
          <w:r w:rsidR="0092550A" w:rsidRPr="006B17BE">
            <w:rPr>
              <w:rFonts w:asciiTheme="minorHAnsi" w:hAnsiTheme="minorHAnsi"/>
              <w:b/>
              <w:color w:val="FFFFFF" w:themeColor="background1"/>
              <w:sz w:val="24"/>
              <w:szCs w:val="24"/>
            </w:rPr>
            <w:t xml:space="preserve"> </w:t>
          </w:r>
          <w:r w:rsidR="009204C0" w:rsidRPr="006B17BE">
            <w:rPr>
              <w:rFonts w:asciiTheme="minorHAnsi" w:hAnsiTheme="minorHAnsi"/>
              <w:b/>
              <w:color w:val="FFFFFF" w:themeColor="background1"/>
              <w:sz w:val="24"/>
              <w:szCs w:val="24"/>
            </w:rPr>
            <w:t>Bailin Wu, Dirk Mallants</w:t>
          </w:r>
        </w:p>
        <w:p w14:paraId="48D20D44" w14:textId="44514F45" w:rsidR="003540AC" w:rsidRPr="006B17BE" w:rsidRDefault="009204C0" w:rsidP="003540AC">
          <w:pPr>
            <w:pStyle w:val="BodyText"/>
            <w:rPr>
              <w:rFonts w:asciiTheme="minorHAnsi" w:hAnsiTheme="minorHAnsi"/>
              <w:color w:val="FFFFFF" w:themeColor="background1"/>
              <w:szCs w:val="24"/>
            </w:rPr>
          </w:pPr>
          <w:r w:rsidRPr="006B17BE">
            <w:rPr>
              <w:rFonts w:asciiTheme="minorHAnsi" w:hAnsiTheme="minorHAnsi"/>
              <w:color w:val="FFFFFF" w:themeColor="background1"/>
              <w:szCs w:val="24"/>
            </w:rPr>
            <w:br/>
          </w:r>
          <w:r w:rsidR="003540AC" w:rsidRPr="006B17BE">
            <w:rPr>
              <w:rFonts w:asciiTheme="minorHAnsi" w:hAnsiTheme="minorHAnsi"/>
              <w:color w:val="FFFFFF" w:themeColor="background1"/>
              <w:szCs w:val="24"/>
            </w:rPr>
            <w:t>This report was commissioned by the Department of the Environment</w:t>
          </w:r>
          <w:r w:rsidR="00416150">
            <w:rPr>
              <w:rFonts w:asciiTheme="minorHAnsi" w:hAnsiTheme="minorHAnsi"/>
              <w:color w:val="FFFFFF" w:themeColor="background1"/>
              <w:szCs w:val="24"/>
            </w:rPr>
            <w:t xml:space="preserve"> and Energy</w:t>
          </w:r>
          <w:r w:rsidR="003540AC" w:rsidRPr="006B17BE">
            <w:rPr>
              <w:rFonts w:asciiTheme="minorHAnsi" w:hAnsiTheme="minorHAnsi"/>
              <w:color w:val="FFFFFF" w:themeColor="background1"/>
              <w:szCs w:val="24"/>
            </w:rPr>
            <w:t xml:space="preserve"> </w:t>
          </w:r>
          <w:r w:rsidR="006033AB">
            <w:rPr>
              <w:rFonts w:asciiTheme="minorHAnsi" w:hAnsiTheme="minorHAnsi"/>
              <w:color w:val="FFFFFF" w:themeColor="background1"/>
              <w:szCs w:val="24"/>
            </w:rPr>
            <w:t>and</w:t>
          </w:r>
          <w:r w:rsidR="003540AC" w:rsidRPr="006B17BE">
            <w:rPr>
              <w:rFonts w:asciiTheme="minorHAnsi" w:hAnsiTheme="minorHAnsi"/>
              <w:color w:val="FFFFFF" w:themeColor="background1"/>
              <w:szCs w:val="24"/>
            </w:rPr>
            <w:t xml:space="preserve"> was prepared by CSIRO</w:t>
          </w:r>
          <w:r w:rsidR="00B61DEF" w:rsidRPr="006B17BE">
            <w:rPr>
              <w:rFonts w:asciiTheme="minorHAnsi" w:hAnsiTheme="minorHAnsi"/>
              <w:color w:val="FFFFFF" w:themeColor="background1"/>
              <w:szCs w:val="24"/>
            </w:rPr>
            <w:t>.</w:t>
          </w:r>
        </w:p>
        <w:p w14:paraId="5E972443" w14:textId="77777777" w:rsidR="003540AC" w:rsidRPr="006B17BE" w:rsidRDefault="003540AC" w:rsidP="003540AC">
          <w:pPr>
            <w:pStyle w:val="BodyText"/>
            <w:rPr>
              <w:rFonts w:asciiTheme="minorHAnsi" w:hAnsiTheme="minorHAnsi"/>
              <w:b/>
              <w:color w:val="FFFFFF" w:themeColor="background1"/>
              <w:szCs w:val="24"/>
            </w:rPr>
          </w:pPr>
        </w:p>
        <w:p w14:paraId="4F475D91" w14:textId="2F119EDC" w:rsidR="003540AC" w:rsidRPr="006B17BE" w:rsidRDefault="006033AB" w:rsidP="003540AC">
          <w:pPr>
            <w:pStyle w:val="BodyText"/>
            <w:rPr>
              <w:rFonts w:asciiTheme="minorHAnsi" w:eastAsiaTheme="minorEastAsia" w:hAnsiTheme="minorHAnsi"/>
              <w:color w:val="FFFFFF" w:themeColor="background1"/>
              <w:szCs w:val="24"/>
            </w:rPr>
          </w:pPr>
          <w:r>
            <w:rPr>
              <w:rFonts w:asciiTheme="minorHAnsi" w:hAnsiTheme="minorHAnsi"/>
              <w:b/>
              <w:color w:val="FFFFFF" w:themeColor="background1"/>
              <w:szCs w:val="24"/>
            </w:rPr>
            <w:t>2018</w:t>
          </w:r>
        </w:p>
        <w:p w14:paraId="4661F482" w14:textId="77777777" w:rsidR="003540AC" w:rsidRPr="006B17BE" w:rsidRDefault="003540AC" w:rsidP="001B7EBE">
          <w:pPr>
            <w:pStyle w:val="BodyText"/>
            <w:rPr>
              <w:rFonts w:asciiTheme="minorHAnsi" w:hAnsiTheme="minorHAnsi"/>
              <w:b/>
              <w:color w:val="FFFFFF" w:themeColor="background1"/>
              <w:szCs w:val="24"/>
            </w:rPr>
          </w:pPr>
        </w:p>
        <w:p w14:paraId="6F398043" w14:textId="77777777" w:rsidR="009204C0" w:rsidRPr="006B17BE" w:rsidRDefault="009204C0" w:rsidP="001B7EBE">
          <w:pPr>
            <w:pStyle w:val="BodyText"/>
            <w:rPr>
              <w:rFonts w:asciiTheme="minorHAnsi" w:hAnsiTheme="minorHAnsi"/>
              <w:szCs w:val="24"/>
            </w:rPr>
          </w:pPr>
        </w:p>
        <w:p w14:paraId="0BFA82C1" w14:textId="6586509A" w:rsidR="009204C0" w:rsidRPr="006B17BE" w:rsidRDefault="009204C0" w:rsidP="001B7EBE">
          <w:pPr>
            <w:pStyle w:val="BodyText"/>
            <w:rPr>
              <w:rFonts w:asciiTheme="minorHAnsi" w:hAnsiTheme="minorHAnsi"/>
              <w:szCs w:val="24"/>
            </w:rPr>
          </w:pPr>
          <w:r w:rsidRPr="006B17BE">
            <w:rPr>
              <w:rFonts w:asciiTheme="minorHAnsi" w:hAnsiTheme="minorHAnsi"/>
              <w:szCs w:val="24"/>
            </w:rPr>
            <w:br w:type="page"/>
          </w:r>
        </w:p>
        <w:p w14:paraId="2C7BFFB1" w14:textId="77777777" w:rsidR="00B61DEF" w:rsidRPr="006B17BE" w:rsidRDefault="00B61DEF" w:rsidP="00B61DEF">
          <w:pPr>
            <w:pStyle w:val="BodyText"/>
            <w:rPr>
              <w:rFonts w:asciiTheme="minorHAnsi" w:eastAsia="Times New Roman" w:hAnsiTheme="minorHAnsi"/>
              <w:color w:val="69BBFF" w:themeColor="accent2" w:themeTint="66"/>
              <w:szCs w:val="24"/>
            </w:rPr>
          </w:pPr>
          <w:bookmarkStart w:id="1" w:name="_Toc447635367"/>
          <w:bookmarkStart w:id="2" w:name="_Toc447634465"/>
          <w:bookmarkStart w:id="3" w:name="_Toc442804668"/>
          <w:bookmarkStart w:id="4" w:name="_Toc442802075"/>
          <w:bookmarkStart w:id="5" w:name="_Toc442800395"/>
          <w:bookmarkStart w:id="6" w:name="_Toc440986538"/>
          <w:bookmarkStart w:id="7" w:name="_Toc440360928"/>
          <w:bookmarkStart w:id="8" w:name="_Toc437249101"/>
          <w:bookmarkStart w:id="9" w:name="_Toc437243474"/>
          <w:r w:rsidRPr="006B17BE">
            <w:rPr>
              <w:rFonts w:asciiTheme="minorHAnsi" w:hAnsiTheme="minorHAnsi"/>
              <w:color w:val="69BBFF" w:themeColor="accent2" w:themeTint="66"/>
              <w:szCs w:val="24"/>
            </w:rPr>
            <w:lastRenderedPageBreak/>
            <w:t>Copyright</w:t>
          </w:r>
          <w:bookmarkEnd w:id="1"/>
          <w:bookmarkEnd w:id="2"/>
          <w:bookmarkEnd w:id="3"/>
          <w:bookmarkEnd w:id="4"/>
          <w:bookmarkEnd w:id="5"/>
          <w:bookmarkEnd w:id="6"/>
          <w:bookmarkEnd w:id="7"/>
          <w:bookmarkEnd w:id="8"/>
          <w:bookmarkEnd w:id="9"/>
          <w:r w:rsidRPr="006B17BE">
            <w:rPr>
              <w:rFonts w:asciiTheme="minorHAnsi" w:hAnsiTheme="minorHAnsi"/>
              <w:color w:val="69BBFF" w:themeColor="accent2" w:themeTint="66"/>
              <w:szCs w:val="24"/>
            </w:rPr>
            <w:t xml:space="preserve"> </w:t>
          </w:r>
        </w:p>
        <w:p w14:paraId="2C0CE372" w14:textId="38B2EAED" w:rsidR="00B61DEF" w:rsidRPr="006B17BE" w:rsidRDefault="00B61DEF" w:rsidP="00B61DEF">
          <w:pPr>
            <w:pStyle w:val="BodyText"/>
            <w:rPr>
              <w:rFonts w:asciiTheme="minorHAnsi" w:hAnsiTheme="minorHAnsi"/>
              <w:color w:val="auto"/>
              <w:szCs w:val="24"/>
            </w:rPr>
          </w:pPr>
          <w:r w:rsidRPr="006B17BE">
            <w:rPr>
              <w:rFonts w:asciiTheme="minorHAnsi" w:hAnsiTheme="minorHAnsi"/>
              <w:szCs w:val="24"/>
            </w:rPr>
            <w:t>© Commonwealth Scientific and Industrial Research Organisation 201</w:t>
          </w:r>
          <w:r w:rsidR="006033AB">
            <w:rPr>
              <w:rFonts w:asciiTheme="minorHAnsi" w:hAnsiTheme="minorHAnsi"/>
              <w:szCs w:val="24"/>
            </w:rPr>
            <w:t>8</w:t>
          </w:r>
          <w:r w:rsidRPr="006B17BE">
            <w:rPr>
              <w:rFonts w:asciiTheme="minorHAnsi" w:hAnsiTheme="minorHAnsi"/>
              <w:szCs w:val="24"/>
            </w:rPr>
            <w:t>. To the extent permitted by law, all rights are reserved and no part of this publication covered by copyright may be reproduced or copied in any form or by any means except with the written permission of CSIRO.</w:t>
          </w:r>
        </w:p>
        <w:p w14:paraId="057E6475" w14:textId="77777777" w:rsidR="00B61DEF" w:rsidRPr="006B17BE" w:rsidRDefault="00B61DEF" w:rsidP="00B61DEF">
          <w:pPr>
            <w:pStyle w:val="VersoPageHeading"/>
            <w:rPr>
              <w:rFonts w:asciiTheme="minorHAnsi" w:hAnsiTheme="minorHAnsi"/>
              <w:color w:val="41B6E6" w:themeColor="accent1"/>
              <w:szCs w:val="24"/>
            </w:rPr>
          </w:pPr>
        </w:p>
        <w:p w14:paraId="5CE0A063" w14:textId="77777777" w:rsidR="00B61DEF" w:rsidRPr="006B17BE" w:rsidRDefault="00B61DEF" w:rsidP="00B61DEF">
          <w:pPr>
            <w:pStyle w:val="BodyText"/>
            <w:rPr>
              <w:rFonts w:asciiTheme="minorHAnsi" w:hAnsiTheme="minorHAnsi"/>
              <w:color w:val="69BBFF" w:themeColor="accent2" w:themeTint="66"/>
              <w:szCs w:val="24"/>
            </w:rPr>
          </w:pPr>
          <w:bookmarkStart w:id="10" w:name="_Toc447635368"/>
          <w:bookmarkStart w:id="11" w:name="_Toc447634466"/>
          <w:bookmarkStart w:id="12" w:name="_Toc442804669"/>
          <w:bookmarkStart w:id="13" w:name="_Toc442802076"/>
          <w:bookmarkStart w:id="14" w:name="_Toc442800396"/>
          <w:bookmarkStart w:id="15" w:name="_Toc440986539"/>
          <w:bookmarkStart w:id="16" w:name="_Toc440360929"/>
          <w:bookmarkStart w:id="17" w:name="_Toc437249102"/>
          <w:bookmarkStart w:id="18" w:name="_Toc437243475"/>
          <w:r w:rsidRPr="006B17BE">
            <w:rPr>
              <w:rFonts w:asciiTheme="minorHAnsi" w:hAnsiTheme="minorHAnsi"/>
              <w:color w:val="69BBFF" w:themeColor="accent2" w:themeTint="66"/>
              <w:szCs w:val="24"/>
            </w:rPr>
            <w:t>Citation</w:t>
          </w:r>
          <w:bookmarkEnd w:id="10"/>
          <w:bookmarkEnd w:id="11"/>
          <w:bookmarkEnd w:id="12"/>
          <w:bookmarkEnd w:id="13"/>
          <w:bookmarkEnd w:id="14"/>
          <w:bookmarkEnd w:id="15"/>
          <w:bookmarkEnd w:id="16"/>
          <w:bookmarkEnd w:id="17"/>
          <w:bookmarkEnd w:id="18"/>
        </w:p>
        <w:p w14:paraId="3075E589" w14:textId="77777777" w:rsidR="00B61DEF" w:rsidRPr="006B17BE" w:rsidRDefault="00B61DEF" w:rsidP="00B61DEF">
          <w:pPr>
            <w:pStyle w:val="BodyText"/>
            <w:rPr>
              <w:rFonts w:asciiTheme="minorHAnsi" w:hAnsiTheme="minorHAnsi"/>
              <w:color w:val="auto"/>
              <w:szCs w:val="24"/>
            </w:rPr>
          </w:pPr>
          <w:r w:rsidRPr="006B17BE">
            <w:rPr>
              <w:rFonts w:asciiTheme="minorHAnsi" w:hAnsiTheme="minorHAnsi"/>
              <w:szCs w:val="24"/>
            </w:rPr>
            <w:t>This report should be cited as:</w:t>
          </w:r>
        </w:p>
        <w:p w14:paraId="35F37E01" w14:textId="443EDA71" w:rsidR="00B61DEF" w:rsidRPr="006B17BE" w:rsidRDefault="00D2362F" w:rsidP="00B61DEF">
          <w:pPr>
            <w:pStyle w:val="BodyText"/>
            <w:rPr>
              <w:rFonts w:asciiTheme="minorHAnsi" w:hAnsiTheme="minorHAnsi"/>
              <w:szCs w:val="24"/>
            </w:rPr>
          </w:pPr>
          <w:r w:rsidRPr="006B17BE">
            <w:rPr>
              <w:rFonts w:asciiTheme="minorHAnsi" w:hAnsiTheme="minorHAnsi"/>
              <w:szCs w:val="24"/>
            </w:rPr>
            <w:t xml:space="preserve">Saskia Noorduijn, </w:t>
          </w:r>
          <w:r w:rsidR="00327BE5" w:rsidRPr="006B17BE">
            <w:rPr>
              <w:rFonts w:asciiTheme="minorHAnsi" w:hAnsiTheme="minorHAnsi"/>
              <w:szCs w:val="24"/>
            </w:rPr>
            <w:t xml:space="preserve">McCallum J, </w:t>
          </w:r>
          <w:r w:rsidR="00B61DEF" w:rsidRPr="006B17BE">
            <w:rPr>
              <w:rFonts w:asciiTheme="minorHAnsi" w:hAnsiTheme="minorHAnsi"/>
              <w:szCs w:val="24"/>
            </w:rPr>
            <w:t>Doble R, Wu B, Mallants D (201</w:t>
          </w:r>
          <w:r w:rsidR="006033AB">
            <w:rPr>
              <w:rFonts w:asciiTheme="minorHAnsi" w:hAnsiTheme="minorHAnsi"/>
              <w:szCs w:val="24"/>
            </w:rPr>
            <w:t>8</w:t>
          </w:r>
          <w:r w:rsidR="00B61DEF" w:rsidRPr="006B17BE">
            <w:rPr>
              <w:rFonts w:asciiTheme="minorHAnsi" w:hAnsiTheme="minorHAnsi"/>
              <w:szCs w:val="24"/>
            </w:rPr>
            <w:t xml:space="preserve">). </w:t>
          </w:r>
          <w:r w:rsidR="00E10726" w:rsidRPr="006B17BE">
            <w:rPr>
              <w:rFonts w:asciiTheme="minorHAnsi" w:hAnsiTheme="minorHAnsi"/>
              <w:szCs w:val="24"/>
            </w:rPr>
            <w:t>Assessment of regional-scale effects on groundwater balance linked to increased</w:t>
          </w:r>
          <w:r w:rsidR="00B61DEF" w:rsidRPr="006B17BE">
            <w:rPr>
              <w:rFonts w:asciiTheme="minorHAnsi" w:hAnsiTheme="minorHAnsi"/>
              <w:szCs w:val="24"/>
            </w:rPr>
            <w:t xml:space="preserve"> inter-aquifer leakage, prepared by the Commonwealth Scientific and Industrial Research Organisation (CSIRO)</w:t>
          </w:r>
          <w:r w:rsidR="00D84E8D" w:rsidRPr="006B17BE">
            <w:rPr>
              <w:rFonts w:asciiTheme="minorHAnsi" w:hAnsiTheme="minorHAnsi"/>
              <w:szCs w:val="24"/>
            </w:rPr>
            <w:t>, Canberra, in collaboration with Flinders University of South Australia</w:t>
          </w:r>
          <w:r w:rsidR="00B61DEF" w:rsidRPr="006B17BE">
            <w:rPr>
              <w:rFonts w:asciiTheme="minorHAnsi" w:hAnsiTheme="minorHAnsi"/>
              <w:szCs w:val="24"/>
            </w:rPr>
            <w:t>.</w:t>
          </w:r>
        </w:p>
        <w:p w14:paraId="5935BFE8" w14:textId="77777777" w:rsidR="00B61DEF" w:rsidRPr="006B17BE" w:rsidRDefault="00B61DEF" w:rsidP="00B61DEF">
          <w:pPr>
            <w:pStyle w:val="VersoPageHeading"/>
            <w:rPr>
              <w:rFonts w:asciiTheme="minorHAnsi" w:hAnsiTheme="minorHAnsi"/>
              <w:color w:val="41B6E6" w:themeColor="accent1"/>
              <w:szCs w:val="24"/>
            </w:rPr>
          </w:pPr>
        </w:p>
        <w:p w14:paraId="7E10156C" w14:textId="77777777" w:rsidR="00B61DEF" w:rsidRPr="006B17BE" w:rsidRDefault="00B61DEF" w:rsidP="00B61DEF">
          <w:pPr>
            <w:pStyle w:val="BodyText"/>
            <w:rPr>
              <w:rFonts w:asciiTheme="minorHAnsi" w:hAnsiTheme="minorHAnsi"/>
              <w:color w:val="69BBFF" w:themeColor="accent2" w:themeTint="66"/>
              <w:szCs w:val="24"/>
            </w:rPr>
          </w:pPr>
          <w:bookmarkStart w:id="19" w:name="_Toc447635369"/>
          <w:bookmarkStart w:id="20" w:name="_Toc447634467"/>
          <w:r w:rsidRPr="006B17BE">
            <w:rPr>
              <w:rFonts w:asciiTheme="minorHAnsi" w:hAnsiTheme="minorHAnsi"/>
              <w:color w:val="69BBFF" w:themeColor="accent2" w:themeTint="66"/>
              <w:szCs w:val="24"/>
            </w:rPr>
            <w:t>Acknowledgements</w:t>
          </w:r>
          <w:bookmarkEnd w:id="19"/>
          <w:bookmarkEnd w:id="20"/>
        </w:p>
        <w:p w14:paraId="4A12D0E3" w14:textId="3A4EE7DC" w:rsidR="00B61DEF" w:rsidRPr="006B17BE" w:rsidRDefault="00B61DEF" w:rsidP="00B61DEF">
          <w:pPr>
            <w:pStyle w:val="BodyText"/>
            <w:rPr>
              <w:rFonts w:asciiTheme="minorHAnsi" w:hAnsiTheme="minorHAnsi"/>
              <w:color w:val="auto"/>
              <w:szCs w:val="24"/>
            </w:rPr>
          </w:pPr>
          <w:r w:rsidRPr="006B17BE">
            <w:rPr>
              <w:rFonts w:asciiTheme="minorHAnsi" w:hAnsiTheme="minorHAnsi"/>
              <w:szCs w:val="24"/>
            </w:rPr>
            <w:t xml:space="preserve">This report was subject to </w:t>
          </w:r>
          <w:r w:rsidR="00D84E8D" w:rsidRPr="006B17BE">
            <w:rPr>
              <w:rFonts w:asciiTheme="minorHAnsi" w:hAnsiTheme="minorHAnsi"/>
              <w:szCs w:val="24"/>
            </w:rPr>
            <w:t xml:space="preserve">peer </w:t>
          </w:r>
          <w:r w:rsidRPr="006B17BE">
            <w:rPr>
              <w:rFonts w:asciiTheme="minorHAnsi" w:hAnsiTheme="minorHAnsi"/>
              <w:szCs w:val="24"/>
            </w:rPr>
            <w:t xml:space="preserve">review during its development. We specifically acknowledge Professor Jim Underschultz (University of Queensland), Professor Craig Simmons (Flinders University of South Australia), </w:t>
          </w:r>
          <w:r w:rsidR="001D6A1D">
            <w:rPr>
              <w:rFonts w:asciiTheme="minorHAnsi" w:hAnsiTheme="minorHAnsi"/>
              <w:szCs w:val="24"/>
            </w:rPr>
            <w:t xml:space="preserve">Dr. Luk Peeters (CSIRO Land and Water), </w:t>
          </w:r>
          <w:r w:rsidR="00BA6230">
            <w:rPr>
              <w:rFonts w:asciiTheme="minorHAnsi" w:hAnsiTheme="minorHAnsi"/>
              <w:szCs w:val="24"/>
            </w:rPr>
            <w:t xml:space="preserve">Dr. Ludovic Ricard (CSIRO Energy), and </w:t>
          </w:r>
          <w:r w:rsidR="00D84E8D" w:rsidRPr="006B17BE">
            <w:rPr>
              <w:rFonts w:asciiTheme="minorHAnsi" w:hAnsiTheme="minorHAnsi"/>
              <w:szCs w:val="24"/>
            </w:rPr>
            <w:t>Dr. Rod Dann</w:t>
          </w:r>
          <w:r w:rsidRPr="006B17BE">
            <w:rPr>
              <w:rFonts w:asciiTheme="minorHAnsi" w:hAnsiTheme="minorHAnsi"/>
              <w:szCs w:val="24"/>
            </w:rPr>
            <w:t xml:space="preserve"> (Department of the Environment</w:t>
          </w:r>
          <w:r w:rsidR="00D84E8D" w:rsidRPr="006B17BE">
            <w:rPr>
              <w:rFonts w:asciiTheme="minorHAnsi" w:hAnsiTheme="minorHAnsi"/>
              <w:szCs w:val="24"/>
            </w:rPr>
            <w:t xml:space="preserve"> and Energy</w:t>
          </w:r>
          <w:r w:rsidRPr="006B17BE">
            <w:rPr>
              <w:rFonts w:asciiTheme="minorHAnsi" w:hAnsiTheme="minorHAnsi"/>
              <w:szCs w:val="24"/>
            </w:rPr>
            <w:t>) for their contributions to the review.</w:t>
          </w:r>
        </w:p>
        <w:p w14:paraId="0EA262FB" w14:textId="77777777" w:rsidR="00BF2855" w:rsidRPr="006B17BE" w:rsidRDefault="00BF2855" w:rsidP="00B61DEF">
          <w:pPr>
            <w:pStyle w:val="BodyText"/>
            <w:rPr>
              <w:rFonts w:asciiTheme="minorHAnsi" w:hAnsiTheme="minorHAnsi"/>
              <w:color w:val="69BBFF" w:themeColor="accent2" w:themeTint="66"/>
              <w:szCs w:val="24"/>
            </w:rPr>
          </w:pPr>
        </w:p>
        <w:p w14:paraId="4EE469A8" w14:textId="77777777" w:rsidR="00B61DEF" w:rsidRPr="006B17BE" w:rsidRDefault="00B61DEF" w:rsidP="00B61DEF">
          <w:pPr>
            <w:pStyle w:val="BodyText"/>
            <w:rPr>
              <w:rFonts w:asciiTheme="minorHAnsi" w:hAnsiTheme="minorHAnsi"/>
              <w:color w:val="69BBFF" w:themeColor="accent2" w:themeTint="66"/>
              <w:szCs w:val="24"/>
            </w:rPr>
          </w:pPr>
          <w:r w:rsidRPr="006B17BE">
            <w:rPr>
              <w:rFonts w:asciiTheme="minorHAnsi" w:hAnsiTheme="minorHAnsi"/>
              <w:color w:val="69BBFF" w:themeColor="accent2" w:themeTint="66"/>
              <w:szCs w:val="24"/>
            </w:rPr>
            <w:t>Important disclaimer</w:t>
          </w:r>
        </w:p>
        <w:p w14:paraId="2BB64007" w14:textId="77777777" w:rsidR="00B61DEF" w:rsidRPr="006B17BE" w:rsidRDefault="00B61DEF" w:rsidP="00B61DEF">
          <w:pPr>
            <w:pStyle w:val="BodyText"/>
            <w:rPr>
              <w:rFonts w:asciiTheme="minorHAnsi" w:hAnsiTheme="minorHAnsi"/>
              <w:color w:val="auto"/>
              <w:szCs w:val="24"/>
            </w:rPr>
          </w:pPr>
          <w:r w:rsidRPr="006B17BE">
            <w:rPr>
              <w:rFonts w:asciiTheme="minorHAnsi" w:hAnsiTheme="minorHAnsi"/>
              <w:szCs w:val="24"/>
            </w:rPr>
            <w:t>CSIRO advises that the information contained in this publication comprises general statements based on scientific research. The reader is advised and needs to be aware that such information may be incomplete or unable to be used in any specific situation. No reliance or actions must therefore be made on that information without seeking prior expert professional, scientific and technical advice. To the extent permitted by law, CSIRO (including its employees and consultants) excludes all liability to any person for any consequences, including but not limited to all losses, damages, costs, expenses and any other compensation, arising directly or indirectly from using this publication (in part or in whole) and any information or material contained in it.</w:t>
          </w:r>
        </w:p>
        <w:p w14:paraId="09C318E6" w14:textId="22A27988" w:rsidR="00B61DEF" w:rsidRPr="006B17BE" w:rsidRDefault="00B61DEF" w:rsidP="00B61DEF">
          <w:pPr>
            <w:pStyle w:val="BodyText"/>
            <w:rPr>
              <w:rFonts w:asciiTheme="minorHAnsi" w:hAnsiTheme="minorHAnsi"/>
              <w:szCs w:val="24"/>
            </w:rPr>
          </w:pPr>
          <w:r w:rsidRPr="006B17BE">
            <w:rPr>
              <w:rFonts w:asciiTheme="minorHAnsi" w:hAnsiTheme="minorHAnsi"/>
              <w:szCs w:val="24"/>
            </w:rPr>
            <w:t xml:space="preserve">CSIRO is committed to providing web accessible content wherever possible. If you are having difficulties with accessing this document please contact </w:t>
          </w:r>
          <w:hyperlink r:id="rId9" w:tooltip="Email CSIRO Enquiries" w:history="1">
            <w:r w:rsidRPr="006B17BE">
              <w:rPr>
                <w:rStyle w:val="Hyperlink"/>
                <w:rFonts w:asciiTheme="minorHAnsi" w:hAnsiTheme="minorHAnsi"/>
                <w:szCs w:val="24"/>
              </w:rPr>
              <w:t>enquiries@csiro.au</w:t>
            </w:r>
          </w:hyperlink>
          <w:r w:rsidRPr="006B17BE">
            <w:rPr>
              <w:rFonts w:asciiTheme="minorHAnsi" w:hAnsiTheme="minorHAnsi"/>
              <w:szCs w:val="24"/>
            </w:rPr>
            <w:t>.</w:t>
          </w:r>
        </w:p>
        <w:p w14:paraId="1C9EE68E" w14:textId="77777777" w:rsidR="00B61DEF" w:rsidRPr="006B17BE" w:rsidRDefault="00B61DEF" w:rsidP="00B61DEF">
          <w:pPr>
            <w:pStyle w:val="BodyText"/>
            <w:rPr>
              <w:rFonts w:asciiTheme="minorHAnsi" w:hAnsiTheme="minorHAnsi"/>
              <w:szCs w:val="24"/>
            </w:rPr>
          </w:pPr>
        </w:p>
        <w:p w14:paraId="16FF9581" w14:textId="77777777" w:rsidR="00B61DEF" w:rsidRPr="006B17BE" w:rsidRDefault="00B61DEF" w:rsidP="00B61DEF">
          <w:pPr>
            <w:pStyle w:val="BodyText"/>
            <w:rPr>
              <w:rFonts w:asciiTheme="minorHAnsi" w:hAnsiTheme="minorHAnsi"/>
              <w:szCs w:val="24"/>
            </w:rPr>
          </w:pPr>
        </w:p>
        <w:p w14:paraId="66172704" w14:textId="0E93BF6C" w:rsidR="00E85C10" w:rsidRPr="006B17BE" w:rsidRDefault="00E85C10" w:rsidP="00B61DEF">
          <w:pPr>
            <w:spacing w:after="0"/>
            <w:rPr>
              <w:rFonts w:asciiTheme="minorHAnsi" w:eastAsia="Times New Roman" w:hAnsiTheme="minorHAnsi"/>
              <w:sz w:val="24"/>
              <w:szCs w:val="24"/>
            </w:rPr>
          </w:pPr>
        </w:p>
        <w:p w14:paraId="04621A09" w14:textId="77777777" w:rsidR="00E85C10" w:rsidRPr="006B17BE" w:rsidRDefault="00E85C10" w:rsidP="00336753">
          <w:pPr>
            <w:rPr>
              <w:rFonts w:asciiTheme="minorHAnsi" w:eastAsia="Times New Roman" w:hAnsiTheme="minorHAnsi"/>
              <w:sz w:val="24"/>
              <w:szCs w:val="24"/>
            </w:rPr>
          </w:pPr>
        </w:p>
        <w:p w14:paraId="55235B97" w14:textId="4E61435D" w:rsidR="005E2118" w:rsidRPr="006B17BE" w:rsidRDefault="005E2118" w:rsidP="00336753">
          <w:pPr>
            <w:rPr>
              <w:rFonts w:asciiTheme="minorHAnsi" w:eastAsia="Times New Roman" w:hAnsiTheme="minorHAnsi"/>
              <w:sz w:val="24"/>
              <w:szCs w:val="24"/>
            </w:rPr>
            <w:sectPr w:rsidR="005E2118" w:rsidRPr="006B17BE" w:rsidSect="006939D9">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1440" w:left="1440" w:header="510" w:footer="624" w:gutter="0"/>
              <w:pgNumType w:fmt="lowerRoman" w:start="1"/>
              <w:cols w:space="720"/>
              <w:docGrid w:linePitch="299"/>
            </w:sectPr>
          </w:pPr>
        </w:p>
        <w:bookmarkStart w:id="21" w:name="_Toc483567924" w:displacedByCustomXml="next"/>
        <w:sdt>
          <w:sdtPr>
            <w:rPr>
              <w:rFonts w:asciiTheme="minorHAnsi" w:eastAsia="Calibri" w:hAnsiTheme="minorHAnsi" w:cstheme="minorBidi"/>
              <w:b w:val="0"/>
              <w:bCs/>
              <w:noProof/>
              <w:color w:val="auto"/>
              <w:sz w:val="24"/>
              <w:szCs w:val="24"/>
              <w:lang w:val="en-US" w:eastAsia="ja-JP"/>
            </w:rPr>
            <w:id w:val="-1138187096"/>
            <w:docPartObj>
              <w:docPartGallery w:val="Table of Contents"/>
              <w:docPartUnique/>
            </w:docPartObj>
          </w:sdtPr>
          <w:sdtEndPr>
            <w:rPr>
              <w:rFonts w:cs="Times New Roman"/>
              <w:b/>
              <w:bCs w:val="0"/>
              <w:color w:val="FFFFFF"/>
              <w:lang w:val="en-AU" w:eastAsia="en-AU"/>
            </w:rPr>
          </w:sdtEndPr>
          <w:sdtContent>
            <w:p w14:paraId="68A20908" w14:textId="77777777" w:rsidR="00D470A3" w:rsidRPr="006B17BE" w:rsidRDefault="00D470A3" w:rsidP="00D470A3">
              <w:pPr>
                <w:pStyle w:val="TOCHeading"/>
                <w:rPr>
                  <w:rFonts w:asciiTheme="minorHAnsi" w:hAnsiTheme="minorHAnsi"/>
                  <w:bCs/>
                  <w:sz w:val="24"/>
                  <w:szCs w:val="24"/>
                </w:rPr>
              </w:pPr>
              <w:r w:rsidRPr="006B17BE">
                <w:rPr>
                  <w:rFonts w:asciiTheme="minorHAnsi" w:hAnsiTheme="minorHAnsi"/>
                  <w:bCs/>
                  <w:sz w:val="24"/>
                  <w:szCs w:val="24"/>
                </w:rPr>
                <w:t>Table of Contents</w:t>
              </w:r>
              <w:bookmarkEnd w:id="21"/>
            </w:p>
            <w:p w14:paraId="766F0657" w14:textId="007196C9" w:rsidR="0014612E" w:rsidRDefault="00D470A3" w:rsidP="00C27CA8">
              <w:pPr>
                <w:pStyle w:val="TOC2"/>
                <w:rPr>
                  <w:rFonts w:asciiTheme="minorHAnsi" w:eastAsiaTheme="minorEastAsia" w:hAnsiTheme="minorHAnsi" w:cstheme="minorBidi"/>
                  <w:b/>
                  <w:color w:val="auto"/>
                  <w:sz w:val="22"/>
                </w:rPr>
              </w:pPr>
              <w:r w:rsidRPr="006B17BE">
                <w:rPr>
                  <w:rFonts w:asciiTheme="minorHAnsi" w:hAnsiTheme="minorHAnsi"/>
                  <w:szCs w:val="24"/>
                </w:rPr>
                <w:fldChar w:fldCharType="begin"/>
              </w:r>
              <w:r w:rsidRPr="006B17BE">
                <w:rPr>
                  <w:rFonts w:asciiTheme="minorHAnsi" w:hAnsiTheme="minorHAnsi"/>
                  <w:szCs w:val="24"/>
                </w:rPr>
                <w:instrText xml:space="preserve"> TOC \o "1-3" \h \z \u </w:instrText>
              </w:r>
              <w:r w:rsidRPr="006B17BE">
                <w:rPr>
                  <w:rFonts w:asciiTheme="minorHAnsi" w:hAnsiTheme="minorHAnsi"/>
                  <w:szCs w:val="24"/>
                </w:rPr>
                <w:fldChar w:fldCharType="separate"/>
              </w:r>
              <w:r w:rsidR="0014612E" w:rsidRPr="000A5242" w:rsidDel="0014612E">
                <w:rPr>
                  <w:rStyle w:val="Hyperlink"/>
                </w:rPr>
                <w:t xml:space="preserve"> </w:t>
              </w:r>
              <w:hyperlink w:anchor="_Toc483567925" w:history="1">
                <w:r w:rsidR="0014612E" w:rsidRPr="000A5242">
                  <w:rPr>
                    <w:rStyle w:val="Hyperlink"/>
                  </w:rPr>
                  <w:t>List of Figures</w:t>
                </w:r>
                <w:r w:rsidR="0014612E">
                  <w:rPr>
                    <w:webHidden/>
                  </w:rPr>
                  <w:tab/>
                </w:r>
                <w:r w:rsidR="0014612E">
                  <w:rPr>
                    <w:webHidden/>
                  </w:rPr>
                  <w:tab/>
                </w:r>
                <w:r w:rsidR="0014612E">
                  <w:rPr>
                    <w:webHidden/>
                  </w:rPr>
                  <w:fldChar w:fldCharType="begin"/>
                </w:r>
                <w:r w:rsidR="0014612E">
                  <w:rPr>
                    <w:webHidden/>
                  </w:rPr>
                  <w:instrText xml:space="preserve"> PAGEREF _Toc483567925 \h </w:instrText>
                </w:r>
                <w:r w:rsidR="0014612E">
                  <w:rPr>
                    <w:webHidden/>
                  </w:rPr>
                </w:r>
                <w:r w:rsidR="0014612E">
                  <w:rPr>
                    <w:webHidden/>
                  </w:rPr>
                  <w:fldChar w:fldCharType="separate"/>
                </w:r>
                <w:r w:rsidR="00086147">
                  <w:rPr>
                    <w:webHidden/>
                  </w:rPr>
                  <w:t>v</w:t>
                </w:r>
                <w:r w:rsidR="0014612E">
                  <w:rPr>
                    <w:webHidden/>
                  </w:rPr>
                  <w:fldChar w:fldCharType="end"/>
                </w:r>
              </w:hyperlink>
            </w:p>
            <w:p w14:paraId="1C532407" w14:textId="77777777" w:rsidR="0014612E" w:rsidRDefault="00296C49">
              <w:pPr>
                <w:pStyle w:val="TOC1"/>
                <w:rPr>
                  <w:rFonts w:asciiTheme="minorHAnsi" w:eastAsiaTheme="minorEastAsia" w:hAnsiTheme="minorHAnsi" w:cstheme="minorBidi"/>
                  <w:b w:val="0"/>
                  <w:color w:val="auto"/>
                  <w:sz w:val="22"/>
                </w:rPr>
              </w:pPr>
              <w:hyperlink w:anchor="_Toc483567926" w:history="1">
                <w:r w:rsidR="0014612E" w:rsidRPr="000A5242">
                  <w:rPr>
                    <w:rStyle w:val="Hyperlink"/>
                  </w:rPr>
                  <w:t>List of Tables</w:t>
                </w:r>
                <w:r w:rsidR="0014612E">
                  <w:rPr>
                    <w:webHidden/>
                  </w:rPr>
                  <w:tab/>
                </w:r>
                <w:r w:rsidR="0014612E">
                  <w:rPr>
                    <w:webHidden/>
                  </w:rPr>
                  <w:fldChar w:fldCharType="begin"/>
                </w:r>
                <w:r w:rsidR="0014612E">
                  <w:rPr>
                    <w:webHidden/>
                  </w:rPr>
                  <w:instrText xml:space="preserve"> PAGEREF _Toc483567926 \h </w:instrText>
                </w:r>
                <w:r w:rsidR="0014612E">
                  <w:rPr>
                    <w:webHidden/>
                  </w:rPr>
                </w:r>
                <w:r w:rsidR="0014612E">
                  <w:rPr>
                    <w:webHidden/>
                  </w:rPr>
                  <w:fldChar w:fldCharType="separate"/>
                </w:r>
                <w:r w:rsidR="00086147">
                  <w:rPr>
                    <w:webHidden/>
                  </w:rPr>
                  <w:t>xi</w:t>
                </w:r>
                <w:r w:rsidR="0014612E">
                  <w:rPr>
                    <w:webHidden/>
                  </w:rPr>
                  <w:fldChar w:fldCharType="end"/>
                </w:r>
              </w:hyperlink>
            </w:p>
            <w:p w14:paraId="3C99F417" w14:textId="77777777" w:rsidR="0014612E" w:rsidRDefault="00296C49">
              <w:pPr>
                <w:pStyle w:val="TOC1"/>
                <w:rPr>
                  <w:rFonts w:asciiTheme="minorHAnsi" w:eastAsiaTheme="minorEastAsia" w:hAnsiTheme="minorHAnsi" w:cstheme="minorBidi"/>
                  <w:b w:val="0"/>
                  <w:color w:val="auto"/>
                  <w:sz w:val="22"/>
                </w:rPr>
              </w:pPr>
              <w:hyperlink w:anchor="_Toc483567927" w:history="1">
                <w:r w:rsidR="0014612E" w:rsidRPr="000A5242">
                  <w:rPr>
                    <w:rStyle w:val="Hyperlink"/>
                  </w:rPr>
                  <w:t>Executive summary</w:t>
                </w:r>
                <w:r w:rsidR="0014612E">
                  <w:rPr>
                    <w:webHidden/>
                  </w:rPr>
                  <w:tab/>
                </w:r>
                <w:r w:rsidR="0014612E">
                  <w:rPr>
                    <w:webHidden/>
                  </w:rPr>
                  <w:fldChar w:fldCharType="begin"/>
                </w:r>
                <w:r w:rsidR="0014612E">
                  <w:rPr>
                    <w:webHidden/>
                  </w:rPr>
                  <w:instrText xml:space="preserve"> PAGEREF _Toc483567927 \h </w:instrText>
                </w:r>
                <w:r w:rsidR="0014612E">
                  <w:rPr>
                    <w:webHidden/>
                  </w:rPr>
                </w:r>
                <w:r w:rsidR="0014612E">
                  <w:rPr>
                    <w:webHidden/>
                  </w:rPr>
                  <w:fldChar w:fldCharType="separate"/>
                </w:r>
                <w:r w:rsidR="00086147">
                  <w:rPr>
                    <w:webHidden/>
                  </w:rPr>
                  <w:t>xii</w:t>
                </w:r>
                <w:r w:rsidR="0014612E">
                  <w:rPr>
                    <w:webHidden/>
                  </w:rPr>
                  <w:fldChar w:fldCharType="end"/>
                </w:r>
              </w:hyperlink>
            </w:p>
            <w:p w14:paraId="7935DE22" w14:textId="77777777" w:rsidR="0014612E" w:rsidRDefault="00296C49">
              <w:pPr>
                <w:pStyle w:val="TOC1"/>
                <w:rPr>
                  <w:rFonts w:asciiTheme="minorHAnsi" w:eastAsiaTheme="minorEastAsia" w:hAnsiTheme="minorHAnsi" w:cstheme="minorBidi"/>
                  <w:b w:val="0"/>
                  <w:color w:val="auto"/>
                  <w:sz w:val="22"/>
                </w:rPr>
              </w:pPr>
              <w:hyperlink w:anchor="_Toc483567928" w:history="1">
                <w:r w:rsidR="0014612E" w:rsidRPr="000A5242">
                  <w:rPr>
                    <w:rStyle w:val="Hyperlink"/>
                  </w:rPr>
                  <w:t>Abbreviations</w:t>
                </w:r>
                <w:r w:rsidR="0014612E">
                  <w:rPr>
                    <w:webHidden/>
                  </w:rPr>
                  <w:tab/>
                </w:r>
                <w:r w:rsidR="0014612E">
                  <w:rPr>
                    <w:webHidden/>
                  </w:rPr>
                  <w:fldChar w:fldCharType="begin"/>
                </w:r>
                <w:r w:rsidR="0014612E">
                  <w:rPr>
                    <w:webHidden/>
                  </w:rPr>
                  <w:instrText xml:space="preserve"> PAGEREF _Toc483567928 \h </w:instrText>
                </w:r>
                <w:r w:rsidR="0014612E">
                  <w:rPr>
                    <w:webHidden/>
                  </w:rPr>
                </w:r>
                <w:r w:rsidR="0014612E">
                  <w:rPr>
                    <w:webHidden/>
                  </w:rPr>
                  <w:fldChar w:fldCharType="separate"/>
                </w:r>
                <w:r w:rsidR="00086147">
                  <w:rPr>
                    <w:webHidden/>
                  </w:rPr>
                  <w:t>xiv</w:t>
                </w:r>
                <w:r w:rsidR="0014612E">
                  <w:rPr>
                    <w:webHidden/>
                  </w:rPr>
                  <w:fldChar w:fldCharType="end"/>
                </w:r>
              </w:hyperlink>
            </w:p>
            <w:p w14:paraId="2297BF01" w14:textId="77777777" w:rsidR="0014612E" w:rsidRDefault="00296C49">
              <w:pPr>
                <w:pStyle w:val="TOC1"/>
                <w:rPr>
                  <w:rFonts w:asciiTheme="minorHAnsi" w:eastAsiaTheme="minorEastAsia" w:hAnsiTheme="minorHAnsi" w:cstheme="minorBidi"/>
                  <w:b w:val="0"/>
                  <w:color w:val="auto"/>
                  <w:sz w:val="22"/>
                </w:rPr>
              </w:pPr>
              <w:hyperlink w:anchor="_Toc483567929" w:history="1">
                <w:r w:rsidR="0014612E" w:rsidRPr="000A5242">
                  <w:rPr>
                    <w:rStyle w:val="Hyperlink"/>
                  </w:rPr>
                  <w:t>Glossary</w:t>
                </w:r>
                <w:r w:rsidR="0014612E">
                  <w:rPr>
                    <w:webHidden/>
                  </w:rPr>
                  <w:tab/>
                </w:r>
                <w:r w:rsidR="0014612E">
                  <w:rPr>
                    <w:webHidden/>
                  </w:rPr>
                  <w:fldChar w:fldCharType="begin"/>
                </w:r>
                <w:r w:rsidR="0014612E">
                  <w:rPr>
                    <w:webHidden/>
                  </w:rPr>
                  <w:instrText xml:space="preserve"> PAGEREF _Toc483567929 \h </w:instrText>
                </w:r>
                <w:r w:rsidR="0014612E">
                  <w:rPr>
                    <w:webHidden/>
                  </w:rPr>
                </w:r>
                <w:r w:rsidR="0014612E">
                  <w:rPr>
                    <w:webHidden/>
                  </w:rPr>
                  <w:fldChar w:fldCharType="separate"/>
                </w:r>
                <w:r w:rsidR="00086147">
                  <w:rPr>
                    <w:webHidden/>
                  </w:rPr>
                  <w:t>xv</w:t>
                </w:r>
                <w:r w:rsidR="0014612E">
                  <w:rPr>
                    <w:webHidden/>
                  </w:rPr>
                  <w:fldChar w:fldCharType="end"/>
                </w:r>
              </w:hyperlink>
            </w:p>
            <w:p w14:paraId="32875E8F" w14:textId="77777777" w:rsidR="0014612E" w:rsidRDefault="00296C49">
              <w:pPr>
                <w:pStyle w:val="TOC1"/>
                <w:rPr>
                  <w:rFonts w:asciiTheme="minorHAnsi" w:eastAsiaTheme="minorEastAsia" w:hAnsiTheme="minorHAnsi" w:cstheme="minorBidi"/>
                  <w:b w:val="0"/>
                  <w:color w:val="auto"/>
                  <w:sz w:val="22"/>
                </w:rPr>
              </w:pPr>
              <w:hyperlink w:anchor="_Toc483567930" w:history="1">
                <w:r w:rsidR="0014612E" w:rsidRPr="000A5242">
                  <w:rPr>
                    <w:rStyle w:val="Hyperlink"/>
                  </w:rPr>
                  <w:t>Symbols</w:t>
                </w:r>
                <w:r w:rsidR="0014612E">
                  <w:rPr>
                    <w:webHidden/>
                  </w:rPr>
                  <w:tab/>
                </w:r>
                <w:r w:rsidR="0014612E">
                  <w:rPr>
                    <w:webHidden/>
                  </w:rPr>
                  <w:fldChar w:fldCharType="begin"/>
                </w:r>
                <w:r w:rsidR="0014612E">
                  <w:rPr>
                    <w:webHidden/>
                  </w:rPr>
                  <w:instrText xml:space="preserve"> PAGEREF _Toc483567930 \h </w:instrText>
                </w:r>
                <w:r w:rsidR="0014612E">
                  <w:rPr>
                    <w:webHidden/>
                  </w:rPr>
                </w:r>
                <w:r w:rsidR="0014612E">
                  <w:rPr>
                    <w:webHidden/>
                  </w:rPr>
                  <w:fldChar w:fldCharType="separate"/>
                </w:r>
                <w:r w:rsidR="00086147">
                  <w:rPr>
                    <w:webHidden/>
                  </w:rPr>
                  <w:t>xvii</w:t>
                </w:r>
                <w:r w:rsidR="0014612E">
                  <w:rPr>
                    <w:webHidden/>
                  </w:rPr>
                  <w:fldChar w:fldCharType="end"/>
                </w:r>
              </w:hyperlink>
            </w:p>
            <w:p w14:paraId="0E435B96" w14:textId="77777777" w:rsidR="0014612E" w:rsidRDefault="00296C49">
              <w:pPr>
                <w:pStyle w:val="TOC1"/>
                <w:rPr>
                  <w:rFonts w:asciiTheme="minorHAnsi" w:eastAsiaTheme="minorEastAsia" w:hAnsiTheme="minorHAnsi" w:cstheme="minorBidi"/>
                  <w:b w:val="0"/>
                  <w:color w:val="auto"/>
                  <w:sz w:val="22"/>
                </w:rPr>
              </w:pPr>
              <w:hyperlink w:anchor="_Toc483567931" w:history="1">
                <w:r w:rsidR="0014612E" w:rsidRPr="000A5242">
                  <w:rPr>
                    <w:rStyle w:val="Hyperlink"/>
                  </w:rPr>
                  <w:t>1</w:t>
                </w:r>
                <w:r w:rsidR="0014612E">
                  <w:rPr>
                    <w:rFonts w:asciiTheme="minorHAnsi" w:eastAsiaTheme="minorEastAsia" w:hAnsiTheme="minorHAnsi" w:cstheme="minorBidi"/>
                    <w:b w:val="0"/>
                    <w:color w:val="auto"/>
                    <w:sz w:val="22"/>
                  </w:rPr>
                  <w:tab/>
                </w:r>
                <w:r w:rsidR="0014612E" w:rsidRPr="000A5242">
                  <w:rPr>
                    <w:rStyle w:val="Hyperlink"/>
                  </w:rPr>
                  <w:t>Introduction</w:t>
                </w:r>
                <w:r w:rsidR="0014612E">
                  <w:rPr>
                    <w:webHidden/>
                  </w:rPr>
                  <w:tab/>
                </w:r>
                <w:r w:rsidR="0014612E">
                  <w:rPr>
                    <w:webHidden/>
                  </w:rPr>
                  <w:fldChar w:fldCharType="begin"/>
                </w:r>
                <w:r w:rsidR="0014612E">
                  <w:rPr>
                    <w:webHidden/>
                  </w:rPr>
                  <w:instrText xml:space="preserve"> PAGEREF _Toc483567931 \h </w:instrText>
                </w:r>
                <w:r w:rsidR="0014612E">
                  <w:rPr>
                    <w:webHidden/>
                  </w:rPr>
                </w:r>
                <w:r w:rsidR="0014612E">
                  <w:rPr>
                    <w:webHidden/>
                  </w:rPr>
                  <w:fldChar w:fldCharType="separate"/>
                </w:r>
                <w:r w:rsidR="00086147">
                  <w:rPr>
                    <w:webHidden/>
                  </w:rPr>
                  <w:t>1</w:t>
                </w:r>
                <w:r w:rsidR="0014612E">
                  <w:rPr>
                    <w:webHidden/>
                  </w:rPr>
                  <w:fldChar w:fldCharType="end"/>
                </w:r>
              </w:hyperlink>
            </w:p>
            <w:p w14:paraId="491D2F7B" w14:textId="77777777" w:rsidR="0014612E" w:rsidRDefault="00296C49">
              <w:pPr>
                <w:pStyle w:val="TOC2"/>
                <w:rPr>
                  <w:rFonts w:asciiTheme="minorHAnsi" w:eastAsiaTheme="minorEastAsia" w:hAnsiTheme="minorHAnsi" w:cstheme="minorBidi"/>
                  <w:color w:val="auto"/>
                  <w:sz w:val="22"/>
                </w:rPr>
              </w:pPr>
              <w:hyperlink w:anchor="_Toc483567932" w:history="1">
                <w:r w:rsidR="0014612E" w:rsidRPr="000A5242">
                  <w:rPr>
                    <w:rStyle w:val="Hyperlink"/>
                  </w:rPr>
                  <w:t>1.1</w:t>
                </w:r>
                <w:r w:rsidR="0014612E">
                  <w:rPr>
                    <w:rFonts w:asciiTheme="minorHAnsi" w:eastAsiaTheme="minorEastAsia" w:hAnsiTheme="minorHAnsi" w:cstheme="minorBidi"/>
                    <w:color w:val="auto"/>
                    <w:sz w:val="22"/>
                  </w:rPr>
                  <w:tab/>
                </w:r>
                <w:r w:rsidR="0014612E" w:rsidRPr="000A5242">
                  <w:rPr>
                    <w:rStyle w:val="Hyperlink"/>
                  </w:rPr>
                  <w:t>Terms of reference</w:t>
                </w:r>
                <w:r w:rsidR="0014612E">
                  <w:rPr>
                    <w:webHidden/>
                  </w:rPr>
                  <w:tab/>
                </w:r>
                <w:r w:rsidR="0014612E">
                  <w:rPr>
                    <w:webHidden/>
                  </w:rPr>
                  <w:fldChar w:fldCharType="begin"/>
                </w:r>
                <w:r w:rsidR="0014612E">
                  <w:rPr>
                    <w:webHidden/>
                  </w:rPr>
                  <w:instrText xml:space="preserve"> PAGEREF _Toc483567932 \h </w:instrText>
                </w:r>
                <w:r w:rsidR="0014612E">
                  <w:rPr>
                    <w:webHidden/>
                  </w:rPr>
                </w:r>
                <w:r w:rsidR="0014612E">
                  <w:rPr>
                    <w:webHidden/>
                  </w:rPr>
                  <w:fldChar w:fldCharType="separate"/>
                </w:r>
                <w:r w:rsidR="00086147">
                  <w:rPr>
                    <w:webHidden/>
                  </w:rPr>
                  <w:t>1</w:t>
                </w:r>
                <w:r w:rsidR="0014612E">
                  <w:rPr>
                    <w:webHidden/>
                  </w:rPr>
                  <w:fldChar w:fldCharType="end"/>
                </w:r>
              </w:hyperlink>
            </w:p>
            <w:p w14:paraId="7FB35F0A" w14:textId="77777777" w:rsidR="0014612E" w:rsidRDefault="00296C49">
              <w:pPr>
                <w:pStyle w:val="TOC2"/>
                <w:rPr>
                  <w:rFonts w:asciiTheme="minorHAnsi" w:eastAsiaTheme="minorEastAsia" w:hAnsiTheme="minorHAnsi" w:cstheme="minorBidi"/>
                  <w:color w:val="auto"/>
                  <w:sz w:val="22"/>
                </w:rPr>
              </w:pPr>
              <w:hyperlink w:anchor="_Toc483567933" w:history="1">
                <w:r w:rsidR="0014612E" w:rsidRPr="000A5242">
                  <w:rPr>
                    <w:rStyle w:val="Hyperlink"/>
                  </w:rPr>
                  <w:t>1.2</w:t>
                </w:r>
                <w:r w:rsidR="0014612E">
                  <w:rPr>
                    <w:rFonts w:asciiTheme="minorHAnsi" w:eastAsiaTheme="minorEastAsia" w:hAnsiTheme="minorHAnsi" w:cstheme="minorBidi"/>
                    <w:color w:val="auto"/>
                    <w:sz w:val="22"/>
                  </w:rPr>
                  <w:tab/>
                </w:r>
                <w:r w:rsidR="0014612E" w:rsidRPr="000A5242">
                  <w:rPr>
                    <w:rStyle w:val="Hyperlink"/>
                  </w:rPr>
                  <w:t>Human-induced pathways for inter-aquifer connectivity</w:t>
                </w:r>
                <w:r w:rsidR="0014612E">
                  <w:rPr>
                    <w:webHidden/>
                  </w:rPr>
                  <w:tab/>
                </w:r>
                <w:r w:rsidR="0014612E">
                  <w:rPr>
                    <w:webHidden/>
                  </w:rPr>
                  <w:fldChar w:fldCharType="begin"/>
                </w:r>
                <w:r w:rsidR="0014612E">
                  <w:rPr>
                    <w:webHidden/>
                  </w:rPr>
                  <w:instrText xml:space="preserve"> PAGEREF _Toc483567933 \h </w:instrText>
                </w:r>
                <w:r w:rsidR="0014612E">
                  <w:rPr>
                    <w:webHidden/>
                  </w:rPr>
                </w:r>
                <w:r w:rsidR="0014612E">
                  <w:rPr>
                    <w:webHidden/>
                  </w:rPr>
                  <w:fldChar w:fldCharType="separate"/>
                </w:r>
                <w:r w:rsidR="00086147">
                  <w:rPr>
                    <w:webHidden/>
                  </w:rPr>
                  <w:t>2</w:t>
                </w:r>
                <w:r w:rsidR="0014612E">
                  <w:rPr>
                    <w:webHidden/>
                  </w:rPr>
                  <w:fldChar w:fldCharType="end"/>
                </w:r>
              </w:hyperlink>
            </w:p>
            <w:p w14:paraId="1F520F47" w14:textId="77777777" w:rsidR="0014612E" w:rsidRDefault="00296C49">
              <w:pPr>
                <w:pStyle w:val="TOC2"/>
                <w:rPr>
                  <w:rFonts w:asciiTheme="minorHAnsi" w:eastAsiaTheme="minorEastAsia" w:hAnsiTheme="minorHAnsi" w:cstheme="minorBidi"/>
                  <w:color w:val="auto"/>
                  <w:sz w:val="22"/>
                </w:rPr>
              </w:pPr>
              <w:hyperlink w:anchor="_Toc483567934" w:history="1">
                <w:r w:rsidR="0014612E" w:rsidRPr="000A5242">
                  <w:rPr>
                    <w:rStyle w:val="Hyperlink"/>
                  </w:rPr>
                  <w:t>1.3</w:t>
                </w:r>
                <w:r w:rsidR="0014612E">
                  <w:rPr>
                    <w:rFonts w:asciiTheme="minorHAnsi" w:eastAsiaTheme="minorEastAsia" w:hAnsiTheme="minorHAnsi" w:cstheme="minorBidi"/>
                    <w:color w:val="auto"/>
                    <w:sz w:val="22"/>
                  </w:rPr>
                  <w:tab/>
                </w:r>
                <w:r w:rsidR="0014612E" w:rsidRPr="000A5242">
                  <w:rPr>
                    <w:rStyle w:val="Hyperlink"/>
                  </w:rPr>
                  <w:t>Coal seam gas well failure rates in Australia</w:t>
                </w:r>
                <w:r w:rsidR="0014612E">
                  <w:rPr>
                    <w:webHidden/>
                  </w:rPr>
                  <w:tab/>
                </w:r>
                <w:r w:rsidR="0014612E">
                  <w:rPr>
                    <w:webHidden/>
                  </w:rPr>
                  <w:fldChar w:fldCharType="begin"/>
                </w:r>
                <w:r w:rsidR="0014612E">
                  <w:rPr>
                    <w:webHidden/>
                  </w:rPr>
                  <w:instrText xml:space="preserve"> PAGEREF _Toc483567934 \h </w:instrText>
                </w:r>
                <w:r w:rsidR="0014612E">
                  <w:rPr>
                    <w:webHidden/>
                  </w:rPr>
                </w:r>
                <w:r w:rsidR="0014612E">
                  <w:rPr>
                    <w:webHidden/>
                  </w:rPr>
                  <w:fldChar w:fldCharType="separate"/>
                </w:r>
                <w:r w:rsidR="00086147">
                  <w:rPr>
                    <w:webHidden/>
                  </w:rPr>
                  <w:t>3</w:t>
                </w:r>
                <w:r w:rsidR="0014612E">
                  <w:rPr>
                    <w:webHidden/>
                  </w:rPr>
                  <w:fldChar w:fldCharType="end"/>
                </w:r>
              </w:hyperlink>
            </w:p>
            <w:p w14:paraId="2A20C806" w14:textId="77777777" w:rsidR="0014612E" w:rsidRDefault="00296C49">
              <w:pPr>
                <w:pStyle w:val="TOC2"/>
                <w:rPr>
                  <w:rFonts w:asciiTheme="minorHAnsi" w:eastAsiaTheme="minorEastAsia" w:hAnsiTheme="minorHAnsi" w:cstheme="minorBidi"/>
                  <w:color w:val="auto"/>
                  <w:sz w:val="22"/>
                </w:rPr>
              </w:pPr>
              <w:hyperlink w:anchor="_Toc483567935" w:history="1">
                <w:r w:rsidR="0014612E" w:rsidRPr="000A5242">
                  <w:rPr>
                    <w:rStyle w:val="Hyperlink"/>
                  </w:rPr>
                  <w:t>1.4</w:t>
                </w:r>
                <w:r w:rsidR="0014612E">
                  <w:rPr>
                    <w:rFonts w:asciiTheme="minorHAnsi" w:eastAsiaTheme="minorEastAsia" w:hAnsiTheme="minorHAnsi" w:cstheme="minorBidi"/>
                    <w:color w:val="auto"/>
                    <w:sz w:val="22"/>
                  </w:rPr>
                  <w:tab/>
                </w:r>
                <w:r w:rsidR="0014612E" w:rsidRPr="000A5242">
                  <w:rPr>
                    <w:rStyle w:val="Hyperlink"/>
                  </w:rPr>
                  <w:t>Gas well abandonment</w:t>
                </w:r>
                <w:r w:rsidR="0014612E">
                  <w:rPr>
                    <w:webHidden/>
                  </w:rPr>
                  <w:tab/>
                </w:r>
                <w:r w:rsidR="0014612E">
                  <w:rPr>
                    <w:webHidden/>
                  </w:rPr>
                  <w:fldChar w:fldCharType="begin"/>
                </w:r>
                <w:r w:rsidR="0014612E">
                  <w:rPr>
                    <w:webHidden/>
                  </w:rPr>
                  <w:instrText xml:space="preserve"> PAGEREF _Toc483567935 \h </w:instrText>
                </w:r>
                <w:r w:rsidR="0014612E">
                  <w:rPr>
                    <w:webHidden/>
                  </w:rPr>
                </w:r>
                <w:r w:rsidR="0014612E">
                  <w:rPr>
                    <w:webHidden/>
                  </w:rPr>
                  <w:fldChar w:fldCharType="separate"/>
                </w:r>
                <w:r w:rsidR="00086147">
                  <w:rPr>
                    <w:webHidden/>
                  </w:rPr>
                  <w:t>3</w:t>
                </w:r>
                <w:r w:rsidR="0014612E">
                  <w:rPr>
                    <w:webHidden/>
                  </w:rPr>
                  <w:fldChar w:fldCharType="end"/>
                </w:r>
              </w:hyperlink>
            </w:p>
            <w:p w14:paraId="46A64E9E" w14:textId="77777777" w:rsidR="0014612E" w:rsidRDefault="00296C49">
              <w:pPr>
                <w:pStyle w:val="TOC2"/>
                <w:rPr>
                  <w:rFonts w:asciiTheme="minorHAnsi" w:eastAsiaTheme="minorEastAsia" w:hAnsiTheme="minorHAnsi" w:cstheme="minorBidi"/>
                  <w:color w:val="auto"/>
                  <w:sz w:val="22"/>
                </w:rPr>
              </w:pPr>
              <w:hyperlink w:anchor="_Toc483567936" w:history="1">
                <w:r w:rsidR="0014612E" w:rsidRPr="000A5242">
                  <w:rPr>
                    <w:rStyle w:val="Hyperlink"/>
                  </w:rPr>
                  <w:t>1.5</w:t>
                </w:r>
                <w:r w:rsidR="0014612E">
                  <w:rPr>
                    <w:rFonts w:asciiTheme="minorHAnsi" w:eastAsiaTheme="minorEastAsia" w:hAnsiTheme="minorHAnsi" w:cstheme="minorBidi"/>
                    <w:color w:val="auto"/>
                    <w:sz w:val="22"/>
                  </w:rPr>
                  <w:tab/>
                </w:r>
                <w:r w:rsidR="0014612E" w:rsidRPr="000A5242">
                  <w:rPr>
                    <w:rStyle w:val="Hyperlink"/>
                  </w:rPr>
                  <w:t>Coal exploration holes</w:t>
                </w:r>
                <w:r w:rsidR="0014612E">
                  <w:rPr>
                    <w:webHidden/>
                  </w:rPr>
                  <w:tab/>
                </w:r>
                <w:r w:rsidR="0014612E">
                  <w:rPr>
                    <w:webHidden/>
                  </w:rPr>
                  <w:fldChar w:fldCharType="begin"/>
                </w:r>
                <w:r w:rsidR="0014612E">
                  <w:rPr>
                    <w:webHidden/>
                  </w:rPr>
                  <w:instrText xml:space="preserve"> PAGEREF _Toc483567936 \h </w:instrText>
                </w:r>
                <w:r w:rsidR="0014612E">
                  <w:rPr>
                    <w:webHidden/>
                  </w:rPr>
                </w:r>
                <w:r w:rsidR="0014612E">
                  <w:rPr>
                    <w:webHidden/>
                  </w:rPr>
                  <w:fldChar w:fldCharType="separate"/>
                </w:r>
                <w:r w:rsidR="00086147">
                  <w:rPr>
                    <w:webHidden/>
                  </w:rPr>
                  <w:t>5</w:t>
                </w:r>
                <w:r w:rsidR="0014612E">
                  <w:rPr>
                    <w:webHidden/>
                  </w:rPr>
                  <w:fldChar w:fldCharType="end"/>
                </w:r>
              </w:hyperlink>
            </w:p>
            <w:p w14:paraId="7522E554" w14:textId="77777777" w:rsidR="0014612E" w:rsidRDefault="00296C49">
              <w:pPr>
                <w:pStyle w:val="TOC2"/>
                <w:rPr>
                  <w:rFonts w:asciiTheme="minorHAnsi" w:eastAsiaTheme="minorEastAsia" w:hAnsiTheme="minorHAnsi" w:cstheme="minorBidi"/>
                  <w:color w:val="auto"/>
                  <w:sz w:val="22"/>
                </w:rPr>
              </w:pPr>
              <w:hyperlink w:anchor="_Toc483567937" w:history="1">
                <w:r w:rsidR="0014612E" w:rsidRPr="000A5242">
                  <w:rPr>
                    <w:rStyle w:val="Hyperlink"/>
                  </w:rPr>
                  <w:t>1.6</w:t>
                </w:r>
                <w:r w:rsidR="0014612E">
                  <w:rPr>
                    <w:rFonts w:asciiTheme="minorHAnsi" w:eastAsiaTheme="minorEastAsia" w:hAnsiTheme="minorHAnsi" w:cstheme="minorBidi"/>
                    <w:color w:val="auto"/>
                    <w:sz w:val="22"/>
                  </w:rPr>
                  <w:tab/>
                </w:r>
                <w:r w:rsidR="0014612E" w:rsidRPr="000A5242">
                  <w:rPr>
                    <w:rStyle w:val="Hyperlink"/>
                  </w:rPr>
                  <w:t>Monitoring well and bore integrity: review of methods</w:t>
                </w:r>
                <w:r w:rsidR="0014612E">
                  <w:rPr>
                    <w:webHidden/>
                  </w:rPr>
                  <w:tab/>
                </w:r>
                <w:r w:rsidR="0014612E">
                  <w:rPr>
                    <w:webHidden/>
                  </w:rPr>
                  <w:fldChar w:fldCharType="begin"/>
                </w:r>
                <w:r w:rsidR="0014612E">
                  <w:rPr>
                    <w:webHidden/>
                  </w:rPr>
                  <w:instrText xml:space="preserve"> PAGEREF _Toc483567937 \h </w:instrText>
                </w:r>
                <w:r w:rsidR="0014612E">
                  <w:rPr>
                    <w:webHidden/>
                  </w:rPr>
                </w:r>
                <w:r w:rsidR="0014612E">
                  <w:rPr>
                    <w:webHidden/>
                  </w:rPr>
                  <w:fldChar w:fldCharType="separate"/>
                </w:r>
                <w:r w:rsidR="00086147">
                  <w:rPr>
                    <w:webHidden/>
                  </w:rPr>
                  <w:t>5</w:t>
                </w:r>
                <w:r w:rsidR="0014612E">
                  <w:rPr>
                    <w:webHidden/>
                  </w:rPr>
                  <w:fldChar w:fldCharType="end"/>
                </w:r>
              </w:hyperlink>
            </w:p>
            <w:p w14:paraId="56C4B0DD" w14:textId="77777777" w:rsidR="0014612E" w:rsidRDefault="00296C49">
              <w:pPr>
                <w:pStyle w:val="TOC3"/>
                <w:rPr>
                  <w:rFonts w:asciiTheme="minorHAnsi" w:eastAsiaTheme="minorEastAsia" w:hAnsiTheme="minorHAnsi" w:cstheme="minorBidi"/>
                  <w:noProof/>
                  <w:color w:val="auto"/>
                  <w:sz w:val="22"/>
                </w:rPr>
              </w:pPr>
              <w:hyperlink w:anchor="_Toc483567938" w:history="1">
                <w:r w:rsidR="0014612E" w:rsidRPr="000A5242">
                  <w:rPr>
                    <w:rStyle w:val="Hyperlink"/>
                    <w:noProof/>
                  </w:rPr>
                  <w:t>1.6.1</w:t>
                </w:r>
                <w:r w:rsidR="0014612E">
                  <w:rPr>
                    <w:rFonts w:asciiTheme="minorHAnsi" w:eastAsiaTheme="minorEastAsia" w:hAnsiTheme="minorHAnsi" w:cstheme="minorBidi"/>
                    <w:noProof/>
                    <w:color w:val="auto"/>
                    <w:sz w:val="22"/>
                  </w:rPr>
                  <w:tab/>
                </w:r>
                <w:r w:rsidR="0014612E" w:rsidRPr="000A5242">
                  <w:rPr>
                    <w:rStyle w:val="Hyperlink"/>
                    <w:noProof/>
                  </w:rPr>
                  <w:t>Water bores</w:t>
                </w:r>
                <w:r w:rsidR="0014612E">
                  <w:rPr>
                    <w:noProof/>
                    <w:webHidden/>
                  </w:rPr>
                  <w:tab/>
                </w:r>
                <w:r w:rsidR="0014612E">
                  <w:rPr>
                    <w:noProof/>
                    <w:webHidden/>
                  </w:rPr>
                  <w:fldChar w:fldCharType="begin"/>
                </w:r>
                <w:r w:rsidR="0014612E">
                  <w:rPr>
                    <w:noProof/>
                    <w:webHidden/>
                  </w:rPr>
                  <w:instrText xml:space="preserve"> PAGEREF _Toc483567938 \h </w:instrText>
                </w:r>
                <w:r w:rsidR="0014612E">
                  <w:rPr>
                    <w:noProof/>
                    <w:webHidden/>
                  </w:rPr>
                </w:r>
                <w:r w:rsidR="0014612E">
                  <w:rPr>
                    <w:noProof/>
                    <w:webHidden/>
                  </w:rPr>
                  <w:fldChar w:fldCharType="separate"/>
                </w:r>
                <w:r w:rsidR="00086147">
                  <w:rPr>
                    <w:noProof/>
                    <w:webHidden/>
                  </w:rPr>
                  <w:t>5</w:t>
                </w:r>
                <w:r w:rsidR="0014612E">
                  <w:rPr>
                    <w:noProof/>
                    <w:webHidden/>
                  </w:rPr>
                  <w:fldChar w:fldCharType="end"/>
                </w:r>
              </w:hyperlink>
            </w:p>
            <w:p w14:paraId="52C1F71C" w14:textId="77777777" w:rsidR="0014612E" w:rsidRDefault="00296C49">
              <w:pPr>
                <w:pStyle w:val="TOC3"/>
                <w:rPr>
                  <w:rFonts w:asciiTheme="minorHAnsi" w:eastAsiaTheme="minorEastAsia" w:hAnsiTheme="minorHAnsi" w:cstheme="minorBidi"/>
                  <w:noProof/>
                  <w:color w:val="auto"/>
                  <w:sz w:val="22"/>
                </w:rPr>
              </w:pPr>
              <w:hyperlink w:anchor="_Toc483567939" w:history="1">
                <w:r w:rsidR="0014612E" w:rsidRPr="000A5242">
                  <w:rPr>
                    <w:rStyle w:val="Hyperlink"/>
                    <w:noProof/>
                  </w:rPr>
                  <w:t>1.6.2</w:t>
                </w:r>
                <w:r w:rsidR="0014612E">
                  <w:rPr>
                    <w:rFonts w:asciiTheme="minorHAnsi" w:eastAsiaTheme="minorEastAsia" w:hAnsiTheme="minorHAnsi" w:cstheme="minorBidi"/>
                    <w:noProof/>
                    <w:color w:val="auto"/>
                    <w:sz w:val="22"/>
                  </w:rPr>
                  <w:tab/>
                </w:r>
                <w:r w:rsidR="0014612E" w:rsidRPr="000A5242">
                  <w:rPr>
                    <w:rStyle w:val="Hyperlink"/>
                    <w:noProof/>
                  </w:rPr>
                  <w:t>Injection wells</w:t>
                </w:r>
                <w:r w:rsidR="0014612E">
                  <w:rPr>
                    <w:noProof/>
                    <w:webHidden/>
                  </w:rPr>
                  <w:tab/>
                </w:r>
                <w:r w:rsidR="0014612E">
                  <w:rPr>
                    <w:noProof/>
                    <w:webHidden/>
                  </w:rPr>
                  <w:fldChar w:fldCharType="begin"/>
                </w:r>
                <w:r w:rsidR="0014612E">
                  <w:rPr>
                    <w:noProof/>
                    <w:webHidden/>
                  </w:rPr>
                  <w:instrText xml:space="preserve"> PAGEREF _Toc483567939 \h </w:instrText>
                </w:r>
                <w:r w:rsidR="0014612E">
                  <w:rPr>
                    <w:noProof/>
                    <w:webHidden/>
                  </w:rPr>
                </w:r>
                <w:r w:rsidR="0014612E">
                  <w:rPr>
                    <w:noProof/>
                    <w:webHidden/>
                  </w:rPr>
                  <w:fldChar w:fldCharType="separate"/>
                </w:r>
                <w:r w:rsidR="00086147">
                  <w:rPr>
                    <w:noProof/>
                    <w:webHidden/>
                  </w:rPr>
                  <w:t>6</w:t>
                </w:r>
                <w:r w:rsidR="0014612E">
                  <w:rPr>
                    <w:noProof/>
                    <w:webHidden/>
                  </w:rPr>
                  <w:fldChar w:fldCharType="end"/>
                </w:r>
              </w:hyperlink>
            </w:p>
            <w:p w14:paraId="7631CB6E" w14:textId="77777777" w:rsidR="0014612E" w:rsidRDefault="00296C49">
              <w:pPr>
                <w:pStyle w:val="TOC3"/>
                <w:rPr>
                  <w:rFonts w:asciiTheme="minorHAnsi" w:eastAsiaTheme="minorEastAsia" w:hAnsiTheme="minorHAnsi" w:cstheme="minorBidi"/>
                  <w:noProof/>
                  <w:color w:val="auto"/>
                  <w:sz w:val="22"/>
                </w:rPr>
              </w:pPr>
              <w:hyperlink w:anchor="_Toc483567940" w:history="1">
                <w:r w:rsidR="0014612E" w:rsidRPr="000A5242">
                  <w:rPr>
                    <w:rStyle w:val="Hyperlink"/>
                    <w:noProof/>
                  </w:rPr>
                  <w:t>1.6.3</w:t>
                </w:r>
                <w:r w:rsidR="0014612E">
                  <w:rPr>
                    <w:rFonts w:asciiTheme="minorHAnsi" w:eastAsiaTheme="minorEastAsia" w:hAnsiTheme="minorHAnsi" w:cstheme="minorBidi"/>
                    <w:noProof/>
                    <w:color w:val="auto"/>
                    <w:sz w:val="22"/>
                  </w:rPr>
                  <w:tab/>
                </w:r>
                <w:r w:rsidR="0014612E" w:rsidRPr="000A5242">
                  <w:rPr>
                    <w:rStyle w:val="Hyperlink"/>
                    <w:noProof/>
                  </w:rPr>
                  <w:t>Wellbore in a CO</w:t>
                </w:r>
                <w:r w:rsidR="0014612E" w:rsidRPr="000A5242">
                  <w:rPr>
                    <w:rStyle w:val="Hyperlink"/>
                    <w:noProof/>
                    <w:vertAlign w:val="subscript"/>
                  </w:rPr>
                  <w:t>2</w:t>
                </w:r>
                <w:r w:rsidR="0014612E" w:rsidRPr="000A5242">
                  <w:rPr>
                    <w:rStyle w:val="Hyperlink"/>
                    <w:noProof/>
                  </w:rPr>
                  <w:t>-rich environment</w:t>
                </w:r>
                <w:r w:rsidR="0014612E">
                  <w:rPr>
                    <w:noProof/>
                    <w:webHidden/>
                  </w:rPr>
                  <w:tab/>
                </w:r>
                <w:r w:rsidR="0014612E">
                  <w:rPr>
                    <w:noProof/>
                    <w:webHidden/>
                  </w:rPr>
                  <w:fldChar w:fldCharType="begin"/>
                </w:r>
                <w:r w:rsidR="0014612E">
                  <w:rPr>
                    <w:noProof/>
                    <w:webHidden/>
                  </w:rPr>
                  <w:instrText xml:space="preserve"> PAGEREF _Toc483567940 \h </w:instrText>
                </w:r>
                <w:r w:rsidR="0014612E">
                  <w:rPr>
                    <w:noProof/>
                    <w:webHidden/>
                  </w:rPr>
                </w:r>
                <w:r w:rsidR="0014612E">
                  <w:rPr>
                    <w:noProof/>
                    <w:webHidden/>
                  </w:rPr>
                  <w:fldChar w:fldCharType="separate"/>
                </w:r>
                <w:r w:rsidR="00086147">
                  <w:rPr>
                    <w:noProof/>
                    <w:webHidden/>
                  </w:rPr>
                  <w:t>6</w:t>
                </w:r>
                <w:r w:rsidR="0014612E">
                  <w:rPr>
                    <w:noProof/>
                    <w:webHidden/>
                  </w:rPr>
                  <w:fldChar w:fldCharType="end"/>
                </w:r>
              </w:hyperlink>
            </w:p>
            <w:p w14:paraId="6F562821" w14:textId="77777777" w:rsidR="0014612E" w:rsidRDefault="00296C49">
              <w:pPr>
                <w:pStyle w:val="TOC1"/>
                <w:rPr>
                  <w:rFonts w:asciiTheme="minorHAnsi" w:eastAsiaTheme="minorEastAsia" w:hAnsiTheme="minorHAnsi" w:cstheme="minorBidi"/>
                  <w:b w:val="0"/>
                  <w:color w:val="auto"/>
                  <w:sz w:val="22"/>
                </w:rPr>
              </w:pPr>
              <w:hyperlink w:anchor="_Toc483567941" w:history="1">
                <w:r w:rsidR="0014612E" w:rsidRPr="000A5242">
                  <w:rPr>
                    <w:rStyle w:val="Hyperlink"/>
                  </w:rPr>
                  <w:t>2</w:t>
                </w:r>
                <w:r w:rsidR="0014612E">
                  <w:rPr>
                    <w:rFonts w:asciiTheme="minorHAnsi" w:eastAsiaTheme="minorEastAsia" w:hAnsiTheme="minorHAnsi" w:cstheme="minorBidi"/>
                    <w:b w:val="0"/>
                    <w:color w:val="auto"/>
                    <w:sz w:val="22"/>
                  </w:rPr>
                  <w:tab/>
                </w:r>
                <w:r w:rsidR="0014612E" w:rsidRPr="000A5242">
                  <w:rPr>
                    <w:rStyle w:val="Hyperlink"/>
                  </w:rPr>
                  <w:t>Conceptualisation of leaky wells</w:t>
                </w:r>
                <w:r w:rsidR="0014612E">
                  <w:rPr>
                    <w:webHidden/>
                  </w:rPr>
                  <w:tab/>
                </w:r>
                <w:r w:rsidR="0014612E">
                  <w:rPr>
                    <w:webHidden/>
                  </w:rPr>
                  <w:fldChar w:fldCharType="begin"/>
                </w:r>
                <w:r w:rsidR="0014612E">
                  <w:rPr>
                    <w:webHidden/>
                  </w:rPr>
                  <w:instrText xml:space="preserve"> PAGEREF _Toc483567941 \h </w:instrText>
                </w:r>
                <w:r w:rsidR="0014612E">
                  <w:rPr>
                    <w:webHidden/>
                  </w:rPr>
                </w:r>
                <w:r w:rsidR="0014612E">
                  <w:rPr>
                    <w:webHidden/>
                  </w:rPr>
                  <w:fldChar w:fldCharType="separate"/>
                </w:r>
                <w:r w:rsidR="00086147">
                  <w:rPr>
                    <w:webHidden/>
                  </w:rPr>
                  <w:t>7</w:t>
                </w:r>
                <w:r w:rsidR="0014612E">
                  <w:rPr>
                    <w:webHidden/>
                  </w:rPr>
                  <w:fldChar w:fldCharType="end"/>
                </w:r>
              </w:hyperlink>
            </w:p>
            <w:p w14:paraId="574E6CDA" w14:textId="77777777" w:rsidR="0014612E" w:rsidRDefault="00296C49">
              <w:pPr>
                <w:pStyle w:val="TOC2"/>
                <w:rPr>
                  <w:rFonts w:asciiTheme="minorHAnsi" w:eastAsiaTheme="minorEastAsia" w:hAnsiTheme="minorHAnsi" w:cstheme="minorBidi"/>
                  <w:color w:val="auto"/>
                  <w:sz w:val="22"/>
                </w:rPr>
              </w:pPr>
              <w:hyperlink w:anchor="_Toc483567942" w:history="1">
                <w:r w:rsidR="0014612E" w:rsidRPr="000A5242">
                  <w:rPr>
                    <w:rStyle w:val="Hyperlink"/>
                  </w:rPr>
                  <w:t>2.1</w:t>
                </w:r>
                <w:r w:rsidR="0014612E">
                  <w:rPr>
                    <w:rFonts w:asciiTheme="minorHAnsi" w:eastAsiaTheme="minorEastAsia" w:hAnsiTheme="minorHAnsi" w:cstheme="minorBidi"/>
                    <w:color w:val="auto"/>
                    <w:sz w:val="22"/>
                  </w:rPr>
                  <w:tab/>
                </w:r>
                <w:r w:rsidR="0014612E" w:rsidRPr="000A5242">
                  <w:rPr>
                    <w:rStyle w:val="Hyperlink"/>
                  </w:rPr>
                  <w:t>Previous seepage pathway conceptualisations</w:t>
                </w:r>
                <w:r w:rsidR="0014612E">
                  <w:rPr>
                    <w:webHidden/>
                  </w:rPr>
                  <w:tab/>
                </w:r>
                <w:r w:rsidR="0014612E">
                  <w:rPr>
                    <w:webHidden/>
                  </w:rPr>
                  <w:fldChar w:fldCharType="begin"/>
                </w:r>
                <w:r w:rsidR="0014612E">
                  <w:rPr>
                    <w:webHidden/>
                  </w:rPr>
                  <w:instrText xml:space="preserve"> PAGEREF _Toc483567942 \h </w:instrText>
                </w:r>
                <w:r w:rsidR="0014612E">
                  <w:rPr>
                    <w:webHidden/>
                  </w:rPr>
                </w:r>
                <w:r w:rsidR="0014612E">
                  <w:rPr>
                    <w:webHidden/>
                  </w:rPr>
                  <w:fldChar w:fldCharType="separate"/>
                </w:r>
                <w:r w:rsidR="00086147">
                  <w:rPr>
                    <w:webHidden/>
                  </w:rPr>
                  <w:t>7</w:t>
                </w:r>
                <w:r w:rsidR="0014612E">
                  <w:rPr>
                    <w:webHidden/>
                  </w:rPr>
                  <w:fldChar w:fldCharType="end"/>
                </w:r>
              </w:hyperlink>
            </w:p>
            <w:p w14:paraId="76B2D291" w14:textId="77777777" w:rsidR="0014612E" w:rsidRDefault="00296C49">
              <w:pPr>
                <w:pStyle w:val="TOC2"/>
                <w:rPr>
                  <w:rFonts w:asciiTheme="minorHAnsi" w:eastAsiaTheme="minorEastAsia" w:hAnsiTheme="minorHAnsi" w:cstheme="minorBidi"/>
                  <w:color w:val="auto"/>
                  <w:sz w:val="22"/>
                </w:rPr>
              </w:pPr>
              <w:hyperlink w:anchor="_Toc483567943" w:history="1">
                <w:r w:rsidR="0014612E" w:rsidRPr="000A5242">
                  <w:rPr>
                    <w:rStyle w:val="Hyperlink"/>
                  </w:rPr>
                  <w:t>2.2</w:t>
                </w:r>
                <w:r w:rsidR="0014612E">
                  <w:rPr>
                    <w:rFonts w:asciiTheme="minorHAnsi" w:eastAsiaTheme="minorEastAsia" w:hAnsiTheme="minorHAnsi" w:cstheme="minorBidi"/>
                    <w:color w:val="auto"/>
                    <w:sz w:val="22"/>
                  </w:rPr>
                  <w:tab/>
                </w:r>
                <w:r w:rsidR="0014612E" w:rsidRPr="000A5242">
                  <w:rPr>
                    <w:rStyle w:val="Hyperlink"/>
                  </w:rPr>
                  <w:t>Exploring the potential for regional-scale impacts</w:t>
                </w:r>
                <w:r w:rsidR="0014612E">
                  <w:rPr>
                    <w:webHidden/>
                  </w:rPr>
                  <w:tab/>
                </w:r>
                <w:r w:rsidR="0014612E">
                  <w:rPr>
                    <w:webHidden/>
                  </w:rPr>
                  <w:fldChar w:fldCharType="begin"/>
                </w:r>
                <w:r w:rsidR="0014612E">
                  <w:rPr>
                    <w:webHidden/>
                  </w:rPr>
                  <w:instrText xml:space="preserve"> PAGEREF _Toc483567943 \h </w:instrText>
                </w:r>
                <w:r w:rsidR="0014612E">
                  <w:rPr>
                    <w:webHidden/>
                  </w:rPr>
                </w:r>
                <w:r w:rsidR="0014612E">
                  <w:rPr>
                    <w:webHidden/>
                  </w:rPr>
                  <w:fldChar w:fldCharType="separate"/>
                </w:r>
                <w:r w:rsidR="00086147">
                  <w:rPr>
                    <w:webHidden/>
                  </w:rPr>
                  <w:t>10</w:t>
                </w:r>
                <w:r w:rsidR="0014612E">
                  <w:rPr>
                    <w:webHidden/>
                  </w:rPr>
                  <w:fldChar w:fldCharType="end"/>
                </w:r>
              </w:hyperlink>
            </w:p>
            <w:p w14:paraId="4544E9AE" w14:textId="77777777" w:rsidR="0014612E" w:rsidRDefault="00296C49">
              <w:pPr>
                <w:pStyle w:val="TOC1"/>
                <w:rPr>
                  <w:rFonts w:asciiTheme="minorHAnsi" w:eastAsiaTheme="minorEastAsia" w:hAnsiTheme="minorHAnsi" w:cstheme="minorBidi"/>
                  <w:b w:val="0"/>
                  <w:color w:val="auto"/>
                  <w:sz w:val="22"/>
                </w:rPr>
              </w:pPr>
              <w:hyperlink w:anchor="_Toc483567944" w:history="1">
                <w:r w:rsidR="0014612E" w:rsidRPr="000A5242">
                  <w:rPr>
                    <w:rStyle w:val="Hyperlink"/>
                  </w:rPr>
                  <w:t>3</w:t>
                </w:r>
                <w:r w:rsidR="0014612E">
                  <w:rPr>
                    <w:rFonts w:asciiTheme="minorHAnsi" w:eastAsiaTheme="minorEastAsia" w:hAnsiTheme="minorHAnsi" w:cstheme="minorBidi"/>
                    <w:b w:val="0"/>
                    <w:color w:val="auto"/>
                    <w:sz w:val="22"/>
                  </w:rPr>
                  <w:tab/>
                </w:r>
                <w:r w:rsidR="0014612E" w:rsidRPr="000A5242">
                  <w:rPr>
                    <w:rStyle w:val="Hyperlink"/>
                  </w:rPr>
                  <w:t>Numerical groundwater flow model development</w:t>
                </w:r>
                <w:r w:rsidR="0014612E">
                  <w:rPr>
                    <w:webHidden/>
                  </w:rPr>
                  <w:tab/>
                </w:r>
                <w:r w:rsidR="0014612E">
                  <w:rPr>
                    <w:webHidden/>
                  </w:rPr>
                  <w:fldChar w:fldCharType="begin"/>
                </w:r>
                <w:r w:rsidR="0014612E">
                  <w:rPr>
                    <w:webHidden/>
                  </w:rPr>
                  <w:instrText xml:space="preserve"> PAGEREF _Toc483567944 \h </w:instrText>
                </w:r>
                <w:r w:rsidR="0014612E">
                  <w:rPr>
                    <w:webHidden/>
                  </w:rPr>
                </w:r>
                <w:r w:rsidR="0014612E">
                  <w:rPr>
                    <w:webHidden/>
                  </w:rPr>
                  <w:fldChar w:fldCharType="separate"/>
                </w:r>
                <w:r w:rsidR="00086147">
                  <w:rPr>
                    <w:webHidden/>
                  </w:rPr>
                  <w:t>11</w:t>
                </w:r>
                <w:r w:rsidR="0014612E">
                  <w:rPr>
                    <w:webHidden/>
                  </w:rPr>
                  <w:fldChar w:fldCharType="end"/>
                </w:r>
              </w:hyperlink>
            </w:p>
            <w:p w14:paraId="7FC58C5A" w14:textId="77777777" w:rsidR="0014612E" w:rsidRDefault="00296C49">
              <w:pPr>
                <w:pStyle w:val="TOC2"/>
                <w:rPr>
                  <w:rFonts w:asciiTheme="minorHAnsi" w:eastAsiaTheme="minorEastAsia" w:hAnsiTheme="minorHAnsi" w:cstheme="minorBidi"/>
                  <w:color w:val="auto"/>
                  <w:sz w:val="22"/>
                </w:rPr>
              </w:pPr>
              <w:hyperlink w:anchor="_Toc483567945" w:history="1">
                <w:r w:rsidR="0014612E" w:rsidRPr="000A5242">
                  <w:rPr>
                    <w:rStyle w:val="Hyperlink"/>
                  </w:rPr>
                  <w:t>3.1</w:t>
                </w:r>
                <w:r w:rsidR="0014612E">
                  <w:rPr>
                    <w:rFonts w:asciiTheme="minorHAnsi" w:eastAsiaTheme="minorEastAsia" w:hAnsiTheme="minorHAnsi" w:cstheme="minorBidi"/>
                    <w:color w:val="auto"/>
                    <w:sz w:val="22"/>
                  </w:rPr>
                  <w:tab/>
                </w:r>
                <w:r w:rsidR="0014612E" w:rsidRPr="000A5242">
                  <w:rPr>
                    <w:rStyle w:val="Hyperlink"/>
                  </w:rPr>
                  <w:t>Case study area</w:t>
                </w:r>
                <w:r w:rsidR="0014612E">
                  <w:rPr>
                    <w:webHidden/>
                  </w:rPr>
                  <w:tab/>
                </w:r>
                <w:r w:rsidR="0014612E">
                  <w:rPr>
                    <w:webHidden/>
                  </w:rPr>
                  <w:fldChar w:fldCharType="begin"/>
                </w:r>
                <w:r w:rsidR="0014612E">
                  <w:rPr>
                    <w:webHidden/>
                  </w:rPr>
                  <w:instrText xml:space="preserve"> PAGEREF _Toc483567945 \h </w:instrText>
                </w:r>
                <w:r w:rsidR="0014612E">
                  <w:rPr>
                    <w:webHidden/>
                  </w:rPr>
                </w:r>
                <w:r w:rsidR="0014612E">
                  <w:rPr>
                    <w:webHidden/>
                  </w:rPr>
                  <w:fldChar w:fldCharType="separate"/>
                </w:r>
                <w:r w:rsidR="00086147">
                  <w:rPr>
                    <w:webHidden/>
                  </w:rPr>
                  <w:t>11</w:t>
                </w:r>
                <w:r w:rsidR="0014612E">
                  <w:rPr>
                    <w:webHidden/>
                  </w:rPr>
                  <w:fldChar w:fldCharType="end"/>
                </w:r>
              </w:hyperlink>
            </w:p>
            <w:p w14:paraId="58A65839" w14:textId="77777777" w:rsidR="0014612E" w:rsidRDefault="00296C49">
              <w:pPr>
                <w:pStyle w:val="TOC2"/>
                <w:rPr>
                  <w:rFonts w:asciiTheme="minorHAnsi" w:eastAsiaTheme="minorEastAsia" w:hAnsiTheme="minorHAnsi" w:cstheme="minorBidi"/>
                  <w:color w:val="auto"/>
                  <w:sz w:val="22"/>
                </w:rPr>
              </w:pPr>
              <w:hyperlink w:anchor="_Toc483567946" w:history="1">
                <w:r w:rsidR="0014612E" w:rsidRPr="000A5242">
                  <w:rPr>
                    <w:rStyle w:val="Hyperlink"/>
                  </w:rPr>
                  <w:t>3.2</w:t>
                </w:r>
                <w:r w:rsidR="0014612E">
                  <w:rPr>
                    <w:rFonts w:asciiTheme="minorHAnsi" w:eastAsiaTheme="minorEastAsia" w:hAnsiTheme="minorHAnsi" w:cstheme="minorBidi"/>
                    <w:color w:val="auto"/>
                    <w:sz w:val="22"/>
                  </w:rPr>
                  <w:tab/>
                </w:r>
                <w:r w:rsidR="0014612E" w:rsidRPr="000A5242">
                  <w:rPr>
                    <w:rStyle w:val="Hyperlink"/>
                  </w:rPr>
                  <w:t>Model implementation of leakage pathways</w:t>
                </w:r>
                <w:r w:rsidR="0014612E">
                  <w:rPr>
                    <w:webHidden/>
                  </w:rPr>
                  <w:tab/>
                </w:r>
                <w:r w:rsidR="0014612E">
                  <w:rPr>
                    <w:webHidden/>
                  </w:rPr>
                  <w:fldChar w:fldCharType="begin"/>
                </w:r>
                <w:r w:rsidR="0014612E">
                  <w:rPr>
                    <w:webHidden/>
                  </w:rPr>
                  <w:instrText xml:space="preserve"> PAGEREF _Toc483567946 \h </w:instrText>
                </w:r>
                <w:r w:rsidR="0014612E">
                  <w:rPr>
                    <w:webHidden/>
                  </w:rPr>
                </w:r>
                <w:r w:rsidR="0014612E">
                  <w:rPr>
                    <w:webHidden/>
                  </w:rPr>
                  <w:fldChar w:fldCharType="separate"/>
                </w:r>
                <w:r w:rsidR="00086147">
                  <w:rPr>
                    <w:webHidden/>
                  </w:rPr>
                  <w:t>17</w:t>
                </w:r>
                <w:r w:rsidR="0014612E">
                  <w:rPr>
                    <w:webHidden/>
                  </w:rPr>
                  <w:fldChar w:fldCharType="end"/>
                </w:r>
              </w:hyperlink>
            </w:p>
            <w:p w14:paraId="0093628B" w14:textId="77777777" w:rsidR="0014612E" w:rsidRDefault="00296C49">
              <w:pPr>
                <w:pStyle w:val="TOC2"/>
                <w:rPr>
                  <w:rFonts w:asciiTheme="minorHAnsi" w:eastAsiaTheme="minorEastAsia" w:hAnsiTheme="minorHAnsi" w:cstheme="minorBidi"/>
                  <w:color w:val="auto"/>
                  <w:sz w:val="22"/>
                </w:rPr>
              </w:pPr>
              <w:hyperlink w:anchor="_Toc483567947" w:history="1">
                <w:r w:rsidR="0014612E" w:rsidRPr="000A5242">
                  <w:rPr>
                    <w:rStyle w:val="Hyperlink"/>
                  </w:rPr>
                  <w:t>3.3</w:t>
                </w:r>
                <w:r w:rsidR="0014612E">
                  <w:rPr>
                    <w:rFonts w:asciiTheme="minorHAnsi" w:eastAsiaTheme="minorEastAsia" w:hAnsiTheme="minorHAnsi" w:cstheme="minorBidi"/>
                    <w:color w:val="auto"/>
                    <w:sz w:val="22"/>
                  </w:rPr>
                  <w:tab/>
                </w:r>
                <w:r w:rsidR="0014612E" w:rsidRPr="000A5242">
                  <w:rPr>
                    <w:rStyle w:val="Hyperlink"/>
                  </w:rPr>
                  <w:t>Groundwater impact metrics</w:t>
                </w:r>
                <w:r w:rsidR="0014612E">
                  <w:rPr>
                    <w:webHidden/>
                  </w:rPr>
                  <w:tab/>
                </w:r>
                <w:r w:rsidR="0014612E">
                  <w:rPr>
                    <w:webHidden/>
                  </w:rPr>
                  <w:fldChar w:fldCharType="begin"/>
                </w:r>
                <w:r w:rsidR="0014612E">
                  <w:rPr>
                    <w:webHidden/>
                  </w:rPr>
                  <w:instrText xml:space="preserve"> PAGEREF _Toc483567947 \h </w:instrText>
                </w:r>
                <w:r w:rsidR="0014612E">
                  <w:rPr>
                    <w:webHidden/>
                  </w:rPr>
                </w:r>
                <w:r w:rsidR="0014612E">
                  <w:rPr>
                    <w:webHidden/>
                  </w:rPr>
                  <w:fldChar w:fldCharType="separate"/>
                </w:r>
                <w:r w:rsidR="00086147">
                  <w:rPr>
                    <w:webHidden/>
                  </w:rPr>
                  <w:t>20</w:t>
                </w:r>
                <w:r w:rsidR="0014612E">
                  <w:rPr>
                    <w:webHidden/>
                  </w:rPr>
                  <w:fldChar w:fldCharType="end"/>
                </w:r>
              </w:hyperlink>
            </w:p>
            <w:p w14:paraId="31382E30" w14:textId="77777777" w:rsidR="0014612E" w:rsidRDefault="00296C49">
              <w:pPr>
                <w:pStyle w:val="TOC1"/>
                <w:rPr>
                  <w:rFonts w:asciiTheme="minorHAnsi" w:eastAsiaTheme="minorEastAsia" w:hAnsiTheme="minorHAnsi" w:cstheme="minorBidi"/>
                  <w:b w:val="0"/>
                  <w:color w:val="auto"/>
                  <w:sz w:val="22"/>
                </w:rPr>
              </w:pPr>
              <w:hyperlink w:anchor="_Toc483567948" w:history="1">
                <w:r w:rsidR="0014612E" w:rsidRPr="000A5242">
                  <w:rPr>
                    <w:rStyle w:val="Hyperlink"/>
                  </w:rPr>
                  <w:t>4</w:t>
                </w:r>
                <w:r w:rsidR="0014612E">
                  <w:rPr>
                    <w:rFonts w:asciiTheme="minorHAnsi" w:eastAsiaTheme="minorEastAsia" w:hAnsiTheme="minorHAnsi" w:cstheme="minorBidi"/>
                    <w:b w:val="0"/>
                    <w:color w:val="auto"/>
                    <w:sz w:val="22"/>
                  </w:rPr>
                  <w:tab/>
                </w:r>
                <w:r w:rsidR="0014612E" w:rsidRPr="000A5242">
                  <w:rPr>
                    <w:rStyle w:val="Hyperlink"/>
                  </w:rPr>
                  <w:t>Regional-scale groundwater impact modelling</w:t>
                </w:r>
                <w:r w:rsidR="0014612E">
                  <w:rPr>
                    <w:webHidden/>
                  </w:rPr>
                  <w:tab/>
                </w:r>
                <w:r w:rsidR="0014612E">
                  <w:rPr>
                    <w:webHidden/>
                  </w:rPr>
                  <w:fldChar w:fldCharType="begin"/>
                </w:r>
                <w:r w:rsidR="0014612E">
                  <w:rPr>
                    <w:webHidden/>
                  </w:rPr>
                  <w:instrText xml:space="preserve"> PAGEREF _Toc483567948 \h </w:instrText>
                </w:r>
                <w:r w:rsidR="0014612E">
                  <w:rPr>
                    <w:webHidden/>
                  </w:rPr>
                </w:r>
                <w:r w:rsidR="0014612E">
                  <w:rPr>
                    <w:webHidden/>
                  </w:rPr>
                  <w:fldChar w:fldCharType="separate"/>
                </w:r>
                <w:r w:rsidR="00086147">
                  <w:rPr>
                    <w:webHidden/>
                  </w:rPr>
                  <w:t>22</w:t>
                </w:r>
                <w:r w:rsidR="0014612E">
                  <w:rPr>
                    <w:webHidden/>
                  </w:rPr>
                  <w:fldChar w:fldCharType="end"/>
                </w:r>
              </w:hyperlink>
            </w:p>
            <w:p w14:paraId="5350AA0D" w14:textId="77777777" w:rsidR="0014612E" w:rsidRDefault="00296C49">
              <w:pPr>
                <w:pStyle w:val="TOC2"/>
                <w:rPr>
                  <w:rFonts w:asciiTheme="minorHAnsi" w:eastAsiaTheme="minorEastAsia" w:hAnsiTheme="minorHAnsi" w:cstheme="minorBidi"/>
                  <w:color w:val="auto"/>
                  <w:sz w:val="22"/>
                </w:rPr>
              </w:pPr>
              <w:hyperlink w:anchor="_Toc483567949" w:history="1">
                <w:r w:rsidR="0014612E" w:rsidRPr="000A5242">
                  <w:rPr>
                    <w:rStyle w:val="Hyperlink"/>
                  </w:rPr>
                  <w:t>4.1</w:t>
                </w:r>
                <w:r w:rsidR="0014612E">
                  <w:rPr>
                    <w:rFonts w:asciiTheme="minorHAnsi" w:eastAsiaTheme="minorEastAsia" w:hAnsiTheme="minorHAnsi" w:cstheme="minorBidi"/>
                    <w:color w:val="auto"/>
                    <w:sz w:val="22"/>
                  </w:rPr>
                  <w:tab/>
                </w:r>
                <w:r w:rsidR="0014612E" w:rsidRPr="000A5242">
                  <w:rPr>
                    <w:rStyle w:val="Hyperlink"/>
                  </w:rPr>
                  <w:t>Metric 1: Groundwater level response</w:t>
                </w:r>
                <w:r w:rsidR="0014612E">
                  <w:rPr>
                    <w:webHidden/>
                  </w:rPr>
                  <w:tab/>
                </w:r>
                <w:r w:rsidR="0014612E">
                  <w:rPr>
                    <w:webHidden/>
                  </w:rPr>
                  <w:fldChar w:fldCharType="begin"/>
                </w:r>
                <w:r w:rsidR="0014612E">
                  <w:rPr>
                    <w:webHidden/>
                  </w:rPr>
                  <w:instrText xml:space="preserve"> PAGEREF _Toc483567949 \h </w:instrText>
                </w:r>
                <w:r w:rsidR="0014612E">
                  <w:rPr>
                    <w:webHidden/>
                  </w:rPr>
                </w:r>
                <w:r w:rsidR="0014612E">
                  <w:rPr>
                    <w:webHidden/>
                  </w:rPr>
                  <w:fldChar w:fldCharType="separate"/>
                </w:r>
                <w:r w:rsidR="00086147">
                  <w:rPr>
                    <w:webHidden/>
                  </w:rPr>
                  <w:t>22</w:t>
                </w:r>
                <w:r w:rsidR="0014612E">
                  <w:rPr>
                    <w:webHidden/>
                  </w:rPr>
                  <w:fldChar w:fldCharType="end"/>
                </w:r>
              </w:hyperlink>
            </w:p>
            <w:p w14:paraId="5898860E" w14:textId="1010F9BA" w:rsidR="0014612E" w:rsidRDefault="00296C49">
              <w:pPr>
                <w:pStyle w:val="TOC2"/>
                <w:rPr>
                  <w:rFonts w:asciiTheme="minorHAnsi" w:eastAsiaTheme="minorEastAsia" w:hAnsiTheme="minorHAnsi" w:cstheme="minorBidi"/>
                  <w:color w:val="auto"/>
                  <w:sz w:val="22"/>
                </w:rPr>
              </w:pPr>
              <w:hyperlink w:anchor="_Toc483567950" w:history="1">
                <w:r w:rsidR="0014612E" w:rsidRPr="000A5242">
                  <w:rPr>
                    <w:rStyle w:val="Hyperlink"/>
                  </w:rPr>
                  <w:t>4.2</w:t>
                </w:r>
                <w:r w:rsidR="0014612E">
                  <w:rPr>
                    <w:rFonts w:asciiTheme="minorHAnsi" w:eastAsiaTheme="minorEastAsia" w:hAnsiTheme="minorHAnsi" w:cstheme="minorBidi"/>
                    <w:color w:val="auto"/>
                    <w:sz w:val="22"/>
                  </w:rPr>
                  <w:tab/>
                </w:r>
                <w:r w:rsidR="0014612E" w:rsidRPr="000A5242">
                  <w:rPr>
                    <w:rStyle w:val="Hyperlink"/>
                  </w:rPr>
                  <w:t>Metric 2: Contribution of well failure to overall inter-aquifer groundwater exchange</w:t>
                </w:r>
                <w:r w:rsidR="0014612E">
                  <w:rPr>
                    <w:webHidden/>
                  </w:rPr>
                  <w:tab/>
                </w:r>
                <w:r w:rsidR="0014612E">
                  <w:rPr>
                    <w:webHidden/>
                  </w:rPr>
                  <w:tab/>
                </w:r>
                <w:r w:rsidR="0014612E">
                  <w:rPr>
                    <w:webHidden/>
                  </w:rPr>
                  <w:fldChar w:fldCharType="begin"/>
                </w:r>
                <w:r w:rsidR="0014612E">
                  <w:rPr>
                    <w:webHidden/>
                  </w:rPr>
                  <w:instrText xml:space="preserve"> PAGEREF _Toc483567950 \h </w:instrText>
                </w:r>
                <w:r w:rsidR="0014612E">
                  <w:rPr>
                    <w:webHidden/>
                  </w:rPr>
                </w:r>
                <w:r w:rsidR="0014612E">
                  <w:rPr>
                    <w:webHidden/>
                  </w:rPr>
                  <w:fldChar w:fldCharType="separate"/>
                </w:r>
                <w:r w:rsidR="00086147">
                  <w:rPr>
                    <w:webHidden/>
                  </w:rPr>
                  <w:t>26</w:t>
                </w:r>
                <w:r w:rsidR="0014612E">
                  <w:rPr>
                    <w:webHidden/>
                  </w:rPr>
                  <w:fldChar w:fldCharType="end"/>
                </w:r>
              </w:hyperlink>
            </w:p>
            <w:p w14:paraId="6E5BBA9F" w14:textId="77777777" w:rsidR="0014612E" w:rsidRDefault="00296C49">
              <w:pPr>
                <w:pStyle w:val="TOC2"/>
                <w:rPr>
                  <w:rFonts w:asciiTheme="minorHAnsi" w:eastAsiaTheme="minorEastAsia" w:hAnsiTheme="minorHAnsi" w:cstheme="minorBidi"/>
                  <w:color w:val="auto"/>
                  <w:sz w:val="22"/>
                </w:rPr>
              </w:pPr>
              <w:hyperlink w:anchor="_Toc483567951" w:history="1">
                <w:r w:rsidR="0014612E" w:rsidRPr="000A5242">
                  <w:rPr>
                    <w:rStyle w:val="Hyperlink"/>
                  </w:rPr>
                  <w:t>4.3</w:t>
                </w:r>
                <w:r w:rsidR="0014612E">
                  <w:rPr>
                    <w:rFonts w:asciiTheme="minorHAnsi" w:eastAsiaTheme="minorEastAsia" w:hAnsiTheme="minorHAnsi" w:cstheme="minorBidi"/>
                    <w:color w:val="auto"/>
                    <w:sz w:val="22"/>
                  </w:rPr>
                  <w:tab/>
                </w:r>
                <w:r w:rsidR="0014612E" w:rsidRPr="000A5242">
                  <w:rPr>
                    <w:rStyle w:val="Hyperlink"/>
                  </w:rPr>
                  <w:t>Metric 3: Maximum drawdown and time of maximum drawdown time</w:t>
                </w:r>
                <w:r w:rsidR="0014612E">
                  <w:rPr>
                    <w:webHidden/>
                  </w:rPr>
                  <w:tab/>
                </w:r>
                <w:r w:rsidR="0014612E">
                  <w:rPr>
                    <w:webHidden/>
                  </w:rPr>
                  <w:fldChar w:fldCharType="begin"/>
                </w:r>
                <w:r w:rsidR="0014612E">
                  <w:rPr>
                    <w:webHidden/>
                  </w:rPr>
                  <w:instrText xml:space="preserve"> PAGEREF _Toc483567951 \h </w:instrText>
                </w:r>
                <w:r w:rsidR="0014612E">
                  <w:rPr>
                    <w:webHidden/>
                  </w:rPr>
                </w:r>
                <w:r w:rsidR="0014612E">
                  <w:rPr>
                    <w:webHidden/>
                  </w:rPr>
                  <w:fldChar w:fldCharType="separate"/>
                </w:r>
                <w:r w:rsidR="00086147">
                  <w:rPr>
                    <w:webHidden/>
                  </w:rPr>
                  <w:t>29</w:t>
                </w:r>
                <w:r w:rsidR="0014612E">
                  <w:rPr>
                    <w:webHidden/>
                  </w:rPr>
                  <w:fldChar w:fldCharType="end"/>
                </w:r>
              </w:hyperlink>
            </w:p>
            <w:p w14:paraId="50136969" w14:textId="77777777" w:rsidR="0014612E" w:rsidRDefault="00296C49">
              <w:pPr>
                <w:pStyle w:val="TOC2"/>
                <w:rPr>
                  <w:rFonts w:asciiTheme="minorHAnsi" w:eastAsiaTheme="minorEastAsia" w:hAnsiTheme="minorHAnsi" w:cstheme="minorBidi"/>
                  <w:color w:val="auto"/>
                  <w:sz w:val="22"/>
                </w:rPr>
              </w:pPr>
              <w:hyperlink w:anchor="_Toc483567952" w:history="1">
                <w:r w:rsidR="0014612E" w:rsidRPr="000A5242">
                  <w:rPr>
                    <w:rStyle w:val="Hyperlink"/>
                  </w:rPr>
                  <w:t>4.4</w:t>
                </w:r>
                <w:r w:rsidR="0014612E">
                  <w:rPr>
                    <w:rFonts w:asciiTheme="minorHAnsi" w:eastAsiaTheme="minorEastAsia" w:hAnsiTheme="minorHAnsi" w:cstheme="minorBidi"/>
                    <w:color w:val="auto"/>
                    <w:sz w:val="22"/>
                  </w:rPr>
                  <w:tab/>
                </w:r>
                <w:r w:rsidR="0014612E" w:rsidRPr="000A5242">
                  <w:rPr>
                    <w:rStyle w:val="Hyperlink"/>
                  </w:rPr>
                  <w:t>Metric 4: Aquifer equilibration time</w:t>
                </w:r>
                <w:r w:rsidR="0014612E">
                  <w:rPr>
                    <w:webHidden/>
                  </w:rPr>
                  <w:tab/>
                </w:r>
                <w:r w:rsidR="0014612E">
                  <w:rPr>
                    <w:webHidden/>
                  </w:rPr>
                  <w:fldChar w:fldCharType="begin"/>
                </w:r>
                <w:r w:rsidR="0014612E">
                  <w:rPr>
                    <w:webHidden/>
                  </w:rPr>
                  <w:instrText xml:space="preserve"> PAGEREF _Toc483567952 \h </w:instrText>
                </w:r>
                <w:r w:rsidR="0014612E">
                  <w:rPr>
                    <w:webHidden/>
                  </w:rPr>
                </w:r>
                <w:r w:rsidR="0014612E">
                  <w:rPr>
                    <w:webHidden/>
                  </w:rPr>
                  <w:fldChar w:fldCharType="separate"/>
                </w:r>
                <w:r w:rsidR="00086147">
                  <w:rPr>
                    <w:webHidden/>
                  </w:rPr>
                  <w:t>31</w:t>
                </w:r>
                <w:r w:rsidR="0014612E">
                  <w:rPr>
                    <w:webHidden/>
                  </w:rPr>
                  <w:fldChar w:fldCharType="end"/>
                </w:r>
              </w:hyperlink>
            </w:p>
            <w:p w14:paraId="13BFC088" w14:textId="77777777" w:rsidR="0014612E" w:rsidRDefault="00296C49">
              <w:pPr>
                <w:pStyle w:val="TOC2"/>
                <w:rPr>
                  <w:rFonts w:asciiTheme="minorHAnsi" w:eastAsiaTheme="minorEastAsia" w:hAnsiTheme="minorHAnsi" w:cstheme="minorBidi"/>
                  <w:color w:val="auto"/>
                  <w:sz w:val="22"/>
                </w:rPr>
              </w:pPr>
              <w:hyperlink w:anchor="_Toc483567953" w:history="1">
                <w:r w:rsidR="0014612E" w:rsidRPr="000A5242">
                  <w:rPr>
                    <w:rStyle w:val="Hyperlink"/>
                  </w:rPr>
                  <w:t>4.5</w:t>
                </w:r>
                <w:r w:rsidR="0014612E">
                  <w:rPr>
                    <w:rFonts w:asciiTheme="minorHAnsi" w:eastAsiaTheme="minorEastAsia" w:hAnsiTheme="minorHAnsi" w:cstheme="minorBidi"/>
                    <w:color w:val="auto"/>
                    <w:sz w:val="22"/>
                  </w:rPr>
                  <w:tab/>
                </w:r>
                <w:r w:rsidR="0014612E" w:rsidRPr="000A5242">
                  <w:rPr>
                    <w:rStyle w:val="Hyperlink"/>
                  </w:rPr>
                  <w:t>Metric 5: Changes to the aquitard effective flux</w:t>
                </w:r>
                <w:r w:rsidR="0014612E">
                  <w:rPr>
                    <w:webHidden/>
                  </w:rPr>
                  <w:tab/>
                </w:r>
                <w:r w:rsidR="0014612E">
                  <w:rPr>
                    <w:webHidden/>
                  </w:rPr>
                  <w:fldChar w:fldCharType="begin"/>
                </w:r>
                <w:r w:rsidR="0014612E">
                  <w:rPr>
                    <w:webHidden/>
                  </w:rPr>
                  <w:instrText xml:space="preserve"> PAGEREF _Toc483567953 \h </w:instrText>
                </w:r>
                <w:r w:rsidR="0014612E">
                  <w:rPr>
                    <w:webHidden/>
                  </w:rPr>
                </w:r>
                <w:r w:rsidR="0014612E">
                  <w:rPr>
                    <w:webHidden/>
                  </w:rPr>
                  <w:fldChar w:fldCharType="separate"/>
                </w:r>
                <w:r w:rsidR="00086147">
                  <w:rPr>
                    <w:webHidden/>
                  </w:rPr>
                  <w:t>32</w:t>
                </w:r>
                <w:r w:rsidR="0014612E">
                  <w:rPr>
                    <w:webHidden/>
                  </w:rPr>
                  <w:fldChar w:fldCharType="end"/>
                </w:r>
              </w:hyperlink>
            </w:p>
            <w:p w14:paraId="3E49DDA6" w14:textId="77777777" w:rsidR="0014612E" w:rsidRDefault="00296C49">
              <w:pPr>
                <w:pStyle w:val="TOC2"/>
                <w:rPr>
                  <w:rFonts w:asciiTheme="minorHAnsi" w:eastAsiaTheme="minorEastAsia" w:hAnsiTheme="minorHAnsi" w:cstheme="minorBidi"/>
                  <w:color w:val="auto"/>
                  <w:sz w:val="22"/>
                </w:rPr>
              </w:pPr>
              <w:hyperlink w:anchor="_Toc483567954" w:history="1">
                <w:r w:rsidR="0014612E" w:rsidRPr="000A5242">
                  <w:rPr>
                    <w:rStyle w:val="Hyperlink"/>
                  </w:rPr>
                  <w:t>4.6</w:t>
                </w:r>
                <w:r w:rsidR="0014612E">
                  <w:rPr>
                    <w:rFonts w:asciiTheme="minorHAnsi" w:eastAsiaTheme="minorEastAsia" w:hAnsiTheme="minorHAnsi" w:cstheme="minorBidi"/>
                    <w:color w:val="auto"/>
                    <w:sz w:val="22"/>
                  </w:rPr>
                  <w:tab/>
                </w:r>
                <w:r w:rsidR="0014612E" w:rsidRPr="000A5242">
                  <w:rPr>
                    <w:rStyle w:val="Hyperlink"/>
                  </w:rPr>
                  <w:t>Impacts from degraded water bores or coal exploration holes</w:t>
                </w:r>
                <w:r w:rsidR="0014612E">
                  <w:rPr>
                    <w:webHidden/>
                  </w:rPr>
                  <w:tab/>
                </w:r>
                <w:r w:rsidR="0014612E">
                  <w:rPr>
                    <w:webHidden/>
                  </w:rPr>
                  <w:fldChar w:fldCharType="begin"/>
                </w:r>
                <w:r w:rsidR="0014612E">
                  <w:rPr>
                    <w:webHidden/>
                  </w:rPr>
                  <w:instrText xml:space="preserve"> PAGEREF _Toc483567954 \h </w:instrText>
                </w:r>
                <w:r w:rsidR="0014612E">
                  <w:rPr>
                    <w:webHidden/>
                  </w:rPr>
                </w:r>
                <w:r w:rsidR="0014612E">
                  <w:rPr>
                    <w:webHidden/>
                  </w:rPr>
                  <w:fldChar w:fldCharType="separate"/>
                </w:r>
                <w:r w:rsidR="00086147">
                  <w:rPr>
                    <w:webHidden/>
                  </w:rPr>
                  <w:t>34</w:t>
                </w:r>
                <w:r w:rsidR="0014612E">
                  <w:rPr>
                    <w:webHidden/>
                  </w:rPr>
                  <w:fldChar w:fldCharType="end"/>
                </w:r>
              </w:hyperlink>
            </w:p>
            <w:p w14:paraId="32C904A5" w14:textId="77777777" w:rsidR="0014612E" w:rsidRDefault="00296C49">
              <w:pPr>
                <w:pStyle w:val="TOC2"/>
                <w:rPr>
                  <w:rFonts w:asciiTheme="minorHAnsi" w:eastAsiaTheme="minorEastAsia" w:hAnsiTheme="minorHAnsi" w:cstheme="minorBidi"/>
                  <w:color w:val="auto"/>
                  <w:sz w:val="22"/>
                </w:rPr>
              </w:pPr>
              <w:hyperlink w:anchor="_Toc483567955" w:history="1">
                <w:r w:rsidR="0014612E" w:rsidRPr="000A5242">
                  <w:rPr>
                    <w:rStyle w:val="Hyperlink"/>
                  </w:rPr>
                  <w:t>4.7</w:t>
                </w:r>
                <w:r w:rsidR="0014612E">
                  <w:rPr>
                    <w:rFonts w:asciiTheme="minorHAnsi" w:eastAsiaTheme="minorEastAsia" w:hAnsiTheme="minorHAnsi" w:cstheme="minorBidi"/>
                    <w:color w:val="auto"/>
                    <w:sz w:val="22"/>
                  </w:rPr>
                  <w:tab/>
                </w:r>
                <w:r w:rsidR="0014612E" w:rsidRPr="000A5242">
                  <w:rPr>
                    <w:rStyle w:val="Hyperlink"/>
                  </w:rPr>
                  <w:t>Discussion</w:t>
                </w:r>
                <w:r w:rsidR="0014612E">
                  <w:rPr>
                    <w:webHidden/>
                  </w:rPr>
                  <w:tab/>
                </w:r>
                <w:r w:rsidR="0014612E">
                  <w:rPr>
                    <w:webHidden/>
                  </w:rPr>
                  <w:fldChar w:fldCharType="begin"/>
                </w:r>
                <w:r w:rsidR="0014612E">
                  <w:rPr>
                    <w:webHidden/>
                  </w:rPr>
                  <w:instrText xml:space="preserve"> PAGEREF _Toc483567955 \h </w:instrText>
                </w:r>
                <w:r w:rsidR="0014612E">
                  <w:rPr>
                    <w:webHidden/>
                  </w:rPr>
                </w:r>
                <w:r w:rsidR="0014612E">
                  <w:rPr>
                    <w:webHidden/>
                  </w:rPr>
                  <w:fldChar w:fldCharType="separate"/>
                </w:r>
                <w:r w:rsidR="00086147">
                  <w:rPr>
                    <w:webHidden/>
                  </w:rPr>
                  <w:t>41</w:t>
                </w:r>
                <w:r w:rsidR="0014612E">
                  <w:rPr>
                    <w:webHidden/>
                  </w:rPr>
                  <w:fldChar w:fldCharType="end"/>
                </w:r>
              </w:hyperlink>
            </w:p>
            <w:p w14:paraId="64C3F186" w14:textId="77777777" w:rsidR="0014612E" w:rsidRDefault="00296C49">
              <w:pPr>
                <w:pStyle w:val="TOC1"/>
                <w:rPr>
                  <w:rFonts w:asciiTheme="minorHAnsi" w:eastAsiaTheme="minorEastAsia" w:hAnsiTheme="minorHAnsi" w:cstheme="minorBidi"/>
                  <w:b w:val="0"/>
                  <w:color w:val="auto"/>
                  <w:sz w:val="22"/>
                </w:rPr>
              </w:pPr>
              <w:hyperlink w:anchor="_Toc483567956" w:history="1">
                <w:r w:rsidR="0014612E" w:rsidRPr="000A5242">
                  <w:rPr>
                    <w:rStyle w:val="Hyperlink"/>
                  </w:rPr>
                  <w:t>5</w:t>
                </w:r>
                <w:r w:rsidR="0014612E">
                  <w:rPr>
                    <w:rFonts w:asciiTheme="minorHAnsi" w:eastAsiaTheme="minorEastAsia" w:hAnsiTheme="minorHAnsi" w:cstheme="minorBidi"/>
                    <w:b w:val="0"/>
                    <w:color w:val="auto"/>
                    <w:sz w:val="22"/>
                  </w:rPr>
                  <w:tab/>
                </w:r>
                <w:r w:rsidR="0014612E" w:rsidRPr="000A5242">
                  <w:rPr>
                    <w:rStyle w:val="Hyperlink"/>
                  </w:rPr>
                  <w:t>Local-scale solute transport modelling</w:t>
                </w:r>
                <w:r w:rsidR="0014612E">
                  <w:rPr>
                    <w:webHidden/>
                  </w:rPr>
                  <w:tab/>
                </w:r>
                <w:r w:rsidR="0014612E">
                  <w:rPr>
                    <w:webHidden/>
                  </w:rPr>
                  <w:fldChar w:fldCharType="begin"/>
                </w:r>
                <w:r w:rsidR="0014612E">
                  <w:rPr>
                    <w:webHidden/>
                  </w:rPr>
                  <w:instrText xml:space="preserve"> PAGEREF _Toc483567956 \h </w:instrText>
                </w:r>
                <w:r w:rsidR="0014612E">
                  <w:rPr>
                    <w:webHidden/>
                  </w:rPr>
                </w:r>
                <w:r w:rsidR="0014612E">
                  <w:rPr>
                    <w:webHidden/>
                  </w:rPr>
                  <w:fldChar w:fldCharType="separate"/>
                </w:r>
                <w:r w:rsidR="00086147">
                  <w:rPr>
                    <w:webHidden/>
                  </w:rPr>
                  <w:t>43</w:t>
                </w:r>
                <w:r w:rsidR="0014612E">
                  <w:rPr>
                    <w:webHidden/>
                  </w:rPr>
                  <w:fldChar w:fldCharType="end"/>
                </w:r>
              </w:hyperlink>
            </w:p>
            <w:p w14:paraId="4C159BBD" w14:textId="77777777" w:rsidR="0014612E" w:rsidRDefault="00296C49">
              <w:pPr>
                <w:pStyle w:val="TOC2"/>
                <w:rPr>
                  <w:rFonts w:asciiTheme="minorHAnsi" w:eastAsiaTheme="minorEastAsia" w:hAnsiTheme="minorHAnsi" w:cstheme="minorBidi"/>
                  <w:color w:val="auto"/>
                  <w:sz w:val="22"/>
                </w:rPr>
              </w:pPr>
              <w:hyperlink w:anchor="_Toc483567957" w:history="1">
                <w:r w:rsidR="0014612E" w:rsidRPr="000A5242">
                  <w:rPr>
                    <w:rStyle w:val="Hyperlink"/>
                  </w:rPr>
                  <w:t>5.1</w:t>
                </w:r>
                <w:r w:rsidR="0014612E">
                  <w:rPr>
                    <w:rFonts w:asciiTheme="minorHAnsi" w:eastAsiaTheme="minorEastAsia" w:hAnsiTheme="minorHAnsi" w:cstheme="minorBidi"/>
                    <w:color w:val="auto"/>
                    <w:sz w:val="22"/>
                  </w:rPr>
                  <w:tab/>
                </w:r>
                <w:r w:rsidR="0014612E" w:rsidRPr="000A5242">
                  <w:rPr>
                    <w:rStyle w:val="Hyperlink"/>
                  </w:rPr>
                  <w:t>Modelled scenarios</w:t>
                </w:r>
                <w:r w:rsidR="0014612E">
                  <w:rPr>
                    <w:webHidden/>
                  </w:rPr>
                  <w:tab/>
                </w:r>
                <w:r w:rsidR="0014612E">
                  <w:rPr>
                    <w:webHidden/>
                  </w:rPr>
                  <w:fldChar w:fldCharType="begin"/>
                </w:r>
                <w:r w:rsidR="0014612E">
                  <w:rPr>
                    <w:webHidden/>
                  </w:rPr>
                  <w:instrText xml:space="preserve"> PAGEREF _Toc483567957 \h </w:instrText>
                </w:r>
                <w:r w:rsidR="0014612E">
                  <w:rPr>
                    <w:webHidden/>
                  </w:rPr>
                </w:r>
                <w:r w:rsidR="0014612E">
                  <w:rPr>
                    <w:webHidden/>
                  </w:rPr>
                  <w:fldChar w:fldCharType="separate"/>
                </w:r>
                <w:r w:rsidR="00086147">
                  <w:rPr>
                    <w:webHidden/>
                  </w:rPr>
                  <w:t>43</w:t>
                </w:r>
                <w:r w:rsidR="0014612E">
                  <w:rPr>
                    <w:webHidden/>
                  </w:rPr>
                  <w:fldChar w:fldCharType="end"/>
                </w:r>
              </w:hyperlink>
            </w:p>
            <w:p w14:paraId="74047760" w14:textId="77777777" w:rsidR="0014612E" w:rsidRDefault="00296C49">
              <w:pPr>
                <w:pStyle w:val="TOC2"/>
                <w:rPr>
                  <w:rFonts w:asciiTheme="minorHAnsi" w:eastAsiaTheme="minorEastAsia" w:hAnsiTheme="minorHAnsi" w:cstheme="minorBidi"/>
                  <w:color w:val="auto"/>
                  <w:sz w:val="22"/>
                </w:rPr>
              </w:pPr>
              <w:hyperlink w:anchor="_Toc483567958" w:history="1">
                <w:r w:rsidR="0014612E" w:rsidRPr="000A5242">
                  <w:rPr>
                    <w:rStyle w:val="Hyperlink"/>
                  </w:rPr>
                  <w:t>5.2</w:t>
                </w:r>
                <w:r w:rsidR="0014612E">
                  <w:rPr>
                    <w:rFonts w:asciiTheme="minorHAnsi" w:eastAsiaTheme="minorEastAsia" w:hAnsiTheme="minorHAnsi" w:cstheme="minorBidi"/>
                    <w:color w:val="auto"/>
                    <w:sz w:val="22"/>
                  </w:rPr>
                  <w:tab/>
                </w:r>
                <w:r w:rsidR="0014612E" w:rsidRPr="000A5242">
                  <w:rPr>
                    <w:rStyle w:val="Hyperlink"/>
                  </w:rPr>
                  <w:t>Description of analytical solutions</w:t>
                </w:r>
                <w:r w:rsidR="0014612E">
                  <w:rPr>
                    <w:webHidden/>
                  </w:rPr>
                  <w:tab/>
                </w:r>
                <w:r w:rsidR="0014612E">
                  <w:rPr>
                    <w:webHidden/>
                  </w:rPr>
                  <w:fldChar w:fldCharType="begin"/>
                </w:r>
                <w:r w:rsidR="0014612E">
                  <w:rPr>
                    <w:webHidden/>
                  </w:rPr>
                  <w:instrText xml:space="preserve"> PAGEREF _Toc483567958 \h </w:instrText>
                </w:r>
                <w:r w:rsidR="0014612E">
                  <w:rPr>
                    <w:webHidden/>
                  </w:rPr>
                </w:r>
                <w:r w:rsidR="0014612E">
                  <w:rPr>
                    <w:webHidden/>
                  </w:rPr>
                  <w:fldChar w:fldCharType="separate"/>
                </w:r>
                <w:r w:rsidR="00086147">
                  <w:rPr>
                    <w:webHidden/>
                  </w:rPr>
                  <w:t>44</w:t>
                </w:r>
                <w:r w:rsidR="0014612E">
                  <w:rPr>
                    <w:webHidden/>
                  </w:rPr>
                  <w:fldChar w:fldCharType="end"/>
                </w:r>
              </w:hyperlink>
            </w:p>
            <w:p w14:paraId="6A649648" w14:textId="77777777" w:rsidR="0014612E" w:rsidRDefault="00296C49">
              <w:pPr>
                <w:pStyle w:val="TOC2"/>
                <w:rPr>
                  <w:rFonts w:asciiTheme="minorHAnsi" w:eastAsiaTheme="minorEastAsia" w:hAnsiTheme="minorHAnsi" w:cstheme="minorBidi"/>
                  <w:color w:val="auto"/>
                  <w:sz w:val="22"/>
                </w:rPr>
              </w:pPr>
              <w:hyperlink w:anchor="_Toc483567959" w:history="1">
                <w:r w:rsidR="0014612E" w:rsidRPr="000A5242">
                  <w:rPr>
                    <w:rStyle w:val="Hyperlink"/>
                  </w:rPr>
                  <w:t>5.3</w:t>
                </w:r>
                <w:r w:rsidR="0014612E">
                  <w:rPr>
                    <w:rFonts w:asciiTheme="minorHAnsi" w:eastAsiaTheme="minorEastAsia" w:hAnsiTheme="minorHAnsi" w:cstheme="minorBidi"/>
                    <w:color w:val="auto"/>
                    <w:sz w:val="22"/>
                  </w:rPr>
                  <w:tab/>
                </w:r>
                <w:r w:rsidR="0014612E" w:rsidRPr="000A5242">
                  <w:rPr>
                    <w:rStyle w:val="Hyperlink"/>
                  </w:rPr>
                  <w:t>Implementation and parameterisation of analytical solutions</w:t>
                </w:r>
                <w:r w:rsidR="0014612E">
                  <w:rPr>
                    <w:webHidden/>
                  </w:rPr>
                  <w:tab/>
                </w:r>
                <w:r w:rsidR="0014612E">
                  <w:rPr>
                    <w:webHidden/>
                  </w:rPr>
                  <w:fldChar w:fldCharType="begin"/>
                </w:r>
                <w:r w:rsidR="0014612E">
                  <w:rPr>
                    <w:webHidden/>
                  </w:rPr>
                  <w:instrText xml:space="preserve"> PAGEREF _Toc483567959 \h </w:instrText>
                </w:r>
                <w:r w:rsidR="0014612E">
                  <w:rPr>
                    <w:webHidden/>
                  </w:rPr>
                </w:r>
                <w:r w:rsidR="0014612E">
                  <w:rPr>
                    <w:webHidden/>
                  </w:rPr>
                  <w:fldChar w:fldCharType="separate"/>
                </w:r>
                <w:r w:rsidR="00086147">
                  <w:rPr>
                    <w:webHidden/>
                  </w:rPr>
                  <w:t>46</w:t>
                </w:r>
                <w:r w:rsidR="0014612E">
                  <w:rPr>
                    <w:webHidden/>
                  </w:rPr>
                  <w:fldChar w:fldCharType="end"/>
                </w:r>
              </w:hyperlink>
            </w:p>
            <w:p w14:paraId="2FE64477" w14:textId="77777777" w:rsidR="0014612E" w:rsidRDefault="00296C49">
              <w:pPr>
                <w:pStyle w:val="TOC2"/>
                <w:rPr>
                  <w:rFonts w:asciiTheme="minorHAnsi" w:eastAsiaTheme="minorEastAsia" w:hAnsiTheme="minorHAnsi" w:cstheme="minorBidi"/>
                  <w:color w:val="auto"/>
                  <w:sz w:val="22"/>
                </w:rPr>
              </w:pPr>
              <w:hyperlink w:anchor="_Toc483567960" w:history="1">
                <w:r w:rsidR="0014612E" w:rsidRPr="000A5242">
                  <w:rPr>
                    <w:rStyle w:val="Hyperlink"/>
                  </w:rPr>
                  <w:t>5.4</w:t>
                </w:r>
                <w:r w:rsidR="0014612E">
                  <w:rPr>
                    <w:rFonts w:asciiTheme="minorHAnsi" w:eastAsiaTheme="minorEastAsia" w:hAnsiTheme="minorHAnsi" w:cstheme="minorBidi"/>
                    <w:color w:val="auto"/>
                    <w:sz w:val="22"/>
                  </w:rPr>
                  <w:tab/>
                </w:r>
                <w:r w:rsidR="0014612E" w:rsidRPr="000A5242">
                  <w:rPr>
                    <w:rStyle w:val="Hyperlink"/>
                  </w:rPr>
                  <w:t>Simulated concentrations linked to leaky pathways</w:t>
                </w:r>
                <w:r w:rsidR="0014612E">
                  <w:rPr>
                    <w:webHidden/>
                  </w:rPr>
                  <w:tab/>
                </w:r>
                <w:r w:rsidR="0014612E">
                  <w:rPr>
                    <w:webHidden/>
                  </w:rPr>
                  <w:fldChar w:fldCharType="begin"/>
                </w:r>
                <w:r w:rsidR="0014612E">
                  <w:rPr>
                    <w:webHidden/>
                  </w:rPr>
                  <w:instrText xml:space="preserve"> PAGEREF _Toc483567960 \h </w:instrText>
                </w:r>
                <w:r w:rsidR="0014612E">
                  <w:rPr>
                    <w:webHidden/>
                  </w:rPr>
                </w:r>
                <w:r w:rsidR="0014612E">
                  <w:rPr>
                    <w:webHidden/>
                  </w:rPr>
                  <w:fldChar w:fldCharType="separate"/>
                </w:r>
                <w:r w:rsidR="00086147">
                  <w:rPr>
                    <w:webHidden/>
                  </w:rPr>
                  <w:t>48</w:t>
                </w:r>
                <w:r w:rsidR="0014612E">
                  <w:rPr>
                    <w:webHidden/>
                  </w:rPr>
                  <w:fldChar w:fldCharType="end"/>
                </w:r>
              </w:hyperlink>
            </w:p>
            <w:p w14:paraId="2FDD49D2" w14:textId="77777777" w:rsidR="0014612E" w:rsidRDefault="00296C49">
              <w:pPr>
                <w:pStyle w:val="TOC2"/>
                <w:rPr>
                  <w:rFonts w:asciiTheme="minorHAnsi" w:eastAsiaTheme="minorEastAsia" w:hAnsiTheme="minorHAnsi" w:cstheme="minorBidi"/>
                  <w:color w:val="auto"/>
                  <w:sz w:val="22"/>
                </w:rPr>
              </w:pPr>
              <w:hyperlink w:anchor="_Toc483567961" w:history="1">
                <w:r w:rsidR="0014612E" w:rsidRPr="000A5242">
                  <w:rPr>
                    <w:rStyle w:val="Hyperlink"/>
                  </w:rPr>
                  <w:t>5.5</w:t>
                </w:r>
                <w:r w:rsidR="0014612E">
                  <w:rPr>
                    <w:rFonts w:asciiTheme="minorHAnsi" w:eastAsiaTheme="minorEastAsia" w:hAnsiTheme="minorHAnsi" w:cstheme="minorBidi"/>
                    <w:color w:val="auto"/>
                    <w:sz w:val="22"/>
                  </w:rPr>
                  <w:tab/>
                </w:r>
                <w:r w:rsidR="0014612E" w:rsidRPr="000A5242">
                  <w:rPr>
                    <w:rStyle w:val="Hyperlink"/>
                  </w:rPr>
                  <w:t>Discussion</w:t>
                </w:r>
                <w:r w:rsidR="0014612E">
                  <w:rPr>
                    <w:webHidden/>
                  </w:rPr>
                  <w:tab/>
                </w:r>
                <w:r w:rsidR="0014612E">
                  <w:rPr>
                    <w:webHidden/>
                  </w:rPr>
                  <w:fldChar w:fldCharType="begin"/>
                </w:r>
                <w:r w:rsidR="0014612E">
                  <w:rPr>
                    <w:webHidden/>
                  </w:rPr>
                  <w:instrText xml:space="preserve"> PAGEREF _Toc483567961 \h </w:instrText>
                </w:r>
                <w:r w:rsidR="0014612E">
                  <w:rPr>
                    <w:webHidden/>
                  </w:rPr>
                </w:r>
                <w:r w:rsidR="0014612E">
                  <w:rPr>
                    <w:webHidden/>
                  </w:rPr>
                  <w:fldChar w:fldCharType="separate"/>
                </w:r>
                <w:r w:rsidR="00086147">
                  <w:rPr>
                    <w:webHidden/>
                  </w:rPr>
                  <w:t>53</w:t>
                </w:r>
                <w:r w:rsidR="0014612E">
                  <w:rPr>
                    <w:webHidden/>
                  </w:rPr>
                  <w:fldChar w:fldCharType="end"/>
                </w:r>
              </w:hyperlink>
            </w:p>
            <w:p w14:paraId="5765C6CB" w14:textId="77777777" w:rsidR="0014612E" w:rsidRDefault="00296C49">
              <w:pPr>
                <w:pStyle w:val="TOC1"/>
                <w:rPr>
                  <w:rFonts w:asciiTheme="minorHAnsi" w:eastAsiaTheme="minorEastAsia" w:hAnsiTheme="minorHAnsi" w:cstheme="minorBidi"/>
                  <w:b w:val="0"/>
                  <w:color w:val="auto"/>
                  <w:sz w:val="22"/>
                </w:rPr>
              </w:pPr>
              <w:hyperlink w:anchor="_Toc483567962" w:history="1">
                <w:r w:rsidR="0014612E" w:rsidRPr="000A5242">
                  <w:rPr>
                    <w:rStyle w:val="Hyperlink"/>
                  </w:rPr>
                  <w:t>6</w:t>
                </w:r>
                <w:r w:rsidR="0014612E">
                  <w:rPr>
                    <w:rFonts w:asciiTheme="minorHAnsi" w:eastAsiaTheme="minorEastAsia" w:hAnsiTheme="minorHAnsi" w:cstheme="minorBidi"/>
                    <w:b w:val="0"/>
                    <w:color w:val="auto"/>
                    <w:sz w:val="22"/>
                  </w:rPr>
                  <w:tab/>
                </w:r>
                <w:r w:rsidR="0014612E" w:rsidRPr="000A5242">
                  <w:rPr>
                    <w:rStyle w:val="Hyperlink"/>
                  </w:rPr>
                  <w:t>Proposed approaches to well integrity monitoring</w:t>
                </w:r>
                <w:r w:rsidR="0014612E">
                  <w:rPr>
                    <w:webHidden/>
                  </w:rPr>
                  <w:tab/>
                </w:r>
                <w:r w:rsidR="0014612E">
                  <w:rPr>
                    <w:webHidden/>
                  </w:rPr>
                  <w:fldChar w:fldCharType="begin"/>
                </w:r>
                <w:r w:rsidR="0014612E">
                  <w:rPr>
                    <w:webHidden/>
                  </w:rPr>
                  <w:instrText xml:space="preserve"> PAGEREF _Toc483567962 \h </w:instrText>
                </w:r>
                <w:r w:rsidR="0014612E">
                  <w:rPr>
                    <w:webHidden/>
                  </w:rPr>
                </w:r>
                <w:r w:rsidR="0014612E">
                  <w:rPr>
                    <w:webHidden/>
                  </w:rPr>
                  <w:fldChar w:fldCharType="separate"/>
                </w:r>
                <w:r w:rsidR="00086147">
                  <w:rPr>
                    <w:webHidden/>
                  </w:rPr>
                  <w:t>54</w:t>
                </w:r>
                <w:r w:rsidR="0014612E">
                  <w:rPr>
                    <w:webHidden/>
                  </w:rPr>
                  <w:fldChar w:fldCharType="end"/>
                </w:r>
              </w:hyperlink>
            </w:p>
            <w:p w14:paraId="76883ADA" w14:textId="77777777" w:rsidR="0014612E" w:rsidRDefault="00296C49">
              <w:pPr>
                <w:pStyle w:val="TOC2"/>
                <w:rPr>
                  <w:rFonts w:asciiTheme="minorHAnsi" w:eastAsiaTheme="minorEastAsia" w:hAnsiTheme="minorHAnsi" w:cstheme="minorBidi"/>
                  <w:color w:val="auto"/>
                  <w:sz w:val="22"/>
                </w:rPr>
              </w:pPr>
              <w:hyperlink w:anchor="_Toc483567963" w:history="1">
                <w:r w:rsidR="0014612E" w:rsidRPr="000A5242">
                  <w:rPr>
                    <w:rStyle w:val="Hyperlink"/>
                  </w:rPr>
                  <w:t>6.1</w:t>
                </w:r>
                <w:r w:rsidR="0014612E">
                  <w:rPr>
                    <w:rFonts w:asciiTheme="minorHAnsi" w:eastAsiaTheme="minorEastAsia" w:hAnsiTheme="minorHAnsi" w:cstheme="minorBidi"/>
                    <w:color w:val="auto"/>
                    <w:sz w:val="22"/>
                  </w:rPr>
                  <w:tab/>
                </w:r>
                <w:r w:rsidR="0014612E" w:rsidRPr="000A5242">
                  <w:rPr>
                    <w:rStyle w:val="Hyperlink"/>
                  </w:rPr>
                  <w:t>Monitoring strategy</w:t>
                </w:r>
                <w:r w:rsidR="0014612E">
                  <w:rPr>
                    <w:webHidden/>
                  </w:rPr>
                  <w:tab/>
                </w:r>
                <w:r w:rsidR="0014612E">
                  <w:rPr>
                    <w:webHidden/>
                  </w:rPr>
                  <w:fldChar w:fldCharType="begin"/>
                </w:r>
                <w:r w:rsidR="0014612E">
                  <w:rPr>
                    <w:webHidden/>
                  </w:rPr>
                  <w:instrText xml:space="preserve"> PAGEREF _Toc483567963 \h </w:instrText>
                </w:r>
                <w:r w:rsidR="0014612E">
                  <w:rPr>
                    <w:webHidden/>
                  </w:rPr>
                </w:r>
                <w:r w:rsidR="0014612E">
                  <w:rPr>
                    <w:webHidden/>
                  </w:rPr>
                  <w:fldChar w:fldCharType="separate"/>
                </w:r>
                <w:r w:rsidR="00086147">
                  <w:rPr>
                    <w:webHidden/>
                  </w:rPr>
                  <w:t>54</w:t>
                </w:r>
                <w:r w:rsidR="0014612E">
                  <w:rPr>
                    <w:webHidden/>
                  </w:rPr>
                  <w:fldChar w:fldCharType="end"/>
                </w:r>
              </w:hyperlink>
            </w:p>
            <w:p w14:paraId="6346A69E" w14:textId="77777777" w:rsidR="0014612E" w:rsidRDefault="00296C49">
              <w:pPr>
                <w:pStyle w:val="TOC3"/>
                <w:rPr>
                  <w:rFonts w:asciiTheme="minorHAnsi" w:eastAsiaTheme="minorEastAsia" w:hAnsiTheme="minorHAnsi" w:cstheme="minorBidi"/>
                  <w:noProof/>
                  <w:color w:val="auto"/>
                  <w:sz w:val="22"/>
                </w:rPr>
              </w:pPr>
              <w:hyperlink w:anchor="_Toc483567964" w:history="1">
                <w:r w:rsidR="0014612E" w:rsidRPr="000A5242">
                  <w:rPr>
                    <w:rStyle w:val="Hyperlink"/>
                    <w:noProof/>
                  </w:rPr>
                  <w:t>6.1.1</w:t>
                </w:r>
                <w:r w:rsidR="0014612E">
                  <w:rPr>
                    <w:rFonts w:asciiTheme="minorHAnsi" w:eastAsiaTheme="minorEastAsia" w:hAnsiTheme="minorHAnsi" w:cstheme="minorBidi"/>
                    <w:noProof/>
                    <w:color w:val="auto"/>
                    <w:sz w:val="22"/>
                  </w:rPr>
                  <w:tab/>
                </w:r>
                <w:r w:rsidR="0014612E" w:rsidRPr="000A5242">
                  <w:rPr>
                    <w:rStyle w:val="Hyperlink"/>
                    <w:noProof/>
                  </w:rPr>
                  <w:t>Assumptions relevant to loss of well integrity and its monitoring</w:t>
                </w:r>
                <w:r w:rsidR="0014612E">
                  <w:rPr>
                    <w:noProof/>
                    <w:webHidden/>
                  </w:rPr>
                  <w:tab/>
                </w:r>
                <w:r w:rsidR="0014612E">
                  <w:rPr>
                    <w:noProof/>
                    <w:webHidden/>
                  </w:rPr>
                  <w:fldChar w:fldCharType="begin"/>
                </w:r>
                <w:r w:rsidR="0014612E">
                  <w:rPr>
                    <w:noProof/>
                    <w:webHidden/>
                  </w:rPr>
                  <w:instrText xml:space="preserve"> PAGEREF _Toc483567964 \h </w:instrText>
                </w:r>
                <w:r w:rsidR="0014612E">
                  <w:rPr>
                    <w:noProof/>
                    <w:webHidden/>
                  </w:rPr>
                </w:r>
                <w:r w:rsidR="0014612E">
                  <w:rPr>
                    <w:noProof/>
                    <w:webHidden/>
                  </w:rPr>
                  <w:fldChar w:fldCharType="separate"/>
                </w:r>
                <w:r w:rsidR="00086147">
                  <w:rPr>
                    <w:noProof/>
                    <w:webHidden/>
                  </w:rPr>
                  <w:t>54</w:t>
                </w:r>
                <w:r w:rsidR="0014612E">
                  <w:rPr>
                    <w:noProof/>
                    <w:webHidden/>
                  </w:rPr>
                  <w:fldChar w:fldCharType="end"/>
                </w:r>
              </w:hyperlink>
            </w:p>
            <w:p w14:paraId="2872EB1E" w14:textId="77777777" w:rsidR="0014612E" w:rsidRDefault="00296C49">
              <w:pPr>
                <w:pStyle w:val="TOC3"/>
                <w:rPr>
                  <w:rFonts w:asciiTheme="minorHAnsi" w:eastAsiaTheme="minorEastAsia" w:hAnsiTheme="minorHAnsi" w:cstheme="minorBidi"/>
                  <w:noProof/>
                  <w:color w:val="auto"/>
                  <w:sz w:val="22"/>
                </w:rPr>
              </w:pPr>
              <w:hyperlink w:anchor="_Toc483567965" w:history="1">
                <w:r w:rsidR="0014612E" w:rsidRPr="000A5242">
                  <w:rPr>
                    <w:rStyle w:val="Hyperlink"/>
                    <w:noProof/>
                  </w:rPr>
                  <w:t>6.1.2</w:t>
                </w:r>
                <w:r w:rsidR="0014612E">
                  <w:rPr>
                    <w:rFonts w:asciiTheme="minorHAnsi" w:eastAsiaTheme="minorEastAsia" w:hAnsiTheme="minorHAnsi" w:cstheme="minorBidi"/>
                    <w:noProof/>
                    <w:color w:val="auto"/>
                    <w:sz w:val="22"/>
                  </w:rPr>
                  <w:tab/>
                </w:r>
                <w:r w:rsidR="0014612E" w:rsidRPr="000A5242">
                  <w:rPr>
                    <w:rStyle w:val="Hyperlink"/>
                    <w:noProof/>
                  </w:rPr>
                  <w:t>Scope for monitoring</w:t>
                </w:r>
                <w:r w:rsidR="0014612E">
                  <w:rPr>
                    <w:noProof/>
                    <w:webHidden/>
                  </w:rPr>
                  <w:tab/>
                </w:r>
                <w:r w:rsidR="0014612E">
                  <w:rPr>
                    <w:noProof/>
                    <w:webHidden/>
                  </w:rPr>
                  <w:fldChar w:fldCharType="begin"/>
                </w:r>
                <w:r w:rsidR="0014612E">
                  <w:rPr>
                    <w:noProof/>
                    <w:webHidden/>
                  </w:rPr>
                  <w:instrText xml:space="preserve"> PAGEREF _Toc483567965 \h </w:instrText>
                </w:r>
                <w:r w:rsidR="0014612E">
                  <w:rPr>
                    <w:noProof/>
                    <w:webHidden/>
                  </w:rPr>
                </w:r>
                <w:r w:rsidR="0014612E">
                  <w:rPr>
                    <w:noProof/>
                    <w:webHidden/>
                  </w:rPr>
                  <w:fldChar w:fldCharType="separate"/>
                </w:r>
                <w:r w:rsidR="00086147">
                  <w:rPr>
                    <w:noProof/>
                    <w:webHidden/>
                  </w:rPr>
                  <w:t>55</w:t>
                </w:r>
                <w:r w:rsidR="0014612E">
                  <w:rPr>
                    <w:noProof/>
                    <w:webHidden/>
                  </w:rPr>
                  <w:fldChar w:fldCharType="end"/>
                </w:r>
              </w:hyperlink>
            </w:p>
            <w:p w14:paraId="5BB2B111" w14:textId="77777777" w:rsidR="0014612E" w:rsidRDefault="00296C49">
              <w:pPr>
                <w:pStyle w:val="TOC3"/>
                <w:rPr>
                  <w:rFonts w:asciiTheme="minorHAnsi" w:eastAsiaTheme="minorEastAsia" w:hAnsiTheme="minorHAnsi" w:cstheme="minorBidi"/>
                  <w:noProof/>
                  <w:color w:val="auto"/>
                  <w:sz w:val="22"/>
                </w:rPr>
              </w:pPr>
              <w:hyperlink w:anchor="_Toc483567966" w:history="1">
                <w:r w:rsidR="0014612E" w:rsidRPr="000A5242">
                  <w:rPr>
                    <w:rStyle w:val="Hyperlink"/>
                    <w:noProof/>
                  </w:rPr>
                  <w:t>6.1.3</w:t>
                </w:r>
                <w:r w:rsidR="0014612E">
                  <w:rPr>
                    <w:rFonts w:asciiTheme="minorHAnsi" w:eastAsiaTheme="minorEastAsia" w:hAnsiTheme="minorHAnsi" w:cstheme="minorBidi"/>
                    <w:noProof/>
                    <w:color w:val="auto"/>
                    <w:sz w:val="22"/>
                  </w:rPr>
                  <w:tab/>
                </w:r>
                <w:r w:rsidR="0014612E" w:rsidRPr="000A5242">
                  <w:rPr>
                    <w:rStyle w:val="Hyperlink"/>
                    <w:noProof/>
                  </w:rPr>
                  <w:t>Preferred monitoring approach</w:t>
                </w:r>
                <w:r w:rsidR="0014612E">
                  <w:rPr>
                    <w:noProof/>
                    <w:webHidden/>
                  </w:rPr>
                  <w:tab/>
                </w:r>
                <w:r w:rsidR="0014612E">
                  <w:rPr>
                    <w:noProof/>
                    <w:webHidden/>
                  </w:rPr>
                  <w:fldChar w:fldCharType="begin"/>
                </w:r>
                <w:r w:rsidR="0014612E">
                  <w:rPr>
                    <w:noProof/>
                    <w:webHidden/>
                  </w:rPr>
                  <w:instrText xml:space="preserve"> PAGEREF _Toc483567966 \h </w:instrText>
                </w:r>
                <w:r w:rsidR="0014612E">
                  <w:rPr>
                    <w:noProof/>
                    <w:webHidden/>
                  </w:rPr>
                </w:r>
                <w:r w:rsidR="0014612E">
                  <w:rPr>
                    <w:noProof/>
                    <w:webHidden/>
                  </w:rPr>
                  <w:fldChar w:fldCharType="separate"/>
                </w:r>
                <w:r w:rsidR="00086147">
                  <w:rPr>
                    <w:noProof/>
                    <w:webHidden/>
                  </w:rPr>
                  <w:t>56</w:t>
                </w:r>
                <w:r w:rsidR="0014612E">
                  <w:rPr>
                    <w:noProof/>
                    <w:webHidden/>
                  </w:rPr>
                  <w:fldChar w:fldCharType="end"/>
                </w:r>
              </w:hyperlink>
            </w:p>
            <w:p w14:paraId="713FCAD7" w14:textId="77777777" w:rsidR="0014612E" w:rsidRDefault="00296C49">
              <w:pPr>
                <w:pStyle w:val="TOC2"/>
                <w:rPr>
                  <w:rFonts w:asciiTheme="minorHAnsi" w:eastAsiaTheme="minorEastAsia" w:hAnsiTheme="minorHAnsi" w:cstheme="minorBidi"/>
                  <w:color w:val="auto"/>
                  <w:sz w:val="22"/>
                </w:rPr>
              </w:pPr>
              <w:hyperlink w:anchor="_Toc483567967" w:history="1">
                <w:r w:rsidR="0014612E" w:rsidRPr="000A5242">
                  <w:rPr>
                    <w:rStyle w:val="Hyperlink"/>
                  </w:rPr>
                  <w:t>6.2</w:t>
                </w:r>
                <w:r w:rsidR="0014612E">
                  <w:rPr>
                    <w:rFonts w:asciiTheme="minorHAnsi" w:eastAsiaTheme="minorEastAsia" w:hAnsiTheme="minorHAnsi" w:cstheme="minorBidi"/>
                    <w:color w:val="auto"/>
                    <w:sz w:val="22"/>
                  </w:rPr>
                  <w:tab/>
                </w:r>
                <w:r w:rsidR="0014612E" w:rsidRPr="000A5242">
                  <w:rPr>
                    <w:rStyle w:val="Hyperlink"/>
                  </w:rPr>
                  <w:t>Tools and technologies for monitoring inter-aquifer leakage</w:t>
                </w:r>
                <w:r w:rsidR="0014612E">
                  <w:rPr>
                    <w:webHidden/>
                  </w:rPr>
                  <w:tab/>
                </w:r>
                <w:r w:rsidR="0014612E">
                  <w:rPr>
                    <w:webHidden/>
                  </w:rPr>
                  <w:fldChar w:fldCharType="begin"/>
                </w:r>
                <w:r w:rsidR="0014612E">
                  <w:rPr>
                    <w:webHidden/>
                  </w:rPr>
                  <w:instrText xml:space="preserve"> PAGEREF _Toc483567967 \h </w:instrText>
                </w:r>
                <w:r w:rsidR="0014612E">
                  <w:rPr>
                    <w:webHidden/>
                  </w:rPr>
                </w:r>
                <w:r w:rsidR="0014612E">
                  <w:rPr>
                    <w:webHidden/>
                  </w:rPr>
                  <w:fldChar w:fldCharType="separate"/>
                </w:r>
                <w:r w:rsidR="00086147">
                  <w:rPr>
                    <w:webHidden/>
                  </w:rPr>
                  <w:t>57</w:t>
                </w:r>
                <w:r w:rsidR="0014612E">
                  <w:rPr>
                    <w:webHidden/>
                  </w:rPr>
                  <w:fldChar w:fldCharType="end"/>
                </w:r>
              </w:hyperlink>
            </w:p>
            <w:p w14:paraId="37558900" w14:textId="77777777" w:rsidR="0014612E" w:rsidRDefault="00296C49">
              <w:pPr>
                <w:pStyle w:val="TOC3"/>
                <w:rPr>
                  <w:rFonts w:asciiTheme="minorHAnsi" w:eastAsiaTheme="minorEastAsia" w:hAnsiTheme="minorHAnsi" w:cstheme="minorBidi"/>
                  <w:noProof/>
                  <w:color w:val="auto"/>
                  <w:sz w:val="22"/>
                </w:rPr>
              </w:pPr>
              <w:hyperlink w:anchor="_Toc483567968" w:history="1">
                <w:r w:rsidR="0014612E" w:rsidRPr="000A5242">
                  <w:rPr>
                    <w:rStyle w:val="Hyperlink"/>
                    <w:noProof/>
                  </w:rPr>
                  <w:t>6.2.1</w:t>
                </w:r>
                <w:r w:rsidR="0014612E">
                  <w:rPr>
                    <w:rFonts w:asciiTheme="minorHAnsi" w:eastAsiaTheme="minorEastAsia" w:hAnsiTheme="minorHAnsi" w:cstheme="minorBidi"/>
                    <w:noProof/>
                    <w:color w:val="auto"/>
                    <w:sz w:val="22"/>
                  </w:rPr>
                  <w:tab/>
                </w:r>
                <w:r w:rsidR="0014612E" w:rsidRPr="000A5242">
                  <w:rPr>
                    <w:rStyle w:val="Hyperlink"/>
                    <w:noProof/>
                  </w:rPr>
                  <w:t>Wireline sonic and ultrasonic logging tools</w:t>
                </w:r>
                <w:r w:rsidR="0014612E">
                  <w:rPr>
                    <w:noProof/>
                    <w:webHidden/>
                  </w:rPr>
                  <w:tab/>
                </w:r>
                <w:r w:rsidR="0014612E">
                  <w:rPr>
                    <w:noProof/>
                    <w:webHidden/>
                  </w:rPr>
                  <w:fldChar w:fldCharType="begin"/>
                </w:r>
                <w:r w:rsidR="0014612E">
                  <w:rPr>
                    <w:noProof/>
                    <w:webHidden/>
                  </w:rPr>
                  <w:instrText xml:space="preserve"> PAGEREF _Toc483567968 \h </w:instrText>
                </w:r>
                <w:r w:rsidR="0014612E">
                  <w:rPr>
                    <w:noProof/>
                    <w:webHidden/>
                  </w:rPr>
                </w:r>
                <w:r w:rsidR="0014612E">
                  <w:rPr>
                    <w:noProof/>
                    <w:webHidden/>
                  </w:rPr>
                  <w:fldChar w:fldCharType="separate"/>
                </w:r>
                <w:r w:rsidR="00086147">
                  <w:rPr>
                    <w:noProof/>
                    <w:webHidden/>
                  </w:rPr>
                  <w:t>58</w:t>
                </w:r>
                <w:r w:rsidR="0014612E">
                  <w:rPr>
                    <w:noProof/>
                    <w:webHidden/>
                  </w:rPr>
                  <w:fldChar w:fldCharType="end"/>
                </w:r>
              </w:hyperlink>
            </w:p>
            <w:p w14:paraId="6775983E" w14:textId="77777777" w:rsidR="0014612E" w:rsidRDefault="00296C49">
              <w:pPr>
                <w:pStyle w:val="TOC3"/>
                <w:rPr>
                  <w:rFonts w:asciiTheme="minorHAnsi" w:eastAsiaTheme="minorEastAsia" w:hAnsiTheme="minorHAnsi" w:cstheme="minorBidi"/>
                  <w:noProof/>
                  <w:color w:val="auto"/>
                  <w:sz w:val="22"/>
                </w:rPr>
              </w:pPr>
              <w:hyperlink w:anchor="_Toc483567969" w:history="1">
                <w:r w:rsidR="0014612E" w:rsidRPr="000A5242">
                  <w:rPr>
                    <w:rStyle w:val="Hyperlink"/>
                    <w:noProof/>
                  </w:rPr>
                  <w:t>6.2.2</w:t>
                </w:r>
                <w:r w:rsidR="0014612E">
                  <w:rPr>
                    <w:rFonts w:asciiTheme="minorHAnsi" w:eastAsiaTheme="minorEastAsia" w:hAnsiTheme="minorHAnsi" w:cstheme="minorBidi"/>
                    <w:noProof/>
                    <w:color w:val="auto"/>
                    <w:sz w:val="22"/>
                  </w:rPr>
                  <w:tab/>
                </w:r>
                <w:r w:rsidR="0014612E" w:rsidRPr="000A5242">
                  <w:rPr>
                    <w:rStyle w:val="Hyperlink"/>
                    <w:noProof/>
                  </w:rPr>
                  <w:t>Testing and sampling tools</w:t>
                </w:r>
                <w:r w:rsidR="0014612E">
                  <w:rPr>
                    <w:noProof/>
                    <w:webHidden/>
                  </w:rPr>
                  <w:tab/>
                </w:r>
                <w:r w:rsidR="0014612E">
                  <w:rPr>
                    <w:noProof/>
                    <w:webHidden/>
                  </w:rPr>
                  <w:fldChar w:fldCharType="begin"/>
                </w:r>
                <w:r w:rsidR="0014612E">
                  <w:rPr>
                    <w:noProof/>
                    <w:webHidden/>
                  </w:rPr>
                  <w:instrText xml:space="preserve"> PAGEREF _Toc483567969 \h </w:instrText>
                </w:r>
                <w:r w:rsidR="0014612E">
                  <w:rPr>
                    <w:noProof/>
                    <w:webHidden/>
                  </w:rPr>
                </w:r>
                <w:r w:rsidR="0014612E">
                  <w:rPr>
                    <w:noProof/>
                    <w:webHidden/>
                  </w:rPr>
                  <w:fldChar w:fldCharType="separate"/>
                </w:r>
                <w:r w:rsidR="00086147">
                  <w:rPr>
                    <w:noProof/>
                    <w:webHidden/>
                  </w:rPr>
                  <w:t>60</w:t>
                </w:r>
                <w:r w:rsidR="0014612E">
                  <w:rPr>
                    <w:noProof/>
                    <w:webHidden/>
                  </w:rPr>
                  <w:fldChar w:fldCharType="end"/>
                </w:r>
              </w:hyperlink>
            </w:p>
            <w:p w14:paraId="255E7B29" w14:textId="77777777" w:rsidR="0014612E" w:rsidRDefault="00296C49">
              <w:pPr>
                <w:pStyle w:val="TOC3"/>
                <w:rPr>
                  <w:rFonts w:asciiTheme="minorHAnsi" w:eastAsiaTheme="minorEastAsia" w:hAnsiTheme="minorHAnsi" w:cstheme="minorBidi"/>
                  <w:noProof/>
                  <w:color w:val="auto"/>
                  <w:sz w:val="22"/>
                </w:rPr>
              </w:pPr>
              <w:hyperlink w:anchor="_Toc483567970" w:history="1">
                <w:r w:rsidR="0014612E" w:rsidRPr="000A5242">
                  <w:rPr>
                    <w:rStyle w:val="Hyperlink"/>
                    <w:noProof/>
                  </w:rPr>
                  <w:t>6.2.3</w:t>
                </w:r>
                <w:r w:rsidR="0014612E">
                  <w:rPr>
                    <w:rFonts w:asciiTheme="minorHAnsi" w:eastAsiaTheme="minorEastAsia" w:hAnsiTheme="minorHAnsi" w:cstheme="minorBidi"/>
                    <w:noProof/>
                    <w:color w:val="auto"/>
                    <w:sz w:val="22"/>
                  </w:rPr>
                  <w:tab/>
                </w:r>
                <w:r w:rsidR="0014612E" w:rsidRPr="000A5242">
                  <w:rPr>
                    <w:rStyle w:val="Hyperlink"/>
                    <w:noProof/>
                  </w:rPr>
                  <w:t>Surface-casing-vent flow</w:t>
                </w:r>
                <w:r w:rsidR="0014612E">
                  <w:rPr>
                    <w:noProof/>
                    <w:webHidden/>
                  </w:rPr>
                  <w:tab/>
                </w:r>
                <w:r w:rsidR="0014612E">
                  <w:rPr>
                    <w:noProof/>
                    <w:webHidden/>
                  </w:rPr>
                  <w:fldChar w:fldCharType="begin"/>
                </w:r>
                <w:r w:rsidR="0014612E">
                  <w:rPr>
                    <w:noProof/>
                    <w:webHidden/>
                  </w:rPr>
                  <w:instrText xml:space="preserve"> PAGEREF _Toc483567970 \h </w:instrText>
                </w:r>
                <w:r w:rsidR="0014612E">
                  <w:rPr>
                    <w:noProof/>
                    <w:webHidden/>
                  </w:rPr>
                </w:r>
                <w:r w:rsidR="0014612E">
                  <w:rPr>
                    <w:noProof/>
                    <w:webHidden/>
                  </w:rPr>
                  <w:fldChar w:fldCharType="separate"/>
                </w:r>
                <w:r w:rsidR="00086147">
                  <w:rPr>
                    <w:noProof/>
                    <w:webHidden/>
                  </w:rPr>
                  <w:t>61</w:t>
                </w:r>
                <w:r w:rsidR="0014612E">
                  <w:rPr>
                    <w:noProof/>
                    <w:webHidden/>
                  </w:rPr>
                  <w:fldChar w:fldCharType="end"/>
                </w:r>
              </w:hyperlink>
            </w:p>
            <w:p w14:paraId="34A7984E" w14:textId="77777777" w:rsidR="0014612E" w:rsidRDefault="00296C49">
              <w:pPr>
                <w:pStyle w:val="TOC3"/>
                <w:rPr>
                  <w:rFonts w:asciiTheme="minorHAnsi" w:eastAsiaTheme="minorEastAsia" w:hAnsiTheme="minorHAnsi" w:cstheme="minorBidi"/>
                  <w:noProof/>
                  <w:color w:val="auto"/>
                  <w:sz w:val="22"/>
                </w:rPr>
              </w:pPr>
              <w:hyperlink w:anchor="_Toc483567971" w:history="1">
                <w:r w:rsidR="0014612E" w:rsidRPr="000A5242">
                  <w:rPr>
                    <w:rStyle w:val="Hyperlink"/>
                    <w:noProof/>
                  </w:rPr>
                  <w:t>6.2.4</w:t>
                </w:r>
                <w:r w:rsidR="0014612E">
                  <w:rPr>
                    <w:rFonts w:asciiTheme="minorHAnsi" w:eastAsiaTheme="minorEastAsia" w:hAnsiTheme="minorHAnsi" w:cstheme="minorBidi"/>
                    <w:noProof/>
                    <w:color w:val="auto"/>
                    <w:sz w:val="22"/>
                  </w:rPr>
                  <w:tab/>
                </w:r>
                <w:r w:rsidR="0014612E" w:rsidRPr="000A5242">
                  <w:rPr>
                    <w:rStyle w:val="Hyperlink"/>
                    <w:noProof/>
                  </w:rPr>
                  <w:t>Casing head pressure testing (or bradenhead testing)</w:t>
                </w:r>
                <w:r w:rsidR="0014612E">
                  <w:rPr>
                    <w:noProof/>
                    <w:webHidden/>
                  </w:rPr>
                  <w:tab/>
                </w:r>
                <w:r w:rsidR="0014612E">
                  <w:rPr>
                    <w:noProof/>
                    <w:webHidden/>
                  </w:rPr>
                  <w:fldChar w:fldCharType="begin"/>
                </w:r>
                <w:r w:rsidR="0014612E">
                  <w:rPr>
                    <w:noProof/>
                    <w:webHidden/>
                  </w:rPr>
                  <w:instrText xml:space="preserve"> PAGEREF _Toc483567971 \h </w:instrText>
                </w:r>
                <w:r w:rsidR="0014612E">
                  <w:rPr>
                    <w:noProof/>
                    <w:webHidden/>
                  </w:rPr>
                </w:r>
                <w:r w:rsidR="0014612E">
                  <w:rPr>
                    <w:noProof/>
                    <w:webHidden/>
                  </w:rPr>
                  <w:fldChar w:fldCharType="separate"/>
                </w:r>
                <w:r w:rsidR="00086147">
                  <w:rPr>
                    <w:noProof/>
                    <w:webHidden/>
                  </w:rPr>
                  <w:t>62</w:t>
                </w:r>
                <w:r w:rsidR="0014612E">
                  <w:rPr>
                    <w:noProof/>
                    <w:webHidden/>
                  </w:rPr>
                  <w:fldChar w:fldCharType="end"/>
                </w:r>
              </w:hyperlink>
            </w:p>
            <w:p w14:paraId="1C8ABBF5" w14:textId="77777777" w:rsidR="0014612E" w:rsidRDefault="00296C49">
              <w:pPr>
                <w:pStyle w:val="TOC3"/>
                <w:rPr>
                  <w:rFonts w:asciiTheme="minorHAnsi" w:eastAsiaTheme="minorEastAsia" w:hAnsiTheme="minorHAnsi" w:cstheme="minorBidi"/>
                  <w:noProof/>
                  <w:color w:val="auto"/>
                  <w:sz w:val="22"/>
                </w:rPr>
              </w:pPr>
              <w:hyperlink w:anchor="_Toc483567972" w:history="1">
                <w:r w:rsidR="0014612E" w:rsidRPr="000A5242">
                  <w:rPr>
                    <w:rStyle w:val="Hyperlink"/>
                    <w:noProof/>
                  </w:rPr>
                  <w:t>6.2.5</w:t>
                </w:r>
                <w:r w:rsidR="0014612E">
                  <w:rPr>
                    <w:rFonts w:asciiTheme="minorHAnsi" w:eastAsiaTheme="minorEastAsia" w:hAnsiTheme="minorHAnsi" w:cstheme="minorBidi"/>
                    <w:noProof/>
                    <w:color w:val="auto"/>
                    <w:sz w:val="22"/>
                  </w:rPr>
                  <w:tab/>
                </w:r>
                <w:r w:rsidR="0014612E" w:rsidRPr="000A5242">
                  <w:rPr>
                    <w:rStyle w:val="Hyperlink"/>
                    <w:noProof/>
                  </w:rPr>
                  <w:t>Fugitive emissions of methane</w:t>
                </w:r>
                <w:r w:rsidR="0014612E">
                  <w:rPr>
                    <w:noProof/>
                    <w:webHidden/>
                  </w:rPr>
                  <w:tab/>
                </w:r>
                <w:r w:rsidR="0014612E">
                  <w:rPr>
                    <w:noProof/>
                    <w:webHidden/>
                  </w:rPr>
                  <w:fldChar w:fldCharType="begin"/>
                </w:r>
                <w:r w:rsidR="0014612E">
                  <w:rPr>
                    <w:noProof/>
                    <w:webHidden/>
                  </w:rPr>
                  <w:instrText xml:space="preserve"> PAGEREF _Toc483567972 \h </w:instrText>
                </w:r>
                <w:r w:rsidR="0014612E">
                  <w:rPr>
                    <w:noProof/>
                    <w:webHidden/>
                  </w:rPr>
                </w:r>
                <w:r w:rsidR="0014612E">
                  <w:rPr>
                    <w:noProof/>
                    <w:webHidden/>
                  </w:rPr>
                  <w:fldChar w:fldCharType="separate"/>
                </w:r>
                <w:r w:rsidR="00086147">
                  <w:rPr>
                    <w:noProof/>
                    <w:webHidden/>
                  </w:rPr>
                  <w:t>62</w:t>
                </w:r>
                <w:r w:rsidR="0014612E">
                  <w:rPr>
                    <w:noProof/>
                    <w:webHidden/>
                  </w:rPr>
                  <w:fldChar w:fldCharType="end"/>
                </w:r>
              </w:hyperlink>
            </w:p>
            <w:p w14:paraId="115974C2" w14:textId="77777777" w:rsidR="0014612E" w:rsidRDefault="00296C49">
              <w:pPr>
                <w:pStyle w:val="TOC3"/>
                <w:rPr>
                  <w:rFonts w:asciiTheme="minorHAnsi" w:eastAsiaTheme="minorEastAsia" w:hAnsiTheme="minorHAnsi" w:cstheme="minorBidi"/>
                  <w:noProof/>
                  <w:color w:val="auto"/>
                  <w:sz w:val="22"/>
                </w:rPr>
              </w:pPr>
              <w:hyperlink w:anchor="_Toc483567973" w:history="1">
                <w:r w:rsidR="0014612E" w:rsidRPr="000A5242">
                  <w:rPr>
                    <w:rStyle w:val="Hyperlink"/>
                    <w:noProof/>
                  </w:rPr>
                  <w:t>6.2.6</w:t>
                </w:r>
                <w:r w:rsidR="0014612E">
                  <w:rPr>
                    <w:rFonts w:asciiTheme="minorHAnsi" w:eastAsiaTheme="minorEastAsia" w:hAnsiTheme="minorHAnsi" w:cstheme="minorBidi"/>
                    <w:noProof/>
                    <w:color w:val="auto"/>
                    <w:sz w:val="22"/>
                  </w:rPr>
                  <w:tab/>
                </w:r>
                <w:r w:rsidR="0014612E" w:rsidRPr="000A5242">
                  <w:rPr>
                    <w:rStyle w:val="Hyperlink"/>
                    <w:noProof/>
                  </w:rPr>
                  <w:t>Groundwater hydrochemistry, environmental isotopes, contaminants</w:t>
                </w:r>
                <w:r w:rsidR="0014612E">
                  <w:rPr>
                    <w:noProof/>
                    <w:webHidden/>
                  </w:rPr>
                  <w:tab/>
                </w:r>
                <w:r w:rsidR="0014612E">
                  <w:rPr>
                    <w:noProof/>
                    <w:webHidden/>
                  </w:rPr>
                  <w:fldChar w:fldCharType="begin"/>
                </w:r>
                <w:r w:rsidR="0014612E">
                  <w:rPr>
                    <w:noProof/>
                    <w:webHidden/>
                  </w:rPr>
                  <w:instrText xml:space="preserve"> PAGEREF _Toc483567973 \h </w:instrText>
                </w:r>
                <w:r w:rsidR="0014612E">
                  <w:rPr>
                    <w:noProof/>
                    <w:webHidden/>
                  </w:rPr>
                </w:r>
                <w:r w:rsidR="0014612E">
                  <w:rPr>
                    <w:noProof/>
                    <w:webHidden/>
                  </w:rPr>
                  <w:fldChar w:fldCharType="separate"/>
                </w:r>
                <w:r w:rsidR="00086147">
                  <w:rPr>
                    <w:noProof/>
                    <w:webHidden/>
                  </w:rPr>
                  <w:t>63</w:t>
                </w:r>
                <w:r w:rsidR="0014612E">
                  <w:rPr>
                    <w:noProof/>
                    <w:webHidden/>
                  </w:rPr>
                  <w:fldChar w:fldCharType="end"/>
                </w:r>
              </w:hyperlink>
            </w:p>
            <w:p w14:paraId="2FE0E648" w14:textId="77777777" w:rsidR="0014612E" w:rsidRDefault="00296C49">
              <w:pPr>
                <w:pStyle w:val="TOC2"/>
                <w:rPr>
                  <w:rFonts w:asciiTheme="minorHAnsi" w:eastAsiaTheme="minorEastAsia" w:hAnsiTheme="minorHAnsi" w:cstheme="minorBidi"/>
                  <w:color w:val="auto"/>
                  <w:sz w:val="22"/>
                </w:rPr>
              </w:pPr>
              <w:hyperlink w:anchor="_Toc483567974" w:history="1">
                <w:r w:rsidR="0014612E" w:rsidRPr="000A5242">
                  <w:rPr>
                    <w:rStyle w:val="Hyperlink"/>
                  </w:rPr>
                  <w:t>6.3</w:t>
                </w:r>
                <w:r w:rsidR="0014612E">
                  <w:rPr>
                    <w:rFonts w:asciiTheme="minorHAnsi" w:eastAsiaTheme="minorEastAsia" w:hAnsiTheme="minorHAnsi" w:cstheme="minorBidi"/>
                    <w:color w:val="auto"/>
                    <w:sz w:val="22"/>
                  </w:rPr>
                  <w:tab/>
                </w:r>
                <w:r w:rsidR="0014612E" w:rsidRPr="000A5242">
                  <w:rPr>
                    <w:rStyle w:val="Hyperlink"/>
                  </w:rPr>
                  <w:t>An outline of a proposed experimental program for monitoring inter-aquifer leakage in the field</w:t>
                </w:r>
                <w:r w:rsidR="0014612E">
                  <w:rPr>
                    <w:webHidden/>
                  </w:rPr>
                  <w:tab/>
                </w:r>
                <w:r w:rsidR="0014612E">
                  <w:rPr>
                    <w:webHidden/>
                  </w:rPr>
                  <w:fldChar w:fldCharType="begin"/>
                </w:r>
                <w:r w:rsidR="0014612E">
                  <w:rPr>
                    <w:webHidden/>
                  </w:rPr>
                  <w:instrText xml:space="preserve"> PAGEREF _Toc483567974 \h </w:instrText>
                </w:r>
                <w:r w:rsidR="0014612E">
                  <w:rPr>
                    <w:webHidden/>
                  </w:rPr>
                </w:r>
                <w:r w:rsidR="0014612E">
                  <w:rPr>
                    <w:webHidden/>
                  </w:rPr>
                  <w:fldChar w:fldCharType="separate"/>
                </w:r>
                <w:r w:rsidR="00086147">
                  <w:rPr>
                    <w:webHidden/>
                  </w:rPr>
                  <w:t>66</w:t>
                </w:r>
                <w:r w:rsidR="0014612E">
                  <w:rPr>
                    <w:webHidden/>
                  </w:rPr>
                  <w:fldChar w:fldCharType="end"/>
                </w:r>
              </w:hyperlink>
            </w:p>
            <w:p w14:paraId="61EF2DA6" w14:textId="77777777" w:rsidR="0014612E" w:rsidRDefault="00296C49">
              <w:pPr>
                <w:pStyle w:val="TOC1"/>
                <w:rPr>
                  <w:rFonts w:asciiTheme="minorHAnsi" w:eastAsiaTheme="minorEastAsia" w:hAnsiTheme="minorHAnsi" w:cstheme="minorBidi"/>
                  <w:b w:val="0"/>
                  <w:color w:val="auto"/>
                  <w:sz w:val="22"/>
                </w:rPr>
              </w:pPr>
              <w:hyperlink w:anchor="_Toc483567975" w:history="1">
                <w:r w:rsidR="0014612E" w:rsidRPr="000A5242">
                  <w:rPr>
                    <w:rStyle w:val="Hyperlink"/>
                  </w:rPr>
                  <w:t>7</w:t>
                </w:r>
                <w:r w:rsidR="0014612E">
                  <w:rPr>
                    <w:rFonts w:asciiTheme="minorHAnsi" w:eastAsiaTheme="minorEastAsia" w:hAnsiTheme="minorHAnsi" w:cstheme="minorBidi"/>
                    <w:b w:val="0"/>
                    <w:color w:val="auto"/>
                    <w:sz w:val="22"/>
                  </w:rPr>
                  <w:tab/>
                </w:r>
                <w:r w:rsidR="0014612E" w:rsidRPr="000A5242">
                  <w:rPr>
                    <w:rStyle w:val="Hyperlink"/>
                  </w:rPr>
                  <w:t>Conclusions</w:t>
                </w:r>
                <w:r w:rsidR="0014612E">
                  <w:rPr>
                    <w:webHidden/>
                  </w:rPr>
                  <w:tab/>
                </w:r>
                <w:r w:rsidR="0014612E">
                  <w:rPr>
                    <w:webHidden/>
                  </w:rPr>
                  <w:fldChar w:fldCharType="begin"/>
                </w:r>
                <w:r w:rsidR="0014612E">
                  <w:rPr>
                    <w:webHidden/>
                  </w:rPr>
                  <w:instrText xml:space="preserve"> PAGEREF _Toc483567975 \h </w:instrText>
                </w:r>
                <w:r w:rsidR="0014612E">
                  <w:rPr>
                    <w:webHidden/>
                  </w:rPr>
                </w:r>
                <w:r w:rsidR="0014612E">
                  <w:rPr>
                    <w:webHidden/>
                  </w:rPr>
                  <w:fldChar w:fldCharType="separate"/>
                </w:r>
                <w:r w:rsidR="00086147">
                  <w:rPr>
                    <w:webHidden/>
                  </w:rPr>
                  <w:t>70</w:t>
                </w:r>
                <w:r w:rsidR="0014612E">
                  <w:rPr>
                    <w:webHidden/>
                  </w:rPr>
                  <w:fldChar w:fldCharType="end"/>
                </w:r>
              </w:hyperlink>
            </w:p>
            <w:p w14:paraId="2FB71CD0" w14:textId="77777777" w:rsidR="0014612E" w:rsidRDefault="00296C49">
              <w:pPr>
                <w:pStyle w:val="TOC1"/>
                <w:rPr>
                  <w:rFonts w:asciiTheme="minorHAnsi" w:eastAsiaTheme="minorEastAsia" w:hAnsiTheme="minorHAnsi" w:cstheme="minorBidi"/>
                  <w:b w:val="0"/>
                  <w:color w:val="auto"/>
                  <w:sz w:val="22"/>
                </w:rPr>
              </w:pPr>
              <w:hyperlink w:anchor="_Toc483567976" w:history="1">
                <w:r w:rsidR="0014612E" w:rsidRPr="000A5242">
                  <w:rPr>
                    <w:rStyle w:val="Hyperlink"/>
                  </w:rPr>
                  <w:t>8</w:t>
                </w:r>
                <w:r w:rsidR="0014612E">
                  <w:rPr>
                    <w:rFonts w:asciiTheme="minorHAnsi" w:eastAsiaTheme="minorEastAsia" w:hAnsiTheme="minorHAnsi" w:cstheme="minorBidi"/>
                    <w:b w:val="0"/>
                    <w:color w:val="auto"/>
                    <w:sz w:val="22"/>
                  </w:rPr>
                  <w:tab/>
                </w:r>
                <w:r w:rsidR="0014612E" w:rsidRPr="000A5242">
                  <w:rPr>
                    <w:rStyle w:val="Hyperlink"/>
                  </w:rPr>
                  <w:t>References</w:t>
                </w:r>
                <w:r w:rsidR="0014612E">
                  <w:rPr>
                    <w:webHidden/>
                  </w:rPr>
                  <w:tab/>
                </w:r>
                <w:r w:rsidR="0014612E">
                  <w:rPr>
                    <w:webHidden/>
                  </w:rPr>
                  <w:fldChar w:fldCharType="begin"/>
                </w:r>
                <w:r w:rsidR="0014612E">
                  <w:rPr>
                    <w:webHidden/>
                  </w:rPr>
                  <w:instrText xml:space="preserve"> PAGEREF _Toc483567976 \h </w:instrText>
                </w:r>
                <w:r w:rsidR="0014612E">
                  <w:rPr>
                    <w:webHidden/>
                  </w:rPr>
                </w:r>
                <w:r w:rsidR="0014612E">
                  <w:rPr>
                    <w:webHidden/>
                  </w:rPr>
                  <w:fldChar w:fldCharType="separate"/>
                </w:r>
                <w:r w:rsidR="00086147">
                  <w:rPr>
                    <w:webHidden/>
                  </w:rPr>
                  <w:t>72</w:t>
                </w:r>
                <w:r w:rsidR="0014612E">
                  <w:rPr>
                    <w:webHidden/>
                  </w:rPr>
                  <w:fldChar w:fldCharType="end"/>
                </w:r>
              </w:hyperlink>
            </w:p>
            <w:p w14:paraId="7002ABE8" w14:textId="5E408054" w:rsidR="00D470A3" w:rsidRPr="006B17BE" w:rsidRDefault="00D470A3" w:rsidP="00100240">
              <w:pPr>
                <w:pStyle w:val="TOC1"/>
                <w:rPr>
                  <w:rFonts w:asciiTheme="minorHAnsi" w:hAnsiTheme="minorHAnsi"/>
                  <w:b w:val="0"/>
                  <w:noProof w:val="0"/>
                  <w:szCs w:val="24"/>
                  <w:lang w:val="en-US" w:eastAsia="ja-JP"/>
                </w:rPr>
              </w:pPr>
              <w:r w:rsidRPr="006B17BE">
                <w:rPr>
                  <w:rFonts w:asciiTheme="minorHAnsi" w:hAnsiTheme="minorHAnsi"/>
                  <w:bCs/>
                  <w:szCs w:val="24"/>
                </w:rPr>
                <w:fldChar w:fldCharType="end"/>
              </w:r>
            </w:p>
          </w:sdtContent>
        </w:sdt>
        <w:p w14:paraId="7A8FAF5E" w14:textId="63741DAF" w:rsidR="00D85352" w:rsidRPr="006B17BE" w:rsidRDefault="00D85352" w:rsidP="00D75450">
          <w:pPr>
            <w:pStyle w:val="Heading1"/>
            <w:numPr>
              <w:ilvl w:val="0"/>
              <w:numId w:val="0"/>
            </w:numPr>
            <w:ind w:left="1134" w:hanging="1134"/>
            <w:rPr>
              <w:rFonts w:asciiTheme="minorHAnsi" w:hAnsiTheme="minorHAnsi"/>
              <w:sz w:val="24"/>
              <w:szCs w:val="24"/>
            </w:rPr>
          </w:pPr>
          <w:bookmarkStart w:id="22" w:name="_Toc483567925"/>
          <w:r w:rsidRPr="006B17BE">
            <w:rPr>
              <w:rFonts w:asciiTheme="minorHAnsi" w:hAnsiTheme="minorHAnsi"/>
              <w:sz w:val="24"/>
              <w:szCs w:val="24"/>
            </w:rPr>
            <w:t>List of Figures</w:t>
          </w:r>
          <w:bookmarkEnd w:id="22"/>
        </w:p>
        <w:p w14:paraId="2A441B71" w14:textId="77777777" w:rsidR="00AC3BD2" w:rsidRDefault="00D85352">
          <w:pPr>
            <w:pStyle w:val="TableofFigures"/>
            <w:rPr>
              <w:rFonts w:asciiTheme="minorHAnsi" w:eastAsiaTheme="minorEastAsia" w:hAnsiTheme="minorHAnsi" w:cstheme="minorBidi"/>
              <w:noProof/>
              <w:color w:val="auto"/>
              <w:sz w:val="22"/>
            </w:rPr>
          </w:pPr>
          <w:r w:rsidRPr="006B17BE">
            <w:rPr>
              <w:rStyle w:val="Hyperlink"/>
              <w:rFonts w:asciiTheme="minorHAnsi" w:hAnsiTheme="minorHAnsi"/>
              <w:noProof/>
              <w:sz w:val="22"/>
              <w:szCs w:val="24"/>
            </w:rPr>
            <w:fldChar w:fldCharType="begin"/>
          </w:r>
          <w:r w:rsidRPr="006B17BE">
            <w:rPr>
              <w:rStyle w:val="Hyperlink"/>
              <w:rFonts w:asciiTheme="minorHAnsi" w:hAnsiTheme="minorHAnsi"/>
              <w:noProof/>
              <w:szCs w:val="24"/>
            </w:rPr>
            <w:instrText xml:space="preserve"> TOC \h \z \c "Figure" </w:instrText>
          </w:r>
          <w:r w:rsidRPr="006B17BE">
            <w:rPr>
              <w:rStyle w:val="Hyperlink"/>
              <w:rFonts w:asciiTheme="minorHAnsi" w:hAnsiTheme="minorHAnsi"/>
              <w:noProof/>
              <w:sz w:val="22"/>
              <w:szCs w:val="24"/>
            </w:rPr>
            <w:fldChar w:fldCharType="separate"/>
          </w:r>
          <w:hyperlink w:anchor="_Toc508267266" w:history="1">
            <w:r w:rsidR="00AC3BD2" w:rsidRPr="00A010E0">
              <w:rPr>
                <w:rStyle w:val="Hyperlink"/>
                <w:rFonts w:cstheme="minorHAnsi"/>
                <w:noProof/>
              </w:rPr>
              <w:t>Figure 2</w:t>
            </w:r>
            <w:r w:rsidR="00AC3BD2" w:rsidRPr="00A010E0">
              <w:rPr>
                <w:rStyle w:val="Hyperlink"/>
                <w:rFonts w:cstheme="minorHAnsi"/>
                <w:noProof/>
              </w:rPr>
              <w:noBreakHyphen/>
              <w:t>1 Pathways for water movement in uncased exploration bores: (1) upward flow through an open exploration bore (H</w:t>
            </w:r>
            <w:r w:rsidR="00AC3BD2" w:rsidRPr="00A010E0">
              <w:rPr>
                <w:rStyle w:val="Hyperlink"/>
                <w:rFonts w:cstheme="minorHAnsi"/>
                <w:noProof/>
                <w:vertAlign w:val="subscript"/>
              </w:rPr>
              <w:t>2</w:t>
            </w:r>
            <w:r w:rsidR="00AC3BD2" w:rsidRPr="00A010E0">
              <w:rPr>
                <w:rStyle w:val="Hyperlink"/>
                <w:rFonts w:cstheme="minorHAnsi"/>
                <w:noProof/>
              </w:rPr>
              <w:t>&gt;H</w:t>
            </w:r>
            <w:r w:rsidR="00AC3BD2" w:rsidRPr="00A010E0">
              <w:rPr>
                <w:rStyle w:val="Hyperlink"/>
                <w:rFonts w:cstheme="minorHAnsi"/>
                <w:noProof/>
                <w:vertAlign w:val="subscript"/>
              </w:rPr>
              <w:t>1</w:t>
            </w:r>
            <w:r w:rsidR="00AC3BD2" w:rsidRPr="00A010E0">
              <w:rPr>
                <w:rStyle w:val="Hyperlink"/>
                <w:rFonts w:cstheme="minorHAnsi"/>
                <w:noProof/>
              </w:rPr>
              <w:t>), (2) downward flow through an open exploration bore (H</w:t>
            </w:r>
            <w:r w:rsidR="00AC3BD2" w:rsidRPr="00A010E0">
              <w:rPr>
                <w:rStyle w:val="Hyperlink"/>
                <w:rFonts w:cstheme="minorHAnsi"/>
                <w:noProof/>
                <w:vertAlign w:val="subscript"/>
              </w:rPr>
              <w:t>1</w:t>
            </w:r>
            <w:r w:rsidR="00AC3BD2" w:rsidRPr="00A010E0">
              <w:rPr>
                <w:rStyle w:val="Hyperlink"/>
                <w:rFonts w:cstheme="minorHAnsi"/>
                <w:noProof/>
              </w:rPr>
              <w:t>&gt;H</w:t>
            </w:r>
            <w:r w:rsidR="00AC3BD2" w:rsidRPr="00A010E0">
              <w:rPr>
                <w:rStyle w:val="Hyperlink"/>
                <w:rFonts w:cstheme="minorHAnsi"/>
                <w:noProof/>
                <w:vertAlign w:val="subscript"/>
              </w:rPr>
              <w:t>2</w:t>
            </w:r>
            <w:r w:rsidR="00AC3BD2" w:rsidRPr="00A010E0">
              <w:rPr>
                <w:rStyle w:val="Hyperlink"/>
                <w:rFonts w:cstheme="minorHAnsi"/>
                <w:noProof/>
              </w:rPr>
              <w:t>), (3) upward flow through an initially backfilled exploration bore whose sealing capacity has been impaired (H</w:t>
            </w:r>
            <w:r w:rsidR="00AC3BD2" w:rsidRPr="00A010E0">
              <w:rPr>
                <w:rStyle w:val="Hyperlink"/>
                <w:rFonts w:cstheme="minorHAnsi"/>
                <w:noProof/>
                <w:vertAlign w:val="subscript"/>
              </w:rPr>
              <w:t>2</w:t>
            </w:r>
            <w:r w:rsidR="00AC3BD2" w:rsidRPr="00A010E0">
              <w:rPr>
                <w:rStyle w:val="Hyperlink"/>
                <w:rFonts w:cstheme="minorHAnsi"/>
                <w:noProof/>
              </w:rPr>
              <w:t>&gt;H</w:t>
            </w:r>
            <w:r w:rsidR="00AC3BD2" w:rsidRPr="00A010E0">
              <w:rPr>
                <w:rStyle w:val="Hyperlink"/>
                <w:rFonts w:cstheme="minorHAnsi"/>
                <w:noProof/>
                <w:vertAlign w:val="subscript"/>
              </w:rPr>
              <w:t>1</w:t>
            </w:r>
            <w:r w:rsidR="00AC3BD2" w:rsidRPr="00A010E0">
              <w:rPr>
                <w:rStyle w:val="Hyperlink"/>
                <w:rFonts w:cstheme="minorHAnsi"/>
                <w:noProof/>
              </w:rPr>
              <w:t>), and (4) flow through a backfilled, sealed exploration bore (H</w:t>
            </w:r>
            <w:r w:rsidR="00AC3BD2" w:rsidRPr="00A010E0">
              <w:rPr>
                <w:rStyle w:val="Hyperlink"/>
                <w:rFonts w:cstheme="minorHAnsi"/>
                <w:noProof/>
                <w:vertAlign w:val="subscript"/>
              </w:rPr>
              <w:t>1</w:t>
            </w:r>
            <w:r w:rsidR="00AC3BD2" w:rsidRPr="00A010E0">
              <w:rPr>
                <w:rStyle w:val="Hyperlink"/>
                <w:rFonts w:cstheme="minorHAnsi"/>
                <w:noProof/>
              </w:rPr>
              <w:t>&gt;H</w:t>
            </w:r>
            <w:r w:rsidR="00AC3BD2" w:rsidRPr="00A010E0">
              <w:rPr>
                <w:rStyle w:val="Hyperlink"/>
                <w:rFonts w:cstheme="minorHAnsi"/>
                <w:noProof/>
                <w:vertAlign w:val="subscript"/>
              </w:rPr>
              <w:t>2</w:t>
            </w:r>
            <w:r w:rsidR="00AC3BD2" w:rsidRPr="00A010E0">
              <w:rPr>
                <w:rStyle w:val="Hyperlink"/>
                <w:rFonts w:cstheme="minorHAnsi"/>
                <w:noProof/>
              </w:rPr>
              <w:t>). All indications of flow are potential directions. Not to scale [Wu et al. 2018].</w:t>
            </w:r>
            <w:r w:rsidR="00AC3BD2">
              <w:rPr>
                <w:noProof/>
                <w:webHidden/>
              </w:rPr>
              <w:tab/>
            </w:r>
            <w:r w:rsidR="00AC3BD2">
              <w:rPr>
                <w:noProof/>
                <w:webHidden/>
              </w:rPr>
              <w:fldChar w:fldCharType="begin"/>
            </w:r>
            <w:r w:rsidR="00AC3BD2">
              <w:rPr>
                <w:noProof/>
                <w:webHidden/>
              </w:rPr>
              <w:instrText xml:space="preserve"> PAGEREF _Toc508267266 \h </w:instrText>
            </w:r>
            <w:r w:rsidR="00AC3BD2">
              <w:rPr>
                <w:noProof/>
                <w:webHidden/>
              </w:rPr>
            </w:r>
            <w:r w:rsidR="00AC3BD2">
              <w:rPr>
                <w:noProof/>
                <w:webHidden/>
              </w:rPr>
              <w:fldChar w:fldCharType="separate"/>
            </w:r>
            <w:r w:rsidR="00086147">
              <w:rPr>
                <w:noProof/>
                <w:webHidden/>
              </w:rPr>
              <w:t>8</w:t>
            </w:r>
            <w:r w:rsidR="00AC3BD2">
              <w:rPr>
                <w:noProof/>
                <w:webHidden/>
              </w:rPr>
              <w:fldChar w:fldCharType="end"/>
            </w:r>
          </w:hyperlink>
        </w:p>
        <w:p w14:paraId="11DD8B9B" w14:textId="77777777" w:rsidR="00AC3BD2" w:rsidRDefault="00296C49">
          <w:pPr>
            <w:pStyle w:val="TableofFigures"/>
            <w:rPr>
              <w:rFonts w:asciiTheme="minorHAnsi" w:eastAsiaTheme="minorEastAsia" w:hAnsiTheme="minorHAnsi" w:cstheme="minorBidi"/>
              <w:noProof/>
              <w:color w:val="auto"/>
              <w:sz w:val="22"/>
            </w:rPr>
          </w:pPr>
          <w:hyperlink w:anchor="_Toc508267267" w:history="1">
            <w:r w:rsidR="00AC3BD2" w:rsidRPr="00A010E0">
              <w:rPr>
                <w:rStyle w:val="Hyperlink"/>
                <w:rFonts w:cstheme="minorHAnsi"/>
                <w:noProof/>
              </w:rPr>
              <w:t>Figure 2</w:t>
            </w:r>
            <w:r w:rsidR="00AC3BD2" w:rsidRPr="00A010E0">
              <w:rPr>
                <w:rStyle w:val="Hyperlink"/>
                <w:rFonts w:cstheme="minorHAnsi"/>
                <w:noProof/>
              </w:rPr>
              <w:noBreakHyphen/>
              <w:t>2 Pathways for water movement in decommissioned cemented wellbores: flow through micro-annulus between cement and rock matrix (1) or steel casing (2), flow through deteriorated cemented annulus (3), flow through deteriorated cement plugs (4), flow through micro-annulus between plug and casing (5), and flow through corroded or sheared casing (6). Upward flow is equally possible when H2 &gt; H1. All indications of flow are potential directions. Not to scale [Wu et al. 2018].</w:t>
            </w:r>
            <w:r w:rsidR="00AC3BD2">
              <w:rPr>
                <w:noProof/>
                <w:webHidden/>
              </w:rPr>
              <w:tab/>
            </w:r>
            <w:r w:rsidR="00AC3BD2">
              <w:rPr>
                <w:noProof/>
                <w:webHidden/>
              </w:rPr>
              <w:fldChar w:fldCharType="begin"/>
            </w:r>
            <w:r w:rsidR="00AC3BD2">
              <w:rPr>
                <w:noProof/>
                <w:webHidden/>
              </w:rPr>
              <w:instrText xml:space="preserve"> PAGEREF _Toc508267267 \h </w:instrText>
            </w:r>
            <w:r w:rsidR="00AC3BD2">
              <w:rPr>
                <w:noProof/>
                <w:webHidden/>
              </w:rPr>
            </w:r>
            <w:r w:rsidR="00AC3BD2">
              <w:rPr>
                <w:noProof/>
                <w:webHidden/>
              </w:rPr>
              <w:fldChar w:fldCharType="separate"/>
            </w:r>
            <w:r w:rsidR="00086147">
              <w:rPr>
                <w:noProof/>
                <w:webHidden/>
              </w:rPr>
              <w:t>9</w:t>
            </w:r>
            <w:r w:rsidR="00AC3BD2">
              <w:rPr>
                <w:noProof/>
                <w:webHidden/>
              </w:rPr>
              <w:fldChar w:fldCharType="end"/>
            </w:r>
          </w:hyperlink>
        </w:p>
        <w:p w14:paraId="7B416CB5" w14:textId="77777777" w:rsidR="00AC3BD2" w:rsidRDefault="00296C49">
          <w:pPr>
            <w:pStyle w:val="TableofFigures"/>
            <w:rPr>
              <w:rFonts w:asciiTheme="minorHAnsi" w:eastAsiaTheme="minorEastAsia" w:hAnsiTheme="minorHAnsi" w:cstheme="minorBidi"/>
              <w:noProof/>
              <w:color w:val="auto"/>
              <w:sz w:val="22"/>
            </w:rPr>
          </w:pPr>
          <w:hyperlink w:anchor="_Toc508267268" w:history="1">
            <w:r w:rsidR="00AC3BD2" w:rsidRPr="00A010E0">
              <w:rPr>
                <w:rStyle w:val="Hyperlink"/>
                <w:rFonts w:cstheme="minorHAnsi"/>
                <w:noProof/>
              </w:rPr>
              <w:t>Figure 3</w:t>
            </w:r>
            <w:r w:rsidR="00AC3BD2" w:rsidRPr="00A010E0">
              <w:rPr>
                <w:rStyle w:val="Hyperlink"/>
                <w:rFonts w:cstheme="minorHAnsi"/>
                <w:noProof/>
              </w:rPr>
              <w:noBreakHyphen/>
              <w:t>1 Diagrams of the simplified model grid. (a) Black rectangle shows the area represented by the simplified model (195 km × 151 km</w:t>
            </w:r>
            <w:r w:rsidR="00AC3BD2" w:rsidRPr="00A010E0">
              <w:rPr>
                <w:rStyle w:val="Hyperlink"/>
                <w:rFonts w:cstheme="minorHAnsi"/>
                <w:noProof/>
                <w:vertAlign w:val="superscript"/>
              </w:rPr>
              <w:t>2</w:t>
            </w:r>
            <w:r w:rsidR="00AC3BD2" w:rsidRPr="00A010E0">
              <w:rPr>
                <w:rStyle w:val="Hyperlink"/>
                <w:rFonts w:cstheme="minorHAnsi"/>
                <w:noProof/>
              </w:rPr>
              <w:t>) relative to the full CDM Smith (2014) model; (b) Simplified model grid structure and coal seam gas well locations (white dots); (c) Relative thicknesses (nearly 480 m) of the model layers of the simplified model.</w:t>
            </w:r>
            <w:r w:rsidR="00AC3BD2">
              <w:rPr>
                <w:noProof/>
                <w:webHidden/>
              </w:rPr>
              <w:tab/>
            </w:r>
            <w:r w:rsidR="00AC3BD2">
              <w:rPr>
                <w:noProof/>
                <w:webHidden/>
              </w:rPr>
              <w:fldChar w:fldCharType="begin"/>
            </w:r>
            <w:r w:rsidR="00AC3BD2">
              <w:rPr>
                <w:noProof/>
                <w:webHidden/>
              </w:rPr>
              <w:instrText xml:space="preserve"> PAGEREF _Toc508267268 \h </w:instrText>
            </w:r>
            <w:r w:rsidR="00AC3BD2">
              <w:rPr>
                <w:noProof/>
                <w:webHidden/>
              </w:rPr>
            </w:r>
            <w:r w:rsidR="00AC3BD2">
              <w:rPr>
                <w:noProof/>
                <w:webHidden/>
              </w:rPr>
              <w:fldChar w:fldCharType="separate"/>
            </w:r>
            <w:r w:rsidR="00086147">
              <w:rPr>
                <w:noProof/>
                <w:webHidden/>
              </w:rPr>
              <w:t>13</w:t>
            </w:r>
            <w:r w:rsidR="00AC3BD2">
              <w:rPr>
                <w:noProof/>
                <w:webHidden/>
              </w:rPr>
              <w:fldChar w:fldCharType="end"/>
            </w:r>
          </w:hyperlink>
        </w:p>
        <w:p w14:paraId="17F44CD3" w14:textId="77777777" w:rsidR="00AC3BD2" w:rsidRDefault="00296C49">
          <w:pPr>
            <w:pStyle w:val="TableofFigures"/>
            <w:rPr>
              <w:rFonts w:asciiTheme="minorHAnsi" w:eastAsiaTheme="minorEastAsia" w:hAnsiTheme="minorHAnsi" w:cstheme="minorBidi"/>
              <w:noProof/>
              <w:color w:val="auto"/>
              <w:sz w:val="22"/>
            </w:rPr>
          </w:pPr>
          <w:hyperlink w:anchor="_Toc508267269" w:history="1">
            <w:r w:rsidR="00AC3BD2" w:rsidRPr="00A010E0">
              <w:rPr>
                <w:rStyle w:val="Hyperlink"/>
                <w:noProof/>
              </w:rPr>
              <w:t>Figure 3</w:t>
            </w:r>
            <w:r w:rsidR="00AC3BD2" w:rsidRPr="00A010E0">
              <w:rPr>
                <w:rStyle w:val="Hyperlink"/>
                <w:noProof/>
              </w:rPr>
              <w:noBreakHyphen/>
              <w:t>2 Cross-section with model boundary conditions applied to the five model layers (layer 1 = Pilliga Sandstone aquifer; layers 2, 4 = aquitard; layers 3, 5 = coal seam gas reservoir): NFB = no flow boundary, CHB = constant head boundary.</w:t>
            </w:r>
            <w:r w:rsidR="00AC3BD2">
              <w:rPr>
                <w:noProof/>
                <w:webHidden/>
              </w:rPr>
              <w:tab/>
            </w:r>
            <w:r w:rsidR="00AC3BD2">
              <w:rPr>
                <w:noProof/>
                <w:webHidden/>
              </w:rPr>
              <w:fldChar w:fldCharType="begin"/>
            </w:r>
            <w:r w:rsidR="00AC3BD2">
              <w:rPr>
                <w:noProof/>
                <w:webHidden/>
              </w:rPr>
              <w:instrText xml:space="preserve"> PAGEREF _Toc508267269 \h </w:instrText>
            </w:r>
            <w:r w:rsidR="00AC3BD2">
              <w:rPr>
                <w:noProof/>
                <w:webHidden/>
              </w:rPr>
            </w:r>
            <w:r w:rsidR="00AC3BD2">
              <w:rPr>
                <w:noProof/>
                <w:webHidden/>
              </w:rPr>
              <w:fldChar w:fldCharType="separate"/>
            </w:r>
            <w:r w:rsidR="00086147">
              <w:rPr>
                <w:noProof/>
                <w:webHidden/>
              </w:rPr>
              <w:t>14</w:t>
            </w:r>
            <w:r w:rsidR="00AC3BD2">
              <w:rPr>
                <w:noProof/>
                <w:webHidden/>
              </w:rPr>
              <w:fldChar w:fldCharType="end"/>
            </w:r>
          </w:hyperlink>
        </w:p>
        <w:p w14:paraId="1233F1E1" w14:textId="77777777" w:rsidR="00AC3BD2" w:rsidRDefault="00296C49">
          <w:pPr>
            <w:pStyle w:val="TableofFigures"/>
            <w:rPr>
              <w:rFonts w:asciiTheme="minorHAnsi" w:eastAsiaTheme="minorEastAsia" w:hAnsiTheme="minorHAnsi" w:cstheme="minorBidi"/>
              <w:noProof/>
              <w:color w:val="auto"/>
              <w:sz w:val="22"/>
            </w:rPr>
          </w:pPr>
          <w:hyperlink w:anchor="_Toc508267270" w:history="1">
            <w:r w:rsidR="00AC3BD2" w:rsidRPr="00A010E0">
              <w:rPr>
                <w:rStyle w:val="Hyperlink"/>
                <w:rFonts w:cstheme="minorHAnsi"/>
                <w:noProof/>
              </w:rPr>
              <w:t>Figure 3</w:t>
            </w:r>
            <w:r w:rsidR="00AC3BD2" w:rsidRPr="00A010E0">
              <w:rPr>
                <w:rStyle w:val="Hyperlink"/>
                <w:rFonts w:cstheme="minorHAnsi"/>
                <w:noProof/>
              </w:rPr>
              <w:noBreakHyphen/>
              <w:t>3 Simplified model steady-state groundwater heads prior to gas extraction in water bearing aquifer layers 1, 3 and 5. Black dots indicate the location of the gas extraction area.</w:t>
            </w:r>
            <w:r w:rsidR="00AC3BD2">
              <w:rPr>
                <w:noProof/>
                <w:webHidden/>
              </w:rPr>
              <w:tab/>
            </w:r>
            <w:r w:rsidR="00AC3BD2">
              <w:rPr>
                <w:noProof/>
                <w:webHidden/>
              </w:rPr>
              <w:fldChar w:fldCharType="begin"/>
            </w:r>
            <w:r w:rsidR="00AC3BD2">
              <w:rPr>
                <w:noProof/>
                <w:webHidden/>
              </w:rPr>
              <w:instrText xml:space="preserve"> PAGEREF _Toc508267270 \h </w:instrText>
            </w:r>
            <w:r w:rsidR="00AC3BD2">
              <w:rPr>
                <w:noProof/>
                <w:webHidden/>
              </w:rPr>
            </w:r>
            <w:r w:rsidR="00AC3BD2">
              <w:rPr>
                <w:noProof/>
                <w:webHidden/>
              </w:rPr>
              <w:fldChar w:fldCharType="separate"/>
            </w:r>
            <w:r w:rsidR="00086147">
              <w:rPr>
                <w:noProof/>
                <w:webHidden/>
              </w:rPr>
              <w:t>15</w:t>
            </w:r>
            <w:r w:rsidR="00AC3BD2">
              <w:rPr>
                <w:noProof/>
                <w:webHidden/>
              </w:rPr>
              <w:fldChar w:fldCharType="end"/>
            </w:r>
          </w:hyperlink>
        </w:p>
        <w:p w14:paraId="6DD2F331" w14:textId="77777777" w:rsidR="00AC3BD2" w:rsidRDefault="00296C49">
          <w:pPr>
            <w:pStyle w:val="TableofFigures"/>
            <w:rPr>
              <w:rFonts w:asciiTheme="minorHAnsi" w:eastAsiaTheme="minorEastAsia" w:hAnsiTheme="minorHAnsi" w:cstheme="minorBidi"/>
              <w:noProof/>
              <w:color w:val="auto"/>
              <w:sz w:val="22"/>
            </w:rPr>
          </w:pPr>
          <w:hyperlink w:anchor="_Toc508267271" w:history="1">
            <w:r w:rsidR="00AC3BD2" w:rsidRPr="00A010E0">
              <w:rPr>
                <w:rStyle w:val="Hyperlink"/>
                <w:rFonts w:cstheme="minorHAnsi"/>
                <w:noProof/>
              </w:rPr>
              <w:t>Figure 3</w:t>
            </w:r>
            <w:r w:rsidR="00AC3BD2" w:rsidRPr="00A010E0">
              <w:rPr>
                <w:rStyle w:val="Hyperlink"/>
                <w:rFonts w:cstheme="minorHAnsi"/>
                <w:noProof/>
              </w:rPr>
              <w:noBreakHyphen/>
              <w:t>4 Water Production estimates for the Narrabri Gas Project area, for the Early Permian (Maules Creek) primary coal seam gas target formation (blue) and Late Permian (Hoskissons) secondary coal seam gas target formation (green) (CDM Smith, 2014).</w:t>
            </w:r>
            <w:r w:rsidR="00AC3BD2">
              <w:rPr>
                <w:noProof/>
                <w:webHidden/>
              </w:rPr>
              <w:tab/>
            </w:r>
            <w:r w:rsidR="00AC3BD2">
              <w:rPr>
                <w:noProof/>
                <w:webHidden/>
              </w:rPr>
              <w:fldChar w:fldCharType="begin"/>
            </w:r>
            <w:r w:rsidR="00AC3BD2">
              <w:rPr>
                <w:noProof/>
                <w:webHidden/>
              </w:rPr>
              <w:instrText xml:space="preserve"> PAGEREF _Toc508267271 \h </w:instrText>
            </w:r>
            <w:r w:rsidR="00AC3BD2">
              <w:rPr>
                <w:noProof/>
                <w:webHidden/>
              </w:rPr>
            </w:r>
            <w:r w:rsidR="00AC3BD2">
              <w:rPr>
                <w:noProof/>
                <w:webHidden/>
              </w:rPr>
              <w:fldChar w:fldCharType="separate"/>
            </w:r>
            <w:r w:rsidR="00086147">
              <w:rPr>
                <w:noProof/>
                <w:webHidden/>
              </w:rPr>
              <w:t>16</w:t>
            </w:r>
            <w:r w:rsidR="00AC3BD2">
              <w:rPr>
                <w:noProof/>
                <w:webHidden/>
              </w:rPr>
              <w:fldChar w:fldCharType="end"/>
            </w:r>
          </w:hyperlink>
        </w:p>
        <w:p w14:paraId="50C89051" w14:textId="77777777" w:rsidR="00AC3BD2" w:rsidRDefault="00296C49">
          <w:pPr>
            <w:pStyle w:val="TableofFigures"/>
            <w:rPr>
              <w:rFonts w:asciiTheme="minorHAnsi" w:eastAsiaTheme="minorEastAsia" w:hAnsiTheme="minorHAnsi" w:cstheme="minorBidi"/>
              <w:noProof/>
              <w:color w:val="auto"/>
              <w:sz w:val="22"/>
            </w:rPr>
          </w:pPr>
          <w:hyperlink w:anchor="_Toc508267272" w:history="1">
            <w:r w:rsidR="00AC3BD2" w:rsidRPr="00A010E0">
              <w:rPr>
                <w:rStyle w:val="Hyperlink"/>
                <w:rFonts w:cstheme="minorHAnsi"/>
                <w:noProof/>
              </w:rPr>
              <w:t>Figure 3</w:t>
            </w:r>
            <w:r w:rsidR="00AC3BD2" w:rsidRPr="00A010E0">
              <w:rPr>
                <w:rStyle w:val="Hyperlink"/>
                <w:rFonts w:cstheme="minorHAnsi"/>
                <w:noProof/>
              </w:rPr>
              <w:noBreakHyphen/>
              <w:t xml:space="preserve">5 Schematic set up of a CLN well in the simplified model. Black dots represent the CLN nodes, and red dots represent CLN nodes used as pumps during the 25-year pumping period, after which they become well screens allowing for passive water flow. The CLN nodes included in a </w:t>
            </w:r>
            <w:r w:rsidR="00AC3BD2" w:rsidRPr="00A010E0">
              <w:rPr>
                <w:rStyle w:val="Hyperlink"/>
                <w:rFonts w:cstheme="minorHAnsi"/>
                <w:i/>
                <w:noProof/>
              </w:rPr>
              <w:t>partial well failure</w:t>
            </w:r>
            <w:r w:rsidR="00AC3BD2" w:rsidRPr="00A010E0">
              <w:rPr>
                <w:rStyle w:val="Hyperlink"/>
                <w:rFonts w:cstheme="minorHAnsi"/>
                <w:noProof/>
              </w:rPr>
              <w:t xml:space="preserve"> (only upper coal seam gas reservoir) and a </w:t>
            </w:r>
            <w:r w:rsidR="00AC3BD2" w:rsidRPr="00A010E0">
              <w:rPr>
                <w:rStyle w:val="Hyperlink"/>
                <w:rFonts w:cstheme="minorHAnsi"/>
                <w:i/>
                <w:noProof/>
              </w:rPr>
              <w:t>full well failure</w:t>
            </w:r>
            <w:r w:rsidR="00AC3BD2" w:rsidRPr="00A010E0">
              <w:rPr>
                <w:rStyle w:val="Hyperlink"/>
                <w:rFonts w:cstheme="minorHAnsi"/>
                <w:noProof/>
              </w:rPr>
              <w:t xml:space="preserve"> (both coal seam gas reservoirs) are also indicated. During and after production period water flow is from top to bottom.</w:t>
            </w:r>
            <w:r w:rsidR="00AC3BD2">
              <w:rPr>
                <w:noProof/>
                <w:webHidden/>
              </w:rPr>
              <w:tab/>
            </w:r>
            <w:r w:rsidR="00AC3BD2">
              <w:rPr>
                <w:noProof/>
                <w:webHidden/>
              </w:rPr>
              <w:fldChar w:fldCharType="begin"/>
            </w:r>
            <w:r w:rsidR="00AC3BD2">
              <w:rPr>
                <w:noProof/>
                <w:webHidden/>
              </w:rPr>
              <w:instrText xml:space="preserve"> PAGEREF _Toc508267272 \h </w:instrText>
            </w:r>
            <w:r w:rsidR="00AC3BD2">
              <w:rPr>
                <w:noProof/>
                <w:webHidden/>
              </w:rPr>
            </w:r>
            <w:r w:rsidR="00AC3BD2">
              <w:rPr>
                <w:noProof/>
                <w:webHidden/>
              </w:rPr>
              <w:fldChar w:fldCharType="separate"/>
            </w:r>
            <w:r w:rsidR="00086147">
              <w:rPr>
                <w:noProof/>
                <w:webHidden/>
              </w:rPr>
              <w:t>18</w:t>
            </w:r>
            <w:r w:rsidR="00AC3BD2">
              <w:rPr>
                <w:noProof/>
                <w:webHidden/>
              </w:rPr>
              <w:fldChar w:fldCharType="end"/>
            </w:r>
          </w:hyperlink>
        </w:p>
        <w:p w14:paraId="39555475" w14:textId="77777777" w:rsidR="00AC3BD2" w:rsidRDefault="00296C49">
          <w:pPr>
            <w:pStyle w:val="TableofFigures"/>
            <w:rPr>
              <w:rFonts w:asciiTheme="minorHAnsi" w:eastAsiaTheme="minorEastAsia" w:hAnsiTheme="minorHAnsi" w:cstheme="minorBidi"/>
              <w:noProof/>
              <w:color w:val="auto"/>
              <w:sz w:val="22"/>
            </w:rPr>
          </w:pPr>
          <w:hyperlink w:anchor="_Toc508267273" w:history="1">
            <w:r w:rsidR="00AC3BD2" w:rsidRPr="00A010E0">
              <w:rPr>
                <w:rStyle w:val="Hyperlink"/>
                <w:noProof/>
              </w:rPr>
              <w:t>Figure 3</w:t>
            </w:r>
            <w:r w:rsidR="00AC3BD2" w:rsidRPr="00A010E0">
              <w:rPr>
                <w:rStyle w:val="Hyperlink"/>
                <w:noProof/>
              </w:rPr>
              <w:noBreakHyphen/>
              <w:t>6 Schematic image of the spatially correlated random well failure approach. The white circle represents the seed well, green and red dots represent intact and failed wells respectively.</w:t>
            </w:r>
            <w:r w:rsidR="00AC3BD2">
              <w:rPr>
                <w:noProof/>
                <w:webHidden/>
              </w:rPr>
              <w:tab/>
            </w:r>
            <w:r w:rsidR="00AC3BD2">
              <w:rPr>
                <w:noProof/>
                <w:webHidden/>
              </w:rPr>
              <w:fldChar w:fldCharType="begin"/>
            </w:r>
            <w:r w:rsidR="00AC3BD2">
              <w:rPr>
                <w:noProof/>
                <w:webHidden/>
              </w:rPr>
              <w:instrText xml:space="preserve"> PAGEREF _Toc508267273 \h </w:instrText>
            </w:r>
            <w:r w:rsidR="00AC3BD2">
              <w:rPr>
                <w:noProof/>
                <w:webHidden/>
              </w:rPr>
            </w:r>
            <w:r w:rsidR="00AC3BD2">
              <w:rPr>
                <w:noProof/>
                <w:webHidden/>
              </w:rPr>
              <w:fldChar w:fldCharType="separate"/>
            </w:r>
            <w:r w:rsidR="00086147">
              <w:rPr>
                <w:noProof/>
                <w:webHidden/>
              </w:rPr>
              <w:t>19</w:t>
            </w:r>
            <w:r w:rsidR="00AC3BD2">
              <w:rPr>
                <w:noProof/>
                <w:webHidden/>
              </w:rPr>
              <w:fldChar w:fldCharType="end"/>
            </w:r>
          </w:hyperlink>
        </w:p>
        <w:p w14:paraId="1995EEF6" w14:textId="77777777" w:rsidR="00AC3BD2" w:rsidRDefault="00296C49">
          <w:pPr>
            <w:pStyle w:val="TableofFigures"/>
            <w:rPr>
              <w:rFonts w:asciiTheme="minorHAnsi" w:eastAsiaTheme="minorEastAsia" w:hAnsiTheme="minorHAnsi" w:cstheme="minorBidi"/>
              <w:noProof/>
              <w:color w:val="auto"/>
              <w:sz w:val="22"/>
            </w:rPr>
          </w:pPr>
          <w:hyperlink w:anchor="_Toc508267274" w:history="1">
            <w:r w:rsidR="00AC3BD2" w:rsidRPr="00A010E0">
              <w:rPr>
                <w:rStyle w:val="Hyperlink"/>
                <w:noProof/>
              </w:rPr>
              <w:t>Figure 3</w:t>
            </w:r>
            <w:r w:rsidR="00AC3BD2" w:rsidRPr="00A010E0">
              <w:rPr>
                <w:rStyle w:val="Hyperlink"/>
                <w:noProof/>
              </w:rPr>
              <w:noBreakHyphen/>
              <w:t>7 Well failure patterns based on the spatially correlated random well failure approach for a spatial correlation length of 2 km ((a) – (e)) and 10 km ((f) – (j)). The percentage of wells that have failed is indicated at the top of each graph (from 1 – 50%). Black points indicate intact wells, green indicates a well which has partially failed and red indicates full failure (See Figure 3</w:t>
            </w:r>
            <w:r w:rsidR="00AC3BD2" w:rsidRPr="00A010E0">
              <w:rPr>
                <w:rStyle w:val="Hyperlink"/>
                <w:noProof/>
              </w:rPr>
              <w:noBreakHyphen/>
              <w:t>5 for further description of well failure type).</w:t>
            </w:r>
            <w:r w:rsidR="00AC3BD2">
              <w:rPr>
                <w:noProof/>
                <w:webHidden/>
              </w:rPr>
              <w:tab/>
            </w:r>
            <w:r w:rsidR="00AC3BD2">
              <w:rPr>
                <w:noProof/>
                <w:webHidden/>
              </w:rPr>
              <w:fldChar w:fldCharType="begin"/>
            </w:r>
            <w:r w:rsidR="00AC3BD2">
              <w:rPr>
                <w:noProof/>
                <w:webHidden/>
              </w:rPr>
              <w:instrText xml:space="preserve"> PAGEREF _Toc508267274 \h </w:instrText>
            </w:r>
            <w:r w:rsidR="00AC3BD2">
              <w:rPr>
                <w:noProof/>
                <w:webHidden/>
              </w:rPr>
            </w:r>
            <w:r w:rsidR="00AC3BD2">
              <w:rPr>
                <w:noProof/>
                <w:webHidden/>
              </w:rPr>
              <w:fldChar w:fldCharType="separate"/>
            </w:r>
            <w:r w:rsidR="00086147">
              <w:rPr>
                <w:noProof/>
                <w:webHidden/>
              </w:rPr>
              <w:t>20</w:t>
            </w:r>
            <w:r w:rsidR="00AC3BD2">
              <w:rPr>
                <w:noProof/>
                <w:webHidden/>
              </w:rPr>
              <w:fldChar w:fldCharType="end"/>
            </w:r>
          </w:hyperlink>
        </w:p>
        <w:p w14:paraId="27FD20C5" w14:textId="77777777" w:rsidR="00AC3BD2" w:rsidRDefault="00296C49">
          <w:pPr>
            <w:pStyle w:val="TableofFigures"/>
            <w:rPr>
              <w:rFonts w:asciiTheme="minorHAnsi" w:eastAsiaTheme="minorEastAsia" w:hAnsiTheme="minorHAnsi" w:cstheme="minorBidi"/>
              <w:noProof/>
              <w:color w:val="auto"/>
              <w:sz w:val="22"/>
            </w:rPr>
          </w:pPr>
          <w:hyperlink w:anchor="_Toc508267275" w:history="1">
            <w:r w:rsidR="00AC3BD2" w:rsidRPr="00A010E0">
              <w:rPr>
                <w:rStyle w:val="Hyperlink"/>
                <w:noProof/>
              </w:rPr>
              <w:t>Figure 3</w:t>
            </w:r>
            <w:r w:rsidR="00AC3BD2" w:rsidRPr="00A010E0">
              <w:rPr>
                <w:rStyle w:val="Hyperlink"/>
                <w:noProof/>
              </w:rPr>
              <w:noBreakHyphen/>
              <w:t>8 Diagram with the locations (yellow dots) at which the groundwater levels (metric 1) are shown in Figure 4</w:t>
            </w:r>
            <w:r w:rsidR="00AC3BD2" w:rsidRPr="00A010E0">
              <w:rPr>
                <w:rStyle w:val="Hyperlink"/>
                <w:noProof/>
              </w:rPr>
              <w:noBreakHyphen/>
              <w:t>1 (within the well field), Figure 4</w:t>
            </w:r>
            <w:r w:rsidR="00AC3BD2" w:rsidRPr="00A010E0">
              <w:rPr>
                <w:rStyle w:val="Hyperlink"/>
                <w:noProof/>
              </w:rPr>
              <w:noBreakHyphen/>
              <w:t>2 (north and south of the well field), and Figure 4</w:t>
            </w:r>
            <w:r w:rsidR="00AC3BD2" w:rsidRPr="00A010E0">
              <w:rPr>
                <w:rStyle w:val="Hyperlink"/>
                <w:noProof/>
              </w:rPr>
              <w:noBreakHyphen/>
              <w:t>3 (east and west of the well field). Wells are shown as white dots.</w:t>
            </w:r>
            <w:r w:rsidR="00AC3BD2">
              <w:rPr>
                <w:noProof/>
                <w:webHidden/>
              </w:rPr>
              <w:tab/>
            </w:r>
            <w:r w:rsidR="00AC3BD2">
              <w:rPr>
                <w:noProof/>
                <w:webHidden/>
              </w:rPr>
              <w:fldChar w:fldCharType="begin"/>
            </w:r>
            <w:r w:rsidR="00AC3BD2">
              <w:rPr>
                <w:noProof/>
                <w:webHidden/>
              </w:rPr>
              <w:instrText xml:space="preserve"> PAGEREF _Toc508267275 \h </w:instrText>
            </w:r>
            <w:r w:rsidR="00AC3BD2">
              <w:rPr>
                <w:noProof/>
                <w:webHidden/>
              </w:rPr>
            </w:r>
            <w:r w:rsidR="00AC3BD2">
              <w:rPr>
                <w:noProof/>
                <w:webHidden/>
              </w:rPr>
              <w:fldChar w:fldCharType="separate"/>
            </w:r>
            <w:r w:rsidR="00086147">
              <w:rPr>
                <w:noProof/>
                <w:webHidden/>
              </w:rPr>
              <w:t>21</w:t>
            </w:r>
            <w:r w:rsidR="00AC3BD2">
              <w:rPr>
                <w:noProof/>
                <w:webHidden/>
              </w:rPr>
              <w:fldChar w:fldCharType="end"/>
            </w:r>
          </w:hyperlink>
        </w:p>
        <w:p w14:paraId="34DEF165" w14:textId="77777777" w:rsidR="00AC3BD2" w:rsidRDefault="00296C49">
          <w:pPr>
            <w:pStyle w:val="TableofFigures"/>
            <w:rPr>
              <w:rFonts w:asciiTheme="minorHAnsi" w:eastAsiaTheme="minorEastAsia" w:hAnsiTheme="minorHAnsi" w:cstheme="minorBidi"/>
              <w:noProof/>
              <w:color w:val="auto"/>
              <w:sz w:val="22"/>
            </w:rPr>
          </w:pPr>
          <w:hyperlink w:anchor="_Toc508267276" w:history="1">
            <w:r w:rsidR="00AC3BD2" w:rsidRPr="00A010E0">
              <w:rPr>
                <w:rStyle w:val="Hyperlink"/>
                <w:noProof/>
              </w:rPr>
              <w:t>Figure 4</w:t>
            </w:r>
            <w:r w:rsidR="00AC3BD2" w:rsidRPr="00A010E0">
              <w:rPr>
                <w:rStyle w:val="Hyperlink"/>
                <w:noProof/>
              </w:rPr>
              <w:noBreakHyphen/>
              <w:t xml:space="preserve">1 </w:t>
            </w:r>
            <w:r w:rsidR="00AC3BD2" w:rsidRPr="00A010E0">
              <w:rPr>
                <w:rStyle w:val="Hyperlink"/>
                <w:rFonts w:cstheme="minorHAnsi"/>
                <w:noProof/>
              </w:rPr>
              <w:t>Time series (production to recovery) of groundwater levels at the point of maximum drawdown in the well field for different well failure rates in (a) Pilliga Sandstone Aquifer (layer 1), (b) Late Permian coal seam (layer 3), and (c) Early Permian coal seam (layer 5). All simulations generate identical groundwater levels and therefore plot on top of each other. The blue bar indicates the coal seam gas (and water) production period (25 years). The dotted line represents the pre-production groundwater level (m AHD).</w:t>
            </w:r>
            <w:r w:rsidR="00AC3BD2">
              <w:rPr>
                <w:noProof/>
                <w:webHidden/>
              </w:rPr>
              <w:tab/>
            </w:r>
            <w:r w:rsidR="00AC3BD2">
              <w:rPr>
                <w:noProof/>
                <w:webHidden/>
              </w:rPr>
              <w:fldChar w:fldCharType="begin"/>
            </w:r>
            <w:r w:rsidR="00AC3BD2">
              <w:rPr>
                <w:noProof/>
                <w:webHidden/>
              </w:rPr>
              <w:instrText xml:space="preserve"> PAGEREF _Toc508267276 \h </w:instrText>
            </w:r>
            <w:r w:rsidR="00AC3BD2">
              <w:rPr>
                <w:noProof/>
                <w:webHidden/>
              </w:rPr>
            </w:r>
            <w:r w:rsidR="00AC3BD2">
              <w:rPr>
                <w:noProof/>
                <w:webHidden/>
              </w:rPr>
              <w:fldChar w:fldCharType="separate"/>
            </w:r>
            <w:r w:rsidR="00086147">
              <w:rPr>
                <w:noProof/>
                <w:webHidden/>
              </w:rPr>
              <w:t>23</w:t>
            </w:r>
            <w:r w:rsidR="00AC3BD2">
              <w:rPr>
                <w:noProof/>
                <w:webHidden/>
              </w:rPr>
              <w:fldChar w:fldCharType="end"/>
            </w:r>
          </w:hyperlink>
        </w:p>
        <w:p w14:paraId="67DF82A3" w14:textId="77777777" w:rsidR="00AC3BD2" w:rsidRDefault="00296C49">
          <w:pPr>
            <w:pStyle w:val="TableofFigures"/>
            <w:rPr>
              <w:rFonts w:asciiTheme="minorHAnsi" w:eastAsiaTheme="minorEastAsia" w:hAnsiTheme="minorHAnsi" w:cstheme="minorBidi"/>
              <w:noProof/>
              <w:color w:val="auto"/>
              <w:sz w:val="22"/>
            </w:rPr>
          </w:pPr>
          <w:hyperlink w:anchor="_Toc508267277" w:history="1">
            <w:r w:rsidR="00AC3BD2" w:rsidRPr="00A010E0">
              <w:rPr>
                <w:rStyle w:val="Hyperlink"/>
                <w:noProof/>
              </w:rPr>
              <w:t>Figure 4</w:t>
            </w:r>
            <w:r w:rsidR="00AC3BD2" w:rsidRPr="00A010E0">
              <w:rPr>
                <w:rStyle w:val="Hyperlink"/>
                <w:noProof/>
              </w:rPr>
              <w:noBreakHyphen/>
              <w:t xml:space="preserve">2 </w:t>
            </w:r>
            <w:r w:rsidR="00AC3BD2" w:rsidRPr="00A010E0">
              <w:rPr>
                <w:rStyle w:val="Hyperlink"/>
                <w:rFonts w:cstheme="minorHAnsi"/>
                <w:noProof/>
              </w:rPr>
              <w:t>Time series (production to recovery) of groundwater levels at a distance of 10 km to the north (solid line) and south (dashed line) of the well field for the different well failure rates in (a) Pilliga Sandstone Aquifer (layer 1), (b) Late Permian coal seam (layer 3), and (c) Early Permian coal seam (layer 5). All simulations generate identical groundwater levels and therefore plot on top of each other. The blue bar indicates the coal seam gas (and water) production period (25 years). The dotted line represents the pre-production groundwater level (m AHD).</w:t>
            </w:r>
            <w:r w:rsidR="00AC3BD2">
              <w:rPr>
                <w:noProof/>
                <w:webHidden/>
              </w:rPr>
              <w:tab/>
            </w:r>
            <w:r w:rsidR="00AC3BD2">
              <w:rPr>
                <w:noProof/>
                <w:webHidden/>
              </w:rPr>
              <w:fldChar w:fldCharType="begin"/>
            </w:r>
            <w:r w:rsidR="00AC3BD2">
              <w:rPr>
                <w:noProof/>
                <w:webHidden/>
              </w:rPr>
              <w:instrText xml:space="preserve"> PAGEREF _Toc508267277 \h </w:instrText>
            </w:r>
            <w:r w:rsidR="00AC3BD2">
              <w:rPr>
                <w:noProof/>
                <w:webHidden/>
              </w:rPr>
            </w:r>
            <w:r w:rsidR="00AC3BD2">
              <w:rPr>
                <w:noProof/>
                <w:webHidden/>
              </w:rPr>
              <w:fldChar w:fldCharType="separate"/>
            </w:r>
            <w:r w:rsidR="00086147">
              <w:rPr>
                <w:noProof/>
                <w:webHidden/>
              </w:rPr>
              <w:t>24</w:t>
            </w:r>
            <w:r w:rsidR="00AC3BD2">
              <w:rPr>
                <w:noProof/>
                <w:webHidden/>
              </w:rPr>
              <w:fldChar w:fldCharType="end"/>
            </w:r>
          </w:hyperlink>
        </w:p>
        <w:p w14:paraId="04A383FB" w14:textId="77777777" w:rsidR="00AC3BD2" w:rsidRDefault="00296C49">
          <w:pPr>
            <w:pStyle w:val="TableofFigures"/>
            <w:rPr>
              <w:rFonts w:asciiTheme="minorHAnsi" w:eastAsiaTheme="minorEastAsia" w:hAnsiTheme="minorHAnsi" w:cstheme="minorBidi"/>
              <w:noProof/>
              <w:color w:val="auto"/>
              <w:sz w:val="22"/>
            </w:rPr>
          </w:pPr>
          <w:hyperlink w:anchor="_Toc508267278" w:history="1">
            <w:r w:rsidR="00AC3BD2" w:rsidRPr="00A010E0">
              <w:rPr>
                <w:rStyle w:val="Hyperlink"/>
                <w:noProof/>
              </w:rPr>
              <w:t>Figure 4</w:t>
            </w:r>
            <w:r w:rsidR="00AC3BD2" w:rsidRPr="00A010E0">
              <w:rPr>
                <w:rStyle w:val="Hyperlink"/>
                <w:noProof/>
              </w:rPr>
              <w:noBreakHyphen/>
              <w:t>3</w:t>
            </w:r>
            <w:r w:rsidR="00AC3BD2" w:rsidRPr="00A010E0">
              <w:rPr>
                <w:rStyle w:val="Hyperlink"/>
                <w:rFonts w:cstheme="minorHAnsi"/>
                <w:noProof/>
              </w:rPr>
              <w:t xml:space="preserve"> Time series (production to recovery) of groundwater levels at a distance of 10 km to the east (solid line) and west (dashed line) of the well field for the different well failure rates in (a) Pilliga Sandstone Aquifer (layer 1), (b) Late Permian coal seam (layer 3), and (c) Early Permian coal seal (layer 5). All simulations generate identical groundwater levels and therefore plot on top of each other. The blue bar indicates the coal seam gas (and water) production period (25 years). The dotted line represents the pre-production groundwater level (m AHD).</w:t>
            </w:r>
            <w:r w:rsidR="00AC3BD2">
              <w:rPr>
                <w:noProof/>
                <w:webHidden/>
              </w:rPr>
              <w:tab/>
            </w:r>
            <w:r w:rsidR="00AC3BD2">
              <w:rPr>
                <w:noProof/>
                <w:webHidden/>
              </w:rPr>
              <w:fldChar w:fldCharType="begin"/>
            </w:r>
            <w:r w:rsidR="00AC3BD2">
              <w:rPr>
                <w:noProof/>
                <w:webHidden/>
              </w:rPr>
              <w:instrText xml:space="preserve"> PAGEREF _Toc508267278 \h </w:instrText>
            </w:r>
            <w:r w:rsidR="00AC3BD2">
              <w:rPr>
                <w:noProof/>
                <w:webHidden/>
              </w:rPr>
            </w:r>
            <w:r w:rsidR="00AC3BD2">
              <w:rPr>
                <w:noProof/>
                <w:webHidden/>
              </w:rPr>
              <w:fldChar w:fldCharType="separate"/>
            </w:r>
            <w:r w:rsidR="00086147">
              <w:rPr>
                <w:noProof/>
                <w:webHidden/>
              </w:rPr>
              <w:t>25</w:t>
            </w:r>
            <w:r w:rsidR="00AC3BD2">
              <w:rPr>
                <w:noProof/>
                <w:webHidden/>
              </w:rPr>
              <w:fldChar w:fldCharType="end"/>
            </w:r>
          </w:hyperlink>
        </w:p>
        <w:p w14:paraId="100AE2B8" w14:textId="77777777" w:rsidR="00AC3BD2" w:rsidRDefault="00296C49">
          <w:pPr>
            <w:pStyle w:val="TableofFigures"/>
            <w:rPr>
              <w:rFonts w:asciiTheme="minorHAnsi" w:eastAsiaTheme="minorEastAsia" w:hAnsiTheme="minorHAnsi" w:cstheme="minorBidi"/>
              <w:noProof/>
              <w:color w:val="auto"/>
              <w:sz w:val="22"/>
            </w:rPr>
          </w:pPr>
          <w:hyperlink w:anchor="_Toc508267279" w:history="1">
            <w:r w:rsidR="00AC3BD2" w:rsidRPr="00A010E0">
              <w:rPr>
                <w:rStyle w:val="Hyperlink"/>
                <w:rFonts w:cstheme="minorHAnsi"/>
                <w:noProof/>
              </w:rPr>
              <w:t>Figure 4</w:t>
            </w:r>
            <w:r w:rsidR="00AC3BD2" w:rsidRPr="00A010E0">
              <w:rPr>
                <w:rStyle w:val="Hyperlink"/>
                <w:rFonts w:cstheme="minorHAnsi"/>
                <w:noProof/>
              </w:rPr>
              <w:noBreakHyphen/>
              <w:t>4 Impact of different well failure rates on (a) the total groundwater flow density (GWF) in layer 1 to the wells (m</w:t>
            </w:r>
            <w:r w:rsidR="00AC3BD2" w:rsidRPr="00A010E0">
              <w:rPr>
                <w:rStyle w:val="Hyperlink"/>
                <w:rFonts w:cstheme="minorHAnsi"/>
                <w:noProof/>
                <w:vertAlign w:val="superscript"/>
              </w:rPr>
              <w:t>3</w:t>
            </w:r>
            <w:r w:rsidR="00AC3BD2" w:rsidRPr="00A010E0">
              <w:rPr>
                <w:rStyle w:val="Hyperlink"/>
                <w:rFonts w:cstheme="minorHAnsi"/>
                <w:noProof/>
              </w:rPr>
              <w:t>/day/km</w:t>
            </w:r>
            <w:r w:rsidR="00AC3BD2" w:rsidRPr="00A010E0">
              <w:rPr>
                <w:rStyle w:val="Hyperlink"/>
                <w:rFonts w:cstheme="minorHAnsi"/>
                <w:noProof/>
                <w:vertAlign w:val="superscript"/>
              </w:rPr>
              <w:t>2</w:t>
            </w:r>
            <w:r w:rsidR="00AC3BD2" w:rsidRPr="00A010E0">
              <w:rPr>
                <w:rStyle w:val="Hyperlink"/>
                <w:rFonts w:cstheme="minorHAnsi"/>
                <w:noProof/>
              </w:rPr>
              <w:t>), (b) total regional leakage density (full model domain) across the upper aquitard (m</w:t>
            </w:r>
            <w:r w:rsidR="00AC3BD2" w:rsidRPr="00A010E0">
              <w:rPr>
                <w:rStyle w:val="Hyperlink"/>
                <w:rFonts w:cstheme="minorHAnsi"/>
                <w:noProof/>
                <w:vertAlign w:val="superscript"/>
              </w:rPr>
              <w:t>3</w:t>
            </w:r>
            <w:r w:rsidR="00AC3BD2" w:rsidRPr="00A010E0">
              <w:rPr>
                <w:rStyle w:val="Hyperlink"/>
                <w:rFonts w:cstheme="minorHAnsi"/>
                <w:noProof/>
              </w:rPr>
              <w:t>/day/km</w:t>
            </w:r>
            <w:r w:rsidR="00AC3BD2" w:rsidRPr="00A010E0">
              <w:rPr>
                <w:rStyle w:val="Hyperlink"/>
                <w:rFonts w:cstheme="minorHAnsi"/>
                <w:noProof/>
                <w:vertAlign w:val="superscript"/>
              </w:rPr>
              <w:t>2</w:t>
            </w:r>
            <w:r w:rsidR="00AC3BD2" w:rsidRPr="00A010E0">
              <w:rPr>
                <w:rStyle w:val="Hyperlink"/>
                <w:rFonts w:cstheme="minorHAnsi"/>
                <w:noProof/>
              </w:rPr>
              <w:t>), and (c) total leakage density beneath the gas well field (425 km</w:t>
            </w:r>
            <w:r w:rsidR="00AC3BD2" w:rsidRPr="00A010E0">
              <w:rPr>
                <w:rStyle w:val="Hyperlink"/>
                <w:rFonts w:cstheme="minorHAnsi"/>
                <w:noProof/>
                <w:vertAlign w:val="superscript"/>
              </w:rPr>
              <w:t>2</w:t>
            </w:r>
            <w:r w:rsidR="00AC3BD2" w:rsidRPr="00A010E0">
              <w:rPr>
                <w:rStyle w:val="Hyperlink"/>
                <w:rFonts w:cstheme="minorHAnsi"/>
                <w:noProof/>
              </w:rPr>
              <w:t>), from layer 2 into the underlying coal target formation (layer 3) (m</w:t>
            </w:r>
            <w:r w:rsidR="00AC3BD2" w:rsidRPr="00A010E0">
              <w:rPr>
                <w:rStyle w:val="Hyperlink"/>
                <w:rFonts w:cstheme="minorHAnsi"/>
                <w:noProof/>
                <w:vertAlign w:val="superscript"/>
              </w:rPr>
              <w:t>3</w:t>
            </w:r>
            <w:r w:rsidR="00AC3BD2" w:rsidRPr="00A010E0">
              <w:rPr>
                <w:rStyle w:val="Hyperlink"/>
                <w:rFonts w:cstheme="minorHAnsi"/>
                <w:noProof/>
              </w:rPr>
              <w:t>/day/km</w:t>
            </w:r>
            <w:r w:rsidR="00AC3BD2" w:rsidRPr="00A010E0">
              <w:rPr>
                <w:rStyle w:val="Hyperlink"/>
                <w:rFonts w:cstheme="minorHAnsi"/>
                <w:noProof/>
                <w:vertAlign w:val="superscript"/>
              </w:rPr>
              <w:t>2</w:t>
            </w:r>
            <w:r w:rsidR="00AC3BD2" w:rsidRPr="00A010E0">
              <w:rPr>
                <w:rStyle w:val="Hyperlink"/>
                <w:rFonts w:cstheme="minorHAnsi"/>
                <w:noProof/>
              </w:rPr>
              <w:t>). All simulations generate identical regional leakage response and therefore plot on top of each other. The blue bar indicates the coal seam gas (and water) production period (25 years).</w:t>
            </w:r>
            <w:r w:rsidR="00AC3BD2">
              <w:rPr>
                <w:noProof/>
                <w:webHidden/>
              </w:rPr>
              <w:tab/>
            </w:r>
            <w:r w:rsidR="00AC3BD2">
              <w:rPr>
                <w:noProof/>
                <w:webHidden/>
              </w:rPr>
              <w:fldChar w:fldCharType="begin"/>
            </w:r>
            <w:r w:rsidR="00AC3BD2">
              <w:rPr>
                <w:noProof/>
                <w:webHidden/>
              </w:rPr>
              <w:instrText xml:space="preserve"> PAGEREF _Toc508267279 \h </w:instrText>
            </w:r>
            <w:r w:rsidR="00AC3BD2">
              <w:rPr>
                <w:noProof/>
                <w:webHidden/>
              </w:rPr>
            </w:r>
            <w:r w:rsidR="00AC3BD2">
              <w:rPr>
                <w:noProof/>
                <w:webHidden/>
              </w:rPr>
              <w:fldChar w:fldCharType="separate"/>
            </w:r>
            <w:r w:rsidR="00086147">
              <w:rPr>
                <w:noProof/>
                <w:webHidden/>
              </w:rPr>
              <w:t>26</w:t>
            </w:r>
            <w:r w:rsidR="00AC3BD2">
              <w:rPr>
                <w:noProof/>
                <w:webHidden/>
              </w:rPr>
              <w:fldChar w:fldCharType="end"/>
            </w:r>
          </w:hyperlink>
        </w:p>
        <w:p w14:paraId="0CA8589B" w14:textId="77777777" w:rsidR="00AC3BD2" w:rsidRDefault="00296C49">
          <w:pPr>
            <w:pStyle w:val="TableofFigures"/>
            <w:rPr>
              <w:rFonts w:asciiTheme="minorHAnsi" w:eastAsiaTheme="minorEastAsia" w:hAnsiTheme="minorHAnsi" w:cstheme="minorBidi"/>
              <w:noProof/>
              <w:color w:val="auto"/>
              <w:sz w:val="22"/>
            </w:rPr>
          </w:pPr>
          <w:hyperlink w:anchor="_Toc508267280" w:history="1">
            <w:r w:rsidR="00AC3BD2" w:rsidRPr="00A010E0">
              <w:rPr>
                <w:rStyle w:val="Hyperlink"/>
                <w:noProof/>
              </w:rPr>
              <w:t>Figure 4</w:t>
            </w:r>
            <w:r w:rsidR="00AC3BD2" w:rsidRPr="00A010E0">
              <w:rPr>
                <w:rStyle w:val="Hyperlink"/>
                <w:noProof/>
              </w:rPr>
              <w:noBreakHyphen/>
              <w:t>5 Contributions to daily mass balance of inter-aquifer leakage from diffuse flux across aquitard (full model domain), diffuse flux across aquitard (gas project area), and flux through leaky wells (100 % well failure).</w:t>
            </w:r>
            <w:r w:rsidR="00AC3BD2">
              <w:rPr>
                <w:noProof/>
                <w:webHidden/>
              </w:rPr>
              <w:tab/>
            </w:r>
            <w:r w:rsidR="00AC3BD2">
              <w:rPr>
                <w:noProof/>
                <w:webHidden/>
              </w:rPr>
              <w:fldChar w:fldCharType="begin"/>
            </w:r>
            <w:r w:rsidR="00AC3BD2">
              <w:rPr>
                <w:noProof/>
                <w:webHidden/>
              </w:rPr>
              <w:instrText xml:space="preserve"> PAGEREF _Toc508267280 \h </w:instrText>
            </w:r>
            <w:r w:rsidR="00AC3BD2">
              <w:rPr>
                <w:noProof/>
                <w:webHidden/>
              </w:rPr>
            </w:r>
            <w:r w:rsidR="00AC3BD2">
              <w:rPr>
                <w:noProof/>
                <w:webHidden/>
              </w:rPr>
              <w:fldChar w:fldCharType="separate"/>
            </w:r>
            <w:r w:rsidR="00086147">
              <w:rPr>
                <w:noProof/>
                <w:webHidden/>
              </w:rPr>
              <w:t>27</w:t>
            </w:r>
            <w:r w:rsidR="00AC3BD2">
              <w:rPr>
                <w:noProof/>
                <w:webHidden/>
              </w:rPr>
              <w:fldChar w:fldCharType="end"/>
            </w:r>
          </w:hyperlink>
        </w:p>
        <w:p w14:paraId="315BE8C8" w14:textId="77777777" w:rsidR="00AC3BD2" w:rsidRDefault="00296C49">
          <w:pPr>
            <w:pStyle w:val="TableofFigures"/>
            <w:rPr>
              <w:rFonts w:asciiTheme="minorHAnsi" w:eastAsiaTheme="minorEastAsia" w:hAnsiTheme="minorHAnsi" w:cstheme="minorBidi"/>
              <w:noProof/>
              <w:color w:val="auto"/>
              <w:sz w:val="22"/>
            </w:rPr>
          </w:pPr>
          <w:hyperlink w:anchor="_Toc508267281" w:history="1">
            <w:r w:rsidR="00AC3BD2" w:rsidRPr="00A010E0">
              <w:rPr>
                <w:rStyle w:val="Hyperlink"/>
                <w:noProof/>
              </w:rPr>
              <w:t>Figure 4</w:t>
            </w:r>
            <w:r w:rsidR="00AC3BD2" w:rsidRPr="00A010E0">
              <w:rPr>
                <w:rStyle w:val="Hyperlink"/>
                <w:noProof/>
              </w:rPr>
              <w:noBreakHyphen/>
              <w:t xml:space="preserve">6 </w:t>
            </w:r>
            <w:r w:rsidR="00AC3BD2" w:rsidRPr="00A010E0">
              <w:rPr>
                <w:rStyle w:val="Hyperlink"/>
                <w:rFonts w:cstheme="minorHAnsi"/>
                <w:noProof/>
              </w:rPr>
              <w:t>Impact of different well failure rates on (a) the total groundwater flow (GWF) in layer 1 to the wells (m</w:t>
            </w:r>
            <w:r w:rsidR="00AC3BD2" w:rsidRPr="00A010E0">
              <w:rPr>
                <w:rStyle w:val="Hyperlink"/>
                <w:rFonts w:cstheme="minorHAnsi"/>
                <w:noProof/>
                <w:vertAlign w:val="superscript"/>
              </w:rPr>
              <w:t>3</w:t>
            </w:r>
            <w:r w:rsidR="00AC3BD2" w:rsidRPr="00A010E0">
              <w:rPr>
                <w:rStyle w:val="Hyperlink"/>
                <w:rFonts w:cstheme="minorHAnsi"/>
                <w:noProof/>
              </w:rPr>
              <w:t>/day), (b) total regional leakage (full model domain) across the upper aquitard (m</w:t>
            </w:r>
            <w:r w:rsidR="00AC3BD2" w:rsidRPr="00A010E0">
              <w:rPr>
                <w:rStyle w:val="Hyperlink"/>
                <w:rFonts w:cstheme="minorHAnsi"/>
                <w:noProof/>
                <w:vertAlign w:val="superscript"/>
              </w:rPr>
              <w:t>3</w:t>
            </w:r>
            <w:r w:rsidR="00AC3BD2" w:rsidRPr="00A010E0">
              <w:rPr>
                <w:rStyle w:val="Hyperlink"/>
                <w:rFonts w:cstheme="minorHAnsi"/>
                <w:noProof/>
              </w:rPr>
              <w:t>/day), and (c) total leakage beneath the gas well field (425 km</w:t>
            </w:r>
            <w:r w:rsidR="00AC3BD2" w:rsidRPr="00A010E0">
              <w:rPr>
                <w:rStyle w:val="Hyperlink"/>
                <w:rFonts w:cstheme="minorHAnsi"/>
                <w:noProof/>
                <w:vertAlign w:val="superscript"/>
              </w:rPr>
              <w:t>2</w:t>
            </w:r>
            <w:r w:rsidR="00AC3BD2" w:rsidRPr="00A010E0">
              <w:rPr>
                <w:rStyle w:val="Hyperlink"/>
                <w:rFonts w:cstheme="minorHAnsi"/>
                <w:noProof/>
              </w:rPr>
              <w:t>), from layer 2 into the underlying coal target formation (layer 3) (m</w:t>
            </w:r>
            <w:r w:rsidR="00AC3BD2" w:rsidRPr="00A010E0">
              <w:rPr>
                <w:rStyle w:val="Hyperlink"/>
                <w:rFonts w:cstheme="minorHAnsi"/>
                <w:noProof/>
                <w:vertAlign w:val="superscript"/>
              </w:rPr>
              <w:t>3</w:t>
            </w:r>
            <w:r w:rsidR="00AC3BD2" w:rsidRPr="00A010E0">
              <w:rPr>
                <w:rStyle w:val="Hyperlink"/>
                <w:rFonts w:cstheme="minorHAnsi"/>
                <w:noProof/>
              </w:rPr>
              <w:t>/day). All simulations generate identical regional leakage response and therefore plot on top of each other. The blue bar indicates the coal seam gas (and water) production period (25 years).</w:t>
            </w:r>
            <w:r w:rsidR="00AC3BD2">
              <w:rPr>
                <w:noProof/>
                <w:webHidden/>
              </w:rPr>
              <w:tab/>
            </w:r>
            <w:r w:rsidR="00AC3BD2">
              <w:rPr>
                <w:noProof/>
                <w:webHidden/>
              </w:rPr>
              <w:fldChar w:fldCharType="begin"/>
            </w:r>
            <w:r w:rsidR="00AC3BD2">
              <w:rPr>
                <w:noProof/>
                <w:webHidden/>
              </w:rPr>
              <w:instrText xml:space="preserve"> PAGEREF _Toc508267281 \h </w:instrText>
            </w:r>
            <w:r w:rsidR="00AC3BD2">
              <w:rPr>
                <w:noProof/>
                <w:webHidden/>
              </w:rPr>
            </w:r>
            <w:r w:rsidR="00AC3BD2">
              <w:rPr>
                <w:noProof/>
                <w:webHidden/>
              </w:rPr>
              <w:fldChar w:fldCharType="separate"/>
            </w:r>
            <w:r w:rsidR="00086147">
              <w:rPr>
                <w:noProof/>
                <w:webHidden/>
              </w:rPr>
              <w:t>28</w:t>
            </w:r>
            <w:r w:rsidR="00AC3BD2">
              <w:rPr>
                <w:noProof/>
                <w:webHidden/>
              </w:rPr>
              <w:fldChar w:fldCharType="end"/>
            </w:r>
          </w:hyperlink>
        </w:p>
        <w:p w14:paraId="2DFE1C85" w14:textId="77777777" w:rsidR="00AC3BD2" w:rsidRDefault="00296C49">
          <w:pPr>
            <w:pStyle w:val="TableofFigures"/>
            <w:rPr>
              <w:rFonts w:asciiTheme="minorHAnsi" w:eastAsiaTheme="minorEastAsia" w:hAnsiTheme="minorHAnsi" w:cstheme="minorBidi"/>
              <w:noProof/>
              <w:color w:val="auto"/>
              <w:sz w:val="22"/>
            </w:rPr>
          </w:pPr>
          <w:hyperlink w:anchor="_Toc508267282" w:history="1">
            <w:r w:rsidR="00AC3BD2" w:rsidRPr="00A010E0">
              <w:rPr>
                <w:rStyle w:val="Hyperlink"/>
                <w:noProof/>
              </w:rPr>
              <w:t>Figure 4</w:t>
            </w:r>
            <w:r w:rsidR="00AC3BD2" w:rsidRPr="00A010E0">
              <w:rPr>
                <w:rStyle w:val="Hyperlink"/>
                <w:noProof/>
              </w:rPr>
              <w:noBreakHyphen/>
              <w:t>7 Contributions to daily mass balance of inter-aquifer leakage from diffuse flux across aquitard (full model domain), diffuse flux across aquitard in the gas project area, and flux through leaky wells (0 % well failure).</w:t>
            </w:r>
            <w:r w:rsidR="00AC3BD2">
              <w:rPr>
                <w:noProof/>
                <w:webHidden/>
              </w:rPr>
              <w:tab/>
            </w:r>
            <w:r w:rsidR="00AC3BD2">
              <w:rPr>
                <w:noProof/>
                <w:webHidden/>
              </w:rPr>
              <w:fldChar w:fldCharType="begin"/>
            </w:r>
            <w:r w:rsidR="00AC3BD2">
              <w:rPr>
                <w:noProof/>
                <w:webHidden/>
              </w:rPr>
              <w:instrText xml:space="preserve"> PAGEREF _Toc508267282 \h </w:instrText>
            </w:r>
            <w:r w:rsidR="00AC3BD2">
              <w:rPr>
                <w:noProof/>
                <w:webHidden/>
              </w:rPr>
            </w:r>
            <w:r w:rsidR="00AC3BD2">
              <w:rPr>
                <w:noProof/>
                <w:webHidden/>
              </w:rPr>
              <w:fldChar w:fldCharType="separate"/>
            </w:r>
            <w:r w:rsidR="00086147">
              <w:rPr>
                <w:noProof/>
                <w:webHidden/>
              </w:rPr>
              <w:t>29</w:t>
            </w:r>
            <w:r w:rsidR="00AC3BD2">
              <w:rPr>
                <w:noProof/>
                <w:webHidden/>
              </w:rPr>
              <w:fldChar w:fldCharType="end"/>
            </w:r>
          </w:hyperlink>
        </w:p>
        <w:p w14:paraId="0898E852" w14:textId="77777777" w:rsidR="00AC3BD2" w:rsidRDefault="00296C49">
          <w:pPr>
            <w:pStyle w:val="TableofFigures"/>
            <w:rPr>
              <w:rFonts w:asciiTheme="minorHAnsi" w:eastAsiaTheme="minorEastAsia" w:hAnsiTheme="minorHAnsi" w:cstheme="minorBidi"/>
              <w:noProof/>
              <w:color w:val="auto"/>
              <w:sz w:val="22"/>
            </w:rPr>
          </w:pPr>
          <w:hyperlink w:anchor="_Toc508267283" w:history="1">
            <w:r w:rsidR="00AC3BD2" w:rsidRPr="00A010E0">
              <w:rPr>
                <w:rStyle w:val="Hyperlink"/>
                <w:noProof/>
              </w:rPr>
              <w:t>Figure 4</w:t>
            </w:r>
            <w:r w:rsidR="00AC3BD2" w:rsidRPr="00A010E0">
              <w:rPr>
                <w:rStyle w:val="Hyperlink"/>
                <w:noProof/>
              </w:rPr>
              <w:noBreakHyphen/>
              <w:t>8 (a) Maximum groundwater level drawdown in layer 1 for 0% well failure and (b) the associated timing of maximum drawdown relative to the initial steady-state groundwater level for 0% well failure.</w:t>
            </w:r>
            <w:r w:rsidR="00AC3BD2">
              <w:rPr>
                <w:noProof/>
                <w:webHidden/>
              </w:rPr>
              <w:tab/>
            </w:r>
            <w:r w:rsidR="00AC3BD2">
              <w:rPr>
                <w:noProof/>
                <w:webHidden/>
              </w:rPr>
              <w:fldChar w:fldCharType="begin"/>
            </w:r>
            <w:r w:rsidR="00AC3BD2">
              <w:rPr>
                <w:noProof/>
                <w:webHidden/>
              </w:rPr>
              <w:instrText xml:space="preserve"> PAGEREF _Toc508267283 \h </w:instrText>
            </w:r>
            <w:r w:rsidR="00AC3BD2">
              <w:rPr>
                <w:noProof/>
                <w:webHidden/>
              </w:rPr>
            </w:r>
            <w:r w:rsidR="00AC3BD2">
              <w:rPr>
                <w:noProof/>
                <w:webHidden/>
              </w:rPr>
              <w:fldChar w:fldCharType="separate"/>
            </w:r>
            <w:r w:rsidR="00086147">
              <w:rPr>
                <w:noProof/>
                <w:webHidden/>
              </w:rPr>
              <w:t>30</w:t>
            </w:r>
            <w:r w:rsidR="00AC3BD2">
              <w:rPr>
                <w:noProof/>
                <w:webHidden/>
              </w:rPr>
              <w:fldChar w:fldCharType="end"/>
            </w:r>
          </w:hyperlink>
        </w:p>
        <w:p w14:paraId="6D1548A2" w14:textId="77777777" w:rsidR="00AC3BD2" w:rsidRDefault="00296C49">
          <w:pPr>
            <w:pStyle w:val="TableofFigures"/>
            <w:rPr>
              <w:rFonts w:asciiTheme="minorHAnsi" w:eastAsiaTheme="minorEastAsia" w:hAnsiTheme="minorHAnsi" w:cstheme="minorBidi"/>
              <w:noProof/>
              <w:color w:val="auto"/>
              <w:sz w:val="22"/>
            </w:rPr>
          </w:pPr>
          <w:hyperlink w:anchor="_Toc508267284" w:history="1">
            <w:r w:rsidR="00AC3BD2" w:rsidRPr="00A010E0">
              <w:rPr>
                <w:rStyle w:val="Hyperlink"/>
                <w:noProof/>
              </w:rPr>
              <w:t>Figure 4</w:t>
            </w:r>
            <w:r w:rsidR="00AC3BD2" w:rsidRPr="00A010E0">
              <w:rPr>
                <w:rStyle w:val="Hyperlink"/>
                <w:noProof/>
              </w:rPr>
              <w:noBreakHyphen/>
              <w:t>9 (a) Maximum groundwater level drawdown in layer 1 for 100% well failure and (b) the associated timing of maximum drawdown relative to the initial steady-state groundwater level for 100% well failure.</w:t>
            </w:r>
            <w:r w:rsidR="00AC3BD2">
              <w:rPr>
                <w:noProof/>
                <w:webHidden/>
              </w:rPr>
              <w:tab/>
            </w:r>
            <w:r w:rsidR="00AC3BD2">
              <w:rPr>
                <w:noProof/>
                <w:webHidden/>
              </w:rPr>
              <w:fldChar w:fldCharType="begin"/>
            </w:r>
            <w:r w:rsidR="00AC3BD2">
              <w:rPr>
                <w:noProof/>
                <w:webHidden/>
              </w:rPr>
              <w:instrText xml:space="preserve"> PAGEREF _Toc508267284 \h </w:instrText>
            </w:r>
            <w:r w:rsidR="00AC3BD2">
              <w:rPr>
                <w:noProof/>
                <w:webHidden/>
              </w:rPr>
            </w:r>
            <w:r w:rsidR="00AC3BD2">
              <w:rPr>
                <w:noProof/>
                <w:webHidden/>
              </w:rPr>
              <w:fldChar w:fldCharType="separate"/>
            </w:r>
            <w:r w:rsidR="00086147">
              <w:rPr>
                <w:noProof/>
                <w:webHidden/>
              </w:rPr>
              <w:t>30</w:t>
            </w:r>
            <w:r w:rsidR="00AC3BD2">
              <w:rPr>
                <w:noProof/>
                <w:webHidden/>
              </w:rPr>
              <w:fldChar w:fldCharType="end"/>
            </w:r>
          </w:hyperlink>
        </w:p>
        <w:p w14:paraId="64906D8E" w14:textId="77777777" w:rsidR="00AC3BD2" w:rsidRDefault="00296C49">
          <w:pPr>
            <w:pStyle w:val="TableofFigures"/>
            <w:rPr>
              <w:rFonts w:asciiTheme="minorHAnsi" w:eastAsiaTheme="minorEastAsia" w:hAnsiTheme="minorHAnsi" w:cstheme="minorBidi"/>
              <w:noProof/>
              <w:color w:val="auto"/>
              <w:sz w:val="22"/>
            </w:rPr>
          </w:pPr>
          <w:hyperlink w:anchor="_Toc508267285" w:history="1">
            <w:r w:rsidR="00AC3BD2" w:rsidRPr="00A010E0">
              <w:rPr>
                <w:rStyle w:val="Hyperlink"/>
                <w:rFonts w:cstheme="minorHAnsi"/>
                <w:noProof/>
              </w:rPr>
              <w:t>Figure 4</w:t>
            </w:r>
            <w:r w:rsidR="00AC3BD2" w:rsidRPr="00A010E0">
              <w:rPr>
                <w:rStyle w:val="Hyperlink"/>
                <w:rFonts w:cstheme="minorHAnsi"/>
                <w:noProof/>
              </w:rPr>
              <w:noBreakHyphen/>
              <w:t>10 (a) Difference in maximum groundwater level drawdown in layer 1 between 0% and 100% well failure and (b) the associated difference in timing of maximum drawdown relative to the steady-state groundwater level between 0% and 100% well failure.</w:t>
            </w:r>
            <w:r w:rsidR="00AC3BD2">
              <w:rPr>
                <w:noProof/>
                <w:webHidden/>
              </w:rPr>
              <w:tab/>
            </w:r>
            <w:r w:rsidR="00AC3BD2">
              <w:rPr>
                <w:noProof/>
                <w:webHidden/>
              </w:rPr>
              <w:fldChar w:fldCharType="begin"/>
            </w:r>
            <w:r w:rsidR="00AC3BD2">
              <w:rPr>
                <w:noProof/>
                <w:webHidden/>
              </w:rPr>
              <w:instrText xml:space="preserve"> PAGEREF _Toc508267285 \h </w:instrText>
            </w:r>
            <w:r w:rsidR="00AC3BD2">
              <w:rPr>
                <w:noProof/>
                <w:webHidden/>
              </w:rPr>
            </w:r>
            <w:r w:rsidR="00AC3BD2">
              <w:rPr>
                <w:noProof/>
                <w:webHidden/>
              </w:rPr>
              <w:fldChar w:fldCharType="separate"/>
            </w:r>
            <w:r w:rsidR="00086147">
              <w:rPr>
                <w:noProof/>
                <w:webHidden/>
              </w:rPr>
              <w:t>30</w:t>
            </w:r>
            <w:r w:rsidR="00AC3BD2">
              <w:rPr>
                <w:noProof/>
                <w:webHidden/>
              </w:rPr>
              <w:fldChar w:fldCharType="end"/>
            </w:r>
          </w:hyperlink>
        </w:p>
        <w:p w14:paraId="13C7C06C" w14:textId="77777777" w:rsidR="00AC3BD2" w:rsidRDefault="00296C49">
          <w:pPr>
            <w:pStyle w:val="TableofFigures"/>
            <w:rPr>
              <w:rFonts w:asciiTheme="minorHAnsi" w:eastAsiaTheme="minorEastAsia" w:hAnsiTheme="minorHAnsi" w:cstheme="minorBidi"/>
              <w:noProof/>
              <w:color w:val="auto"/>
              <w:sz w:val="22"/>
            </w:rPr>
          </w:pPr>
          <w:hyperlink w:anchor="_Toc508267286" w:history="1">
            <w:r w:rsidR="00AC3BD2" w:rsidRPr="00A010E0">
              <w:rPr>
                <w:rStyle w:val="Hyperlink"/>
                <w:noProof/>
              </w:rPr>
              <w:t>Figure 4</w:t>
            </w:r>
            <w:r w:rsidR="00AC3BD2" w:rsidRPr="00A010E0">
              <w:rPr>
                <w:rStyle w:val="Hyperlink"/>
                <w:noProof/>
              </w:rPr>
              <w:noBreakHyphen/>
              <w:t>11 Time required for the inter-aquifer leakage (total groundwater flow through failed wells) to reduce to 1% of its maximum flow rate (</w:t>
            </w:r>
            <w:r w:rsidR="00AC3BD2" w:rsidRPr="00A010E0">
              <w:rPr>
                <w:rStyle w:val="Hyperlink"/>
                <w:i/>
                <w:noProof/>
              </w:rPr>
              <w:t>Q</w:t>
            </w:r>
            <w:r w:rsidR="00AC3BD2" w:rsidRPr="00A010E0">
              <w:rPr>
                <w:rStyle w:val="Hyperlink"/>
                <w:noProof/>
                <w:vertAlign w:val="subscript"/>
              </w:rPr>
              <w:t>1</w:t>
            </w:r>
            <w:r w:rsidR="00AC3BD2" w:rsidRPr="00A010E0">
              <w:rPr>
                <w:rStyle w:val="Hyperlink"/>
                <w:noProof/>
              </w:rPr>
              <w:t xml:space="preserve">). </w:t>
            </w:r>
            <w:r w:rsidR="00AC3BD2" w:rsidRPr="00A010E0">
              <w:rPr>
                <w:rStyle w:val="Hyperlink"/>
                <w:i/>
                <w:noProof/>
              </w:rPr>
              <w:t>Q</w:t>
            </w:r>
            <w:r w:rsidR="00AC3BD2" w:rsidRPr="00A010E0">
              <w:rPr>
                <w:rStyle w:val="Hyperlink"/>
                <w:noProof/>
                <w:vertAlign w:val="subscript"/>
              </w:rPr>
              <w:t>1</w:t>
            </w:r>
            <w:r w:rsidR="00AC3BD2" w:rsidRPr="00A010E0">
              <w:rPr>
                <w:rStyle w:val="Hyperlink"/>
                <w:noProof/>
              </w:rPr>
              <w:t xml:space="preserve"> is calculated for different well failure rates.</w:t>
            </w:r>
            <w:r w:rsidR="00AC3BD2">
              <w:rPr>
                <w:noProof/>
                <w:webHidden/>
              </w:rPr>
              <w:tab/>
            </w:r>
            <w:r w:rsidR="00AC3BD2">
              <w:rPr>
                <w:noProof/>
                <w:webHidden/>
              </w:rPr>
              <w:fldChar w:fldCharType="begin"/>
            </w:r>
            <w:r w:rsidR="00AC3BD2">
              <w:rPr>
                <w:noProof/>
                <w:webHidden/>
              </w:rPr>
              <w:instrText xml:space="preserve"> PAGEREF _Toc508267286 \h </w:instrText>
            </w:r>
            <w:r w:rsidR="00AC3BD2">
              <w:rPr>
                <w:noProof/>
                <w:webHidden/>
              </w:rPr>
            </w:r>
            <w:r w:rsidR="00AC3BD2">
              <w:rPr>
                <w:noProof/>
                <w:webHidden/>
              </w:rPr>
              <w:fldChar w:fldCharType="separate"/>
            </w:r>
            <w:r w:rsidR="00086147">
              <w:rPr>
                <w:noProof/>
                <w:webHidden/>
              </w:rPr>
              <w:t>31</w:t>
            </w:r>
            <w:r w:rsidR="00AC3BD2">
              <w:rPr>
                <w:noProof/>
                <w:webHidden/>
              </w:rPr>
              <w:fldChar w:fldCharType="end"/>
            </w:r>
          </w:hyperlink>
        </w:p>
        <w:p w14:paraId="712DAEEC" w14:textId="77777777" w:rsidR="00AC3BD2" w:rsidRDefault="00296C49">
          <w:pPr>
            <w:pStyle w:val="TableofFigures"/>
            <w:rPr>
              <w:rFonts w:asciiTheme="minorHAnsi" w:eastAsiaTheme="minorEastAsia" w:hAnsiTheme="minorHAnsi" w:cstheme="minorBidi"/>
              <w:noProof/>
              <w:color w:val="auto"/>
              <w:sz w:val="22"/>
            </w:rPr>
          </w:pPr>
          <w:hyperlink w:anchor="_Toc508267287" w:history="1">
            <w:r w:rsidR="00AC3BD2" w:rsidRPr="00A010E0">
              <w:rPr>
                <w:rStyle w:val="Hyperlink"/>
                <w:noProof/>
              </w:rPr>
              <w:t>Figure 4</w:t>
            </w:r>
            <w:r w:rsidR="00AC3BD2" w:rsidRPr="00A010E0">
              <w:rPr>
                <w:rStyle w:val="Hyperlink"/>
                <w:noProof/>
              </w:rPr>
              <w:noBreakHyphen/>
              <w:t>12 Range in simulated groundwater level (m AHD) prior to production through to post production period, in the Early Permian Coal Seam (layer 5) and the Late Permian Coal Seam (layer 3) beneath the well field for 0% well failure.</w:t>
            </w:r>
            <w:r w:rsidR="00AC3BD2">
              <w:rPr>
                <w:noProof/>
                <w:webHidden/>
              </w:rPr>
              <w:tab/>
            </w:r>
            <w:r w:rsidR="00AC3BD2">
              <w:rPr>
                <w:noProof/>
                <w:webHidden/>
              </w:rPr>
              <w:fldChar w:fldCharType="begin"/>
            </w:r>
            <w:r w:rsidR="00AC3BD2">
              <w:rPr>
                <w:noProof/>
                <w:webHidden/>
              </w:rPr>
              <w:instrText xml:space="preserve"> PAGEREF _Toc508267287 \h </w:instrText>
            </w:r>
            <w:r w:rsidR="00AC3BD2">
              <w:rPr>
                <w:noProof/>
                <w:webHidden/>
              </w:rPr>
            </w:r>
            <w:r w:rsidR="00AC3BD2">
              <w:rPr>
                <w:noProof/>
                <w:webHidden/>
              </w:rPr>
              <w:fldChar w:fldCharType="separate"/>
            </w:r>
            <w:r w:rsidR="00086147">
              <w:rPr>
                <w:noProof/>
                <w:webHidden/>
              </w:rPr>
              <w:t>32</w:t>
            </w:r>
            <w:r w:rsidR="00AC3BD2">
              <w:rPr>
                <w:noProof/>
                <w:webHidden/>
              </w:rPr>
              <w:fldChar w:fldCharType="end"/>
            </w:r>
          </w:hyperlink>
        </w:p>
        <w:p w14:paraId="009C7CB7" w14:textId="77777777" w:rsidR="00AC3BD2" w:rsidRDefault="00296C49">
          <w:pPr>
            <w:pStyle w:val="TableofFigures"/>
            <w:rPr>
              <w:rFonts w:asciiTheme="minorHAnsi" w:eastAsiaTheme="minorEastAsia" w:hAnsiTheme="minorHAnsi" w:cstheme="minorBidi"/>
              <w:noProof/>
              <w:color w:val="auto"/>
              <w:sz w:val="22"/>
            </w:rPr>
          </w:pPr>
          <w:hyperlink w:anchor="_Toc508267288" w:history="1">
            <w:r w:rsidR="00AC3BD2" w:rsidRPr="00A010E0">
              <w:rPr>
                <w:rStyle w:val="Hyperlink"/>
                <w:noProof/>
              </w:rPr>
              <w:t>Figure 4</w:t>
            </w:r>
            <w:r w:rsidR="00AC3BD2" w:rsidRPr="00A010E0">
              <w:rPr>
                <w:rStyle w:val="Hyperlink"/>
                <w:noProof/>
              </w:rPr>
              <w:noBreakHyphen/>
              <w:t>13 Effective flux of the top aquitard (layer 2) through time for different well failure rates for the full model (a) and local well field (b). All well failure simulations generate identical effective flux trends (irrespective of the number of full or partial well failures) and therefore plot on top of each other. The blue bar indicates the production period (25 years), the dotted line (a) indicates the hydraulic conductivity of the aquitard (layer 2).</w:t>
            </w:r>
            <w:r w:rsidR="00AC3BD2">
              <w:rPr>
                <w:noProof/>
                <w:webHidden/>
              </w:rPr>
              <w:tab/>
            </w:r>
            <w:r w:rsidR="00AC3BD2">
              <w:rPr>
                <w:noProof/>
                <w:webHidden/>
              </w:rPr>
              <w:fldChar w:fldCharType="begin"/>
            </w:r>
            <w:r w:rsidR="00AC3BD2">
              <w:rPr>
                <w:noProof/>
                <w:webHidden/>
              </w:rPr>
              <w:instrText xml:space="preserve"> PAGEREF _Toc508267288 \h </w:instrText>
            </w:r>
            <w:r w:rsidR="00AC3BD2">
              <w:rPr>
                <w:noProof/>
                <w:webHidden/>
              </w:rPr>
            </w:r>
            <w:r w:rsidR="00AC3BD2">
              <w:rPr>
                <w:noProof/>
                <w:webHidden/>
              </w:rPr>
              <w:fldChar w:fldCharType="separate"/>
            </w:r>
            <w:r w:rsidR="00086147">
              <w:rPr>
                <w:noProof/>
                <w:webHidden/>
              </w:rPr>
              <w:t>33</w:t>
            </w:r>
            <w:r w:rsidR="00AC3BD2">
              <w:rPr>
                <w:noProof/>
                <w:webHidden/>
              </w:rPr>
              <w:fldChar w:fldCharType="end"/>
            </w:r>
          </w:hyperlink>
        </w:p>
        <w:p w14:paraId="0E691807" w14:textId="77777777" w:rsidR="00AC3BD2" w:rsidRDefault="00296C49">
          <w:pPr>
            <w:pStyle w:val="TableofFigures"/>
            <w:rPr>
              <w:rFonts w:asciiTheme="minorHAnsi" w:eastAsiaTheme="minorEastAsia" w:hAnsiTheme="minorHAnsi" w:cstheme="minorBidi"/>
              <w:noProof/>
              <w:color w:val="auto"/>
              <w:sz w:val="22"/>
            </w:rPr>
          </w:pPr>
          <w:hyperlink w:anchor="_Toc508267289" w:history="1">
            <w:r w:rsidR="00AC3BD2" w:rsidRPr="00A010E0">
              <w:rPr>
                <w:rStyle w:val="Hyperlink"/>
                <w:noProof/>
              </w:rPr>
              <w:t>Figure 4</w:t>
            </w:r>
            <w:r w:rsidR="00AC3BD2" w:rsidRPr="00A010E0">
              <w:rPr>
                <w:rStyle w:val="Hyperlink"/>
                <w:noProof/>
              </w:rPr>
              <w:noBreakHyphen/>
              <w:t>14 Bore failure patterns based on the spatially correlated random bore failure approach for a spatial correlation length of 2 km ((a) – (c)). The percentage of bores that have failed is indicated at the top of each graph (from 1 – 5%). Black points indicate intact bores, green indicates a bore which has partially failed and red indicates full failure (See Figure 3</w:t>
            </w:r>
            <w:r w:rsidR="00AC3BD2" w:rsidRPr="00A010E0">
              <w:rPr>
                <w:rStyle w:val="Hyperlink"/>
                <w:noProof/>
              </w:rPr>
              <w:noBreakHyphen/>
              <w:t>5 for further description of bore failure type).</w:t>
            </w:r>
            <w:r w:rsidR="00AC3BD2">
              <w:rPr>
                <w:noProof/>
                <w:webHidden/>
              </w:rPr>
              <w:tab/>
            </w:r>
            <w:r w:rsidR="00AC3BD2">
              <w:rPr>
                <w:noProof/>
                <w:webHidden/>
              </w:rPr>
              <w:fldChar w:fldCharType="begin"/>
            </w:r>
            <w:r w:rsidR="00AC3BD2">
              <w:rPr>
                <w:noProof/>
                <w:webHidden/>
              </w:rPr>
              <w:instrText xml:space="preserve"> PAGEREF _Toc508267289 \h </w:instrText>
            </w:r>
            <w:r w:rsidR="00AC3BD2">
              <w:rPr>
                <w:noProof/>
                <w:webHidden/>
              </w:rPr>
            </w:r>
            <w:r w:rsidR="00AC3BD2">
              <w:rPr>
                <w:noProof/>
                <w:webHidden/>
              </w:rPr>
              <w:fldChar w:fldCharType="separate"/>
            </w:r>
            <w:r w:rsidR="00086147">
              <w:rPr>
                <w:noProof/>
                <w:webHidden/>
              </w:rPr>
              <w:t>34</w:t>
            </w:r>
            <w:r w:rsidR="00AC3BD2">
              <w:rPr>
                <w:noProof/>
                <w:webHidden/>
              </w:rPr>
              <w:fldChar w:fldCharType="end"/>
            </w:r>
          </w:hyperlink>
        </w:p>
        <w:p w14:paraId="70CB8A13" w14:textId="77777777" w:rsidR="00AC3BD2" w:rsidRDefault="00296C49">
          <w:pPr>
            <w:pStyle w:val="TableofFigures"/>
            <w:rPr>
              <w:rFonts w:asciiTheme="minorHAnsi" w:eastAsiaTheme="minorEastAsia" w:hAnsiTheme="minorHAnsi" w:cstheme="minorBidi"/>
              <w:noProof/>
              <w:color w:val="auto"/>
              <w:sz w:val="22"/>
            </w:rPr>
          </w:pPr>
          <w:hyperlink w:anchor="_Toc508267290" w:history="1">
            <w:r w:rsidR="00AC3BD2" w:rsidRPr="00A010E0">
              <w:rPr>
                <w:rStyle w:val="Hyperlink"/>
                <w:noProof/>
              </w:rPr>
              <w:t>Figure 4</w:t>
            </w:r>
            <w:r w:rsidR="00AC3BD2" w:rsidRPr="00A010E0">
              <w:rPr>
                <w:rStyle w:val="Hyperlink"/>
                <w:noProof/>
              </w:rPr>
              <w:noBreakHyphen/>
              <w:t xml:space="preserve">15 </w:t>
            </w:r>
            <w:r w:rsidR="00AC3BD2" w:rsidRPr="00A010E0">
              <w:rPr>
                <w:rStyle w:val="Hyperlink"/>
                <w:rFonts w:cstheme="minorHAnsi"/>
                <w:noProof/>
              </w:rPr>
              <w:t xml:space="preserve">Time series (production to recovery) of groundwater levels at the point of maximum drawdown in the bore field of different bore failure rates in (a) Pilliga Sandstone Aquifer (layer 1), (b) Late </w:t>
            </w:r>
            <w:r w:rsidR="00AC3BD2" w:rsidRPr="00A010E0">
              <w:rPr>
                <w:rStyle w:val="Hyperlink"/>
                <w:noProof/>
              </w:rPr>
              <w:t>Permian</w:t>
            </w:r>
            <w:r w:rsidR="00AC3BD2" w:rsidRPr="00A010E0">
              <w:rPr>
                <w:rStyle w:val="Hyperlink"/>
                <w:rFonts w:cstheme="minorHAnsi"/>
                <w:noProof/>
              </w:rPr>
              <w:t xml:space="preserve"> coal seam (layer 3), and (c) Early Permian coal seal (layer 5). For layer 5 all simulations generate identical groundwater levels and therefore plot on top of each other. The blue bar indicates the coal seam gas (and water) production period (25 years). The dotted line represents the pre-production groundwater level (m AHD).</w:t>
            </w:r>
            <w:r w:rsidR="00AC3BD2">
              <w:rPr>
                <w:noProof/>
                <w:webHidden/>
              </w:rPr>
              <w:tab/>
            </w:r>
            <w:r w:rsidR="00AC3BD2">
              <w:rPr>
                <w:noProof/>
                <w:webHidden/>
              </w:rPr>
              <w:fldChar w:fldCharType="begin"/>
            </w:r>
            <w:r w:rsidR="00AC3BD2">
              <w:rPr>
                <w:noProof/>
                <w:webHidden/>
              </w:rPr>
              <w:instrText xml:space="preserve"> PAGEREF _Toc508267290 \h </w:instrText>
            </w:r>
            <w:r w:rsidR="00AC3BD2">
              <w:rPr>
                <w:noProof/>
                <w:webHidden/>
              </w:rPr>
            </w:r>
            <w:r w:rsidR="00AC3BD2">
              <w:rPr>
                <w:noProof/>
                <w:webHidden/>
              </w:rPr>
              <w:fldChar w:fldCharType="separate"/>
            </w:r>
            <w:r w:rsidR="00086147">
              <w:rPr>
                <w:noProof/>
                <w:webHidden/>
              </w:rPr>
              <w:t>36</w:t>
            </w:r>
            <w:r w:rsidR="00AC3BD2">
              <w:rPr>
                <w:noProof/>
                <w:webHidden/>
              </w:rPr>
              <w:fldChar w:fldCharType="end"/>
            </w:r>
          </w:hyperlink>
        </w:p>
        <w:p w14:paraId="4B7CF5D2" w14:textId="77777777" w:rsidR="00AC3BD2" w:rsidRDefault="00296C49">
          <w:pPr>
            <w:pStyle w:val="TableofFigures"/>
            <w:rPr>
              <w:rFonts w:asciiTheme="minorHAnsi" w:eastAsiaTheme="minorEastAsia" w:hAnsiTheme="minorHAnsi" w:cstheme="minorBidi"/>
              <w:noProof/>
              <w:color w:val="auto"/>
              <w:sz w:val="22"/>
            </w:rPr>
          </w:pPr>
          <w:hyperlink w:anchor="_Toc508267291" w:history="1">
            <w:r w:rsidR="00AC3BD2" w:rsidRPr="00A010E0">
              <w:rPr>
                <w:rStyle w:val="Hyperlink"/>
                <w:noProof/>
              </w:rPr>
              <w:t>Figure 4</w:t>
            </w:r>
            <w:r w:rsidR="00AC3BD2" w:rsidRPr="00A010E0">
              <w:rPr>
                <w:rStyle w:val="Hyperlink"/>
                <w:noProof/>
              </w:rPr>
              <w:noBreakHyphen/>
              <w:t xml:space="preserve">16 </w:t>
            </w:r>
            <w:r w:rsidR="00AC3BD2" w:rsidRPr="00A010E0">
              <w:rPr>
                <w:rStyle w:val="Hyperlink"/>
                <w:rFonts w:cstheme="minorHAnsi"/>
                <w:noProof/>
              </w:rPr>
              <w:t>Time series (from production to recovery of groundwater levels) of groundwater levels at a distance of 10 km to the north (solid line) and south (dashed line) of the bore field for the different bore failure rates in (a) Pilliga Sandstone aquifer (layer 1), (b) Late Permian coal seam (layer 3), and (c) Early Permian coal seal (layer 5). All simulations generate identical groundwater levels and therefore plot on top of each other. The blue bar indicates the coal seam gas (and water) production period (25 years). The dotted line represents the pre-production groundwater level (m AHD).</w:t>
            </w:r>
            <w:r w:rsidR="00AC3BD2">
              <w:rPr>
                <w:noProof/>
                <w:webHidden/>
              </w:rPr>
              <w:tab/>
            </w:r>
            <w:r w:rsidR="00AC3BD2">
              <w:rPr>
                <w:noProof/>
                <w:webHidden/>
              </w:rPr>
              <w:fldChar w:fldCharType="begin"/>
            </w:r>
            <w:r w:rsidR="00AC3BD2">
              <w:rPr>
                <w:noProof/>
                <w:webHidden/>
              </w:rPr>
              <w:instrText xml:space="preserve"> PAGEREF _Toc508267291 \h </w:instrText>
            </w:r>
            <w:r w:rsidR="00AC3BD2">
              <w:rPr>
                <w:noProof/>
                <w:webHidden/>
              </w:rPr>
            </w:r>
            <w:r w:rsidR="00AC3BD2">
              <w:rPr>
                <w:noProof/>
                <w:webHidden/>
              </w:rPr>
              <w:fldChar w:fldCharType="separate"/>
            </w:r>
            <w:r w:rsidR="00086147">
              <w:rPr>
                <w:noProof/>
                <w:webHidden/>
              </w:rPr>
              <w:t>37</w:t>
            </w:r>
            <w:r w:rsidR="00AC3BD2">
              <w:rPr>
                <w:noProof/>
                <w:webHidden/>
              </w:rPr>
              <w:fldChar w:fldCharType="end"/>
            </w:r>
          </w:hyperlink>
        </w:p>
        <w:p w14:paraId="13EF65B7" w14:textId="77777777" w:rsidR="00AC3BD2" w:rsidRDefault="00296C49">
          <w:pPr>
            <w:pStyle w:val="TableofFigures"/>
            <w:rPr>
              <w:rFonts w:asciiTheme="minorHAnsi" w:eastAsiaTheme="minorEastAsia" w:hAnsiTheme="minorHAnsi" w:cstheme="minorBidi"/>
              <w:noProof/>
              <w:color w:val="auto"/>
              <w:sz w:val="22"/>
            </w:rPr>
          </w:pPr>
          <w:hyperlink w:anchor="_Toc508267292" w:history="1">
            <w:r w:rsidR="00AC3BD2" w:rsidRPr="00A010E0">
              <w:rPr>
                <w:rStyle w:val="Hyperlink"/>
                <w:noProof/>
              </w:rPr>
              <w:t>Figure 4</w:t>
            </w:r>
            <w:r w:rsidR="00AC3BD2" w:rsidRPr="00A010E0">
              <w:rPr>
                <w:rStyle w:val="Hyperlink"/>
                <w:noProof/>
              </w:rPr>
              <w:noBreakHyphen/>
              <w:t xml:space="preserve">17 </w:t>
            </w:r>
            <w:r w:rsidR="00AC3BD2" w:rsidRPr="00A010E0">
              <w:rPr>
                <w:rStyle w:val="Hyperlink"/>
                <w:rFonts w:cstheme="minorHAnsi"/>
                <w:noProof/>
              </w:rPr>
              <w:t>Time series (from production to recovery of groundwater levels) of groundwater levels at a distance of 10 km to the east (solid line) and west (dashed line) of the bore field for the different bore failure rates in (a) Pilliga Sandstone aquifer (layer 1), (b) Late Permian coal seam (layer 3), and (c) Early Permian coal seal (layer 5). All simulations generate identical groundwater levels and therefore plot on top of each other. The blue bar indicates the coal seam gas (and water) production period (25 years). The dotted line represents the pre-production groundwater level (m AHD).</w:t>
            </w:r>
            <w:r w:rsidR="00AC3BD2">
              <w:rPr>
                <w:noProof/>
                <w:webHidden/>
              </w:rPr>
              <w:tab/>
            </w:r>
            <w:r w:rsidR="00AC3BD2">
              <w:rPr>
                <w:noProof/>
                <w:webHidden/>
              </w:rPr>
              <w:fldChar w:fldCharType="begin"/>
            </w:r>
            <w:r w:rsidR="00AC3BD2">
              <w:rPr>
                <w:noProof/>
                <w:webHidden/>
              </w:rPr>
              <w:instrText xml:space="preserve"> PAGEREF _Toc508267292 \h </w:instrText>
            </w:r>
            <w:r w:rsidR="00AC3BD2">
              <w:rPr>
                <w:noProof/>
                <w:webHidden/>
              </w:rPr>
            </w:r>
            <w:r w:rsidR="00AC3BD2">
              <w:rPr>
                <w:noProof/>
                <w:webHidden/>
              </w:rPr>
              <w:fldChar w:fldCharType="separate"/>
            </w:r>
            <w:r w:rsidR="00086147">
              <w:rPr>
                <w:noProof/>
                <w:webHidden/>
              </w:rPr>
              <w:t>38</w:t>
            </w:r>
            <w:r w:rsidR="00AC3BD2">
              <w:rPr>
                <w:noProof/>
                <w:webHidden/>
              </w:rPr>
              <w:fldChar w:fldCharType="end"/>
            </w:r>
          </w:hyperlink>
        </w:p>
        <w:p w14:paraId="621DCA96" w14:textId="77777777" w:rsidR="00AC3BD2" w:rsidRDefault="00296C49">
          <w:pPr>
            <w:pStyle w:val="TableofFigures"/>
            <w:rPr>
              <w:rFonts w:asciiTheme="minorHAnsi" w:eastAsiaTheme="minorEastAsia" w:hAnsiTheme="minorHAnsi" w:cstheme="minorBidi"/>
              <w:noProof/>
              <w:color w:val="auto"/>
              <w:sz w:val="22"/>
            </w:rPr>
          </w:pPr>
          <w:hyperlink w:anchor="_Toc508267293" w:history="1">
            <w:r w:rsidR="00AC3BD2" w:rsidRPr="00A010E0">
              <w:rPr>
                <w:rStyle w:val="Hyperlink"/>
                <w:noProof/>
              </w:rPr>
              <w:t>Figure 4</w:t>
            </w:r>
            <w:r w:rsidR="00AC3BD2" w:rsidRPr="00A010E0">
              <w:rPr>
                <w:rStyle w:val="Hyperlink"/>
                <w:noProof/>
              </w:rPr>
              <w:noBreakHyphen/>
              <w:t>18 Maximum groundwater level drawdown for 1% bore failure and (b) the associated timing of maximum drawdown relative to the initial steady-state groundwater level for 1% bore failure.</w:t>
            </w:r>
            <w:r w:rsidR="00AC3BD2">
              <w:rPr>
                <w:noProof/>
                <w:webHidden/>
              </w:rPr>
              <w:tab/>
            </w:r>
            <w:r w:rsidR="00AC3BD2">
              <w:rPr>
                <w:noProof/>
                <w:webHidden/>
              </w:rPr>
              <w:fldChar w:fldCharType="begin"/>
            </w:r>
            <w:r w:rsidR="00AC3BD2">
              <w:rPr>
                <w:noProof/>
                <w:webHidden/>
              </w:rPr>
              <w:instrText xml:space="preserve"> PAGEREF _Toc508267293 \h </w:instrText>
            </w:r>
            <w:r w:rsidR="00AC3BD2">
              <w:rPr>
                <w:noProof/>
                <w:webHidden/>
              </w:rPr>
            </w:r>
            <w:r w:rsidR="00AC3BD2">
              <w:rPr>
                <w:noProof/>
                <w:webHidden/>
              </w:rPr>
              <w:fldChar w:fldCharType="separate"/>
            </w:r>
            <w:r w:rsidR="00086147">
              <w:rPr>
                <w:noProof/>
                <w:webHidden/>
              </w:rPr>
              <w:t>39</w:t>
            </w:r>
            <w:r w:rsidR="00AC3BD2">
              <w:rPr>
                <w:noProof/>
                <w:webHidden/>
              </w:rPr>
              <w:fldChar w:fldCharType="end"/>
            </w:r>
          </w:hyperlink>
        </w:p>
        <w:p w14:paraId="2BF1C3AC" w14:textId="77777777" w:rsidR="00AC3BD2" w:rsidRDefault="00296C49">
          <w:pPr>
            <w:pStyle w:val="TableofFigures"/>
            <w:rPr>
              <w:rFonts w:asciiTheme="minorHAnsi" w:eastAsiaTheme="minorEastAsia" w:hAnsiTheme="minorHAnsi" w:cstheme="minorBidi"/>
              <w:noProof/>
              <w:color w:val="auto"/>
              <w:sz w:val="22"/>
            </w:rPr>
          </w:pPr>
          <w:hyperlink w:anchor="_Toc508267294" w:history="1">
            <w:r w:rsidR="00AC3BD2" w:rsidRPr="00A010E0">
              <w:rPr>
                <w:rStyle w:val="Hyperlink"/>
                <w:noProof/>
              </w:rPr>
              <w:t>Figure 4</w:t>
            </w:r>
            <w:r w:rsidR="00AC3BD2" w:rsidRPr="00A010E0">
              <w:rPr>
                <w:rStyle w:val="Hyperlink"/>
                <w:noProof/>
              </w:rPr>
              <w:noBreakHyphen/>
              <w:t>19 Maximum groundwater level drawdown for 2% bore failure and (b) the associated timing of maximum drawdown relative to the initial steady-state groundwater level for 2% bore failure.</w:t>
            </w:r>
            <w:r w:rsidR="00AC3BD2">
              <w:rPr>
                <w:noProof/>
                <w:webHidden/>
              </w:rPr>
              <w:tab/>
            </w:r>
            <w:r w:rsidR="00AC3BD2">
              <w:rPr>
                <w:noProof/>
                <w:webHidden/>
              </w:rPr>
              <w:fldChar w:fldCharType="begin"/>
            </w:r>
            <w:r w:rsidR="00AC3BD2">
              <w:rPr>
                <w:noProof/>
                <w:webHidden/>
              </w:rPr>
              <w:instrText xml:space="preserve"> PAGEREF _Toc508267294 \h </w:instrText>
            </w:r>
            <w:r w:rsidR="00AC3BD2">
              <w:rPr>
                <w:noProof/>
                <w:webHidden/>
              </w:rPr>
            </w:r>
            <w:r w:rsidR="00AC3BD2">
              <w:rPr>
                <w:noProof/>
                <w:webHidden/>
              </w:rPr>
              <w:fldChar w:fldCharType="separate"/>
            </w:r>
            <w:r w:rsidR="00086147">
              <w:rPr>
                <w:noProof/>
                <w:webHidden/>
              </w:rPr>
              <w:t>39</w:t>
            </w:r>
            <w:r w:rsidR="00AC3BD2">
              <w:rPr>
                <w:noProof/>
                <w:webHidden/>
              </w:rPr>
              <w:fldChar w:fldCharType="end"/>
            </w:r>
          </w:hyperlink>
        </w:p>
        <w:p w14:paraId="74EC5587" w14:textId="77777777" w:rsidR="00AC3BD2" w:rsidRDefault="00296C49">
          <w:pPr>
            <w:pStyle w:val="TableofFigures"/>
            <w:rPr>
              <w:rFonts w:asciiTheme="minorHAnsi" w:eastAsiaTheme="minorEastAsia" w:hAnsiTheme="minorHAnsi" w:cstheme="minorBidi"/>
              <w:noProof/>
              <w:color w:val="auto"/>
              <w:sz w:val="22"/>
            </w:rPr>
          </w:pPr>
          <w:hyperlink w:anchor="_Toc508267295" w:history="1">
            <w:r w:rsidR="00AC3BD2" w:rsidRPr="00A010E0">
              <w:rPr>
                <w:rStyle w:val="Hyperlink"/>
                <w:noProof/>
              </w:rPr>
              <w:t>Figure 4</w:t>
            </w:r>
            <w:r w:rsidR="00AC3BD2" w:rsidRPr="00A010E0">
              <w:rPr>
                <w:rStyle w:val="Hyperlink"/>
                <w:noProof/>
              </w:rPr>
              <w:noBreakHyphen/>
              <w:t>20 Maximum groundwater level drawdown for 5% bore failure and (b) the associated timing of maximum drawdown relative to the initial steady-state groundwater level for 5% bore failure.</w:t>
            </w:r>
            <w:r w:rsidR="00AC3BD2">
              <w:rPr>
                <w:noProof/>
                <w:webHidden/>
              </w:rPr>
              <w:tab/>
            </w:r>
            <w:r w:rsidR="00AC3BD2">
              <w:rPr>
                <w:noProof/>
                <w:webHidden/>
              </w:rPr>
              <w:fldChar w:fldCharType="begin"/>
            </w:r>
            <w:r w:rsidR="00AC3BD2">
              <w:rPr>
                <w:noProof/>
                <w:webHidden/>
              </w:rPr>
              <w:instrText xml:space="preserve"> PAGEREF _Toc508267295 \h </w:instrText>
            </w:r>
            <w:r w:rsidR="00AC3BD2">
              <w:rPr>
                <w:noProof/>
                <w:webHidden/>
              </w:rPr>
            </w:r>
            <w:r w:rsidR="00AC3BD2">
              <w:rPr>
                <w:noProof/>
                <w:webHidden/>
              </w:rPr>
              <w:fldChar w:fldCharType="separate"/>
            </w:r>
            <w:r w:rsidR="00086147">
              <w:rPr>
                <w:noProof/>
                <w:webHidden/>
              </w:rPr>
              <w:t>39</w:t>
            </w:r>
            <w:r w:rsidR="00AC3BD2">
              <w:rPr>
                <w:noProof/>
                <w:webHidden/>
              </w:rPr>
              <w:fldChar w:fldCharType="end"/>
            </w:r>
          </w:hyperlink>
        </w:p>
        <w:p w14:paraId="299A1727" w14:textId="77777777" w:rsidR="00AC3BD2" w:rsidRDefault="00296C49">
          <w:pPr>
            <w:pStyle w:val="TableofFigures"/>
            <w:rPr>
              <w:rFonts w:asciiTheme="minorHAnsi" w:eastAsiaTheme="minorEastAsia" w:hAnsiTheme="minorHAnsi" w:cstheme="minorBidi"/>
              <w:noProof/>
              <w:color w:val="auto"/>
              <w:sz w:val="22"/>
            </w:rPr>
          </w:pPr>
          <w:hyperlink w:anchor="_Toc508267296" w:history="1">
            <w:r w:rsidR="00AC3BD2" w:rsidRPr="00A010E0">
              <w:rPr>
                <w:rStyle w:val="Hyperlink"/>
                <w:noProof/>
              </w:rPr>
              <w:t>Figure 4</w:t>
            </w:r>
            <w:r w:rsidR="00AC3BD2" w:rsidRPr="00A010E0">
              <w:rPr>
                <w:rStyle w:val="Hyperlink"/>
                <w:noProof/>
              </w:rPr>
              <w:noBreakHyphen/>
              <w:t>21 Difference in maximum groundwater level drawdown between 0% and 5% bore failure rate and (b) the associated difference in timing of maximum drawdown relative to the initial steady-state groundwater level between 0% and 5% bore failure rate.</w:t>
            </w:r>
            <w:r w:rsidR="00AC3BD2">
              <w:rPr>
                <w:noProof/>
                <w:webHidden/>
              </w:rPr>
              <w:tab/>
            </w:r>
            <w:r w:rsidR="00AC3BD2">
              <w:rPr>
                <w:noProof/>
                <w:webHidden/>
              </w:rPr>
              <w:fldChar w:fldCharType="begin"/>
            </w:r>
            <w:r w:rsidR="00AC3BD2">
              <w:rPr>
                <w:noProof/>
                <w:webHidden/>
              </w:rPr>
              <w:instrText xml:space="preserve"> PAGEREF _Toc508267296 \h </w:instrText>
            </w:r>
            <w:r w:rsidR="00AC3BD2">
              <w:rPr>
                <w:noProof/>
                <w:webHidden/>
              </w:rPr>
            </w:r>
            <w:r w:rsidR="00AC3BD2">
              <w:rPr>
                <w:noProof/>
                <w:webHidden/>
              </w:rPr>
              <w:fldChar w:fldCharType="separate"/>
            </w:r>
            <w:r w:rsidR="00086147">
              <w:rPr>
                <w:noProof/>
                <w:webHidden/>
              </w:rPr>
              <w:t>40</w:t>
            </w:r>
            <w:r w:rsidR="00AC3BD2">
              <w:rPr>
                <w:noProof/>
                <w:webHidden/>
              </w:rPr>
              <w:fldChar w:fldCharType="end"/>
            </w:r>
          </w:hyperlink>
        </w:p>
        <w:p w14:paraId="1776F76E" w14:textId="77777777" w:rsidR="00AC3BD2" w:rsidRDefault="00296C49">
          <w:pPr>
            <w:pStyle w:val="TableofFigures"/>
            <w:rPr>
              <w:rFonts w:asciiTheme="minorHAnsi" w:eastAsiaTheme="minorEastAsia" w:hAnsiTheme="minorHAnsi" w:cstheme="minorBidi"/>
              <w:noProof/>
              <w:color w:val="auto"/>
              <w:sz w:val="22"/>
            </w:rPr>
          </w:pPr>
          <w:hyperlink w:anchor="_Toc508267297" w:history="1">
            <w:r w:rsidR="00AC3BD2" w:rsidRPr="00A010E0">
              <w:rPr>
                <w:rStyle w:val="Hyperlink"/>
                <w:noProof/>
              </w:rPr>
              <w:t>Figure 4</w:t>
            </w:r>
            <w:r w:rsidR="00AC3BD2" w:rsidRPr="00A010E0">
              <w:rPr>
                <w:rStyle w:val="Hyperlink"/>
                <w:noProof/>
              </w:rPr>
              <w:noBreakHyphen/>
              <w:t xml:space="preserve">22 </w:t>
            </w:r>
            <w:r w:rsidR="00AC3BD2" w:rsidRPr="00A010E0">
              <w:rPr>
                <w:rStyle w:val="Hyperlink"/>
                <w:rFonts w:cstheme="minorHAnsi"/>
                <w:noProof/>
              </w:rPr>
              <w:t>Impact of different bore failure rates on (a) the total groundwater flow density (GWF) in layer 1 to the bores (m</w:t>
            </w:r>
            <w:r w:rsidR="00AC3BD2" w:rsidRPr="00A010E0">
              <w:rPr>
                <w:rStyle w:val="Hyperlink"/>
                <w:rFonts w:cstheme="minorHAnsi"/>
                <w:noProof/>
                <w:vertAlign w:val="superscript"/>
              </w:rPr>
              <w:t>3</w:t>
            </w:r>
            <w:r w:rsidR="00AC3BD2" w:rsidRPr="00A010E0">
              <w:rPr>
                <w:rStyle w:val="Hyperlink"/>
                <w:rFonts w:cstheme="minorHAnsi"/>
                <w:noProof/>
              </w:rPr>
              <w:t>/day/km</w:t>
            </w:r>
            <w:r w:rsidR="00AC3BD2" w:rsidRPr="00A010E0">
              <w:rPr>
                <w:rStyle w:val="Hyperlink"/>
                <w:rFonts w:cstheme="minorHAnsi"/>
                <w:noProof/>
                <w:vertAlign w:val="superscript"/>
              </w:rPr>
              <w:t>2</w:t>
            </w:r>
            <w:r w:rsidR="00AC3BD2" w:rsidRPr="00A010E0">
              <w:rPr>
                <w:rStyle w:val="Hyperlink"/>
                <w:rFonts w:cstheme="minorHAnsi"/>
                <w:noProof/>
              </w:rPr>
              <w:t>), and (b) total regional leakage density (m</w:t>
            </w:r>
            <w:r w:rsidR="00AC3BD2" w:rsidRPr="00A010E0">
              <w:rPr>
                <w:rStyle w:val="Hyperlink"/>
                <w:rFonts w:cstheme="minorHAnsi"/>
                <w:noProof/>
                <w:vertAlign w:val="superscript"/>
              </w:rPr>
              <w:t>3</w:t>
            </w:r>
            <w:r w:rsidR="00AC3BD2" w:rsidRPr="00A010E0">
              <w:rPr>
                <w:rStyle w:val="Hyperlink"/>
                <w:rFonts w:cstheme="minorHAnsi"/>
                <w:noProof/>
              </w:rPr>
              <w:t>/day/km</w:t>
            </w:r>
            <w:r w:rsidR="00AC3BD2" w:rsidRPr="00A010E0">
              <w:rPr>
                <w:rStyle w:val="Hyperlink"/>
                <w:rFonts w:cstheme="minorHAnsi"/>
                <w:noProof/>
                <w:vertAlign w:val="superscript"/>
              </w:rPr>
              <w:t>2</w:t>
            </w:r>
            <w:r w:rsidR="00AC3BD2" w:rsidRPr="00A010E0">
              <w:rPr>
                <w:rStyle w:val="Hyperlink"/>
                <w:rFonts w:cstheme="minorHAnsi"/>
                <w:noProof/>
              </w:rPr>
              <w:t>), and (c) total leakage density beneath the coal seam gas well field (m</w:t>
            </w:r>
            <w:r w:rsidR="00AC3BD2" w:rsidRPr="00A010E0">
              <w:rPr>
                <w:rStyle w:val="Hyperlink"/>
                <w:rFonts w:cstheme="minorHAnsi"/>
                <w:noProof/>
                <w:vertAlign w:val="superscript"/>
              </w:rPr>
              <w:t>3</w:t>
            </w:r>
            <w:r w:rsidR="00AC3BD2" w:rsidRPr="00A010E0">
              <w:rPr>
                <w:rStyle w:val="Hyperlink"/>
                <w:rFonts w:cstheme="minorHAnsi"/>
                <w:noProof/>
              </w:rPr>
              <w:t>/day/km</w:t>
            </w:r>
            <w:r w:rsidR="00AC3BD2" w:rsidRPr="00A010E0">
              <w:rPr>
                <w:rStyle w:val="Hyperlink"/>
                <w:rFonts w:cstheme="minorHAnsi"/>
                <w:noProof/>
                <w:vertAlign w:val="superscript"/>
              </w:rPr>
              <w:t>2</w:t>
            </w:r>
            <w:r w:rsidR="00AC3BD2" w:rsidRPr="00A010E0">
              <w:rPr>
                <w:rStyle w:val="Hyperlink"/>
                <w:rFonts w:cstheme="minorHAnsi"/>
                <w:noProof/>
              </w:rPr>
              <w:t>), from layer 2 into the underlying coal target formation (layer 3). All simulations generate identical regional leakage response and therefore plot on top of each other. The blue bar indicates the coal seam gas (and water) production period (25 years).</w:t>
            </w:r>
            <w:r w:rsidR="00AC3BD2">
              <w:rPr>
                <w:noProof/>
                <w:webHidden/>
              </w:rPr>
              <w:tab/>
            </w:r>
            <w:r w:rsidR="00AC3BD2">
              <w:rPr>
                <w:noProof/>
                <w:webHidden/>
              </w:rPr>
              <w:fldChar w:fldCharType="begin"/>
            </w:r>
            <w:r w:rsidR="00AC3BD2">
              <w:rPr>
                <w:noProof/>
                <w:webHidden/>
              </w:rPr>
              <w:instrText xml:space="preserve"> PAGEREF _Toc508267297 \h </w:instrText>
            </w:r>
            <w:r w:rsidR="00AC3BD2">
              <w:rPr>
                <w:noProof/>
                <w:webHidden/>
              </w:rPr>
            </w:r>
            <w:r w:rsidR="00AC3BD2">
              <w:rPr>
                <w:noProof/>
                <w:webHidden/>
              </w:rPr>
              <w:fldChar w:fldCharType="separate"/>
            </w:r>
            <w:r w:rsidR="00086147">
              <w:rPr>
                <w:noProof/>
                <w:webHidden/>
              </w:rPr>
              <w:t>40</w:t>
            </w:r>
            <w:r w:rsidR="00AC3BD2">
              <w:rPr>
                <w:noProof/>
                <w:webHidden/>
              </w:rPr>
              <w:fldChar w:fldCharType="end"/>
            </w:r>
          </w:hyperlink>
        </w:p>
        <w:p w14:paraId="49FEFCA5" w14:textId="77777777" w:rsidR="00AC3BD2" w:rsidRDefault="00296C49">
          <w:pPr>
            <w:pStyle w:val="TableofFigures"/>
            <w:rPr>
              <w:rFonts w:asciiTheme="minorHAnsi" w:eastAsiaTheme="minorEastAsia" w:hAnsiTheme="minorHAnsi" w:cstheme="minorBidi"/>
              <w:noProof/>
              <w:color w:val="auto"/>
              <w:sz w:val="22"/>
            </w:rPr>
          </w:pPr>
          <w:hyperlink w:anchor="_Toc508267298" w:history="1">
            <w:r w:rsidR="00AC3BD2" w:rsidRPr="00A010E0">
              <w:rPr>
                <w:rStyle w:val="Hyperlink"/>
                <w:noProof/>
              </w:rPr>
              <w:t>Figure 4</w:t>
            </w:r>
            <w:r w:rsidR="00AC3BD2" w:rsidRPr="00A010E0">
              <w:rPr>
                <w:rStyle w:val="Hyperlink"/>
                <w:noProof/>
              </w:rPr>
              <w:noBreakHyphen/>
              <w:t xml:space="preserve">23 </w:t>
            </w:r>
            <w:r w:rsidR="00AC3BD2" w:rsidRPr="00A010E0">
              <w:rPr>
                <w:rStyle w:val="Hyperlink"/>
                <w:rFonts w:cstheme="minorHAnsi"/>
                <w:noProof/>
              </w:rPr>
              <w:t>Impact of different bore failure rates on (a) the total groundwater flow (GWF) in layer 1 to the bores, (b) total regional leakage, and (c) total leakage beneath the coal seam gas well field, from layer 2 into the underlying coal target formation (layer 3). All simulations generate identical regional leakage response and therefore plot on top of each other. The blue bar indicates the coal seam gas (and water) production period (25 years).</w:t>
            </w:r>
            <w:r w:rsidR="00AC3BD2">
              <w:rPr>
                <w:noProof/>
                <w:webHidden/>
              </w:rPr>
              <w:tab/>
            </w:r>
            <w:r w:rsidR="00AC3BD2">
              <w:rPr>
                <w:noProof/>
                <w:webHidden/>
              </w:rPr>
              <w:fldChar w:fldCharType="begin"/>
            </w:r>
            <w:r w:rsidR="00AC3BD2">
              <w:rPr>
                <w:noProof/>
                <w:webHidden/>
              </w:rPr>
              <w:instrText xml:space="preserve"> PAGEREF _Toc508267298 \h </w:instrText>
            </w:r>
            <w:r w:rsidR="00AC3BD2">
              <w:rPr>
                <w:noProof/>
                <w:webHidden/>
              </w:rPr>
            </w:r>
            <w:r w:rsidR="00AC3BD2">
              <w:rPr>
                <w:noProof/>
                <w:webHidden/>
              </w:rPr>
              <w:fldChar w:fldCharType="separate"/>
            </w:r>
            <w:r w:rsidR="00086147">
              <w:rPr>
                <w:noProof/>
                <w:webHidden/>
              </w:rPr>
              <w:t>41</w:t>
            </w:r>
            <w:r w:rsidR="00AC3BD2">
              <w:rPr>
                <w:noProof/>
                <w:webHidden/>
              </w:rPr>
              <w:fldChar w:fldCharType="end"/>
            </w:r>
          </w:hyperlink>
        </w:p>
        <w:p w14:paraId="562F1CEF" w14:textId="77777777" w:rsidR="00AC3BD2" w:rsidRDefault="00296C49">
          <w:pPr>
            <w:pStyle w:val="TableofFigures"/>
            <w:rPr>
              <w:rFonts w:asciiTheme="minorHAnsi" w:eastAsiaTheme="minorEastAsia" w:hAnsiTheme="minorHAnsi" w:cstheme="minorBidi"/>
              <w:noProof/>
              <w:color w:val="auto"/>
              <w:sz w:val="22"/>
            </w:rPr>
          </w:pPr>
          <w:hyperlink w:anchor="_Toc508267299" w:history="1">
            <w:r w:rsidR="00AC3BD2" w:rsidRPr="00A010E0">
              <w:rPr>
                <w:rStyle w:val="Hyperlink"/>
                <w:rFonts w:cstheme="minorHAnsi"/>
                <w:noProof/>
              </w:rPr>
              <w:t>Figure 5</w:t>
            </w:r>
            <w:r w:rsidR="00AC3BD2" w:rsidRPr="00A010E0">
              <w:rPr>
                <w:rStyle w:val="Hyperlink"/>
                <w:rFonts w:cstheme="minorHAnsi"/>
                <w:noProof/>
              </w:rPr>
              <w:noBreakHyphen/>
              <w:t>1 Contaminant leaking upward from the gas production zone to the aquifer (e.g., pre-production condition).</w:t>
            </w:r>
            <w:r w:rsidR="00AC3BD2">
              <w:rPr>
                <w:noProof/>
                <w:webHidden/>
              </w:rPr>
              <w:tab/>
            </w:r>
            <w:r w:rsidR="00AC3BD2">
              <w:rPr>
                <w:noProof/>
                <w:webHidden/>
              </w:rPr>
              <w:fldChar w:fldCharType="begin"/>
            </w:r>
            <w:r w:rsidR="00AC3BD2">
              <w:rPr>
                <w:noProof/>
                <w:webHidden/>
              </w:rPr>
              <w:instrText xml:space="preserve"> PAGEREF _Toc508267299 \h </w:instrText>
            </w:r>
            <w:r w:rsidR="00AC3BD2">
              <w:rPr>
                <w:noProof/>
                <w:webHidden/>
              </w:rPr>
            </w:r>
            <w:r w:rsidR="00AC3BD2">
              <w:rPr>
                <w:noProof/>
                <w:webHidden/>
              </w:rPr>
              <w:fldChar w:fldCharType="separate"/>
            </w:r>
            <w:r w:rsidR="00086147">
              <w:rPr>
                <w:noProof/>
                <w:webHidden/>
              </w:rPr>
              <w:t>45</w:t>
            </w:r>
            <w:r w:rsidR="00AC3BD2">
              <w:rPr>
                <w:noProof/>
                <w:webHidden/>
              </w:rPr>
              <w:fldChar w:fldCharType="end"/>
            </w:r>
          </w:hyperlink>
        </w:p>
        <w:p w14:paraId="6875D23E" w14:textId="77777777" w:rsidR="00AC3BD2" w:rsidRDefault="00296C49">
          <w:pPr>
            <w:pStyle w:val="TableofFigures"/>
            <w:rPr>
              <w:rFonts w:asciiTheme="minorHAnsi" w:eastAsiaTheme="minorEastAsia" w:hAnsiTheme="minorHAnsi" w:cstheme="minorBidi"/>
              <w:noProof/>
              <w:color w:val="auto"/>
              <w:sz w:val="22"/>
            </w:rPr>
          </w:pPr>
          <w:hyperlink w:anchor="_Toc508267300" w:history="1">
            <w:r w:rsidR="00AC3BD2" w:rsidRPr="00A010E0">
              <w:rPr>
                <w:rStyle w:val="Hyperlink"/>
                <w:rFonts w:cstheme="minorHAnsi"/>
                <w:noProof/>
              </w:rPr>
              <w:t>Figure 5</w:t>
            </w:r>
            <w:r w:rsidR="00AC3BD2" w:rsidRPr="00A010E0">
              <w:rPr>
                <w:rStyle w:val="Hyperlink"/>
                <w:rFonts w:cstheme="minorHAnsi"/>
                <w:noProof/>
              </w:rPr>
              <w:noBreakHyphen/>
              <w:t>2 Contaminant leaking from the aquifer to the production zone (e.g., CSG production or post-CSG production condition).</w:t>
            </w:r>
            <w:r w:rsidR="00AC3BD2">
              <w:rPr>
                <w:noProof/>
                <w:webHidden/>
              </w:rPr>
              <w:tab/>
            </w:r>
            <w:r w:rsidR="00AC3BD2">
              <w:rPr>
                <w:noProof/>
                <w:webHidden/>
              </w:rPr>
              <w:fldChar w:fldCharType="begin"/>
            </w:r>
            <w:r w:rsidR="00AC3BD2">
              <w:rPr>
                <w:noProof/>
                <w:webHidden/>
              </w:rPr>
              <w:instrText xml:space="preserve"> PAGEREF _Toc508267300 \h </w:instrText>
            </w:r>
            <w:r w:rsidR="00AC3BD2">
              <w:rPr>
                <w:noProof/>
                <w:webHidden/>
              </w:rPr>
            </w:r>
            <w:r w:rsidR="00AC3BD2">
              <w:rPr>
                <w:noProof/>
                <w:webHidden/>
              </w:rPr>
              <w:fldChar w:fldCharType="separate"/>
            </w:r>
            <w:r w:rsidR="00086147">
              <w:rPr>
                <w:noProof/>
                <w:webHidden/>
              </w:rPr>
              <w:t>45</w:t>
            </w:r>
            <w:r w:rsidR="00AC3BD2">
              <w:rPr>
                <w:noProof/>
                <w:webHidden/>
              </w:rPr>
              <w:fldChar w:fldCharType="end"/>
            </w:r>
          </w:hyperlink>
        </w:p>
        <w:p w14:paraId="0B0F7110" w14:textId="77777777" w:rsidR="00AC3BD2" w:rsidRDefault="00296C49">
          <w:pPr>
            <w:pStyle w:val="TableofFigures"/>
            <w:rPr>
              <w:rFonts w:asciiTheme="minorHAnsi" w:eastAsiaTheme="minorEastAsia" w:hAnsiTheme="minorHAnsi" w:cstheme="minorBidi"/>
              <w:noProof/>
              <w:color w:val="auto"/>
              <w:sz w:val="22"/>
            </w:rPr>
          </w:pPr>
          <w:hyperlink w:anchor="_Toc508267301" w:history="1">
            <w:r w:rsidR="00AC3BD2" w:rsidRPr="00A010E0">
              <w:rPr>
                <w:rStyle w:val="Hyperlink"/>
                <w:rFonts w:cstheme="minorHAnsi"/>
                <w:noProof/>
              </w:rPr>
              <w:t>Figure 5</w:t>
            </w:r>
            <w:r w:rsidR="00AC3BD2" w:rsidRPr="00A010E0">
              <w:rPr>
                <w:rStyle w:val="Hyperlink"/>
                <w:rFonts w:cstheme="minorHAnsi"/>
                <w:noProof/>
              </w:rPr>
              <w:noBreakHyphen/>
              <w:t>3 Conceptualisation of solute source. For the leaky well problem this figure should be rotated 90° about the z-axis so that the y-axis is vertical and the x-axis is horizontal (Leij and Bradford 1994).</w:t>
            </w:r>
            <w:r w:rsidR="00AC3BD2">
              <w:rPr>
                <w:noProof/>
                <w:webHidden/>
              </w:rPr>
              <w:tab/>
            </w:r>
            <w:r w:rsidR="00AC3BD2">
              <w:rPr>
                <w:noProof/>
                <w:webHidden/>
              </w:rPr>
              <w:fldChar w:fldCharType="begin"/>
            </w:r>
            <w:r w:rsidR="00AC3BD2">
              <w:rPr>
                <w:noProof/>
                <w:webHidden/>
              </w:rPr>
              <w:instrText xml:space="preserve"> PAGEREF _Toc508267301 \h </w:instrText>
            </w:r>
            <w:r w:rsidR="00AC3BD2">
              <w:rPr>
                <w:noProof/>
                <w:webHidden/>
              </w:rPr>
            </w:r>
            <w:r w:rsidR="00AC3BD2">
              <w:rPr>
                <w:noProof/>
                <w:webHidden/>
              </w:rPr>
              <w:fldChar w:fldCharType="separate"/>
            </w:r>
            <w:r w:rsidR="00086147">
              <w:rPr>
                <w:noProof/>
                <w:webHidden/>
              </w:rPr>
              <w:t>46</w:t>
            </w:r>
            <w:r w:rsidR="00AC3BD2">
              <w:rPr>
                <w:noProof/>
                <w:webHidden/>
              </w:rPr>
              <w:fldChar w:fldCharType="end"/>
            </w:r>
          </w:hyperlink>
        </w:p>
        <w:p w14:paraId="6A7132CD" w14:textId="77777777" w:rsidR="00AC3BD2" w:rsidRDefault="00296C49">
          <w:pPr>
            <w:pStyle w:val="TableofFigures"/>
            <w:rPr>
              <w:rFonts w:asciiTheme="minorHAnsi" w:eastAsiaTheme="minorEastAsia" w:hAnsiTheme="minorHAnsi" w:cstheme="minorBidi"/>
              <w:noProof/>
              <w:color w:val="auto"/>
              <w:sz w:val="22"/>
            </w:rPr>
          </w:pPr>
          <w:hyperlink w:anchor="_Toc508267302" w:history="1">
            <w:r w:rsidR="00AC3BD2" w:rsidRPr="00A010E0">
              <w:rPr>
                <w:rStyle w:val="Hyperlink"/>
                <w:rFonts w:cstheme="minorHAnsi"/>
                <w:noProof/>
              </w:rPr>
              <w:t>Figure 5</w:t>
            </w:r>
            <w:r w:rsidR="00AC3BD2" w:rsidRPr="00A010E0">
              <w:rPr>
                <w:rStyle w:val="Hyperlink"/>
                <w:rFonts w:cstheme="minorHAnsi"/>
                <w:noProof/>
              </w:rPr>
              <w:noBreakHyphen/>
              <w:t>4 Relative change in TDS concentration with time at 10 m, 50 m, 100 m, 500 m and 1,000 m observation points, for upward (top row) and downward (bottom row) flow scenarios through a leaky well using median (first column) and maximum (second column) aquifer velocity and the flow velocity through an open bore (third column). Hypothetical unit input concentration used. Concentration calculated as (</w:t>
            </w:r>
            <w:r w:rsidR="00AC3BD2" w:rsidRPr="00A010E0">
              <w:rPr>
                <w:rStyle w:val="Hyperlink"/>
                <w:rFonts w:cstheme="minorHAnsi"/>
                <w:i/>
                <w:noProof/>
              </w:rPr>
              <w:t>C</w:t>
            </w:r>
            <w:r w:rsidR="00AC3BD2" w:rsidRPr="00A010E0">
              <w:rPr>
                <w:rStyle w:val="Hyperlink"/>
                <w:rFonts w:cstheme="minorHAnsi"/>
                <w:noProof/>
                <w:vertAlign w:val="subscript"/>
              </w:rPr>
              <w:t>x</w:t>
            </w:r>
            <w:r w:rsidR="00AC3BD2" w:rsidRPr="00A010E0">
              <w:rPr>
                <w:rStyle w:val="Hyperlink"/>
                <w:rFonts w:cstheme="minorHAnsi"/>
                <w:noProof/>
              </w:rPr>
              <w:t>-</w:t>
            </w:r>
            <w:r w:rsidR="00AC3BD2" w:rsidRPr="00A010E0">
              <w:rPr>
                <w:rStyle w:val="Hyperlink"/>
                <w:rFonts w:cstheme="minorHAnsi"/>
                <w:i/>
                <w:noProof/>
              </w:rPr>
              <w:t>C</w:t>
            </w:r>
            <w:r w:rsidR="00AC3BD2" w:rsidRPr="00A010E0">
              <w:rPr>
                <w:rStyle w:val="Hyperlink"/>
                <w:rFonts w:cstheme="minorHAnsi"/>
                <w:noProof/>
                <w:vertAlign w:val="subscript"/>
              </w:rPr>
              <w:t>b</w:t>
            </w:r>
            <w:r w:rsidR="00AC3BD2" w:rsidRPr="00A010E0">
              <w:rPr>
                <w:rStyle w:val="Hyperlink"/>
                <w:rFonts w:cstheme="minorHAnsi"/>
                <w:noProof/>
              </w:rPr>
              <w:t>)/</w:t>
            </w:r>
            <w:r w:rsidR="00AC3BD2" w:rsidRPr="00A010E0">
              <w:rPr>
                <w:rStyle w:val="Hyperlink"/>
                <w:rFonts w:cstheme="minorHAnsi"/>
                <w:i/>
                <w:noProof/>
              </w:rPr>
              <w:t>C</w:t>
            </w:r>
            <w:r w:rsidR="00AC3BD2" w:rsidRPr="00A010E0">
              <w:rPr>
                <w:rStyle w:val="Hyperlink"/>
                <w:rFonts w:cstheme="minorHAnsi"/>
                <w:noProof/>
                <w:vertAlign w:val="subscript"/>
              </w:rPr>
              <w:t>b</w:t>
            </w:r>
            <w:r w:rsidR="00AC3BD2" w:rsidRPr="00A010E0">
              <w:rPr>
                <w:rStyle w:val="Hyperlink"/>
                <w:rFonts w:cstheme="minorHAnsi"/>
                <w:noProof/>
              </w:rPr>
              <w:t xml:space="preserve">, where </w:t>
            </w:r>
            <w:r w:rsidR="00AC3BD2" w:rsidRPr="00A010E0">
              <w:rPr>
                <w:rStyle w:val="Hyperlink"/>
                <w:rFonts w:cstheme="minorHAnsi"/>
                <w:i/>
                <w:noProof/>
              </w:rPr>
              <w:t>C</w:t>
            </w:r>
            <w:r w:rsidR="00AC3BD2" w:rsidRPr="00A010E0">
              <w:rPr>
                <w:rStyle w:val="Hyperlink"/>
                <w:rFonts w:cstheme="minorHAnsi"/>
                <w:noProof/>
                <w:vertAlign w:val="subscript"/>
              </w:rPr>
              <w:t>x</w:t>
            </w:r>
            <w:r w:rsidR="00AC3BD2" w:rsidRPr="00A010E0">
              <w:rPr>
                <w:rStyle w:val="Hyperlink"/>
                <w:rFonts w:cstheme="minorHAnsi"/>
                <w:noProof/>
              </w:rPr>
              <w:t xml:space="preserve"> is the solute concentration estimated at a point at distance </w:t>
            </w:r>
            <w:r w:rsidR="00AC3BD2" w:rsidRPr="00A010E0">
              <w:rPr>
                <w:rStyle w:val="Hyperlink"/>
                <w:rFonts w:cstheme="minorHAnsi"/>
                <w:i/>
                <w:noProof/>
              </w:rPr>
              <w:t>x</w:t>
            </w:r>
            <w:r w:rsidR="00AC3BD2" w:rsidRPr="00A010E0">
              <w:rPr>
                <w:rStyle w:val="Hyperlink"/>
                <w:rFonts w:cstheme="minorHAnsi"/>
                <w:noProof/>
              </w:rPr>
              <w:t xml:space="preserve"> metres downgradient from the well, and </w:t>
            </w:r>
            <w:r w:rsidR="00AC3BD2" w:rsidRPr="00A010E0">
              <w:rPr>
                <w:rStyle w:val="Hyperlink"/>
                <w:rFonts w:cstheme="minorHAnsi"/>
                <w:i/>
                <w:noProof/>
              </w:rPr>
              <w:t>C</w:t>
            </w:r>
            <w:r w:rsidR="00AC3BD2" w:rsidRPr="00A010E0">
              <w:rPr>
                <w:rStyle w:val="Hyperlink"/>
                <w:rFonts w:cstheme="minorHAnsi"/>
                <w:noProof/>
                <w:vertAlign w:val="subscript"/>
              </w:rPr>
              <w:t>b</w:t>
            </w:r>
            <w:r w:rsidR="00AC3BD2" w:rsidRPr="00A010E0">
              <w:rPr>
                <w:rStyle w:val="Hyperlink"/>
                <w:rFonts w:cstheme="minorHAnsi"/>
                <w:noProof/>
              </w:rPr>
              <w:t xml:space="preserve"> is the background solute concentration of the aquifer in a location unaffected by the leaky well. Top row represents typical baseline pre-CSG conditions where the shallow aquifer becomes more saline. Bottom row represents typical post-CSG conditions where the CSG production zone becomes diluted.</w:t>
            </w:r>
            <w:r w:rsidR="00AC3BD2">
              <w:rPr>
                <w:noProof/>
                <w:webHidden/>
              </w:rPr>
              <w:tab/>
            </w:r>
            <w:r w:rsidR="00AC3BD2">
              <w:rPr>
                <w:noProof/>
                <w:webHidden/>
              </w:rPr>
              <w:fldChar w:fldCharType="begin"/>
            </w:r>
            <w:r w:rsidR="00AC3BD2">
              <w:rPr>
                <w:noProof/>
                <w:webHidden/>
              </w:rPr>
              <w:instrText xml:space="preserve"> PAGEREF _Toc508267302 \h </w:instrText>
            </w:r>
            <w:r w:rsidR="00AC3BD2">
              <w:rPr>
                <w:noProof/>
                <w:webHidden/>
              </w:rPr>
            </w:r>
            <w:r w:rsidR="00AC3BD2">
              <w:rPr>
                <w:noProof/>
                <w:webHidden/>
              </w:rPr>
              <w:fldChar w:fldCharType="separate"/>
            </w:r>
            <w:r w:rsidR="00086147">
              <w:rPr>
                <w:noProof/>
                <w:webHidden/>
              </w:rPr>
              <w:t>50</w:t>
            </w:r>
            <w:r w:rsidR="00AC3BD2">
              <w:rPr>
                <w:noProof/>
                <w:webHidden/>
              </w:rPr>
              <w:fldChar w:fldCharType="end"/>
            </w:r>
          </w:hyperlink>
        </w:p>
        <w:p w14:paraId="13B6C0F6" w14:textId="77777777" w:rsidR="00AC3BD2" w:rsidRDefault="00296C49">
          <w:pPr>
            <w:pStyle w:val="TableofFigures"/>
            <w:rPr>
              <w:rFonts w:asciiTheme="minorHAnsi" w:eastAsiaTheme="minorEastAsia" w:hAnsiTheme="minorHAnsi" w:cstheme="minorBidi"/>
              <w:noProof/>
              <w:color w:val="auto"/>
              <w:sz w:val="22"/>
            </w:rPr>
          </w:pPr>
          <w:hyperlink w:anchor="_Toc508267303" w:history="1">
            <w:r w:rsidR="00AC3BD2" w:rsidRPr="00A010E0">
              <w:rPr>
                <w:rStyle w:val="Hyperlink"/>
                <w:rFonts w:cstheme="minorHAnsi"/>
                <w:noProof/>
              </w:rPr>
              <w:t>Figure 5</w:t>
            </w:r>
            <w:r w:rsidR="00AC3BD2" w:rsidRPr="00A010E0">
              <w:rPr>
                <w:rStyle w:val="Hyperlink"/>
                <w:rFonts w:cstheme="minorHAnsi"/>
                <w:noProof/>
              </w:rPr>
              <w:noBreakHyphen/>
              <w:t>5 Increases in TDS concentration in the Pilliga Sandstone aquifer with time at the five observation points due to higher TDS water from the Maules Creek formation leaking through a compromised well. Examples shown represent aquifer velocities calculated from median modelled velocity, maximum modelled velocity and maximum velocity of water leaking from an open borehole, and for aquifer TDS differences selected from the median TDS observed in each of the units, and the maximum and minimum TDS differences in each of the units. Both top and bottom rows represent typical baseline pre-CSG conditions where the shallow aquifer becomes more saline.</w:t>
            </w:r>
            <w:r w:rsidR="00AC3BD2">
              <w:rPr>
                <w:noProof/>
                <w:webHidden/>
              </w:rPr>
              <w:tab/>
            </w:r>
            <w:r w:rsidR="00AC3BD2">
              <w:rPr>
                <w:noProof/>
                <w:webHidden/>
              </w:rPr>
              <w:fldChar w:fldCharType="begin"/>
            </w:r>
            <w:r w:rsidR="00AC3BD2">
              <w:rPr>
                <w:noProof/>
                <w:webHidden/>
              </w:rPr>
              <w:instrText xml:space="preserve"> PAGEREF _Toc508267303 \h </w:instrText>
            </w:r>
            <w:r w:rsidR="00AC3BD2">
              <w:rPr>
                <w:noProof/>
                <w:webHidden/>
              </w:rPr>
            </w:r>
            <w:r w:rsidR="00AC3BD2">
              <w:rPr>
                <w:noProof/>
                <w:webHidden/>
              </w:rPr>
              <w:fldChar w:fldCharType="separate"/>
            </w:r>
            <w:r w:rsidR="00086147">
              <w:rPr>
                <w:noProof/>
                <w:webHidden/>
              </w:rPr>
              <w:t>51</w:t>
            </w:r>
            <w:r w:rsidR="00AC3BD2">
              <w:rPr>
                <w:noProof/>
                <w:webHidden/>
              </w:rPr>
              <w:fldChar w:fldCharType="end"/>
            </w:r>
          </w:hyperlink>
        </w:p>
        <w:p w14:paraId="651552B7" w14:textId="77777777" w:rsidR="00AC3BD2" w:rsidRDefault="00296C49">
          <w:pPr>
            <w:pStyle w:val="TableofFigures"/>
            <w:rPr>
              <w:rFonts w:asciiTheme="minorHAnsi" w:eastAsiaTheme="minorEastAsia" w:hAnsiTheme="minorHAnsi" w:cstheme="minorBidi"/>
              <w:noProof/>
              <w:color w:val="auto"/>
              <w:sz w:val="22"/>
            </w:rPr>
          </w:pPr>
          <w:hyperlink w:anchor="_Toc508267304" w:history="1">
            <w:r w:rsidR="00AC3BD2" w:rsidRPr="00A010E0">
              <w:rPr>
                <w:rStyle w:val="Hyperlink"/>
                <w:rFonts w:cstheme="minorHAnsi"/>
                <w:noProof/>
              </w:rPr>
              <w:t>Figure 5</w:t>
            </w:r>
            <w:r w:rsidR="00AC3BD2" w:rsidRPr="00A010E0">
              <w:rPr>
                <w:rStyle w:val="Hyperlink"/>
                <w:rFonts w:cstheme="minorHAnsi"/>
                <w:noProof/>
              </w:rPr>
              <w:noBreakHyphen/>
              <w:t>6 Dilution of TDS concentration in the Maules Creek production zone (lower aquifer) with time at the five observation points due to lower TDS water from the Pilliga Sandstone leaking through a compromised well. Examples shown represent aquifer velocities calculated from median modelled velocity, maximum modelled velocity and maximum velocity of water leaking from an open well, and for aquifer TDS differences selected from the median TDS observed in each of the units, and the maximum and minimum TDS differences in each of the units. Maules Creek minimum, median, and maximum TDS is 5,200, 11,000 and 17,000 mg/L. Pilliga Sandstone minimum, median, and maximum TDS is 500, 600 and 5,000 mg/L. Both top and bottom rows represent typical post-CSG conditions where the CSG production zone becomes diluted.</w:t>
            </w:r>
            <w:r w:rsidR="00AC3BD2">
              <w:rPr>
                <w:noProof/>
                <w:webHidden/>
              </w:rPr>
              <w:tab/>
            </w:r>
            <w:r w:rsidR="00AC3BD2">
              <w:rPr>
                <w:noProof/>
                <w:webHidden/>
              </w:rPr>
              <w:fldChar w:fldCharType="begin"/>
            </w:r>
            <w:r w:rsidR="00AC3BD2">
              <w:rPr>
                <w:noProof/>
                <w:webHidden/>
              </w:rPr>
              <w:instrText xml:space="preserve"> PAGEREF _Toc508267304 \h </w:instrText>
            </w:r>
            <w:r w:rsidR="00AC3BD2">
              <w:rPr>
                <w:noProof/>
                <w:webHidden/>
              </w:rPr>
            </w:r>
            <w:r w:rsidR="00AC3BD2">
              <w:rPr>
                <w:noProof/>
                <w:webHidden/>
              </w:rPr>
              <w:fldChar w:fldCharType="separate"/>
            </w:r>
            <w:r w:rsidR="00086147">
              <w:rPr>
                <w:noProof/>
                <w:webHidden/>
              </w:rPr>
              <w:t>52</w:t>
            </w:r>
            <w:r w:rsidR="00AC3BD2">
              <w:rPr>
                <w:noProof/>
                <w:webHidden/>
              </w:rPr>
              <w:fldChar w:fldCharType="end"/>
            </w:r>
          </w:hyperlink>
        </w:p>
        <w:p w14:paraId="7E131CE7" w14:textId="77777777" w:rsidR="00AC3BD2" w:rsidRDefault="00296C49">
          <w:pPr>
            <w:pStyle w:val="TableofFigures"/>
            <w:rPr>
              <w:rFonts w:asciiTheme="minorHAnsi" w:eastAsiaTheme="minorEastAsia" w:hAnsiTheme="minorHAnsi" w:cstheme="minorBidi"/>
              <w:noProof/>
              <w:color w:val="auto"/>
              <w:sz w:val="22"/>
            </w:rPr>
          </w:pPr>
          <w:hyperlink w:anchor="_Toc508267305" w:history="1">
            <w:r w:rsidR="00AC3BD2" w:rsidRPr="00A010E0">
              <w:rPr>
                <w:rStyle w:val="Hyperlink"/>
                <w:noProof/>
              </w:rPr>
              <w:t>Figure 6</w:t>
            </w:r>
            <w:r w:rsidR="00AC3BD2" w:rsidRPr="00A010E0">
              <w:rPr>
                <w:rStyle w:val="Hyperlink"/>
                <w:noProof/>
              </w:rPr>
              <w:noBreakHyphen/>
              <w:t xml:space="preserve">1 </w:t>
            </w:r>
            <w:r w:rsidR="00AC3BD2" w:rsidRPr="00A010E0">
              <w:rPr>
                <w:rStyle w:val="Hyperlink"/>
                <w:rFonts w:cstheme="minorHAnsi"/>
                <w:noProof/>
              </w:rPr>
              <w:t>A schematics of typical coal seam gas well (Arrow Energy, 2011).</w:t>
            </w:r>
            <w:r w:rsidR="00AC3BD2">
              <w:rPr>
                <w:noProof/>
                <w:webHidden/>
              </w:rPr>
              <w:tab/>
            </w:r>
            <w:r w:rsidR="00AC3BD2">
              <w:rPr>
                <w:noProof/>
                <w:webHidden/>
              </w:rPr>
              <w:fldChar w:fldCharType="begin"/>
            </w:r>
            <w:r w:rsidR="00AC3BD2">
              <w:rPr>
                <w:noProof/>
                <w:webHidden/>
              </w:rPr>
              <w:instrText xml:space="preserve"> PAGEREF _Toc508267305 \h </w:instrText>
            </w:r>
            <w:r w:rsidR="00AC3BD2">
              <w:rPr>
                <w:noProof/>
                <w:webHidden/>
              </w:rPr>
            </w:r>
            <w:r w:rsidR="00AC3BD2">
              <w:rPr>
                <w:noProof/>
                <w:webHidden/>
              </w:rPr>
              <w:fldChar w:fldCharType="separate"/>
            </w:r>
            <w:r w:rsidR="00086147">
              <w:rPr>
                <w:noProof/>
                <w:webHidden/>
              </w:rPr>
              <w:t>57</w:t>
            </w:r>
            <w:r w:rsidR="00AC3BD2">
              <w:rPr>
                <w:noProof/>
                <w:webHidden/>
              </w:rPr>
              <w:fldChar w:fldCharType="end"/>
            </w:r>
          </w:hyperlink>
        </w:p>
        <w:p w14:paraId="3E48D5BC" w14:textId="77777777" w:rsidR="00AC3BD2" w:rsidRDefault="00296C49">
          <w:pPr>
            <w:pStyle w:val="TableofFigures"/>
            <w:rPr>
              <w:rFonts w:asciiTheme="minorHAnsi" w:eastAsiaTheme="minorEastAsia" w:hAnsiTheme="minorHAnsi" w:cstheme="minorBidi"/>
              <w:noProof/>
              <w:color w:val="auto"/>
              <w:sz w:val="22"/>
            </w:rPr>
          </w:pPr>
          <w:hyperlink w:anchor="_Toc508267306" w:history="1">
            <w:r w:rsidR="00AC3BD2" w:rsidRPr="00A010E0">
              <w:rPr>
                <w:rStyle w:val="Hyperlink"/>
                <w:noProof/>
              </w:rPr>
              <w:t>Figure 6</w:t>
            </w:r>
            <w:r w:rsidR="00AC3BD2" w:rsidRPr="00A010E0">
              <w:rPr>
                <w:rStyle w:val="Hyperlink"/>
                <w:noProof/>
              </w:rPr>
              <w:noBreakHyphen/>
              <w:t xml:space="preserve">2 </w:t>
            </w:r>
            <w:r w:rsidR="00AC3BD2" w:rsidRPr="00A010E0">
              <w:rPr>
                <w:rStyle w:val="Hyperlink"/>
                <w:rFonts w:cstheme="minorHAnsi"/>
                <w:noProof/>
              </w:rPr>
              <w:t>An ultrasonic tool transducer sends a slightly divergent beam—an acoustic wave generated by a transducer when electrical power is applied to it—towards the casing to excite the casing into its thickness resonance mode. The USI UltraSonic Imager tool scans the casing at 7½ revolutions per second to render an azimuthal resolution of 5 or 10 degrees. This yields 36 or 72 separate waveforms at each depth. These are processed to yield the casing thickness, internal radius and inner wall smoothness—from the initial echo—as well as an azimuthal image of the cement acoustic impedance—from the signal resonance decay (top). The acoustic impedance of the cement (essentially the quality of the cement sheath) can be derived from the resonance decay (bottom). A good casing- cement bond results in immediate resonance decay, while free pipe rings bottom (generates echoes) for an extended period (Bellabarba et al. 2008).</w:t>
            </w:r>
            <w:r w:rsidR="00AC3BD2">
              <w:rPr>
                <w:noProof/>
                <w:webHidden/>
              </w:rPr>
              <w:tab/>
            </w:r>
            <w:r w:rsidR="00AC3BD2">
              <w:rPr>
                <w:noProof/>
                <w:webHidden/>
              </w:rPr>
              <w:fldChar w:fldCharType="begin"/>
            </w:r>
            <w:r w:rsidR="00AC3BD2">
              <w:rPr>
                <w:noProof/>
                <w:webHidden/>
              </w:rPr>
              <w:instrText xml:space="preserve"> PAGEREF _Toc508267306 \h </w:instrText>
            </w:r>
            <w:r w:rsidR="00AC3BD2">
              <w:rPr>
                <w:noProof/>
                <w:webHidden/>
              </w:rPr>
            </w:r>
            <w:r w:rsidR="00AC3BD2">
              <w:rPr>
                <w:noProof/>
                <w:webHidden/>
              </w:rPr>
              <w:fldChar w:fldCharType="separate"/>
            </w:r>
            <w:r w:rsidR="00086147">
              <w:rPr>
                <w:noProof/>
                <w:webHidden/>
              </w:rPr>
              <w:t>59</w:t>
            </w:r>
            <w:r w:rsidR="00AC3BD2">
              <w:rPr>
                <w:noProof/>
                <w:webHidden/>
              </w:rPr>
              <w:fldChar w:fldCharType="end"/>
            </w:r>
          </w:hyperlink>
        </w:p>
        <w:p w14:paraId="0B3C650B" w14:textId="77777777" w:rsidR="00AC3BD2" w:rsidRDefault="00296C49">
          <w:pPr>
            <w:pStyle w:val="TableofFigures"/>
            <w:rPr>
              <w:rFonts w:asciiTheme="minorHAnsi" w:eastAsiaTheme="minorEastAsia" w:hAnsiTheme="minorHAnsi" w:cstheme="minorBidi"/>
              <w:noProof/>
              <w:color w:val="auto"/>
              <w:sz w:val="22"/>
            </w:rPr>
          </w:pPr>
          <w:hyperlink w:anchor="_Toc508267307" w:history="1">
            <w:r w:rsidR="00AC3BD2" w:rsidRPr="00A010E0">
              <w:rPr>
                <w:rStyle w:val="Hyperlink"/>
                <w:noProof/>
              </w:rPr>
              <w:t>Figure 6</w:t>
            </w:r>
            <w:r w:rsidR="00AC3BD2" w:rsidRPr="00A010E0">
              <w:rPr>
                <w:rStyle w:val="Hyperlink"/>
                <w:noProof/>
              </w:rPr>
              <w:noBreakHyphen/>
              <w:t xml:space="preserve">3 </w:t>
            </w:r>
            <w:r w:rsidR="00AC3BD2" w:rsidRPr="00A010E0">
              <w:rPr>
                <w:rStyle w:val="Hyperlink"/>
                <w:rFonts w:cstheme="minorHAnsi"/>
                <w:noProof/>
              </w:rPr>
              <w:t>Schematic of vertical interference test performed across a well section in the shale interval above the production zone (indicated as sandstone) (Gasda et al. 2013).</w:t>
            </w:r>
            <w:r w:rsidR="00AC3BD2">
              <w:rPr>
                <w:noProof/>
                <w:webHidden/>
              </w:rPr>
              <w:tab/>
            </w:r>
            <w:r w:rsidR="00AC3BD2">
              <w:rPr>
                <w:noProof/>
                <w:webHidden/>
              </w:rPr>
              <w:fldChar w:fldCharType="begin"/>
            </w:r>
            <w:r w:rsidR="00AC3BD2">
              <w:rPr>
                <w:noProof/>
                <w:webHidden/>
              </w:rPr>
              <w:instrText xml:space="preserve"> PAGEREF _Toc508267307 \h </w:instrText>
            </w:r>
            <w:r w:rsidR="00AC3BD2">
              <w:rPr>
                <w:noProof/>
                <w:webHidden/>
              </w:rPr>
            </w:r>
            <w:r w:rsidR="00AC3BD2">
              <w:rPr>
                <w:noProof/>
                <w:webHidden/>
              </w:rPr>
              <w:fldChar w:fldCharType="separate"/>
            </w:r>
            <w:r w:rsidR="00086147">
              <w:rPr>
                <w:noProof/>
                <w:webHidden/>
              </w:rPr>
              <w:t>60</w:t>
            </w:r>
            <w:r w:rsidR="00AC3BD2">
              <w:rPr>
                <w:noProof/>
                <w:webHidden/>
              </w:rPr>
              <w:fldChar w:fldCharType="end"/>
            </w:r>
          </w:hyperlink>
        </w:p>
        <w:p w14:paraId="26FCFF02" w14:textId="77777777" w:rsidR="00AC3BD2" w:rsidRDefault="00296C49">
          <w:pPr>
            <w:pStyle w:val="TableofFigures"/>
            <w:rPr>
              <w:rFonts w:asciiTheme="minorHAnsi" w:eastAsiaTheme="minorEastAsia" w:hAnsiTheme="minorHAnsi" w:cstheme="minorBidi"/>
              <w:noProof/>
              <w:color w:val="auto"/>
              <w:sz w:val="22"/>
            </w:rPr>
          </w:pPr>
          <w:hyperlink w:anchor="_Toc508267308" w:history="1">
            <w:r w:rsidR="00AC3BD2" w:rsidRPr="00A010E0">
              <w:rPr>
                <w:rStyle w:val="Hyperlink"/>
                <w:noProof/>
              </w:rPr>
              <w:t>Figure 6</w:t>
            </w:r>
            <w:r w:rsidR="00AC3BD2" w:rsidRPr="00A010E0">
              <w:rPr>
                <w:rStyle w:val="Hyperlink"/>
                <w:noProof/>
              </w:rPr>
              <w:noBreakHyphen/>
              <w:t>4 Bradenhead testing (or casing head pressure testing) for identification of defective gas wells (COGCC 2013).</w:t>
            </w:r>
            <w:r w:rsidR="00AC3BD2">
              <w:rPr>
                <w:noProof/>
                <w:webHidden/>
              </w:rPr>
              <w:tab/>
            </w:r>
            <w:r w:rsidR="00AC3BD2">
              <w:rPr>
                <w:noProof/>
                <w:webHidden/>
              </w:rPr>
              <w:fldChar w:fldCharType="begin"/>
            </w:r>
            <w:r w:rsidR="00AC3BD2">
              <w:rPr>
                <w:noProof/>
                <w:webHidden/>
              </w:rPr>
              <w:instrText xml:space="preserve"> PAGEREF _Toc508267308 \h </w:instrText>
            </w:r>
            <w:r w:rsidR="00AC3BD2">
              <w:rPr>
                <w:noProof/>
                <w:webHidden/>
              </w:rPr>
            </w:r>
            <w:r w:rsidR="00AC3BD2">
              <w:rPr>
                <w:noProof/>
                <w:webHidden/>
              </w:rPr>
              <w:fldChar w:fldCharType="separate"/>
            </w:r>
            <w:r w:rsidR="00086147">
              <w:rPr>
                <w:noProof/>
                <w:webHidden/>
              </w:rPr>
              <w:t>62</w:t>
            </w:r>
            <w:r w:rsidR="00AC3BD2">
              <w:rPr>
                <w:noProof/>
                <w:webHidden/>
              </w:rPr>
              <w:fldChar w:fldCharType="end"/>
            </w:r>
          </w:hyperlink>
        </w:p>
        <w:p w14:paraId="52CFC96A" w14:textId="77777777" w:rsidR="00AC3BD2" w:rsidRDefault="00296C49">
          <w:pPr>
            <w:pStyle w:val="TableofFigures"/>
            <w:rPr>
              <w:rFonts w:asciiTheme="minorHAnsi" w:eastAsiaTheme="minorEastAsia" w:hAnsiTheme="minorHAnsi" w:cstheme="minorBidi"/>
              <w:noProof/>
              <w:color w:val="auto"/>
              <w:sz w:val="22"/>
            </w:rPr>
          </w:pPr>
          <w:hyperlink w:anchor="_Toc508267309" w:history="1">
            <w:r w:rsidR="00AC3BD2" w:rsidRPr="00A010E0">
              <w:rPr>
                <w:rStyle w:val="Hyperlink"/>
                <w:noProof/>
              </w:rPr>
              <w:t>Figure 6</w:t>
            </w:r>
            <w:r w:rsidR="00AC3BD2" w:rsidRPr="00A010E0">
              <w:rPr>
                <w:rStyle w:val="Hyperlink"/>
                <w:noProof/>
              </w:rPr>
              <w:noBreakHyphen/>
              <w:t>5 Schematic diagram of the flux chamber system used for well casing leak determinations.</w:t>
            </w:r>
            <w:r w:rsidR="00AC3BD2">
              <w:rPr>
                <w:noProof/>
                <w:webHidden/>
              </w:rPr>
              <w:tab/>
            </w:r>
            <w:r w:rsidR="00AC3BD2">
              <w:rPr>
                <w:noProof/>
                <w:webHidden/>
              </w:rPr>
              <w:fldChar w:fldCharType="begin"/>
            </w:r>
            <w:r w:rsidR="00AC3BD2">
              <w:rPr>
                <w:noProof/>
                <w:webHidden/>
              </w:rPr>
              <w:instrText xml:space="preserve"> PAGEREF _Toc508267309 \h </w:instrText>
            </w:r>
            <w:r w:rsidR="00AC3BD2">
              <w:rPr>
                <w:noProof/>
                <w:webHidden/>
              </w:rPr>
            </w:r>
            <w:r w:rsidR="00AC3BD2">
              <w:rPr>
                <w:noProof/>
                <w:webHidden/>
              </w:rPr>
              <w:fldChar w:fldCharType="separate"/>
            </w:r>
            <w:r w:rsidR="00086147">
              <w:rPr>
                <w:noProof/>
                <w:webHidden/>
              </w:rPr>
              <w:t>63</w:t>
            </w:r>
            <w:r w:rsidR="00AC3BD2">
              <w:rPr>
                <w:noProof/>
                <w:webHidden/>
              </w:rPr>
              <w:fldChar w:fldCharType="end"/>
            </w:r>
          </w:hyperlink>
        </w:p>
        <w:p w14:paraId="086ED19C" w14:textId="77777777" w:rsidR="00AC3BD2" w:rsidRDefault="00296C49">
          <w:pPr>
            <w:pStyle w:val="TableofFigures"/>
            <w:rPr>
              <w:rFonts w:asciiTheme="minorHAnsi" w:eastAsiaTheme="minorEastAsia" w:hAnsiTheme="minorHAnsi" w:cstheme="minorBidi"/>
              <w:noProof/>
              <w:color w:val="auto"/>
              <w:sz w:val="22"/>
            </w:rPr>
          </w:pPr>
          <w:hyperlink w:anchor="_Toc508267310" w:history="1">
            <w:r w:rsidR="00AC3BD2" w:rsidRPr="00A010E0">
              <w:rPr>
                <w:rStyle w:val="Hyperlink"/>
                <w:noProof/>
              </w:rPr>
              <w:t>Figure 6</w:t>
            </w:r>
            <w:r w:rsidR="00AC3BD2" w:rsidRPr="00A010E0">
              <w:rPr>
                <w:rStyle w:val="Hyperlink"/>
                <w:noProof/>
              </w:rPr>
              <w:noBreakHyphen/>
              <w:t>6 Distribution of clusters in the Surat and western Clarence-Moreton basins and simplified surface geology for all aquifers. Major characteristics such as water type and median electrical conductivity and methane concentrations are also shown (Mallants et al. 2016).</w:t>
            </w:r>
            <w:r w:rsidR="00AC3BD2">
              <w:rPr>
                <w:noProof/>
                <w:webHidden/>
              </w:rPr>
              <w:tab/>
            </w:r>
            <w:r w:rsidR="00AC3BD2">
              <w:rPr>
                <w:noProof/>
                <w:webHidden/>
              </w:rPr>
              <w:fldChar w:fldCharType="begin"/>
            </w:r>
            <w:r w:rsidR="00AC3BD2">
              <w:rPr>
                <w:noProof/>
                <w:webHidden/>
              </w:rPr>
              <w:instrText xml:space="preserve"> PAGEREF _Toc508267310 \h </w:instrText>
            </w:r>
            <w:r w:rsidR="00AC3BD2">
              <w:rPr>
                <w:noProof/>
                <w:webHidden/>
              </w:rPr>
            </w:r>
            <w:r w:rsidR="00AC3BD2">
              <w:rPr>
                <w:noProof/>
                <w:webHidden/>
              </w:rPr>
              <w:fldChar w:fldCharType="separate"/>
            </w:r>
            <w:r w:rsidR="00086147">
              <w:rPr>
                <w:noProof/>
                <w:webHidden/>
              </w:rPr>
              <w:t>66</w:t>
            </w:r>
            <w:r w:rsidR="00AC3BD2">
              <w:rPr>
                <w:noProof/>
                <w:webHidden/>
              </w:rPr>
              <w:fldChar w:fldCharType="end"/>
            </w:r>
          </w:hyperlink>
        </w:p>
        <w:p w14:paraId="49BDCD93" w14:textId="619253F1" w:rsidR="00D85352" w:rsidRPr="006B17BE" w:rsidRDefault="00D85352" w:rsidP="00D85352">
          <w:pPr>
            <w:spacing w:after="160" w:line="259" w:lineRule="auto"/>
            <w:rPr>
              <w:rFonts w:asciiTheme="minorHAnsi" w:hAnsiTheme="minorHAnsi"/>
              <w:noProof/>
              <w:sz w:val="24"/>
              <w:szCs w:val="24"/>
            </w:rPr>
          </w:pPr>
          <w:r w:rsidRPr="006B17BE">
            <w:rPr>
              <w:rStyle w:val="Hyperlink"/>
              <w:rFonts w:asciiTheme="minorHAnsi" w:hAnsiTheme="minorHAnsi"/>
              <w:smallCaps/>
              <w:noProof/>
              <w:sz w:val="24"/>
              <w:szCs w:val="24"/>
            </w:rPr>
            <w:fldChar w:fldCharType="end"/>
          </w:r>
        </w:p>
        <w:p w14:paraId="7831E047" w14:textId="77777777" w:rsidR="00100240" w:rsidRPr="006B17BE" w:rsidRDefault="00100240" w:rsidP="00D470A3">
          <w:pPr>
            <w:spacing w:after="160" w:line="259" w:lineRule="auto"/>
            <w:rPr>
              <w:rFonts w:asciiTheme="minorHAnsi" w:hAnsiTheme="minorHAnsi"/>
              <w:noProof/>
              <w:sz w:val="24"/>
              <w:szCs w:val="24"/>
            </w:rPr>
          </w:pPr>
        </w:p>
        <w:p w14:paraId="2C75EBCC" w14:textId="77777777" w:rsidR="00100240" w:rsidRPr="006B17BE" w:rsidRDefault="00100240" w:rsidP="00D470A3">
          <w:pPr>
            <w:spacing w:after="160" w:line="259" w:lineRule="auto"/>
            <w:rPr>
              <w:rFonts w:asciiTheme="minorHAnsi" w:hAnsiTheme="minorHAnsi"/>
              <w:noProof/>
              <w:sz w:val="24"/>
              <w:szCs w:val="24"/>
            </w:rPr>
          </w:pPr>
        </w:p>
        <w:p w14:paraId="5CF4B3E8" w14:textId="77777777" w:rsidR="00100240" w:rsidRPr="006B17BE" w:rsidRDefault="00100240" w:rsidP="00D75450">
          <w:pPr>
            <w:pStyle w:val="Heading1"/>
            <w:numPr>
              <w:ilvl w:val="0"/>
              <w:numId w:val="0"/>
            </w:numPr>
            <w:ind w:left="1134" w:hanging="1134"/>
            <w:rPr>
              <w:rFonts w:asciiTheme="minorHAnsi" w:hAnsiTheme="minorHAnsi"/>
              <w:sz w:val="24"/>
              <w:szCs w:val="24"/>
            </w:rPr>
          </w:pPr>
          <w:bookmarkStart w:id="23" w:name="_Toc483567926"/>
          <w:r w:rsidRPr="006B17BE">
            <w:rPr>
              <w:rFonts w:asciiTheme="minorHAnsi" w:hAnsiTheme="minorHAnsi"/>
              <w:sz w:val="24"/>
              <w:szCs w:val="24"/>
            </w:rPr>
            <w:t>List of Tables</w:t>
          </w:r>
          <w:bookmarkEnd w:id="23"/>
        </w:p>
        <w:p w14:paraId="73277395" w14:textId="77777777" w:rsidR="00AC3BD2" w:rsidRDefault="00FD7E9F">
          <w:pPr>
            <w:pStyle w:val="TableofFigures"/>
            <w:rPr>
              <w:rFonts w:asciiTheme="minorHAnsi" w:eastAsiaTheme="minorEastAsia" w:hAnsiTheme="minorHAnsi" w:cstheme="minorBidi"/>
              <w:noProof/>
              <w:color w:val="auto"/>
              <w:sz w:val="22"/>
            </w:rPr>
          </w:pPr>
          <w:r w:rsidRPr="006B17BE">
            <w:rPr>
              <w:rFonts w:asciiTheme="minorHAnsi" w:hAnsiTheme="minorHAnsi"/>
              <w:szCs w:val="24"/>
            </w:rPr>
            <w:fldChar w:fldCharType="begin"/>
          </w:r>
          <w:r w:rsidRPr="006B17BE">
            <w:rPr>
              <w:rFonts w:asciiTheme="minorHAnsi" w:hAnsiTheme="minorHAnsi"/>
              <w:szCs w:val="24"/>
            </w:rPr>
            <w:instrText xml:space="preserve"> TOC \h \z \c "Table" </w:instrText>
          </w:r>
          <w:r w:rsidRPr="006B17BE">
            <w:rPr>
              <w:rFonts w:asciiTheme="minorHAnsi" w:hAnsiTheme="minorHAnsi"/>
              <w:szCs w:val="24"/>
            </w:rPr>
            <w:fldChar w:fldCharType="separate"/>
          </w:r>
          <w:hyperlink w:anchor="_Toc508267199" w:history="1">
            <w:r w:rsidR="00AC3BD2" w:rsidRPr="00811A3C">
              <w:rPr>
                <w:rStyle w:val="Hyperlink"/>
                <w:noProof/>
              </w:rPr>
              <w:t>Table 3</w:t>
            </w:r>
            <w:r w:rsidR="00AC3BD2" w:rsidRPr="00811A3C">
              <w:rPr>
                <w:rStyle w:val="Hyperlink"/>
                <w:noProof/>
              </w:rPr>
              <w:noBreakHyphen/>
              <w:t>1 Outline of geological units in the study area  with numerical model layers based on CDM Smith (2014), and simplified model layers used in this study. NC = not considered in the model.</w:t>
            </w:r>
            <w:r w:rsidR="00AC3BD2">
              <w:rPr>
                <w:noProof/>
                <w:webHidden/>
              </w:rPr>
              <w:tab/>
            </w:r>
            <w:r w:rsidR="00AC3BD2">
              <w:rPr>
                <w:noProof/>
                <w:webHidden/>
              </w:rPr>
              <w:fldChar w:fldCharType="begin"/>
            </w:r>
            <w:r w:rsidR="00AC3BD2">
              <w:rPr>
                <w:noProof/>
                <w:webHidden/>
              </w:rPr>
              <w:instrText xml:space="preserve"> PAGEREF _Toc508267199 \h </w:instrText>
            </w:r>
            <w:r w:rsidR="00AC3BD2">
              <w:rPr>
                <w:noProof/>
                <w:webHidden/>
              </w:rPr>
            </w:r>
            <w:r w:rsidR="00AC3BD2">
              <w:rPr>
                <w:noProof/>
                <w:webHidden/>
              </w:rPr>
              <w:fldChar w:fldCharType="separate"/>
            </w:r>
            <w:r w:rsidR="00086147">
              <w:rPr>
                <w:noProof/>
                <w:webHidden/>
              </w:rPr>
              <w:t>12</w:t>
            </w:r>
            <w:r w:rsidR="00AC3BD2">
              <w:rPr>
                <w:noProof/>
                <w:webHidden/>
              </w:rPr>
              <w:fldChar w:fldCharType="end"/>
            </w:r>
          </w:hyperlink>
        </w:p>
        <w:p w14:paraId="4B8A1AA8" w14:textId="77777777" w:rsidR="00AC3BD2" w:rsidRDefault="00296C49">
          <w:pPr>
            <w:pStyle w:val="TableofFigures"/>
            <w:rPr>
              <w:rFonts w:asciiTheme="minorHAnsi" w:eastAsiaTheme="minorEastAsia" w:hAnsiTheme="minorHAnsi" w:cstheme="minorBidi"/>
              <w:noProof/>
              <w:color w:val="auto"/>
              <w:sz w:val="22"/>
            </w:rPr>
          </w:pPr>
          <w:hyperlink w:anchor="_Toc508267200" w:history="1">
            <w:r w:rsidR="00AC3BD2" w:rsidRPr="00811A3C">
              <w:rPr>
                <w:rStyle w:val="Hyperlink"/>
                <w:noProof/>
              </w:rPr>
              <w:t>Table 3</w:t>
            </w:r>
            <w:r w:rsidR="00AC3BD2" w:rsidRPr="00811A3C">
              <w:rPr>
                <w:rStyle w:val="Hyperlink"/>
                <w:noProof/>
              </w:rPr>
              <w:noBreakHyphen/>
              <w:t>2 Simplified groundwater model layer discretisation and parameterisation. CHB and NFB are constant head boundary and no flow boundary, respectively. Data from CDM Smith (2014). Values in square brackets are new measurements (median from harmonically upscaled values) reported by Turnadge et al. (2017).</w:t>
            </w:r>
            <w:r w:rsidR="00AC3BD2">
              <w:rPr>
                <w:noProof/>
                <w:webHidden/>
              </w:rPr>
              <w:tab/>
            </w:r>
            <w:r w:rsidR="00AC3BD2">
              <w:rPr>
                <w:noProof/>
                <w:webHidden/>
              </w:rPr>
              <w:fldChar w:fldCharType="begin"/>
            </w:r>
            <w:r w:rsidR="00AC3BD2">
              <w:rPr>
                <w:noProof/>
                <w:webHidden/>
              </w:rPr>
              <w:instrText xml:space="preserve"> PAGEREF _Toc508267200 \h </w:instrText>
            </w:r>
            <w:r w:rsidR="00AC3BD2">
              <w:rPr>
                <w:noProof/>
                <w:webHidden/>
              </w:rPr>
            </w:r>
            <w:r w:rsidR="00AC3BD2">
              <w:rPr>
                <w:noProof/>
                <w:webHidden/>
              </w:rPr>
              <w:fldChar w:fldCharType="separate"/>
            </w:r>
            <w:r w:rsidR="00086147">
              <w:rPr>
                <w:noProof/>
                <w:webHidden/>
              </w:rPr>
              <w:t>14</w:t>
            </w:r>
            <w:r w:rsidR="00AC3BD2">
              <w:rPr>
                <w:noProof/>
                <w:webHidden/>
              </w:rPr>
              <w:fldChar w:fldCharType="end"/>
            </w:r>
          </w:hyperlink>
        </w:p>
        <w:p w14:paraId="0C2D7EDE" w14:textId="77777777" w:rsidR="00AC3BD2" w:rsidRDefault="00296C49">
          <w:pPr>
            <w:pStyle w:val="TableofFigures"/>
            <w:rPr>
              <w:rFonts w:asciiTheme="minorHAnsi" w:eastAsiaTheme="minorEastAsia" w:hAnsiTheme="minorHAnsi" w:cstheme="minorBidi"/>
              <w:noProof/>
              <w:color w:val="auto"/>
              <w:sz w:val="22"/>
            </w:rPr>
          </w:pPr>
          <w:hyperlink w:anchor="_Toc508267201" w:history="1">
            <w:r w:rsidR="00AC3BD2" w:rsidRPr="00811A3C">
              <w:rPr>
                <w:rStyle w:val="Hyperlink"/>
                <w:noProof/>
              </w:rPr>
              <w:t>Table 3</w:t>
            </w:r>
            <w:r w:rsidR="00AC3BD2" w:rsidRPr="00811A3C">
              <w:rPr>
                <w:rStyle w:val="Hyperlink"/>
                <w:noProof/>
              </w:rPr>
              <w:noBreakHyphen/>
              <w:t>3 Simplified groundwater model well/bore flow parameters.</w:t>
            </w:r>
            <w:r w:rsidR="00AC3BD2">
              <w:rPr>
                <w:noProof/>
                <w:webHidden/>
              </w:rPr>
              <w:tab/>
            </w:r>
            <w:r w:rsidR="00AC3BD2">
              <w:rPr>
                <w:noProof/>
                <w:webHidden/>
              </w:rPr>
              <w:fldChar w:fldCharType="begin"/>
            </w:r>
            <w:r w:rsidR="00AC3BD2">
              <w:rPr>
                <w:noProof/>
                <w:webHidden/>
              </w:rPr>
              <w:instrText xml:space="preserve"> PAGEREF _Toc508267201 \h </w:instrText>
            </w:r>
            <w:r w:rsidR="00AC3BD2">
              <w:rPr>
                <w:noProof/>
                <w:webHidden/>
              </w:rPr>
            </w:r>
            <w:r w:rsidR="00AC3BD2">
              <w:rPr>
                <w:noProof/>
                <w:webHidden/>
              </w:rPr>
              <w:fldChar w:fldCharType="separate"/>
            </w:r>
            <w:r w:rsidR="00086147">
              <w:rPr>
                <w:noProof/>
                <w:webHidden/>
              </w:rPr>
              <w:t>16</w:t>
            </w:r>
            <w:r w:rsidR="00AC3BD2">
              <w:rPr>
                <w:noProof/>
                <w:webHidden/>
              </w:rPr>
              <w:fldChar w:fldCharType="end"/>
            </w:r>
          </w:hyperlink>
        </w:p>
        <w:p w14:paraId="4868CA56" w14:textId="77777777" w:rsidR="00AC3BD2" w:rsidRDefault="00296C49">
          <w:pPr>
            <w:pStyle w:val="TableofFigures"/>
            <w:rPr>
              <w:rFonts w:asciiTheme="minorHAnsi" w:eastAsiaTheme="minorEastAsia" w:hAnsiTheme="minorHAnsi" w:cstheme="minorBidi"/>
              <w:noProof/>
              <w:color w:val="auto"/>
              <w:sz w:val="22"/>
            </w:rPr>
          </w:pPr>
          <w:hyperlink w:anchor="_Toc508267202" w:history="1">
            <w:r w:rsidR="00AC3BD2" w:rsidRPr="00811A3C">
              <w:rPr>
                <w:rStyle w:val="Hyperlink"/>
                <w:noProof/>
              </w:rPr>
              <w:t>Table 5</w:t>
            </w:r>
            <w:r w:rsidR="00AC3BD2" w:rsidRPr="00811A3C">
              <w:rPr>
                <w:rStyle w:val="Hyperlink"/>
                <w:noProof/>
              </w:rPr>
              <w:noBreakHyphen/>
              <w:t>1 Scenarios for impact modelling.</w:t>
            </w:r>
            <w:r w:rsidR="00AC3BD2">
              <w:rPr>
                <w:noProof/>
                <w:webHidden/>
              </w:rPr>
              <w:tab/>
            </w:r>
            <w:r w:rsidR="00AC3BD2">
              <w:rPr>
                <w:noProof/>
                <w:webHidden/>
              </w:rPr>
              <w:fldChar w:fldCharType="begin"/>
            </w:r>
            <w:r w:rsidR="00AC3BD2">
              <w:rPr>
                <w:noProof/>
                <w:webHidden/>
              </w:rPr>
              <w:instrText xml:space="preserve"> PAGEREF _Toc508267202 \h </w:instrText>
            </w:r>
            <w:r w:rsidR="00AC3BD2">
              <w:rPr>
                <w:noProof/>
                <w:webHidden/>
              </w:rPr>
            </w:r>
            <w:r w:rsidR="00AC3BD2">
              <w:rPr>
                <w:noProof/>
                <w:webHidden/>
              </w:rPr>
              <w:fldChar w:fldCharType="separate"/>
            </w:r>
            <w:r w:rsidR="00086147">
              <w:rPr>
                <w:noProof/>
                <w:webHidden/>
              </w:rPr>
              <w:t>44</w:t>
            </w:r>
            <w:r w:rsidR="00AC3BD2">
              <w:rPr>
                <w:noProof/>
                <w:webHidden/>
              </w:rPr>
              <w:fldChar w:fldCharType="end"/>
            </w:r>
          </w:hyperlink>
        </w:p>
        <w:p w14:paraId="77272E37" w14:textId="77777777" w:rsidR="00AC3BD2" w:rsidRDefault="00296C49">
          <w:pPr>
            <w:pStyle w:val="TableofFigures"/>
            <w:rPr>
              <w:rFonts w:asciiTheme="minorHAnsi" w:eastAsiaTheme="minorEastAsia" w:hAnsiTheme="minorHAnsi" w:cstheme="minorBidi"/>
              <w:noProof/>
              <w:color w:val="auto"/>
              <w:sz w:val="22"/>
            </w:rPr>
          </w:pPr>
          <w:hyperlink w:anchor="_Toc508267203" w:history="1">
            <w:r w:rsidR="00AC3BD2" w:rsidRPr="00811A3C">
              <w:rPr>
                <w:rStyle w:val="Hyperlink"/>
                <w:noProof/>
              </w:rPr>
              <w:t>Table 5</w:t>
            </w:r>
            <w:r w:rsidR="00AC3BD2" w:rsidRPr="00811A3C">
              <w:rPr>
                <w:rStyle w:val="Hyperlink"/>
                <w:noProof/>
              </w:rPr>
              <w:noBreakHyphen/>
              <w:t>2 Parameters used in the 3D advection-dispersion equation</w:t>
            </w:r>
            <w:r w:rsidR="00AC3BD2">
              <w:rPr>
                <w:noProof/>
                <w:webHidden/>
              </w:rPr>
              <w:tab/>
            </w:r>
            <w:r w:rsidR="00AC3BD2">
              <w:rPr>
                <w:noProof/>
                <w:webHidden/>
              </w:rPr>
              <w:fldChar w:fldCharType="begin"/>
            </w:r>
            <w:r w:rsidR="00AC3BD2">
              <w:rPr>
                <w:noProof/>
                <w:webHidden/>
              </w:rPr>
              <w:instrText xml:space="preserve"> PAGEREF _Toc508267203 \h </w:instrText>
            </w:r>
            <w:r w:rsidR="00AC3BD2">
              <w:rPr>
                <w:noProof/>
                <w:webHidden/>
              </w:rPr>
            </w:r>
            <w:r w:rsidR="00AC3BD2">
              <w:rPr>
                <w:noProof/>
                <w:webHidden/>
              </w:rPr>
              <w:fldChar w:fldCharType="separate"/>
            </w:r>
            <w:r w:rsidR="00086147">
              <w:rPr>
                <w:noProof/>
                <w:webHidden/>
              </w:rPr>
              <w:t>46</w:t>
            </w:r>
            <w:r w:rsidR="00AC3BD2">
              <w:rPr>
                <w:noProof/>
                <w:webHidden/>
              </w:rPr>
              <w:fldChar w:fldCharType="end"/>
            </w:r>
          </w:hyperlink>
        </w:p>
        <w:p w14:paraId="3524E02E" w14:textId="77777777" w:rsidR="00AC3BD2" w:rsidRDefault="00296C49">
          <w:pPr>
            <w:pStyle w:val="TableofFigures"/>
            <w:rPr>
              <w:rFonts w:asciiTheme="minorHAnsi" w:eastAsiaTheme="minorEastAsia" w:hAnsiTheme="minorHAnsi" w:cstheme="minorBidi"/>
              <w:noProof/>
              <w:color w:val="auto"/>
              <w:sz w:val="22"/>
            </w:rPr>
          </w:pPr>
          <w:hyperlink w:anchor="_Toc508267204" w:history="1">
            <w:r w:rsidR="00AC3BD2" w:rsidRPr="00811A3C">
              <w:rPr>
                <w:rStyle w:val="Hyperlink"/>
                <w:noProof/>
              </w:rPr>
              <w:t>Table 5</w:t>
            </w:r>
            <w:r w:rsidR="00AC3BD2" w:rsidRPr="00811A3C">
              <w:rPr>
                <w:rStyle w:val="Hyperlink"/>
                <w:noProof/>
              </w:rPr>
              <w:noBreakHyphen/>
              <w:t>3 Water quality and hydrogeological parameters from the CDM Smith (2014) model and expected well leakage flow rates and flow velocities from (Doble et al., 2018).</w:t>
            </w:r>
            <w:r w:rsidR="00AC3BD2">
              <w:rPr>
                <w:noProof/>
                <w:webHidden/>
              </w:rPr>
              <w:tab/>
            </w:r>
            <w:r w:rsidR="00AC3BD2">
              <w:rPr>
                <w:noProof/>
                <w:webHidden/>
              </w:rPr>
              <w:fldChar w:fldCharType="begin"/>
            </w:r>
            <w:r w:rsidR="00AC3BD2">
              <w:rPr>
                <w:noProof/>
                <w:webHidden/>
              </w:rPr>
              <w:instrText xml:space="preserve"> PAGEREF _Toc508267204 \h </w:instrText>
            </w:r>
            <w:r w:rsidR="00AC3BD2">
              <w:rPr>
                <w:noProof/>
                <w:webHidden/>
              </w:rPr>
            </w:r>
            <w:r w:rsidR="00AC3BD2">
              <w:rPr>
                <w:noProof/>
                <w:webHidden/>
              </w:rPr>
              <w:fldChar w:fldCharType="separate"/>
            </w:r>
            <w:r w:rsidR="00086147">
              <w:rPr>
                <w:noProof/>
                <w:webHidden/>
              </w:rPr>
              <w:t>48</w:t>
            </w:r>
            <w:r w:rsidR="00AC3BD2">
              <w:rPr>
                <w:noProof/>
                <w:webHidden/>
              </w:rPr>
              <w:fldChar w:fldCharType="end"/>
            </w:r>
          </w:hyperlink>
        </w:p>
        <w:p w14:paraId="62B90346" w14:textId="77777777" w:rsidR="00AC3BD2" w:rsidRDefault="00296C49">
          <w:pPr>
            <w:pStyle w:val="TableofFigures"/>
            <w:rPr>
              <w:rFonts w:asciiTheme="minorHAnsi" w:eastAsiaTheme="minorEastAsia" w:hAnsiTheme="minorHAnsi" w:cstheme="minorBidi"/>
              <w:noProof/>
              <w:color w:val="auto"/>
              <w:sz w:val="22"/>
            </w:rPr>
          </w:pPr>
          <w:hyperlink w:anchor="_Toc508267205" w:history="1">
            <w:r w:rsidR="00AC3BD2" w:rsidRPr="00811A3C">
              <w:rPr>
                <w:rStyle w:val="Hyperlink"/>
                <w:noProof/>
              </w:rPr>
              <w:t>Table 6</w:t>
            </w:r>
            <w:r w:rsidR="00AC3BD2" w:rsidRPr="00811A3C">
              <w:rPr>
                <w:rStyle w:val="Hyperlink"/>
                <w:noProof/>
              </w:rPr>
              <w:noBreakHyphen/>
              <w:t>1 Possible monitoring tools for different phases of a well lifecycle.</w:t>
            </w:r>
            <w:r w:rsidR="00AC3BD2">
              <w:rPr>
                <w:noProof/>
                <w:webHidden/>
              </w:rPr>
              <w:tab/>
            </w:r>
            <w:r w:rsidR="00AC3BD2">
              <w:rPr>
                <w:noProof/>
                <w:webHidden/>
              </w:rPr>
              <w:fldChar w:fldCharType="begin"/>
            </w:r>
            <w:r w:rsidR="00AC3BD2">
              <w:rPr>
                <w:noProof/>
                <w:webHidden/>
              </w:rPr>
              <w:instrText xml:space="preserve"> PAGEREF _Toc508267205 \h </w:instrText>
            </w:r>
            <w:r w:rsidR="00AC3BD2">
              <w:rPr>
                <w:noProof/>
                <w:webHidden/>
              </w:rPr>
            </w:r>
            <w:r w:rsidR="00AC3BD2">
              <w:rPr>
                <w:noProof/>
                <w:webHidden/>
              </w:rPr>
              <w:fldChar w:fldCharType="separate"/>
            </w:r>
            <w:r w:rsidR="00086147">
              <w:rPr>
                <w:noProof/>
                <w:webHidden/>
              </w:rPr>
              <w:t>56</w:t>
            </w:r>
            <w:r w:rsidR="00AC3BD2">
              <w:rPr>
                <w:noProof/>
                <w:webHidden/>
              </w:rPr>
              <w:fldChar w:fldCharType="end"/>
            </w:r>
          </w:hyperlink>
        </w:p>
        <w:p w14:paraId="6FAC0DE0" w14:textId="6A0F6660" w:rsidR="00D4703E" w:rsidRPr="006B17BE" w:rsidRDefault="00FD7E9F" w:rsidP="00100240">
          <w:pPr>
            <w:spacing w:after="160" w:line="259" w:lineRule="auto"/>
            <w:rPr>
              <w:rFonts w:asciiTheme="minorHAnsi" w:hAnsiTheme="minorHAnsi"/>
              <w:noProof/>
              <w:sz w:val="24"/>
              <w:szCs w:val="24"/>
            </w:rPr>
          </w:pPr>
          <w:r w:rsidRPr="006B17BE">
            <w:rPr>
              <w:rFonts w:asciiTheme="minorHAnsi" w:hAnsiTheme="minorHAnsi"/>
              <w:bCs/>
              <w:smallCaps/>
              <w:noProof/>
              <w:sz w:val="24"/>
              <w:szCs w:val="24"/>
              <w:lang w:val="en-US"/>
            </w:rPr>
            <w:fldChar w:fldCharType="end"/>
          </w:r>
        </w:p>
      </w:sdtContent>
    </w:sdt>
    <w:p w14:paraId="369D3A3E" w14:textId="085AD1CC" w:rsidR="00D4703E" w:rsidRPr="006B17BE" w:rsidRDefault="005810E7" w:rsidP="00A83EE1">
      <w:pPr>
        <w:pStyle w:val="Heading1"/>
        <w:numPr>
          <w:ilvl w:val="0"/>
          <w:numId w:val="0"/>
        </w:numPr>
      </w:pPr>
      <w:bookmarkStart w:id="24" w:name="_Toc483567927"/>
      <w:r w:rsidRPr="006B17BE">
        <w:t>Executive summary</w:t>
      </w:r>
      <w:bookmarkEnd w:id="24"/>
    </w:p>
    <w:p w14:paraId="10971640" w14:textId="2015576A" w:rsidR="00653E2B" w:rsidRPr="000632B3" w:rsidRDefault="00F47819" w:rsidP="00251003">
      <w:pPr>
        <w:pStyle w:val="Body"/>
        <w:rPr>
          <w:rFonts w:asciiTheme="minorHAnsi" w:eastAsia="Calibri" w:hAnsiTheme="minorHAnsi" w:cs="Times New Roman"/>
          <w:szCs w:val="22"/>
          <w:lang w:val="en-AU" w:eastAsia="en-AU"/>
        </w:rPr>
      </w:pPr>
      <w:r w:rsidRPr="000632B3">
        <w:rPr>
          <w:rFonts w:asciiTheme="minorHAnsi" w:eastAsia="Calibri" w:hAnsiTheme="minorHAnsi" w:cs="Times New Roman"/>
          <w:szCs w:val="22"/>
          <w:lang w:val="en-AU" w:eastAsia="en-AU"/>
        </w:rPr>
        <w:t xml:space="preserve">The project “Bore and well induced inter-aquifer groundwater connectivity: Consequence modelling and experimental design” focuses on identifying the </w:t>
      </w:r>
      <w:r w:rsidR="003B5789" w:rsidRPr="000632B3">
        <w:rPr>
          <w:rFonts w:asciiTheme="minorHAnsi" w:eastAsia="Calibri" w:hAnsiTheme="minorHAnsi" w:cs="Times New Roman"/>
          <w:szCs w:val="22"/>
          <w:lang w:val="en-AU" w:eastAsia="en-AU"/>
        </w:rPr>
        <w:t xml:space="preserve">potential </w:t>
      </w:r>
      <w:r w:rsidRPr="000632B3">
        <w:rPr>
          <w:rFonts w:asciiTheme="minorHAnsi" w:eastAsia="Calibri" w:hAnsiTheme="minorHAnsi" w:cs="Times New Roman"/>
          <w:szCs w:val="22"/>
          <w:lang w:val="en-AU" w:eastAsia="en-AU"/>
        </w:rPr>
        <w:t xml:space="preserve">consequences </w:t>
      </w:r>
      <w:r w:rsidR="00BA6230" w:rsidRPr="000632B3">
        <w:rPr>
          <w:rFonts w:asciiTheme="minorHAnsi" w:eastAsia="Calibri" w:hAnsiTheme="minorHAnsi" w:cs="Times New Roman"/>
          <w:szCs w:val="22"/>
          <w:lang w:val="en-AU" w:eastAsia="en-AU"/>
        </w:rPr>
        <w:t xml:space="preserve">on groundwater balance and water quality </w:t>
      </w:r>
      <w:r w:rsidR="00B869D8" w:rsidRPr="000632B3">
        <w:rPr>
          <w:rFonts w:asciiTheme="minorHAnsi" w:eastAsia="Calibri" w:hAnsiTheme="minorHAnsi" w:cs="Times New Roman"/>
          <w:szCs w:val="22"/>
          <w:lang w:val="en-AU" w:eastAsia="en-AU"/>
        </w:rPr>
        <w:t>due to</w:t>
      </w:r>
      <w:r w:rsidRPr="000632B3">
        <w:rPr>
          <w:rFonts w:asciiTheme="minorHAnsi" w:eastAsia="Calibri" w:hAnsiTheme="minorHAnsi" w:cs="Times New Roman"/>
          <w:szCs w:val="22"/>
          <w:lang w:val="en-AU" w:eastAsia="en-AU"/>
        </w:rPr>
        <w:t xml:space="preserve"> preferential pathways generated by failed or open bore holes</w:t>
      </w:r>
      <w:r w:rsidR="002D72D3" w:rsidRPr="000632B3">
        <w:rPr>
          <w:rFonts w:asciiTheme="minorHAnsi" w:eastAsia="Calibri" w:hAnsiTheme="minorHAnsi" w:cs="Times New Roman"/>
          <w:szCs w:val="22"/>
          <w:lang w:val="en-AU" w:eastAsia="en-AU"/>
        </w:rPr>
        <w:t xml:space="preserve"> </w:t>
      </w:r>
      <w:r w:rsidR="002D72D3" w:rsidRPr="000632B3">
        <w:rPr>
          <w:rFonts w:asciiTheme="minorHAnsi" w:eastAsiaTheme="minorHAnsi" w:hAnsiTheme="minorHAnsi" w:cs="Segoe UI"/>
          <w:szCs w:val="22"/>
          <w:lang w:eastAsia="en-US"/>
        </w:rPr>
        <w:t>in regions where coal seam gas development occurs</w:t>
      </w:r>
      <w:r w:rsidRPr="000632B3">
        <w:rPr>
          <w:rFonts w:asciiTheme="minorHAnsi" w:eastAsia="Calibri" w:hAnsiTheme="minorHAnsi" w:cs="Times New Roman"/>
          <w:szCs w:val="22"/>
          <w:lang w:val="en-AU" w:eastAsia="en-AU"/>
        </w:rPr>
        <w:t xml:space="preserve">. The project aims to develop methodologies and techniques that will identify and potentially quantify the potential risks associated with well and bore-induced inter-aquifer connectivity. The project has two components: i) a critical literature review and </w:t>
      </w:r>
      <w:r w:rsidR="002D72D3" w:rsidRPr="000632B3">
        <w:rPr>
          <w:rFonts w:asciiTheme="minorHAnsi" w:eastAsiaTheme="minorHAnsi" w:hAnsiTheme="minorHAnsi" w:cs="Segoe UI"/>
          <w:szCs w:val="22"/>
          <w:lang w:eastAsia="en-US"/>
        </w:rPr>
        <w:t xml:space="preserve">local-scale assessments using </w:t>
      </w:r>
      <w:r w:rsidRPr="000632B3">
        <w:rPr>
          <w:rFonts w:asciiTheme="minorHAnsi" w:eastAsia="Calibri" w:hAnsiTheme="minorHAnsi" w:cs="Times New Roman"/>
          <w:szCs w:val="22"/>
          <w:lang w:val="en-AU" w:eastAsia="en-AU"/>
        </w:rPr>
        <w:t xml:space="preserve">groundwater modelling to identify the types of compromised bore integrity that may be measureable in </w:t>
      </w:r>
      <w:r w:rsidR="006552DB" w:rsidRPr="000632B3">
        <w:rPr>
          <w:rFonts w:asciiTheme="minorHAnsi" w:eastAsia="Calibri" w:hAnsiTheme="minorHAnsi" w:cs="Times New Roman"/>
          <w:szCs w:val="22"/>
          <w:lang w:val="en-AU" w:eastAsia="en-AU"/>
        </w:rPr>
        <w:t>coal seam gas</w:t>
      </w:r>
      <w:r w:rsidRPr="000632B3">
        <w:rPr>
          <w:rFonts w:asciiTheme="minorHAnsi" w:eastAsia="Calibri" w:hAnsiTheme="minorHAnsi" w:cs="Times New Roman"/>
          <w:szCs w:val="22"/>
          <w:lang w:val="en-AU" w:eastAsia="en-AU"/>
        </w:rPr>
        <w:t>-bearing basins, and ii) regional groundwater modelling to assess the consequences of well and bore hole</w:t>
      </w:r>
      <w:r w:rsidR="003B5789" w:rsidRPr="000632B3">
        <w:rPr>
          <w:rFonts w:asciiTheme="minorHAnsi" w:eastAsia="Calibri" w:hAnsiTheme="minorHAnsi" w:cs="Times New Roman"/>
          <w:szCs w:val="22"/>
          <w:lang w:val="en-AU" w:eastAsia="en-AU"/>
        </w:rPr>
        <w:t>-induced inter-aquifer</w:t>
      </w:r>
      <w:r w:rsidRPr="000632B3">
        <w:rPr>
          <w:rFonts w:asciiTheme="minorHAnsi" w:eastAsia="Calibri" w:hAnsiTheme="minorHAnsi" w:cs="Times New Roman"/>
          <w:szCs w:val="22"/>
          <w:lang w:val="en-AU" w:eastAsia="en-AU"/>
        </w:rPr>
        <w:t xml:space="preserve"> connectivity and the number of required connective pathways to create a range of noticeable impacts. </w:t>
      </w:r>
    </w:p>
    <w:p w14:paraId="50E10BA1" w14:textId="5BD6B78F" w:rsidR="00251003" w:rsidRPr="000632B3" w:rsidRDefault="00F47819" w:rsidP="00251003">
      <w:pPr>
        <w:pStyle w:val="Body"/>
        <w:rPr>
          <w:rFonts w:asciiTheme="minorHAnsi" w:eastAsia="Calibri" w:hAnsiTheme="minorHAnsi" w:cs="Times New Roman"/>
          <w:szCs w:val="22"/>
          <w:lang w:val="en-AU" w:eastAsia="en-AU"/>
        </w:rPr>
      </w:pPr>
      <w:r w:rsidRPr="000632B3">
        <w:rPr>
          <w:rFonts w:asciiTheme="minorHAnsi" w:eastAsia="Calibri" w:hAnsiTheme="minorHAnsi" w:cs="Times New Roman"/>
          <w:szCs w:val="22"/>
          <w:lang w:val="en-AU" w:eastAsia="en-AU"/>
        </w:rPr>
        <w:t xml:space="preserve">This report </w:t>
      </w:r>
      <w:r w:rsidR="00867F57" w:rsidRPr="000632B3">
        <w:rPr>
          <w:rFonts w:asciiTheme="minorHAnsi" w:eastAsia="Calibri" w:hAnsiTheme="minorHAnsi" w:cs="Times New Roman"/>
          <w:szCs w:val="22"/>
          <w:lang w:val="en-AU" w:eastAsia="en-AU"/>
        </w:rPr>
        <w:t xml:space="preserve">documents the </w:t>
      </w:r>
      <w:r w:rsidR="00C70D97" w:rsidRPr="000632B3">
        <w:rPr>
          <w:rFonts w:asciiTheme="minorHAnsi" w:eastAsia="Calibri" w:hAnsiTheme="minorHAnsi" w:cs="Times New Roman"/>
          <w:szCs w:val="22"/>
          <w:lang w:val="en-AU" w:eastAsia="en-AU"/>
        </w:rPr>
        <w:t>regional</w:t>
      </w:r>
      <w:r w:rsidR="00A5665D" w:rsidRPr="000632B3">
        <w:rPr>
          <w:rFonts w:asciiTheme="minorHAnsi" w:eastAsia="Calibri" w:hAnsiTheme="minorHAnsi" w:cs="Times New Roman"/>
          <w:szCs w:val="22"/>
          <w:lang w:val="en-AU" w:eastAsia="en-AU"/>
        </w:rPr>
        <w:t xml:space="preserve">-scale </w:t>
      </w:r>
      <w:r w:rsidR="00867F57" w:rsidRPr="000632B3">
        <w:rPr>
          <w:rFonts w:asciiTheme="minorHAnsi" w:eastAsia="Calibri" w:hAnsiTheme="minorHAnsi" w:cs="Times New Roman"/>
          <w:szCs w:val="22"/>
          <w:lang w:val="en-AU" w:eastAsia="en-AU"/>
        </w:rPr>
        <w:t xml:space="preserve">assessments that were undertaken to explore whether or not there could be noticeable consequences on the groundwater balance </w:t>
      </w:r>
      <w:r w:rsidR="003B5789" w:rsidRPr="000632B3">
        <w:rPr>
          <w:rFonts w:asciiTheme="minorHAnsi" w:eastAsia="Calibri" w:hAnsiTheme="minorHAnsi" w:cs="Times New Roman"/>
          <w:szCs w:val="22"/>
          <w:lang w:val="en-AU" w:eastAsia="en-AU"/>
        </w:rPr>
        <w:t xml:space="preserve">(i.e. groundwater heads) </w:t>
      </w:r>
      <w:r w:rsidR="00867F57" w:rsidRPr="000632B3">
        <w:rPr>
          <w:rFonts w:asciiTheme="minorHAnsi" w:eastAsia="Calibri" w:hAnsiTheme="minorHAnsi" w:cs="Times New Roman"/>
          <w:szCs w:val="22"/>
          <w:lang w:val="en-AU" w:eastAsia="en-AU"/>
        </w:rPr>
        <w:t xml:space="preserve">from enhanced inter-aquifer connectivity owing to leakage pathways linked to hydrocarbon wells, </w:t>
      </w:r>
      <w:r w:rsidR="003B5789" w:rsidRPr="000632B3">
        <w:rPr>
          <w:rFonts w:asciiTheme="minorHAnsi" w:eastAsia="Calibri" w:hAnsiTheme="minorHAnsi" w:cs="Times New Roman"/>
          <w:szCs w:val="22"/>
          <w:lang w:val="en-AU" w:eastAsia="en-AU"/>
        </w:rPr>
        <w:t xml:space="preserve">degraded </w:t>
      </w:r>
      <w:r w:rsidR="00867F57" w:rsidRPr="000632B3">
        <w:rPr>
          <w:rFonts w:asciiTheme="minorHAnsi" w:eastAsia="Calibri" w:hAnsiTheme="minorHAnsi" w:cs="Times New Roman"/>
          <w:szCs w:val="22"/>
          <w:lang w:val="en-AU" w:eastAsia="en-AU"/>
        </w:rPr>
        <w:t xml:space="preserve">groundwater bores, and </w:t>
      </w:r>
      <w:r w:rsidR="003B5789" w:rsidRPr="000632B3">
        <w:rPr>
          <w:rFonts w:asciiTheme="minorHAnsi" w:eastAsia="Calibri" w:hAnsiTheme="minorHAnsi" w:cs="Times New Roman"/>
          <w:szCs w:val="22"/>
          <w:lang w:val="en-AU" w:eastAsia="en-AU"/>
        </w:rPr>
        <w:t xml:space="preserve">poorly decommissioned coal </w:t>
      </w:r>
      <w:r w:rsidR="00867F57" w:rsidRPr="000632B3">
        <w:rPr>
          <w:rFonts w:asciiTheme="minorHAnsi" w:eastAsia="Calibri" w:hAnsiTheme="minorHAnsi" w:cs="Times New Roman"/>
          <w:szCs w:val="22"/>
          <w:lang w:val="en-AU" w:eastAsia="en-AU"/>
        </w:rPr>
        <w:t>exploration bores.</w:t>
      </w:r>
      <w:r w:rsidR="00A5665D" w:rsidRPr="000632B3">
        <w:rPr>
          <w:rFonts w:asciiTheme="minorHAnsi" w:eastAsia="Calibri" w:hAnsiTheme="minorHAnsi" w:cs="Times New Roman"/>
          <w:szCs w:val="22"/>
          <w:lang w:val="en-AU" w:eastAsia="en-AU"/>
        </w:rPr>
        <w:t xml:space="preserve"> The </w:t>
      </w:r>
      <w:r w:rsidR="00C70D97" w:rsidRPr="000632B3">
        <w:rPr>
          <w:rFonts w:asciiTheme="minorHAnsi" w:eastAsia="Calibri" w:hAnsiTheme="minorHAnsi" w:cs="Times New Roman"/>
          <w:szCs w:val="22"/>
          <w:lang w:val="en-AU" w:eastAsia="en-AU"/>
        </w:rPr>
        <w:t>regional</w:t>
      </w:r>
      <w:r w:rsidR="00A5665D" w:rsidRPr="000632B3">
        <w:rPr>
          <w:rFonts w:asciiTheme="minorHAnsi" w:eastAsia="Calibri" w:hAnsiTheme="minorHAnsi" w:cs="Times New Roman"/>
          <w:szCs w:val="22"/>
          <w:lang w:val="en-AU" w:eastAsia="en-AU"/>
        </w:rPr>
        <w:t>-scale assessments a</w:t>
      </w:r>
      <w:r w:rsidR="00C70D97" w:rsidRPr="000632B3">
        <w:rPr>
          <w:rFonts w:asciiTheme="minorHAnsi" w:eastAsia="Calibri" w:hAnsiTheme="minorHAnsi" w:cs="Times New Roman"/>
          <w:szCs w:val="22"/>
          <w:lang w:val="en-AU" w:eastAsia="en-AU"/>
        </w:rPr>
        <w:t xml:space="preserve">re building on the outcomes of the previous </w:t>
      </w:r>
      <w:r w:rsidR="003B5789" w:rsidRPr="000632B3">
        <w:rPr>
          <w:rFonts w:asciiTheme="minorHAnsi" w:eastAsia="Calibri" w:hAnsiTheme="minorHAnsi" w:cs="Times New Roman"/>
          <w:szCs w:val="22"/>
          <w:lang w:val="en-AU" w:eastAsia="en-AU"/>
        </w:rPr>
        <w:t xml:space="preserve">pathway conceptualisation work and </w:t>
      </w:r>
      <w:r w:rsidR="00C70D97" w:rsidRPr="000632B3">
        <w:rPr>
          <w:rFonts w:asciiTheme="minorHAnsi" w:eastAsia="Calibri" w:hAnsiTheme="minorHAnsi" w:cs="Times New Roman"/>
          <w:szCs w:val="22"/>
          <w:lang w:val="en-AU" w:eastAsia="en-AU"/>
        </w:rPr>
        <w:t>local</w:t>
      </w:r>
      <w:r w:rsidR="00A5665D" w:rsidRPr="000632B3">
        <w:rPr>
          <w:rFonts w:asciiTheme="minorHAnsi" w:eastAsia="Calibri" w:hAnsiTheme="minorHAnsi" w:cs="Times New Roman"/>
          <w:szCs w:val="22"/>
          <w:lang w:val="en-AU" w:eastAsia="en-AU"/>
        </w:rPr>
        <w:t>-scale assessments of potential consequences</w:t>
      </w:r>
      <w:r w:rsidR="003B5789" w:rsidRPr="000632B3">
        <w:rPr>
          <w:rFonts w:asciiTheme="minorHAnsi" w:eastAsia="Calibri" w:hAnsiTheme="minorHAnsi" w:cs="Times New Roman"/>
          <w:szCs w:val="22"/>
          <w:lang w:val="en-AU" w:eastAsia="en-AU"/>
        </w:rPr>
        <w:t xml:space="preserve"> on the groundwater balance linked to individual leaky wells or bores</w:t>
      </w:r>
      <w:r w:rsidR="00A5665D" w:rsidRPr="000632B3">
        <w:rPr>
          <w:rFonts w:asciiTheme="minorHAnsi" w:eastAsia="Calibri" w:hAnsiTheme="minorHAnsi" w:cs="Times New Roman"/>
          <w:szCs w:val="22"/>
          <w:lang w:val="en-AU" w:eastAsia="en-AU"/>
        </w:rPr>
        <w:t xml:space="preserve">. </w:t>
      </w:r>
      <w:r w:rsidR="00F816D3" w:rsidRPr="000632B3">
        <w:rPr>
          <w:rFonts w:asciiTheme="minorHAnsi" w:eastAsia="Calibri" w:hAnsiTheme="minorHAnsi" w:cs="Times New Roman"/>
          <w:szCs w:val="22"/>
          <w:lang w:val="en-AU" w:eastAsia="en-AU"/>
        </w:rPr>
        <w:t>This report also explores the potential effects on groundwater quality as a result of enhanced groundwater exchange between aquifers due to anthropogenically induced leakage pathways.</w:t>
      </w:r>
    </w:p>
    <w:p w14:paraId="3FD6FF1A" w14:textId="38482428" w:rsidR="003E46E0" w:rsidRPr="000632B3" w:rsidRDefault="003B5789" w:rsidP="00251003">
      <w:pPr>
        <w:pStyle w:val="Body"/>
        <w:rPr>
          <w:rFonts w:asciiTheme="minorHAnsi" w:hAnsiTheme="minorHAnsi"/>
          <w:szCs w:val="22"/>
        </w:rPr>
      </w:pPr>
      <w:r w:rsidRPr="000632B3">
        <w:rPr>
          <w:rFonts w:asciiTheme="minorHAnsi" w:hAnsiTheme="minorHAnsi"/>
          <w:szCs w:val="22"/>
        </w:rPr>
        <w:t xml:space="preserve">A three-dimensional groundwater flow model for a case study area in the Gunnedah Basin, NSW, was build that included five distinctly different model layers (from </w:t>
      </w:r>
      <w:r w:rsidR="00A802A6" w:rsidRPr="000632B3">
        <w:rPr>
          <w:rFonts w:asciiTheme="minorHAnsi" w:hAnsiTheme="minorHAnsi"/>
          <w:szCs w:val="22"/>
        </w:rPr>
        <w:t>top to bottom): an aquifer</w:t>
      </w:r>
      <w:r w:rsidRPr="000632B3">
        <w:rPr>
          <w:rFonts w:asciiTheme="minorHAnsi" w:hAnsiTheme="minorHAnsi"/>
          <w:szCs w:val="22"/>
        </w:rPr>
        <w:t xml:space="preserve">, aquitard, coal seam gas reservoir, aquitard, and coal seam gas reservoir. </w:t>
      </w:r>
      <w:r w:rsidR="00A802A6" w:rsidRPr="000632B3">
        <w:rPr>
          <w:rFonts w:asciiTheme="minorHAnsi" w:hAnsiTheme="minorHAnsi"/>
          <w:szCs w:val="22"/>
        </w:rPr>
        <w:t>Realistic depressurisation conditions were imposed on the two coal seam target formations to generate groundwater flow conditions typical of a coal seam gas well during and after gas production. Leakage pathways were considered to exist either due to leaky coal seam gas wells or an open coal exploration borehole. Leakage was assumed to exist only after the active gas production phase</w:t>
      </w:r>
      <w:r w:rsidR="003E46E0" w:rsidRPr="000632B3">
        <w:rPr>
          <w:rFonts w:asciiTheme="minorHAnsi" w:hAnsiTheme="minorHAnsi"/>
          <w:szCs w:val="22"/>
        </w:rPr>
        <w:t xml:space="preserve"> and across 425 hypothetical well locations</w:t>
      </w:r>
      <w:r w:rsidR="00A802A6" w:rsidRPr="000632B3">
        <w:rPr>
          <w:rFonts w:asciiTheme="minorHAnsi" w:hAnsiTheme="minorHAnsi"/>
          <w:szCs w:val="22"/>
        </w:rPr>
        <w:t xml:space="preserve">. The simulations considered hypothetical </w:t>
      </w:r>
      <w:r w:rsidR="00DC1144" w:rsidRPr="000632B3">
        <w:rPr>
          <w:rFonts w:asciiTheme="minorHAnsi" w:hAnsiTheme="minorHAnsi"/>
          <w:szCs w:val="22"/>
        </w:rPr>
        <w:t xml:space="preserve">failure </w:t>
      </w:r>
      <w:r w:rsidR="00A802A6" w:rsidRPr="000632B3">
        <w:rPr>
          <w:rFonts w:asciiTheme="minorHAnsi" w:hAnsiTheme="minorHAnsi"/>
          <w:szCs w:val="22"/>
        </w:rPr>
        <w:t xml:space="preserve">rates from 0 (all wells intact) to 100 % (all wells provide leakage pathways). Groundwater leakage </w:t>
      </w:r>
      <w:r w:rsidR="00AC2006" w:rsidRPr="000632B3">
        <w:rPr>
          <w:rFonts w:asciiTheme="minorHAnsi" w:hAnsiTheme="minorHAnsi"/>
          <w:szCs w:val="22"/>
        </w:rPr>
        <w:t>if it occurs is most likely to be t</w:t>
      </w:r>
      <w:r w:rsidR="00A802A6" w:rsidRPr="000632B3">
        <w:rPr>
          <w:rFonts w:asciiTheme="minorHAnsi" w:hAnsiTheme="minorHAnsi"/>
          <w:szCs w:val="22"/>
        </w:rPr>
        <w:t xml:space="preserve">hrough the micro-annulus of the well casing and was conceptualised as flow through an open pipe with an effective hydraulic conductivity </w:t>
      </w:r>
      <w:r w:rsidR="00997792" w:rsidRPr="000632B3">
        <w:rPr>
          <w:rFonts w:asciiTheme="minorHAnsi" w:hAnsiTheme="minorHAnsi"/>
          <w:szCs w:val="22"/>
        </w:rPr>
        <w:t>conservatively taken to be one order of magnitude lager than the upper end of a distribution of</w:t>
      </w:r>
      <w:r w:rsidR="00A802A6" w:rsidRPr="000632B3">
        <w:rPr>
          <w:rFonts w:asciiTheme="minorHAnsi" w:hAnsiTheme="minorHAnsi"/>
          <w:szCs w:val="22"/>
        </w:rPr>
        <w:t xml:space="preserve"> field measurements previously reported. For the open borehole, groundwater flow was also conceptualised as flow through an open pipe, </w:t>
      </w:r>
      <w:r w:rsidR="00997792" w:rsidRPr="000632B3">
        <w:rPr>
          <w:rFonts w:asciiTheme="minorHAnsi" w:hAnsiTheme="minorHAnsi"/>
          <w:szCs w:val="22"/>
        </w:rPr>
        <w:t xml:space="preserve">but </w:t>
      </w:r>
      <w:r w:rsidR="00A802A6" w:rsidRPr="000632B3">
        <w:rPr>
          <w:rFonts w:asciiTheme="minorHAnsi" w:hAnsiTheme="minorHAnsi"/>
          <w:szCs w:val="22"/>
        </w:rPr>
        <w:t xml:space="preserve">with a much higher effective hydraulic conductivity than the leaky well. Because the number of deep </w:t>
      </w:r>
      <w:r w:rsidR="00997792" w:rsidRPr="000632B3">
        <w:rPr>
          <w:rFonts w:asciiTheme="minorHAnsi" w:hAnsiTheme="minorHAnsi"/>
          <w:szCs w:val="22"/>
        </w:rPr>
        <w:t xml:space="preserve">and open decommissioned </w:t>
      </w:r>
      <w:r w:rsidR="00A802A6" w:rsidRPr="000632B3">
        <w:rPr>
          <w:rFonts w:asciiTheme="minorHAnsi" w:hAnsiTheme="minorHAnsi"/>
          <w:szCs w:val="22"/>
        </w:rPr>
        <w:t xml:space="preserve">coal exploration boreholes in the study area is likely very small, the maximum </w:t>
      </w:r>
      <w:r w:rsidR="00DC1144" w:rsidRPr="000632B3">
        <w:rPr>
          <w:rFonts w:asciiTheme="minorHAnsi" w:hAnsiTheme="minorHAnsi"/>
          <w:szCs w:val="22"/>
        </w:rPr>
        <w:t xml:space="preserve">failure </w:t>
      </w:r>
      <w:r w:rsidR="00A802A6" w:rsidRPr="000632B3">
        <w:rPr>
          <w:rFonts w:asciiTheme="minorHAnsi" w:hAnsiTheme="minorHAnsi"/>
          <w:szCs w:val="22"/>
        </w:rPr>
        <w:t xml:space="preserve">rate tested was limited to 5% of the </w:t>
      </w:r>
      <w:r w:rsidR="003E46E0" w:rsidRPr="000632B3">
        <w:rPr>
          <w:rFonts w:asciiTheme="minorHAnsi" w:hAnsiTheme="minorHAnsi"/>
          <w:szCs w:val="22"/>
        </w:rPr>
        <w:t>hypothetical</w:t>
      </w:r>
      <w:r w:rsidR="00A802A6" w:rsidRPr="000632B3">
        <w:rPr>
          <w:rFonts w:asciiTheme="minorHAnsi" w:hAnsiTheme="minorHAnsi"/>
          <w:szCs w:val="22"/>
        </w:rPr>
        <w:t xml:space="preserve"> </w:t>
      </w:r>
      <w:r w:rsidR="003E46E0" w:rsidRPr="000632B3">
        <w:rPr>
          <w:rFonts w:asciiTheme="minorHAnsi" w:hAnsiTheme="minorHAnsi"/>
          <w:szCs w:val="22"/>
        </w:rPr>
        <w:t>well locations</w:t>
      </w:r>
      <w:r w:rsidR="00A802A6" w:rsidRPr="000632B3">
        <w:rPr>
          <w:rFonts w:asciiTheme="minorHAnsi" w:hAnsiTheme="minorHAnsi"/>
          <w:szCs w:val="22"/>
        </w:rPr>
        <w:t xml:space="preserve">.   </w:t>
      </w:r>
    </w:p>
    <w:p w14:paraId="5EF52644" w14:textId="429FE673" w:rsidR="00A92585" w:rsidRPr="000632B3" w:rsidRDefault="00B110FD" w:rsidP="00997792">
      <w:pPr>
        <w:pStyle w:val="Body"/>
        <w:rPr>
          <w:rFonts w:asciiTheme="minorHAnsi" w:hAnsiTheme="minorHAnsi"/>
          <w:szCs w:val="22"/>
        </w:rPr>
      </w:pPr>
      <w:r w:rsidRPr="000632B3">
        <w:rPr>
          <w:rFonts w:asciiTheme="minorHAnsi" w:hAnsiTheme="minorHAnsi"/>
          <w:szCs w:val="22"/>
        </w:rPr>
        <w:t xml:space="preserve">Numerical simulations across all </w:t>
      </w:r>
      <w:r w:rsidR="00DC1144" w:rsidRPr="000632B3">
        <w:rPr>
          <w:rFonts w:asciiTheme="minorHAnsi" w:hAnsiTheme="minorHAnsi"/>
          <w:szCs w:val="22"/>
        </w:rPr>
        <w:t xml:space="preserve">failure </w:t>
      </w:r>
      <w:r w:rsidRPr="000632B3">
        <w:rPr>
          <w:rFonts w:asciiTheme="minorHAnsi" w:hAnsiTheme="minorHAnsi"/>
          <w:szCs w:val="22"/>
        </w:rPr>
        <w:t xml:space="preserve">rates </w:t>
      </w:r>
      <w:r w:rsidR="00997792" w:rsidRPr="000632B3">
        <w:rPr>
          <w:rFonts w:asciiTheme="minorHAnsi" w:hAnsiTheme="minorHAnsi"/>
          <w:szCs w:val="22"/>
        </w:rPr>
        <w:t xml:space="preserve">(0-100 % for coal seam gas wells) </w:t>
      </w:r>
      <w:r w:rsidRPr="000632B3">
        <w:rPr>
          <w:rFonts w:asciiTheme="minorHAnsi" w:hAnsiTheme="minorHAnsi"/>
          <w:szCs w:val="22"/>
        </w:rPr>
        <w:t xml:space="preserve">demonstrated inter-aquifer connectivity does not appear to be materially enhanced by the presence of leaky </w:t>
      </w:r>
      <w:r w:rsidR="00997792" w:rsidRPr="000632B3">
        <w:rPr>
          <w:rFonts w:asciiTheme="minorHAnsi" w:hAnsiTheme="minorHAnsi"/>
          <w:szCs w:val="22"/>
        </w:rPr>
        <w:t xml:space="preserve">coal seam gas </w:t>
      </w:r>
      <w:r w:rsidRPr="000632B3">
        <w:rPr>
          <w:rFonts w:asciiTheme="minorHAnsi" w:hAnsiTheme="minorHAnsi"/>
          <w:szCs w:val="22"/>
        </w:rPr>
        <w:t>wells in a coal seam gas well field. There was a negligible additional head decrease in the aquifer compared to the head decrease owing to flow across the bulk of the aquitards following depressurisation of the target coal seam formation.</w:t>
      </w:r>
      <w:r w:rsidR="00745D0E" w:rsidRPr="000632B3">
        <w:rPr>
          <w:rFonts w:asciiTheme="minorHAnsi" w:hAnsiTheme="minorHAnsi"/>
          <w:szCs w:val="22"/>
        </w:rPr>
        <w:t xml:space="preserve"> </w:t>
      </w:r>
    </w:p>
    <w:p w14:paraId="776B7B25" w14:textId="0039C7DD" w:rsidR="00B110FD" w:rsidRPr="000632B3" w:rsidRDefault="00B110FD" w:rsidP="00251003">
      <w:pPr>
        <w:pStyle w:val="Body"/>
        <w:rPr>
          <w:rFonts w:asciiTheme="minorHAnsi" w:hAnsiTheme="minorHAnsi"/>
          <w:szCs w:val="22"/>
        </w:rPr>
      </w:pPr>
      <w:r w:rsidRPr="000632B3">
        <w:rPr>
          <w:rFonts w:asciiTheme="minorHAnsi" w:hAnsiTheme="minorHAnsi"/>
          <w:szCs w:val="22"/>
        </w:rPr>
        <w:t>Numerical simulations with open coal exploration bores that have no restriction to groundwater flow demonstrated the influence on regional scale inter-aquifer leakage is observable by comparison to the leaky well scenarios</w:t>
      </w:r>
      <w:r w:rsidR="004560C9" w:rsidRPr="000632B3">
        <w:rPr>
          <w:rFonts w:asciiTheme="minorHAnsi" w:hAnsiTheme="minorHAnsi"/>
          <w:szCs w:val="22"/>
        </w:rPr>
        <w:t xml:space="preserve">. The most impacted area (maximum drawdown of approximately </w:t>
      </w:r>
      <w:r w:rsidR="00137DFF" w:rsidRPr="000632B3">
        <w:rPr>
          <w:rFonts w:asciiTheme="minorHAnsi" w:hAnsiTheme="minorHAnsi"/>
          <w:szCs w:val="22"/>
        </w:rPr>
        <w:t>10</w:t>
      </w:r>
      <w:r w:rsidR="004560C9" w:rsidRPr="000632B3">
        <w:rPr>
          <w:rFonts w:asciiTheme="minorHAnsi" w:hAnsiTheme="minorHAnsi"/>
          <w:szCs w:val="22"/>
        </w:rPr>
        <w:t xml:space="preserve"> m) is primarily</w:t>
      </w:r>
      <w:r w:rsidRPr="000632B3">
        <w:rPr>
          <w:rFonts w:asciiTheme="minorHAnsi" w:hAnsiTheme="minorHAnsi"/>
          <w:szCs w:val="22"/>
        </w:rPr>
        <w:t xml:space="preserve"> </w:t>
      </w:r>
      <w:r w:rsidR="004560C9" w:rsidRPr="000632B3">
        <w:rPr>
          <w:rFonts w:asciiTheme="minorHAnsi" w:hAnsiTheme="minorHAnsi"/>
          <w:szCs w:val="22"/>
        </w:rPr>
        <w:t xml:space="preserve">situated </w:t>
      </w:r>
      <w:r w:rsidRPr="000632B3">
        <w:rPr>
          <w:rFonts w:asciiTheme="minorHAnsi" w:hAnsiTheme="minorHAnsi"/>
          <w:szCs w:val="22"/>
        </w:rPr>
        <w:t xml:space="preserve">immediately </w:t>
      </w:r>
      <w:r w:rsidR="004560C9" w:rsidRPr="000632B3">
        <w:rPr>
          <w:rFonts w:asciiTheme="minorHAnsi" w:hAnsiTheme="minorHAnsi"/>
          <w:szCs w:val="22"/>
        </w:rPr>
        <w:t>above</w:t>
      </w:r>
      <w:r w:rsidRPr="000632B3">
        <w:rPr>
          <w:rFonts w:asciiTheme="minorHAnsi" w:hAnsiTheme="minorHAnsi"/>
          <w:szCs w:val="22"/>
        </w:rPr>
        <w:t xml:space="preserve"> the gas extraction area. </w:t>
      </w:r>
      <w:r w:rsidR="004560C9" w:rsidRPr="000632B3">
        <w:rPr>
          <w:rFonts w:asciiTheme="minorHAnsi" w:hAnsiTheme="minorHAnsi"/>
          <w:szCs w:val="22"/>
        </w:rPr>
        <w:t xml:space="preserve">At 10 km beyond the boundary of the gas extraction area the maximum drawdown is about 5 m, whereas at 20 km the drawdown is virtually zero. </w:t>
      </w:r>
      <w:r w:rsidR="00D20C05" w:rsidRPr="00CA353A">
        <w:rPr>
          <w:rFonts w:asciiTheme="minorHAnsi" w:hAnsiTheme="minorHAnsi"/>
          <w:szCs w:val="22"/>
        </w:rPr>
        <w:t>The area affected by the 5% failure rate is approximately 7</w:t>
      </w:r>
      <w:r w:rsidR="0014612E" w:rsidRPr="000632B3">
        <w:rPr>
          <w:rFonts w:asciiTheme="minorHAnsi" w:hAnsiTheme="minorHAnsi"/>
          <w:szCs w:val="22"/>
        </w:rPr>
        <w:t>,</w:t>
      </w:r>
      <w:r w:rsidR="00D20C05" w:rsidRPr="00CA353A">
        <w:rPr>
          <w:rFonts w:asciiTheme="minorHAnsi" w:hAnsiTheme="minorHAnsi"/>
          <w:szCs w:val="22"/>
        </w:rPr>
        <w:t>500 km</w:t>
      </w:r>
      <w:r w:rsidR="00D20C05" w:rsidRPr="00CA353A">
        <w:rPr>
          <w:rFonts w:asciiTheme="minorHAnsi" w:hAnsiTheme="minorHAnsi"/>
          <w:szCs w:val="22"/>
          <w:vertAlign w:val="superscript"/>
        </w:rPr>
        <w:t>2</w:t>
      </w:r>
      <w:r w:rsidR="0090658F" w:rsidRPr="00CA353A">
        <w:rPr>
          <w:rFonts w:asciiTheme="minorHAnsi" w:hAnsiTheme="minorHAnsi"/>
          <w:szCs w:val="22"/>
        </w:rPr>
        <w:t xml:space="preserve">, based on a minimum </w:t>
      </w:r>
      <w:r w:rsidR="00D62252">
        <w:rPr>
          <w:rFonts w:asciiTheme="minorHAnsi" w:hAnsiTheme="minorHAnsi"/>
          <w:szCs w:val="22"/>
        </w:rPr>
        <w:t xml:space="preserve">additional </w:t>
      </w:r>
      <w:r w:rsidR="0090658F" w:rsidRPr="00CA353A">
        <w:rPr>
          <w:rFonts w:asciiTheme="minorHAnsi" w:hAnsiTheme="minorHAnsi"/>
          <w:szCs w:val="22"/>
        </w:rPr>
        <w:t>drawdown of 0.</w:t>
      </w:r>
      <w:r w:rsidR="003B0886" w:rsidRPr="000632B3">
        <w:rPr>
          <w:rFonts w:asciiTheme="minorHAnsi" w:hAnsiTheme="minorHAnsi"/>
          <w:szCs w:val="22"/>
        </w:rPr>
        <w:t>1</w:t>
      </w:r>
      <w:r w:rsidR="0090658F" w:rsidRPr="00CA353A">
        <w:rPr>
          <w:rFonts w:asciiTheme="minorHAnsi" w:hAnsiTheme="minorHAnsi"/>
          <w:szCs w:val="22"/>
        </w:rPr>
        <w:t xml:space="preserve"> m.</w:t>
      </w:r>
      <w:r w:rsidR="00D20C05" w:rsidRPr="000632B3">
        <w:rPr>
          <w:rFonts w:asciiTheme="minorHAnsi" w:hAnsiTheme="minorHAnsi"/>
          <w:szCs w:val="22"/>
        </w:rPr>
        <w:t xml:space="preserve"> </w:t>
      </w:r>
      <w:r w:rsidRPr="000632B3">
        <w:rPr>
          <w:rFonts w:asciiTheme="minorHAnsi" w:hAnsiTheme="minorHAnsi"/>
          <w:szCs w:val="22"/>
        </w:rPr>
        <w:t xml:space="preserve">At such locations, the additional </w:t>
      </w:r>
      <w:r w:rsidR="004560C9" w:rsidRPr="000632B3">
        <w:rPr>
          <w:rFonts w:asciiTheme="minorHAnsi" w:hAnsiTheme="minorHAnsi"/>
          <w:szCs w:val="22"/>
        </w:rPr>
        <w:t xml:space="preserve">head </w:t>
      </w:r>
      <w:r w:rsidRPr="000632B3">
        <w:rPr>
          <w:rFonts w:asciiTheme="minorHAnsi" w:hAnsiTheme="minorHAnsi"/>
          <w:szCs w:val="22"/>
        </w:rPr>
        <w:t xml:space="preserve">drawdown in the groundwater aquifer </w:t>
      </w:r>
      <w:r w:rsidR="004560C9" w:rsidRPr="000632B3">
        <w:rPr>
          <w:rFonts w:asciiTheme="minorHAnsi" w:hAnsiTheme="minorHAnsi"/>
          <w:szCs w:val="22"/>
        </w:rPr>
        <w:t xml:space="preserve">due to enhanced inter-aquifer leakage </w:t>
      </w:r>
      <w:r w:rsidRPr="000632B3">
        <w:rPr>
          <w:rFonts w:asciiTheme="minorHAnsi" w:hAnsiTheme="minorHAnsi"/>
          <w:szCs w:val="22"/>
        </w:rPr>
        <w:t>is at most 2 m for a 5% failure rate for an open borehole.</w:t>
      </w:r>
      <w:r w:rsidR="00E97F5A" w:rsidRPr="000632B3">
        <w:rPr>
          <w:rFonts w:asciiTheme="minorHAnsi" w:hAnsiTheme="minorHAnsi"/>
          <w:szCs w:val="22"/>
        </w:rPr>
        <w:t xml:space="preserve"> For smaller failure rates the impact is smaller, mainly because of the larger number of clustered bores for a 5% failure rate creating a larger cumulative effect.</w:t>
      </w:r>
    </w:p>
    <w:p w14:paraId="6326DA81" w14:textId="43B096EC" w:rsidR="00B110FD" w:rsidRPr="000632B3" w:rsidRDefault="00B110FD" w:rsidP="00B110FD">
      <w:pPr>
        <w:pStyle w:val="Body"/>
        <w:rPr>
          <w:rFonts w:asciiTheme="minorHAnsi" w:hAnsiTheme="minorHAnsi"/>
          <w:szCs w:val="22"/>
        </w:rPr>
      </w:pPr>
      <w:r w:rsidRPr="000632B3">
        <w:rPr>
          <w:rFonts w:asciiTheme="minorHAnsi" w:hAnsiTheme="minorHAnsi"/>
          <w:szCs w:val="22"/>
        </w:rPr>
        <w:t>Using a three-dimensional analytical solution to the convection-dispersion equation the effect of leaky wells on groundwater quality was shown to be limited to 10 m downstream the well with increases in concentration that were never higher than 4% of the solute source. For an open borehole, an increase up to 12% of the source concentration was observed at a maximum distance of approximately 100 m.</w:t>
      </w:r>
    </w:p>
    <w:p w14:paraId="12166197" w14:textId="28398F49" w:rsidR="00B110FD" w:rsidRPr="000632B3" w:rsidRDefault="00B110FD" w:rsidP="00251003">
      <w:pPr>
        <w:pStyle w:val="Body"/>
        <w:rPr>
          <w:rFonts w:asciiTheme="minorHAnsi" w:hAnsiTheme="minorHAnsi"/>
          <w:szCs w:val="22"/>
        </w:rPr>
      </w:pPr>
      <w:r w:rsidRPr="000632B3">
        <w:rPr>
          <w:rFonts w:asciiTheme="minorHAnsi" w:hAnsiTheme="minorHAnsi"/>
          <w:szCs w:val="22"/>
        </w:rPr>
        <w:t>A final discussion is devoted to possible tools and technologies for monitoring well integrity failure, including an outline of a proposed experimental program for monitoring inter-aquifer leakage in a coal seam gas field.</w:t>
      </w:r>
      <w:r w:rsidR="00651817" w:rsidRPr="000632B3">
        <w:rPr>
          <w:rFonts w:asciiTheme="minorHAnsi" w:hAnsiTheme="minorHAnsi"/>
          <w:szCs w:val="22"/>
        </w:rPr>
        <w:t xml:space="preserve"> The proposed approach involves continued monitoring throughout the entire lifecycle of a well and after well decommissioning.</w:t>
      </w:r>
    </w:p>
    <w:p w14:paraId="6406E831" w14:textId="77777777" w:rsidR="00A83A47" w:rsidRPr="006B17BE" w:rsidRDefault="00A83A47" w:rsidP="00A83A47">
      <w:pPr>
        <w:pStyle w:val="Heading1"/>
        <w:numPr>
          <w:ilvl w:val="0"/>
          <w:numId w:val="0"/>
        </w:numPr>
        <w:ind w:left="1134" w:hanging="1134"/>
        <w:rPr>
          <w:rFonts w:asciiTheme="minorHAnsi" w:hAnsiTheme="minorHAnsi"/>
          <w:sz w:val="24"/>
          <w:szCs w:val="24"/>
        </w:rPr>
      </w:pPr>
      <w:bookmarkStart w:id="25" w:name="_Toc433992798"/>
      <w:bookmarkStart w:id="26" w:name="_Toc381946369"/>
      <w:bookmarkStart w:id="27" w:name="_Toc483567928"/>
      <w:r w:rsidRPr="006B17BE">
        <w:rPr>
          <w:rFonts w:asciiTheme="minorHAnsi" w:hAnsiTheme="minorHAnsi"/>
          <w:sz w:val="24"/>
          <w:szCs w:val="24"/>
        </w:rPr>
        <w:t>Abbreviations</w:t>
      </w:r>
      <w:bookmarkEnd w:id="25"/>
      <w:bookmarkEnd w:id="26"/>
      <w:bookmarkEnd w:id="27"/>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7231"/>
      </w:tblGrid>
      <w:tr w:rsidR="00A83A47" w:rsidRPr="006B17BE" w14:paraId="2894F43B" w14:textId="77777777" w:rsidTr="00733DFE">
        <w:trPr>
          <w:trHeight w:val="188"/>
          <w:tblHeader/>
        </w:trPr>
        <w:tc>
          <w:tcPr>
            <w:tcW w:w="1985" w:type="dxa"/>
            <w:tcBorders>
              <w:top w:val="single" w:sz="4" w:space="0" w:color="auto"/>
              <w:left w:val="single" w:sz="4" w:space="0" w:color="auto"/>
              <w:bottom w:val="single" w:sz="4" w:space="0" w:color="auto"/>
              <w:right w:val="single" w:sz="4" w:space="0" w:color="auto"/>
            </w:tcBorders>
            <w:shd w:val="clear" w:color="auto" w:fill="CCCCCC" w:themeFill="text2" w:themeFillTint="33"/>
            <w:hideMark/>
          </w:tcPr>
          <w:p w14:paraId="78067E22" w14:textId="77777777" w:rsidR="00A83A47" w:rsidRPr="006B17BE" w:rsidRDefault="00A83A47">
            <w:pPr>
              <w:pStyle w:val="OWSTableheading"/>
              <w:rPr>
                <w:rFonts w:asciiTheme="minorHAnsi" w:hAnsiTheme="minorHAnsi"/>
                <w:sz w:val="24"/>
                <w:szCs w:val="24"/>
              </w:rPr>
            </w:pPr>
            <w:r w:rsidRPr="006B17BE">
              <w:rPr>
                <w:rFonts w:asciiTheme="minorHAnsi" w:hAnsiTheme="minorHAnsi"/>
                <w:sz w:val="24"/>
                <w:szCs w:val="24"/>
              </w:rPr>
              <w:t>General abbreviations</w:t>
            </w:r>
          </w:p>
        </w:tc>
        <w:tc>
          <w:tcPr>
            <w:tcW w:w="7231" w:type="dxa"/>
            <w:tcBorders>
              <w:top w:val="single" w:sz="4" w:space="0" w:color="auto"/>
              <w:left w:val="single" w:sz="4" w:space="0" w:color="auto"/>
              <w:bottom w:val="single" w:sz="4" w:space="0" w:color="auto"/>
              <w:right w:val="single" w:sz="4" w:space="0" w:color="auto"/>
            </w:tcBorders>
            <w:shd w:val="clear" w:color="auto" w:fill="CCCCCC" w:themeFill="text2" w:themeFillTint="33"/>
            <w:hideMark/>
          </w:tcPr>
          <w:p w14:paraId="2C21D27E" w14:textId="77777777" w:rsidR="00A83A47" w:rsidRPr="006B17BE" w:rsidRDefault="00A83A47">
            <w:pPr>
              <w:pStyle w:val="OWSTableheading"/>
              <w:rPr>
                <w:rFonts w:asciiTheme="minorHAnsi" w:hAnsiTheme="minorHAnsi"/>
                <w:sz w:val="24"/>
                <w:szCs w:val="24"/>
              </w:rPr>
            </w:pPr>
            <w:r w:rsidRPr="006B17BE">
              <w:rPr>
                <w:rFonts w:asciiTheme="minorHAnsi" w:hAnsiTheme="minorHAnsi"/>
                <w:sz w:val="24"/>
                <w:szCs w:val="24"/>
              </w:rPr>
              <w:t>Description</w:t>
            </w:r>
          </w:p>
        </w:tc>
      </w:tr>
      <w:tr w:rsidR="00176769" w:rsidRPr="006B17BE" w14:paraId="29610D3E" w14:textId="77777777" w:rsidTr="00733DFE">
        <w:trPr>
          <w:trHeight w:val="84"/>
        </w:trPr>
        <w:tc>
          <w:tcPr>
            <w:tcW w:w="1985" w:type="dxa"/>
            <w:tcBorders>
              <w:top w:val="single" w:sz="4" w:space="0" w:color="auto"/>
              <w:left w:val="single" w:sz="4" w:space="0" w:color="auto"/>
              <w:bottom w:val="single" w:sz="4" w:space="0" w:color="auto"/>
              <w:right w:val="single" w:sz="4" w:space="0" w:color="auto"/>
            </w:tcBorders>
          </w:tcPr>
          <w:p w14:paraId="0CF603A9" w14:textId="0B45D14D" w:rsidR="00176769" w:rsidRPr="006B17BE" w:rsidRDefault="00176769">
            <w:pPr>
              <w:pStyle w:val="OWSTabletext"/>
              <w:rPr>
                <w:rFonts w:asciiTheme="minorHAnsi" w:hAnsiTheme="minorHAnsi"/>
                <w:noProof/>
                <w:color w:val="auto"/>
                <w:sz w:val="24"/>
                <w:szCs w:val="24"/>
              </w:rPr>
            </w:pPr>
            <w:r w:rsidRPr="006B17BE">
              <w:rPr>
                <w:rFonts w:asciiTheme="minorHAnsi" w:hAnsiTheme="minorHAnsi"/>
                <w:noProof/>
                <w:color w:val="auto"/>
                <w:sz w:val="24"/>
                <w:szCs w:val="24"/>
              </w:rPr>
              <w:t>AHD</w:t>
            </w:r>
          </w:p>
        </w:tc>
        <w:tc>
          <w:tcPr>
            <w:tcW w:w="7231" w:type="dxa"/>
            <w:tcBorders>
              <w:top w:val="single" w:sz="4" w:space="0" w:color="auto"/>
              <w:left w:val="single" w:sz="4" w:space="0" w:color="auto"/>
              <w:bottom w:val="single" w:sz="4" w:space="0" w:color="auto"/>
              <w:right w:val="single" w:sz="4" w:space="0" w:color="auto"/>
            </w:tcBorders>
          </w:tcPr>
          <w:p w14:paraId="54F72C08" w14:textId="35E63A5A" w:rsidR="00176769" w:rsidRPr="006B17BE" w:rsidRDefault="005D7D47">
            <w:pPr>
              <w:pStyle w:val="OWSTabletext"/>
              <w:rPr>
                <w:rFonts w:asciiTheme="minorHAnsi" w:hAnsiTheme="minorHAnsi"/>
                <w:color w:val="auto"/>
                <w:sz w:val="24"/>
                <w:szCs w:val="24"/>
              </w:rPr>
            </w:pPr>
            <w:r w:rsidRPr="006B17BE">
              <w:rPr>
                <w:rFonts w:asciiTheme="minorHAnsi" w:hAnsiTheme="minorHAnsi"/>
                <w:color w:val="auto"/>
                <w:sz w:val="24"/>
                <w:szCs w:val="24"/>
              </w:rPr>
              <w:t>Australian datum</w:t>
            </w:r>
          </w:p>
        </w:tc>
      </w:tr>
      <w:tr w:rsidR="00176769" w:rsidRPr="006B17BE" w14:paraId="76CAC2BB" w14:textId="77777777" w:rsidTr="00733DFE">
        <w:trPr>
          <w:trHeight w:val="84"/>
        </w:trPr>
        <w:tc>
          <w:tcPr>
            <w:tcW w:w="1985" w:type="dxa"/>
            <w:tcBorders>
              <w:top w:val="single" w:sz="4" w:space="0" w:color="auto"/>
              <w:left w:val="single" w:sz="4" w:space="0" w:color="auto"/>
              <w:bottom w:val="single" w:sz="4" w:space="0" w:color="auto"/>
              <w:right w:val="single" w:sz="4" w:space="0" w:color="auto"/>
            </w:tcBorders>
          </w:tcPr>
          <w:p w14:paraId="7E6DA69D" w14:textId="40AA8B48" w:rsidR="00176769" w:rsidRPr="006B17BE" w:rsidRDefault="005D7D47">
            <w:pPr>
              <w:pStyle w:val="OWSTabletext"/>
              <w:rPr>
                <w:rFonts w:asciiTheme="minorHAnsi" w:hAnsiTheme="minorHAnsi"/>
                <w:noProof/>
                <w:color w:val="auto"/>
                <w:sz w:val="24"/>
                <w:szCs w:val="24"/>
              </w:rPr>
            </w:pPr>
            <w:r w:rsidRPr="006B17BE">
              <w:rPr>
                <w:rFonts w:asciiTheme="minorHAnsi" w:hAnsiTheme="minorHAnsi"/>
                <w:sz w:val="24"/>
                <w:szCs w:val="24"/>
              </w:rPr>
              <w:t>CHB</w:t>
            </w:r>
          </w:p>
        </w:tc>
        <w:tc>
          <w:tcPr>
            <w:tcW w:w="7231" w:type="dxa"/>
            <w:tcBorders>
              <w:top w:val="single" w:sz="4" w:space="0" w:color="auto"/>
              <w:left w:val="single" w:sz="4" w:space="0" w:color="auto"/>
              <w:bottom w:val="single" w:sz="4" w:space="0" w:color="auto"/>
              <w:right w:val="single" w:sz="4" w:space="0" w:color="auto"/>
            </w:tcBorders>
          </w:tcPr>
          <w:p w14:paraId="4F9DE0ED" w14:textId="7648167E" w:rsidR="00176769" w:rsidRPr="006B17BE" w:rsidRDefault="00176769" w:rsidP="00176769">
            <w:pPr>
              <w:pStyle w:val="OWSTabletext"/>
              <w:rPr>
                <w:rFonts w:asciiTheme="minorHAnsi" w:hAnsiTheme="minorHAnsi"/>
                <w:color w:val="auto"/>
                <w:sz w:val="24"/>
                <w:szCs w:val="24"/>
              </w:rPr>
            </w:pPr>
            <w:r w:rsidRPr="006B17BE">
              <w:rPr>
                <w:rFonts w:asciiTheme="minorHAnsi" w:hAnsiTheme="minorHAnsi"/>
                <w:sz w:val="24"/>
                <w:szCs w:val="24"/>
              </w:rPr>
              <w:t xml:space="preserve">constant head boundary </w:t>
            </w:r>
          </w:p>
        </w:tc>
      </w:tr>
      <w:tr w:rsidR="00176769" w:rsidRPr="006B17BE" w14:paraId="074DCEE6" w14:textId="77777777" w:rsidTr="00733DFE">
        <w:trPr>
          <w:trHeight w:val="84"/>
        </w:trPr>
        <w:tc>
          <w:tcPr>
            <w:tcW w:w="1985" w:type="dxa"/>
            <w:tcBorders>
              <w:top w:val="single" w:sz="4" w:space="0" w:color="auto"/>
              <w:left w:val="single" w:sz="4" w:space="0" w:color="auto"/>
              <w:bottom w:val="single" w:sz="4" w:space="0" w:color="auto"/>
              <w:right w:val="single" w:sz="4" w:space="0" w:color="auto"/>
            </w:tcBorders>
          </w:tcPr>
          <w:p w14:paraId="089F81F2" w14:textId="4F0710C4" w:rsidR="00176769" w:rsidRPr="006B17BE" w:rsidRDefault="00176769">
            <w:pPr>
              <w:pStyle w:val="OWSTabletext"/>
              <w:rPr>
                <w:rFonts w:asciiTheme="minorHAnsi" w:hAnsiTheme="minorHAnsi"/>
                <w:noProof/>
                <w:color w:val="auto"/>
                <w:sz w:val="24"/>
                <w:szCs w:val="24"/>
              </w:rPr>
            </w:pPr>
            <w:r w:rsidRPr="006B17BE">
              <w:rPr>
                <w:rFonts w:asciiTheme="minorHAnsi" w:hAnsiTheme="minorHAnsi"/>
                <w:noProof/>
                <w:color w:val="auto"/>
                <w:sz w:val="24"/>
                <w:szCs w:val="24"/>
              </w:rPr>
              <w:t>CLN</w:t>
            </w:r>
          </w:p>
        </w:tc>
        <w:tc>
          <w:tcPr>
            <w:tcW w:w="7231" w:type="dxa"/>
            <w:tcBorders>
              <w:top w:val="single" w:sz="4" w:space="0" w:color="auto"/>
              <w:left w:val="single" w:sz="4" w:space="0" w:color="auto"/>
              <w:bottom w:val="single" w:sz="4" w:space="0" w:color="auto"/>
              <w:right w:val="single" w:sz="4" w:space="0" w:color="auto"/>
            </w:tcBorders>
          </w:tcPr>
          <w:p w14:paraId="6A48D630" w14:textId="1EE39867" w:rsidR="00176769" w:rsidRPr="006B17BE" w:rsidRDefault="005D7D47" w:rsidP="005D7D47">
            <w:pPr>
              <w:pStyle w:val="OWSTabletext"/>
              <w:rPr>
                <w:rFonts w:asciiTheme="minorHAnsi" w:hAnsiTheme="minorHAnsi"/>
                <w:color w:val="auto"/>
                <w:sz w:val="24"/>
                <w:szCs w:val="24"/>
              </w:rPr>
            </w:pPr>
            <w:r w:rsidRPr="006B17BE">
              <w:rPr>
                <w:rFonts w:asciiTheme="minorHAnsi" w:hAnsiTheme="minorHAnsi"/>
                <w:sz w:val="24"/>
                <w:szCs w:val="24"/>
              </w:rPr>
              <w:t>C</w:t>
            </w:r>
            <w:r w:rsidR="00176769" w:rsidRPr="006B17BE">
              <w:rPr>
                <w:rFonts w:asciiTheme="minorHAnsi" w:hAnsiTheme="minorHAnsi"/>
                <w:sz w:val="24"/>
                <w:szCs w:val="24"/>
              </w:rPr>
              <w:t>ontinuous linear network package from MODFLOW-USG</w:t>
            </w:r>
          </w:p>
        </w:tc>
      </w:tr>
      <w:tr w:rsidR="005D7D47" w:rsidRPr="006B17BE" w14:paraId="5F2F589E" w14:textId="77777777" w:rsidTr="00733DFE">
        <w:trPr>
          <w:trHeight w:val="84"/>
        </w:trPr>
        <w:tc>
          <w:tcPr>
            <w:tcW w:w="1985" w:type="dxa"/>
            <w:tcBorders>
              <w:top w:val="single" w:sz="4" w:space="0" w:color="auto"/>
              <w:left w:val="single" w:sz="4" w:space="0" w:color="auto"/>
              <w:bottom w:val="single" w:sz="4" w:space="0" w:color="auto"/>
              <w:right w:val="single" w:sz="4" w:space="0" w:color="auto"/>
            </w:tcBorders>
          </w:tcPr>
          <w:p w14:paraId="50BD64D1" w14:textId="28B532E3" w:rsidR="005D7D47" w:rsidRPr="006B17BE" w:rsidRDefault="006552DB" w:rsidP="005D7D47">
            <w:pPr>
              <w:pStyle w:val="OWSTabletext"/>
              <w:rPr>
                <w:rFonts w:asciiTheme="minorHAnsi" w:hAnsiTheme="minorHAnsi"/>
                <w:noProof/>
                <w:color w:val="auto"/>
                <w:sz w:val="24"/>
                <w:szCs w:val="24"/>
              </w:rPr>
            </w:pPr>
            <w:r>
              <w:rPr>
                <w:rFonts w:asciiTheme="minorHAnsi" w:hAnsiTheme="minorHAnsi"/>
                <w:noProof/>
                <w:color w:val="auto"/>
                <w:sz w:val="24"/>
                <w:szCs w:val="24"/>
              </w:rPr>
              <w:t>CSG</w:t>
            </w:r>
          </w:p>
        </w:tc>
        <w:tc>
          <w:tcPr>
            <w:tcW w:w="7231" w:type="dxa"/>
            <w:tcBorders>
              <w:top w:val="single" w:sz="4" w:space="0" w:color="auto"/>
              <w:left w:val="single" w:sz="4" w:space="0" w:color="auto"/>
              <w:bottom w:val="single" w:sz="4" w:space="0" w:color="auto"/>
              <w:right w:val="single" w:sz="4" w:space="0" w:color="auto"/>
            </w:tcBorders>
          </w:tcPr>
          <w:p w14:paraId="0CD19434" w14:textId="360DB05C" w:rsidR="005D7D47" w:rsidRPr="006B17BE" w:rsidRDefault="005D7D47" w:rsidP="005D7D47">
            <w:pPr>
              <w:pStyle w:val="OWSTabletext"/>
              <w:rPr>
                <w:rFonts w:asciiTheme="minorHAnsi" w:hAnsiTheme="minorHAnsi"/>
                <w:color w:val="auto"/>
                <w:sz w:val="24"/>
                <w:szCs w:val="24"/>
              </w:rPr>
            </w:pPr>
            <w:r w:rsidRPr="006B17BE">
              <w:rPr>
                <w:rFonts w:asciiTheme="minorHAnsi" w:hAnsiTheme="minorHAnsi"/>
                <w:color w:val="auto"/>
                <w:sz w:val="24"/>
                <w:szCs w:val="24"/>
              </w:rPr>
              <w:t>Coal seam gas</w:t>
            </w:r>
          </w:p>
        </w:tc>
      </w:tr>
      <w:tr w:rsidR="005D7D47" w:rsidRPr="006B17BE" w14:paraId="132EAAF1" w14:textId="77777777" w:rsidTr="00733DFE">
        <w:trPr>
          <w:trHeight w:val="84"/>
        </w:trPr>
        <w:tc>
          <w:tcPr>
            <w:tcW w:w="1985" w:type="dxa"/>
            <w:tcBorders>
              <w:top w:val="single" w:sz="4" w:space="0" w:color="auto"/>
              <w:left w:val="single" w:sz="4" w:space="0" w:color="auto"/>
              <w:bottom w:val="single" w:sz="4" w:space="0" w:color="auto"/>
              <w:right w:val="single" w:sz="4" w:space="0" w:color="auto"/>
            </w:tcBorders>
          </w:tcPr>
          <w:p w14:paraId="3ED14F14" w14:textId="59F261AF" w:rsidR="005D7D47" w:rsidRPr="006B17BE" w:rsidRDefault="005D7D47" w:rsidP="005D7D47">
            <w:pPr>
              <w:pStyle w:val="OWSTabletext"/>
              <w:rPr>
                <w:rFonts w:asciiTheme="minorHAnsi" w:hAnsiTheme="minorHAnsi"/>
                <w:noProof/>
                <w:color w:val="auto"/>
                <w:sz w:val="24"/>
                <w:szCs w:val="24"/>
              </w:rPr>
            </w:pPr>
            <w:r w:rsidRPr="006B17BE">
              <w:rPr>
                <w:rFonts w:asciiTheme="minorHAnsi" w:hAnsiTheme="minorHAnsi"/>
                <w:noProof/>
                <w:color w:val="auto"/>
                <w:sz w:val="24"/>
                <w:szCs w:val="24"/>
              </w:rPr>
              <w:t>CSIRO</w:t>
            </w:r>
          </w:p>
        </w:tc>
        <w:tc>
          <w:tcPr>
            <w:tcW w:w="7231" w:type="dxa"/>
            <w:tcBorders>
              <w:top w:val="single" w:sz="4" w:space="0" w:color="auto"/>
              <w:left w:val="single" w:sz="4" w:space="0" w:color="auto"/>
              <w:bottom w:val="single" w:sz="4" w:space="0" w:color="auto"/>
              <w:right w:val="single" w:sz="4" w:space="0" w:color="auto"/>
            </w:tcBorders>
          </w:tcPr>
          <w:p w14:paraId="7ED381FC" w14:textId="429A561C" w:rsidR="005D7D47" w:rsidRPr="006B17BE" w:rsidRDefault="005D7D47" w:rsidP="005D7D47">
            <w:pPr>
              <w:pStyle w:val="OWSTabletext"/>
              <w:rPr>
                <w:rFonts w:asciiTheme="minorHAnsi" w:hAnsiTheme="minorHAnsi"/>
                <w:color w:val="auto"/>
                <w:sz w:val="24"/>
                <w:szCs w:val="24"/>
              </w:rPr>
            </w:pPr>
            <w:r w:rsidRPr="006B17BE">
              <w:rPr>
                <w:rFonts w:asciiTheme="minorHAnsi" w:hAnsiTheme="minorHAnsi"/>
                <w:color w:val="auto"/>
                <w:sz w:val="24"/>
                <w:szCs w:val="24"/>
              </w:rPr>
              <w:t>Commonwealth Scientific and Industrial Research Organisation</w:t>
            </w:r>
          </w:p>
        </w:tc>
      </w:tr>
      <w:tr w:rsidR="005D7D47" w:rsidRPr="006B17BE" w14:paraId="48C9CBE8" w14:textId="77777777" w:rsidTr="00733DFE">
        <w:trPr>
          <w:trHeight w:val="84"/>
        </w:trPr>
        <w:tc>
          <w:tcPr>
            <w:tcW w:w="1985" w:type="dxa"/>
            <w:tcBorders>
              <w:top w:val="single" w:sz="4" w:space="0" w:color="auto"/>
              <w:left w:val="single" w:sz="4" w:space="0" w:color="auto"/>
              <w:bottom w:val="single" w:sz="4" w:space="0" w:color="auto"/>
              <w:right w:val="single" w:sz="4" w:space="0" w:color="auto"/>
            </w:tcBorders>
          </w:tcPr>
          <w:p w14:paraId="2B473553" w14:textId="00A06418" w:rsidR="005D7D47" w:rsidRPr="006B17BE" w:rsidRDefault="005D7D47" w:rsidP="005D7D47">
            <w:pPr>
              <w:pStyle w:val="OWSTabletext"/>
              <w:rPr>
                <w:rFonts w:asciiTheme="minorHAnsi" w:hAnsiTheme="minorHAnsi"/>
                <w:noProof/>
                <w:color w:val="auto"/>
                <w:sz w:val="24"/>
                <w:szCs w:val="24"/>
              </w:rPr>
            </w:pPr>
            <w:r w:rsidRPr="006B17BE">
              <w:rPr>
                <w:rFonts w:asciiTheme="minorHAnsi" w:hAnsiTheme="minorHAnsi"/>
                <w:noProof/>
                <w:color w:val="auto"/>
                <w:sz w:val="24"/>
                <w:szCs w:val="24"/>
              </w:rPr>
              <w:t>MODFLOW-USG</w:t>
            </w:r>
          </w:p>
        </w:tc>
        <w:tc>
          <w:tcPr>
            <w:tcW w:w="7231" w:type="dxa"/>
            <w:tcBorders>
              <w:top w:val="single" w:sz="4" w:space="0" w:color="auto"/>
              <w:left w:val="single" w:sz="4" w:space="0" w:color="auto"/>
              <w:bottom w:val="single" w:sz="4" w:space="0" w:color="auto"/>
              <w:right w:val="single" w:sz="4" w:space="0" w:color="auto"/>
            </w:tcBorders>
          </w:tcPr>
          <w:p w14:paraId="65D573D6" w14:textId="1C5A5966" w:rsidR="005D7D47" w:rsidRPr="006B17BE" w:rsidRDefault="005D7D47" w:rsidP="005D7D47">
            <w:pPr>
              <w:pStyle w:val="OWSTabletext"/>
              <w:rPr>
                <w:rFonts w:asciiTheme="minorHAnsi" w:hAnsiTheme="minorHAnsi"/>
                <w:color w:val="auto"/>
                <w:sz w:val="24"/>
                <w:szCs w:val="24"/>
              </w:rPr>
            </w:pPr>
            <w:r w:rsidRPr="006B17BE">
              <w:rPr>
                <w:rFonts w:asciiTheme="minorHAnsi" w:hAnsiTheme="minorHAnsi"/>
                <w:color w:val="auto"/>
                <w:sz w:val="24"/>
                <w:szCs w:val="24"/>
              </w:rPr>
              <w:t>MODFLOW-Unstructured Grid</w:t>
            </w:r>
          </w:p>
        </w:tc>
      </w:tr>
      <w:tr w:rsidR="005D7D47" w:rsidRPr="006B17BE" w14:paraId="4CA72B28" w14:textId="77777777" w:rsidTr="00733DFE">
        <w:trPr>
          <w:trHeight w:val="84"/>
        </w:trPr>
        <w:tc>
          <w:tcPr>
            <w:tcW w:w="1985" w:type="dxa"/>
            <w:tcBorders>
              <w:top w:val="single" w:sz="4" w:space="0" w:color="auto"/>
              <w:left w:val="single" w:sz="4" w:space="0" w:color="auto"/>
              <w:bottom w:val="single" w:sz="4" w:space="0" w:color="auto"/>
              <w:right w:val="single" w:sz="4" w:space="0" w:color="auto"/>
            </w:tcBorders>
          </w:tcPr>
          <w:p w14:paraId="09557391" w14:textId="70D22131" w:rsidR="005D7D47" w:rsidRPr="006B17BE" w:rsidRDefault="005D7D47" w:rsidP="005D7D47">
            <w:pPr>
              <w:pStyle w:val="OWSTabletext"/>
              <w:rPr>
                <w:rFonts w:asciiTheme="minorHAnsi" w:hAnsiTheme="minorHAnsi"/>
                <w:noProof/>
                <w:color w:val="auto"/>
                <w:sz w:val="24"/>
                <w:szCs w:val="24"/>
              </w:rPr>
            </w:pPr>
            <w:r w:rsidRPr="006B17BE">
              <w:rPr>
                <w:rFonts w:asciiTheme="minorHAnsi" w:hAnsiTheme="minorHAnsi"/>
                <w:noProof/>
                <w:color w:val="auto"/>
                <w:sz w:val="24"/>
                <w:szCs w:val="24"/>
              </w:rPr>
              <w:t>MODHMS-FWL4</w:t>
            </w:r>
          </w:p>
        </w:tc>
        <w:tc>
          <w:tcPr>
            <w:tcW w:w="7231" w:type="dxa"/>
            <w:tcBorders>
              <w:top w:val="single" w:sz="4" w:space="0" w:color="auto"/>
              <w:left w:val="single" w:sz="4" w:space="0" w:color="auto"/>
              <w:bottom w:val="single" w:sz="4" w:space="0" w:color="auto"/>
              <w:right w:val="single" w:sz="4" w:space="0" w:color="auto"/>
            </w:tcBorders>
          </w:tcPr>
          <w:p w14:paraId="2E3F4783" w14:textId="7893A898" w:rsidR="005D7D47" w:rsidRPr="006B17BE" w:rsidRDefault="003B2F9C" w:rsidP="005D7D47">
            <w:pPr>
              <w:pStyle w:val="OWSTabletext"/>
              <w:rPr>
                <w:rFonts w:asciiTheme="minorHAnsi" w:hAnsiTheme="minorHAnsi"/>
                <w:color w:val="auto"/>
                <w:sz w:val="24"/>
                <w:szCs w:val="24"/>
              </w:rPr>
            </w:pPr>
            <w:r w:rsidRPr="006B17BE">
              <w:rPr>
                <w:rFonts w:asciiTheme="minorHAnsi" w:hAnsiTheme="minorHAnsi"/>
                <w:noProof/>
                <w:color w:val="auto"/>
                <w:sz w:val="24"/>
                <w:szCs w:val="24"/>
              </w:rPr>
              <w:t>MODHMS</w:t>
            </w:r>
            <w:r w:rsidRPr="006B17BE">
              <w:rPr>
                <w:rFonts w:asciiTheme="minorHAnsi" w:hAnsiTheme="minorHAnsi"/>
                <w:sz w:val="24"/>
                <w:szCs w:val="24"/>
              </w:rPr>
              <w:t xml:space="preserve"> fracture well package</w:t>
            </w:r>
          </w:p>
        </w:tc>
      </w:tr>
      <w:tr w:rsidR="005D7D47" w:rsidRPr="006B17BE" w14:paraId="0198D73C" w14:textId="77777777" w:rsidTr="00733DFE">
        <w:trPr>
          <w:trHeight w:val="84"/>
        </w:trPr>
        <w:tc>
          <w:tcPr>
            <w:tcW w:w="1985" w:type="dxa"/>
            <w:tcBorders>
              <w:top w:val="single" w:sz="4" w:space="0" w:color="auto"/>
              <w:left w:val="single" w:sz="4" w:space="0" w:color="auto"/>
              <w:bottom w:val="single" w:sz="4" w:space="0" w:color="auto"/>
              <w:right w:val="single" w:sz="4" w:space="0" w:color="auto"/>
            </w:tcBorders>
          </w:tcPr>
          <w:p w14:paraId="64493551" w14:textId="5F85D2B7" w:rsidR="005D7D47" w:rsidRPr="006B17BE" w:rsidRDefault="005D7D47" w:rsidP="005D7D47">
            <w:pPr>
              <w:pStyle w:val="OWSTabletext"/>
              <w:rPr>
                <w:rFonts w:asciiTheme="minorHAnsi" w:hAnsiTheme="minorHAnsi"/>
                <w:noProof/>
                <w:color w:val="auto"/>
                <w:sz w:val="24"/>
                <w:szCs w:val="24"/>
              </w:rPr>
            </w:pPr>
            <w:r w:rsidRPr="006B17BE">
              <w:rPr>
                <w:rFonts w:asciiTheme="minorHAnsi" w:hAnsiTheme="minorHAnsi"/>
                <w:noProof/>
                <w:color w:val="auto"/>
                <w:sz w:val="24"/>
                <w:szCs w:val="24"/>
              </w:rPr>
              <w:t>US EPA</w:t>
            </w:r>
          </w:p>
        </w:tc>
        <w:tc>
          <w:tcPr>
            <w:tcW w:w="7231" w:type="dxa"/>
            <w:tcBorders>
              <w:top w:val="single" w:sz="4" w:space="0" w:color="auto"/>
              <w:left w:val="single" w:sz="4" w:space="0" w:color="auto"/>
              <w:bottom w:val="single" w:sz="4" w:space="0" w:color="auto"/>
              <w:right w:val="single" w:sz="4" w:space="0" w:color="auto"/>
            </w:tcBorders>
          </w:tcPr>
          <w:p w14:paraId="678F5ABC" w14:textId="349F486B" w:rsidR="005D7D47" w:rsidRPr="006B17BE" w:rsidRDefault="005D7D47" w:rsidP="005D7D47">
            <w:pPr>
              <w:pStyle w:val="OWSTabletext"/>
              <w:rPr>
                <w:rFonts w:asciiTheme="minorHAnsi" w:hAnsiTheme="minorHAnsi"/>
                <w:color w:val="auto"/>
                <w:sz w:val="24"/>
                <w:szCs w:val="24"/>
              </w:rPr>
            </w:pPr>
            <w:r w:rsidRPr="006B17BE">
              <w:rPr>
                <w:rFonts w:asciiTheme="minorHAnsi" w:hAnsiTheme="minorHAnsi"/>
                <w:color w:val="auto"/>
                <w:sz w:val="24"/>
                <w:szCs w:val="24"/>
              </w:rPr>
              <w:t>United States Environmental Protection Agency</w:t>
            </w:r>
          </w:p>
        </w:tc>
      </w:tr>
    </w:tbl>
    <w:p w14:paraId="0F43A350" w14:textId="77777777" w:rsidR="00A83A47" w:rsidRPr="006B17BE" w:rsidRDefault="00A83A47" w:rsidP="00A83A47">
      <w:pPr>
        <w:pStyle w:val="Body"/>
        <w:rPr>
          <w:rFonts w:asciiTheme="minorHAnsi" w:hAnsiTheme="minorHAnsi" w:cs="Arial"/>
          <w:color w:val="auto"/>
          <w:sz w:val="24"/>
          <w:szCs w:val="24"/>
          <w:lang w:val="en-US"/>
        </w:rPr>
      </w:pPr>
    </w:p>
    <w:p w14:paraId="30DCDB8D" w14:textId="77777777" w:rsidR="00A83A47" w:rsidRPr="006B17BE" w:rsidRDefault="00A83A47" w:rsidP="00A83A47">
      <w:pPr>
        <w:pStyle w:val="Heading1"/>
        <w:numPr>
          <w:ilvl w:val="0"/>
          <w:numId w:val="0"/>
        </w:numPr>
        <w:ind w:left="1134" w:hanging="1134"/>
        <w:rPr>
          <w:rFonts w:asciiTheme="minorHAnsi" w:hAnsiTheme="minorHAnsi"/>
          <w:sz w:val="24"/>
          <w:szCs w:val="24"/>
        </w:rPr>
      </w:pPr>
      <w:bookmarkStart w:id="28" w:name="_Toc433992799"/>
      <w:bookmarkStart w:id="29" w:name="_Toc351121191"/>
      <w:bookmarkStart w:id="30" w:name="_Toc483567929"/>
      <w:r w:rsidRPr="006B17BE">
        <w:rPr>
          <w:rFonts w:asciiTheme="minorHAnsi" w:hAnsiTheme="minorHAnsi"/>
          <w:sz w:val="24"/>
          <w:szCs w:val="24"/>
        </w:rPr>
        <w:t>Glossary</w:t>
      </w:r>
      <w:bookmarkEnd w:id="28"/>
      <w:bookmarkEnd w:id="29"/>
      <w:bookmarkEnd w:id="30"/>
    </w:p>
    <w:tbl>
      <w:tblPr>
        <w:tblW w:w="921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7231"/>
      </w:tblGrid>
      <w:tr w:rsidR="00A83A47" w:rsidRPr="006B17BE" w14:paraId="1E6D70DB" w14:textId="77777777" w:rsidTr="003B2F9C">
        <w:trPr>
          <w:tblHeader/>
        </w:trPr>
        <w:tc>
          <w:tcPr>
            <w:tcW w:w="1985" w:type="dxa"/>
            <w:tcBorders>
              <w:top w:val="single" w:sz="4" w:space="0" w:color="auto"/>
              <w:left w:val="single" w:sz="4" w:space="0" w:color="auto"/>
              <w:bottom w:val="single" w:sz="4" w:space="0" w:color="auto"/>
              <w:right w:val="single" w:sz="4" w:space="0" w:color="auto"/>
            </w:tcBorders>
            <w:shd w:val="clear" w:color="auto" w:fill="CCCCCC" w:themeFill="text2" w:themeFillTint="33"/>
            <w:hideMark/>
          </w:tcPr>
          <w:p w14:paraId="23DF7F80" w14:textId="77777777" w:rsidR="00A83A47" w:rsidRPr="006B17BE" w:rsidRDefault="00A83A47">
            <w:pPr>
              <w:pStyle w:val="OWSTableheading"/>
              <w:rPr>
                <w:rFonts w:asciiTheme="minorHAnsi" w:hAnsiTheme="minorHAnsi"/>
                <w:sz w:val="24"/>
                <w:szCs w:val="24"/>
              </w:rPr>
            </w:pPr>
            <w:bookmarkStart w:id="31" w:name="_Toc333408606"/>
            <w:bookmarkStart w:id="32" w:name="_Toc332468022"/>
            <w:bookmarkStart w:id="33" w:name="_Toc332463978"/>
            <w:bookmarkStart w:id="34" w:name="_Toc332463730"/>
            <w:bookmarkStart w:id="35" w:name="_Toc332463482"/>
            <w:bookmarkStart w:id="36" w:name="_Toc332468004"/>
            <w:bookmarkStart w:id="37" w:name="_Toc332463965"/>
            <w:bookmarkStart w:id="38" w:name="_Toc332463717"/>
            <w:bookmarkStart w:id="39" w:name="_Toc332463469"/>
            <w:bookmarkStart w:id="40" w:name="_Toc332468003"/>
            <w:bookmarkStart w:id="41" w:name="_Toc332468000"/>
            <w:bookmarkStart w:id="42" w:name="_Toc332467997"/>
            <w:bookmarkStart w:id="43" w:name="_Toc332467996"/>
            <w:bookmarkStart w:id="44" w:name="_Toc332467994"/>
            <w:bookmarkStart w:id="45" w:name="_Toc332467993"/>
            <w:bookmarkStart w:id="46" w:name="_Toc332467985"/>
            <w:bookmarkStart w:id="47" w:name="_Toc332463952"/>
            <w:bookmarkStart w:id="48" w:name="_Toc332463704"/>
            <w:bookmarkStart w:id="49" w:name="_Toc332463456"/>
            <w:bookmarkStart w:id="50" w:name="_Toc332461671"/>
            <w:bookmarkStart w:id="51" w:name="_Toc332461427"/>
            <w:bookmarkStart w:id="52" w:name="_Toc332461181"/>
            <w:bookmarkStart w:id="53" w:name="_Toc332467980"/>
            <w:bookmarkStart w:id="54" w:name="_Toc332463947"/>
            <w:bookmarkStart w:id="55" w:name="_Toc332463699"/>
            <w:bookmarkStart w:id="56" w:name="_Toc332463451"/>
            <w:bookmarkStart w:id="57" w:name="_Toc332461666"/>
            <w:bookmarkStart w:id="58" w:name="_Toc332461422"/>
            <w:bookmarkStart w:id="59" w:name="_Toc332461176"/>
            <w:bookmarkStart w:id="60" w:name="_Toc332467979"/>
            <w:bookmarkStart w:id="61" w:name="_Toc332463946"/>
            <w:bookmarkStart w:id="62" w:name="_Toc332463698"/>
            <w:bookmarkStart w:id="63" w:name="_Toc332463450"/>
            <w:bookmarkStart w:id="64" w:name="_Toc332461665"/>
            <w:bookmarkStart w:id="65" w:name="_Toc332461421"/>
            <w:bookmarkStart w:id="66" w:name="_Toc332461175"/>
            <w:bookmarkStart w:id="67" w:name="_Toc332467974"/>
            <w:bookmarkStart w:id="68" w:name="_Toc332463941"/>
            <w:bookmarkStart w:id="69" w:name="_Toc332463693"/>
            <w:bookmarkStart w:id="70" w:name="_Toc332463445"/>
            <w:bookmarkStart w:id="71" w:name="_Toc332461660"/>
            <w:bookmarkStart w:id="72" w:name="_Toc332461416"/>
            <w:bookmarkStart w:id="73" w:name="_Toc332461170"/>
            <w:bookmarkStart w:id="74" w:name="_Toc332467973"/>
            <w:bookmarkStart w:id="75" w:name="_Toc332463940"/>
            <w:bookmarkStart w:id="76" w:name="_Toc332463692"/>
            <w:bookmarkStart w:id="77" w:name="_Toc332463444"/>
            <w:bookmarkStart w:id="78" w:name="_Toc332461659"/>
            <w:bookmarkStart w:id="79" w:name="_Toc332461415"/>
            <w:bookmarkStart w:id="80" w:name="_Toc332461169"/>
            <w:bookmarkStart w:id="81" w:name="_Toc332467972"/>
            <w:bookmarkStart w:id="82" w:name="_Toc332463939"/>
            <w:bookmarkStart w:id="83" w:name="_Toc332463691"/>
            <w:bookmarkStart w:id="84" w:name="_Toc332463443"/>
            <w:bookmarkStart w:id="85" w:name="_Toc332461658"/>
            <w:bookmarkStart w:id="86" w:name="_Toc332461414"/>
            <w:bookmarkStart w:id="87" w:name="_Toc332461168"/>
            <w:bookmarkStart w:id="88" w:name="_Toc332467971"/>
            <w:bookmarkStart w:id="89" w:name="_Toc332463938"/>
            <w:bookmarkStart w:id="90" w:name="_Toc332463690"/>
            <w:bookmarkStart w:id="91" w:name="_Toc332463442"/>
            <w:bookmarkStart w:id="92" w:name="_Toc332461657"/>
            <w:bookmarkStart w:id="93" w:name="_Toc332461413"/>
            <w:bookmarkStart w:id="94" w:name="_Toc332461167"/>
            <w:bookmarkStart w:id="95" w:name="_Toc332467968"/>
            <w:bookmarkStart w:id="96" w:name="_Toc332463935"/>
            <w:bookmarkStart w:id="97" w:name="_Toc332463687"/>
            <w:bookmarkStart w:id="98" w:name="_Toc332463439"/>
            <w:bookmarkStart w:id="99" w:name="_Toc332461654"/>
            <w:bookmarkStart w:id="100" w:name="_Toc332461410"/>
            <w:bookmarkStart w:id="101" w:name="_Toc332461164"/>
            <w:bookmarkStart w:id="102" w:name="_Toc332467967"/>
            <w:bookmarkStart w:id="103" w:name="_Toc332463934"/>
            <w:bookmarkStart w:id="104" w:name="_Toc332463686"/>
            <w:bookmarkStart w:id="105" w:name="_Toc332463438"/>
            <w:bookmarkStart w:id="106" w:name="_Toc332461653"/>
            <w:bookmarkStart w:id="107" w:name="_Toc332461409"/>
            <w:bookmarkStart w:id="108" w:name="_Toc332461163"/>
            <w:bookmarkStart w:id="109" w:name="_Toc332467966"/>
            <w:bookmarkStart w:id="110" w:name="_Toc332463933"/>
            <w:bookmarkStart w:id="111" w:name="_Toc332463685"/>
            <w:bookmarkStart w:id="112" w:name="_Toc332463437"/>
            <w:bookmarkStart w:id="113" w:name="_Toc332461652"/>
            <w:bookmarkStart w:id="114" w:name="_Toc332461408"/>
            <w:bookmarkStart w:id="115" w:name="_Toc332461162"/>
            <w:bookmarkStart w:id="116" w:name="_Toc332467963"/>
            <w:bookmarkStart w:id="117" w:name="_Toc332463930"/>
            <w:bookmarkStart w:id="118" w:name="_Toc332463682"/>
            <w:bookmarkStart w:id="119" w:name="_Toc332463434"/>
            <w:bookmarkStart w:id="120" w:name="_Toc332461649"/>
            <w:bookmarkStart w:id="121" w:name="_Toc332461405"/>
            <w:bookmarkStart w:id="122" w:name="_Toc332461159"/>
            <w:bookmarkStart w:id="123" w:name="_Toc332467961"/>
            <w:bookmarkStart w:id="124" w:name="_Toc332463928"/>
            <w:bookmarkStart w:id="125" w:name="_Toc332463680"/>
            <w:bookmarkStart w:id="126" w:name="_Toc332463432"/>
            <w:bookmarkStart w:id="127" w:name="_Toc332461647"/>
            <w:bookmarkStart w:id="128" w:name="_Toc332461403"/>
            <w:bookmarkStart w:id="129" w:name="_Toc332461157"/>
            <w:bookmarkStart w:id="130" w:name="_Toc332467951"/>
            <w:bookmarkStart w:id="131" w:name="_Toc332463918"/>
            <w:bookmarkStart w:id="132" w:name="_Toc332463670"/>
            <w:bookmarkStart w:id="133" w:name="_Toc332463422"/>
            <w:bookmarkStart w:id="134" w:name="_Toc332461637"/>
            <w:bookmarkStart w:id="135" w:name="_Toc332461393"/>
            <w:bookmarkStart w:id="136" w:name="_Toc332461147"/>
            <w:bookmarkStart w:id="137" w:name="_Toc332467943"/>
            <w:bookmarkStart w:id="138" w:name="_Toc332463910"/>
            <w:bookmarkStart w:id="139" w:name="_Toc332463662"/>
            <w:bookmarkStart w:id="140" w:name="_Toc332463414"/>
            <w:bookmarkStart w:id="141" w:name="_Toc332461629"/>
            <w:bookmarkStart w:id="142" w:name="_Toc332461385"/>
            <w:bookmarkStart w:id="143" w:name="_Toc332461139"/>
            <w:bookmarkStart w:id="144" w:name="_Toc332467940"/>
            <w:bookmarkStart w:id="145" w:name="_Toc332463907"/>
            <w:bookmarkStart w:id="146" w:name="_Toc332463659"/>
            <w:bookmarkStart w:id="147" w:name="_Toc332463411"/>
            <w:bookmarkStart w:id="148" w:name="_Toc332461626"/>
            <w:bookmarkStart w:id="149" w:name="_Toc332461382"/>
            <w:bookmarkStart w:id="150" w:name="_Toc332461136"/>
            <w:bookmarkStart w:id="151" w:name="_Toc332467922"/>
            <w:bookmarkStart w:id="152" w:name="_Toc332463889"/>
            <w:bookmarkStart w:id="153" w:name="_Toc332463641"/>
            <w:bookmarkStart w:id="154" w:name="_Toc332463393"/>
            <w:bookmarkStart w:id="155" w:name="_Toc332461608"/>
            <w:bookmarkStart w:id="156" w:name="_Toc332461364"/>
            <w:bookmarkStart w:id="157" w:name="_Toc332461118"/>
            <w:bookmarkStart w:id="158" w:name="_Toc332467921"/>
            <w:bookmarkStart w:id="159" w:name="_Toc332463888"/>
            <w:bookmarkStart w:id="160" w:name="_Toc332463640"/>
            <w:bookmarkStart w:id="161" w:name="_Toc332463392"/>
            <w:bookmarkStart w:id="162" w:name="_Toc332461607"/>
            <w:bookmarkStart w:id="163" w:name="_Toc332461363"/>
            <w:bookmarkStart w:id="164" w:name="_Toc332461117"/>
            <w:bookmarkStart w:id="165" w:name="_Toc332467920"/>
            <w:bookmarkStart w:id="166" w:name="_Toc332463887"/>
            <w:bookmarkStart w:id="167" w:name="_Toc332463639"/>
            <w:bookmarkStart w:id="168" w:name="_Toc332463391"/>
            <w:bookmarkStart w:id="169" w:name="_Toc332461606"/>
            <w:bookmarkStart w:id="170" w:name="_Toc332461362"/>
            <w:bookmarkStart w:id="171" w:name="_Toc332461116"/>
            <w:bookmarkStart w:id="172" w:name="_Toc332467914"/>
            <w:bookmarkStart w:id="173" w:name="_Toc332463881"/>
            <w:bookmarkStart w:id="174" w:name="_Toc332463633"/>
            <w:bookmarkStart w:id="175" w:name="_Toc332463385"/>
            <w:bookmarkStart w:id="176" w:name="_Toc332461600"/>
            <w:bookmarkStart w:id="177" w:name="_Toc332461356"/>
            <w:bookmarkStart w:id="178" w:name="_Toc332461110"/>
            <w:bookmarkStart w:id="179" w:name="_Toc332467910"/>
            <w:bookmarkStart w:id="180" w:name="_Toc332463877"/>
            <w:bookmarkStart w:id="181" w:name="_Toc332463629"/>
            <w:bookmarkStart w:id="182" w:name="_Toc332463381"/>
            <w:bookmarkStart w:id="183" w:name="_Toc332461596"/>
            <w:bookmarkStart w:id="184" w:name="_Toc332461352"/>
            <w:bookmarkStart w:id="185" w:name="_Toc332461106"/>
            <w:bookmarkStart w:id="186" w:name="_Toc332467907"/>
            <w:bookmarkStart w:id="187" w:name="_Toc332463874"/>
            <w:bookmarkStart w:id="188" w:name="_Toc332463626"/>
            <w:bookmarkStart w:id="189" w:name="_Toc332463378"/>
            <w:bookmarkStart w:id="190" w:name="_Toc332461593"/>
            <w:bookmarkStart w:id="191" w:name="_Toc332461349"/>
            <w:bookmarkStart w:id="192" w:name="_Toc332461103"/>
            <w:bookmarkStart w:id="193" w:name="_Toc332467906"/>
            <w:bookmarkStart w:id="194" w:name="_Toc332463873"/>
            <w:bookmarkStart w:id="195" w:name="_Toc332463625"/>
            <w:bookmarkStart w:id="196" w:name="_Toc332463377"/>
            <w:bookmarkStart w:id="197" w:name="_Toc332461592"/>
            <w:bookmarkStart w:id="198" w:name="_Toc332461348"/>
            <w:bookmarkStart w:id="199" w:name="_Toc332461102"/>
            <w:bookmarkStart w:id="200" w:name="_Toc332467904"/>
            <w:bookmarkStart w:id="201" w:name="_Toc332463871"/>
            <w:bookmarkStart w:id="202" w:name="_Toc332463623"/>
            <w:bookmarkStart w:id="203" w:name="_Toc332463375"/>
            <w:bookmarkStart w:id="204" w:name="_Toc332461590"/>
            <w:bookmarkStart w:id="205" w:name="_Toc332461346"/>
            <w:bookmarkStart w:id="206" w:name="_Toc332461100"/>
            <w:bookmarkStart w:id="207" w:name="_Toc332467903"/>
            <w:bookmarkStart w:id="208" w:name="_Toc332463870"/>
            <w:bookmarkStart w:id="209" w:name="_Toc332463622"/>
            <w:bookmarkStart w:id="210" w:name="_Toc332463374"/>
            <w:bookmarkStart w:id="211" w:name="_Toc332461589"/>
            <w:bookmarkStart w:id="212" w:name="_Toc332461345"/>
            <w:bookmarkStart w:id="213" w:name="_Toc332461099"/>
            <w:bookmarkStart w:id="214" w:name="_Toc332467902"/>
            <w:bookmarkStart w:id="215" w:name="_Toc332463869"/>
            <w:bookmarkStart w:id="216" w:name="_Toc332463621"/>
            <w:bookmarkStart w:id="217" w:name="_Toc332463373"/>
            <w:bookmarkStart w:id="218" w:name="_Toc332461588"/>
            <w:bookmarkStart w:id="219" w:name="_Toc332461344"/>
            <w:bookmarkStart w:id="220" w:name="_Toc332461098"/>
            <w:bookmarkStart w:id="221" w:name="_Toc332467901"/>
            <w:bookmarkStart w:id="222" w:name="_Toc332463868"/>
            <w:bookmarkStart w:id="223" w:name="_Toc332463620"/>
            <w:bookmarkStart w:id="224" w:name="_Toc332463372"/>
            <w:bookmarkStart w:id="225" w:name="_Toc332461587"/>
            <w:bookmarkStart w:id="226" w:name="_Toc332461343"/>
            <w:bookmarkStart w:id="227" w:name="_Toc332461097"/>
            <w:bookmarkStart w:id="228" w:name="_Toc332467900"/>
            <w:bookmarkStart w:id="229" w:name="_Toc332463867"/>
            <w:bookmarkStart w:id="230" w:name="_Toc332463619"/>
            <w:bookmarkStart w:id="231" w:name="_Toc332463371"/>
            <w:bookmarkStart w:id="232" w:name="_Toc332461586"/>
            <w:bookmarkStart w:id="233" w:name="_Toc332461342"/>
            <w:bookmarkStart w:id="234" w:name="_Toc332461096"/>
            <w:bookmarkStart w:id="235" w:name="_Toc332467899"/>
            <w:bookmarkStart w:id="236" w:name="_Toc332463866"/>
            <w:bookmarkStart w:id="237" w:name="_Toc332463618"/>
            <w:bookmarkStart w:id="238" w:name="_Toc332463370"/>
            <w:bookmarkStart w:id="239" w:name="_Toc332461585"/>
            <w:bookmarkStart w:id="240" w:name="_Toc332461341"/>
            <w:bookmarkStart w:id="241" w:name="_Toc332461095"/>
            <w:bookmarkStart w:id="242" w:name="_Toc332467896"/>
            <w:bookmarkStart w:id="243" w:name="_Toc332463863"/>
            <w:bookmarkStart w:id="244" w:name="_Toc332463615"/>
            <w:bookmarkStart w:id="245" w:name="_Toc332463367"/>
            <w:bookmarkStart w:id="246" w:name="_Toc332461582"/>
            <w:bookmarkStart w:id="247" w:name="_Toc332461338"/>
            <w:bookmarkStart w:id="248" w:name="_Toc332461092"/>
            <w:bookmarkStart w:id="249" w:name="_Toc332467895"/>
            <w:bookmarkStart w:id="250" w:name="_Toc332463862"/>
            <w:bookmarkStart w:id="251" w:name="_Toc332463614"/>
            <w:bookmarkStart w:id="252" w:name="_Toc332463366"/>
            <w:bookmarkStart w:id="253" w:name="_Toc332461581"/>
            <w:bookmarkStart w:id="254" w:name="_Toc332461337"/>
            <w:bookmarkStart w:id="255" w:name="_Toc332461091"/>
            <w:bookmarkStart w:id="256" w:name="_Toc332467893"/>
            <w:bookmarkStart w:id="257" w:name="_Toc332463860"/>
            <w:bookmarkStart w:id="258" w:name="_Toc332463612"/>
            <w:bookmarkStart w:id="259" w:name="_Toc332463364"/>
            <w:bookmarkStart w:id="260" w:name="_Toc332461579"/>
            <w:bookmarkStart w:id="261" w:name="_Toc332461335"/>
            <w:bookmarkStart w:id="262" w:name="_Toc332461089"/>
            <w:bookmarkStart w:id="263" w:name="_Toc332467890"/>
            <w:bookmarkStart w:id="264" w:name="_Toc332463857"/>
            <w:bookmarkStart w:id="265" w:name="_Toc332463609"/>
            <w:bookmarkStart w:id="266" w:name="_Toc332463361"/>
            <w:bookmarkStart w:id="267" w:name="_Toc332461576"/>
            <w:bookmarkStart w:id="268" w:name="_Toc332461332"/>
            <w:bookmarkStart w:id="269" w:name="_Toc332461086"/>
            <w:bookmarkStart w:id="270" w:name="_Toc332467866"/>
            <w:bookmarkStart w:id="271" w:name="_Toc332463833"/>
            <w:bookmarkStart w:id="272" w:name="_Toc332463585"/>
            <w:bookmarkStart w:id="273" w:name="_Toc332463337"/>
            <w:bookmarkStart w:id="274" w:name="_Toc332461552"/>
            <w:bookmarkStart w:id="275" w:name="_Toc332461308"/>
            <w:bookmarkStart w:id="276" w:name="_Toc332461062"/>
            <w:bookmarkStart w:id="277" w:name="_Toc332467864"/>
            <w:bookmarkStart w:id="278" w:name="_Toc332463831"/>
            <w:bookmarkStart w:id="279" w:name="_Toc332463583"/>
            <w:bookmarkStart w:id="280" w:name="_Toc332463335"/>
            <w:bookmarkStart w:id="281" w:name="_Toc332461550"/>
            <w:bookmarkStart w:id="282" w:name="_Toc332461306"/>
            <w:bookmarkStart w:id="283" w:name="_Toc332461060"/>
            <w:bookmarkStart w:id="284" w:name="_Toc332467863"/>
            <w:bookmarkStart w:id="285" w:name="_Toc332463830"/>
            <w:bookmarkStart w:id="286" w:name="_Toc332463582"/>
            <w:bookmarkStart w:id="287" w:name="_Toc332463334"/>
            <w:bookmarkStart w:id="288" w:name="_Toc332461549"/>
            <w:bookmarkStart w:id="289" w:name="_Toc332461305"/>
            <w:bookmarkStart w:id="290" w:name="_Toc332461059"/>
            <w:bookmarkStart w:id="291" w:name="_Toc332467860"/>
            <w:bookmarkStart w:id="292" w:name="_Toc332463827"/>
            <w:bookmarkStart w:id="293" w:name="_Toc332463579"/>
            <w:bookmarkStart w:id="294" w:name="_Toc332463331"/>
            <w:bookmarkStart w:id="295" w:name="_Toc332461546"/>
            <w:bookmarkStart w:id="296" w:name="_Toc332461302"/>
            <w:bookmarkStart w:id="297" w:name="_Toc332461056"/>
            <w:bookmarkStart w:id="298" w:name="_Toc332467859"/>
            <w:bookmarkStart w:id="299" w:name="_Toc332463826"/>
            <w:bookmarkStart w:id="300" w:name="_Toc332463578"/>
            <w:bookmarkStart w:id="301" w:name="_Toc332463330"/>
            <w:bookmarkStart w:id="302" w:name="_Toc332461545"/>
            <w:bookmarkStart w:id="303" w:name="_Toc332461301"/>
            <w:bookmarkStart w:id="304" w:name="_Toc332461055"/>
            <w:bookmarkStart w:id="305" w:name="_Toc332467858"/>
            <w:bookmarkStart w:id="306" w:name="_Toc332463825"/>
            <w:bookmarkStart w:id="307" w:name="_Toc332463577"/>
            <w:bookmarkStart w:id="308" w:name="_Toc332463329"/>
            <w:bookmarkStart w:id="309" w:name="_Toc332461544"/>
            <w:bookmarkStart w:id="310" w:name="_Toc332461300"/>
            <w:bookmarkStart w:id="311" w:name="_Toc332461054"/>
            <w:bookmarkStart w:id="312" w:name="_Toc332467855"/>
            <w:bookmarkStart w:id="313" w:name="_Toc332463822"/>
            <w:bookmarkStart w:id="314" w:name="_Toc332463574"/>
            <w:bookmarkStart w:id="315" w:name="_Toc332463326"/>
            <w:bookmarkStart w:id="316" w:name="_Toc332461541"/>
            <w:bookmarkStart w:id="317" w:name="_Toc332461297"/>
            <w:bookmarkStart w:id="318" w:name="_Toc332461051"/>
            <w:bookmarkStart w:id="319" w:name="_Toc332467850"/>
            <w:bookmarkStart w:id="320" w:name="_Toc332463817"/>
            <w:bookmarkStart w:id="321" w:name="_Toc332463569"/>
            <w:bookmarkStart w:id="322" w:name="_Toc332463321"/>
            <w:bookmarkStart w:id="323" w:name="_Toc332461536"/>
            <w:bookmarkStart w:id="324" w:name="_Toc332461292"/>
            <w:bookmarkStart w:id="325" w:name="_Toc332461046"/>
            <w:bookmarkStart w:id="326" w:name="_Toc332467844"/>
            <w:bookmarkStart w:id="327" w:name="_Toc332463811"/>
            <w:bookmarkStart w:id="328" w:name="_Toc332463563"/>
            <w:bookmarkStart w:id="329" w:name="_Toc332463315"/>
            <w:bookmarkStart w:id="330" w:name="_Toc332461530"/>
            <w:bookmarkStart w:id="331" w:name="_Toc332461286"/>
            <w:bookmarkStart w:id="332" w:name="_Toc332461040"/>
            <w:bookmarkStart w:id="333" w:name="_Toc332467842"/>
            <w:bookmarkStart w:id="334" w:name="_Toc332463809"/>
            <w:bookmarkStart w:id="335" w:name="_Toc332463561"/>
            <w:bookmarkStart w:id="336" w:name="_Toc332463313"/>
            <w:bookmarkStart w:id="337" w:name="_Toc332461528"/>
            <w:bookmarkStart w:id="338" w:name="_Toc332461284"/>
            <w:bookmarkStart w:id="339" w:name="_Toc332461038"/>
            <w:bookmarkStart w:id="340" w:name="_Toc332467841"/>
            <w:bookmarkStart w:id="341" w:name="_Toc332463808"/>
            <w:bookmarkStart w:id="342" w:name="_Toc332463560"/>
            <w:bookmarkStart w:id="343" w:name="_Toc332463312"/>
            <w:bookmarkStart w:id="344" w:name="_Toc332461527"/>
            <w:bookmarkStart w:id="345" w:name="_Toc332461283"/>
            <w:bookmarkStart w:id="346" w:name="_Toc332461037"/>
            <w:bookmarkStart w:id="347" w:name="_Toc332467837"/>
            <w:bookmarkStart w:id="348" w:name="_Toc332463804"/>
            <w:bookmarkStart w:id="349" w:name="_Toc332463556"/>
            <w:bookmarkStart w:id="350" w:name="_Toc332463308"/>
            <w:bookmarkStart w:id="351" w:name="_Toc332461523"/>
            <w:bookmarkStart w:id="352" w:name="_Toc332461279"/>
            <w:bookmarkStart w:id="353" w:name="_Toc332461033"/>
            <w:bookmarkStart w:id="354" w:name="_Toc332467835"/>
            <w:bookmarkStart w:id="355" w:name="_Toc332463802"/>
            <w:bookmarkStart w:id="356" w:name="_Toc332463554"/>
            <w:bookmarkStart w:id="357" w:name="_Toc332463306"/>
            <w:bookmarkStart w:id="358" w:name="_Toc332461521"/>
            <w:bookmarkStart w:id="359" w:name="_Toc332461277"/>
            <w:bookmarkStart w:id="360" w:name="_Toc332461031"/>
            <w:bookmarkStart w:id="361" w:name="_Toc332467832"/>
            <w:bookmarkStart w:id="362" w:name="_Toc332463799"/>
            <w:bookmarkStart w:id="363" w:name="_Toc332463551"/>
            <w:bookmarkStart w:id="364" w:name="_Toc332463303"/>
            <w:bookmarkStart w:id="365" w:name="_Toc332461518"/>
            <w:bookmarkStart w:id="366" w:name="_Toc332461274"/>
            <w:bookmarkStart w:id="367" w:name="_Toc332461028"/>
            <w:bookmarkStart w:id="368" w:name="_Toc332467831"/>
            <w:bookmarkStart w:id="369" w:name="_Toc332463798"/>
            <w:bookmarkStart w:id="370" w:name="_Toc332463550"/>
            <w:bookmarkStart w:id="371" w:name="_Toc332463302"/>
            <w:bookmarkStart w:id="372" w:name="_Toc332461517"/>
            <w:bookmarkStart w:id="373" w:name="_Toc332461273"/>
            <w:bookmarkStart w:id="374" w:name="_Toc332461027"/>
            <w:bookmarkStart w:id="375" w:name="_Toc332467828"/>
            <w:bookmarkStart w:id="376" w:name="_Toc332463795"/>
            <w:bookmarkStart w:id="377" w:name="_Toc332463547"/>
            <w:bookmarkStart w:id="378" w:name="_Toc332463299"/>
            <w:bookmarkStart w:id="379" w:name="_Toc332461514"/>
            <w:bookmarkStart w:id="380" w:name="_Toc332461270"/>
            <w:bookmarkStart w:id="381" w:name="_Toc332461024"/>
            <w:bookmarkStart w:id="382" w:name="_Toc332467825"/>
            <w:bookmarkStart w:id="383" w:name="_Toc332463792"/>
            <w:bookmarkStart w:id="384" w:name="_Toc332463544"/>
            <w:bookmarkStart w:id="385" w:name="_Toc332463296"/>
            <w:bookmarkStart w:id="386" w:name="_Toc332461511"/>
            <w:bookmarkStart w:id="387" w:name="_Toc332461267"/>
            <w:bookmarkStart w:id="388" w:name="_Toc332461021"/>
            <w:bookmarkStart w:id="389" w:name="_Toc332467824"/>
            <w:bookmarkStart w:id="390" w:name="_Toc332463791"/>
            <w:bookmarkStart w:id="391" w:name="_Toc332463543"/>
            <w:bookmarkStart w:id="392" w:name="_Toc332463295"/>
            <w:bookmarkStart w:id="393" w:name="_Toc332461510"/>
            <w:bookmarkStart w:id="394" w:name="_Toc332461266"/>
            <w:bookmarkStart w:id="395" w:name="_Toc332461020"/>
            <w:bookmarkStart w:id="396" w:name="_Toc332467821"/>
            <w:bookmarkStart w:id="397" w:name="_Toc332463788"/>
            <w:bookmarkStart w:id="398" w:name="_Toc332463540"/>
            <w:bookmarkStart w:id="399" w:name="_Toc332463292"/>
            <w:bookmarkStart w:id="400" w:name="_Toc332461507"/>
            <w:bookmarkStart w:id="401" w:name="_Toc332461263"/>
            <w:bookmarkStart w:id="402" w:name="_Toc332461017"/>
            <w:bookmarkStart w:id="403" w:name="_Toc321924028"/>
            <w:bookmarkStart w:id="404" w:name="_Toc321922440"/>
            <w:bookmarkStart w:id="405" w:name="_Toc321841735"/>
            <w:bookmarkStart w:id="406" w:name="_Toc321830816"/>
            <w:bookmarkStart w:id="407" w:name="_Toc321826912"/>
            <w:bookmarkStart w:id="408" w:name="_Toc321826478"/>
            <w:bookmarkStart w:id="409" w:name="_Toc321825833"/>
            <w:bookmarkStart w:id="410" w:name="_Toc321822934"/>
            <w:bookmarkStart w:id="411" w:name="_Toc332467804"/>
            <w:bookmarkStart w:id="412" w:name="_Toc332463771"/>
            <w:bookmarkStart w:id="413" w:name="_Toc332463523"/>
            <w:bookmarkStart w:id="414" w:name="_Toc332463275"/>
            <w:bookmarkStart w:id="415" w:name="_Toc332461490"/>
            <w:bookmarkStart w:id="416" w:name="_Toc332461246"/>
            <w:bookmarkStart w:id="417" w:name="_Toc332461000"/>
            <w:bookmarkStart w:id="418" w:name="_Toc332457724"/>
            <w:bookmarkStart w:id="419" w:name="_Toc332450666"/>
            <w:bookmarkStart w:id="420" w:name="_Toc332446573"/>
            <w:bookmarkStart w:id="421" w:name="_Toc332445578"/>
            <w:bookmarkStart w:id="422" w:name="_Toc332445254"/>
            <w:bookmarkStart w:id="423" w:name="_Toc332444786"/>
            <w:bookmarkStart w:id="424" w:name="_Toc332467801"/>
            <w:bookmarkStart w:id="425" w:name="_Toc332463768"/>
            <w:bookmarkStart w:id="426" w:name="_Toc332463520"/>
            <w:bookmarkStart w:id="427" w:name="_Toc332463272"/>
            <w:bookmarkStart w:id="428" w:name="_Toc332461487"/>
            <w:bookmarkStart w:id="429" w:name="_Toc332461243"/>
            <w:bookmarkStart w:id="430" w:name="_Toc332460997"/>
            <w:bookmarkStart w:id="431" w:name="_Toc332457721"/>
            <w:bookmarkStart w:id="432" w:name="_Toc332450663"/>
            <w:bookmarkStart w:id="433" w:name="_Toc332446570"/>
            <w:bookmarkStart w:id="434" w:name="_Toc332445575"/>
            <w:bookmarkStart w:id="435" w:name="_Toc332445251"/>
            <w:bookmarkStart w:id="436" w:name="_Toc332444783"/>
            <w:bookmarkStart w:id="437" w:name="_Toc332467800"/>
            <w:bookmarkStart w:id="438" w:name="_Toc332463767"/>
            <w:bookmarkStart w:id="439" w:name="_Toc332463519"/>
            <w:bookmarkStart w:id="440" w:name="_Toc332463271"/>
            <w:bookmarkStart w:id="441" w:name="_Toc332461486"/>
            <w:bookmarkStart w:id="442" w:name="_Toc332461242"/>
            <w:bookmarkStart w:id="443" w:name="_Toc332460996"/>
            <w:bookmarkStart w:id="444" w:name="_Toc332457720"/>
            <w:bookmarkStart w:id="445" w:name="_Toc332450662"/>
            <w:bookmarkStart w:id="446" w:name="_Toc332446569"/>
            <w:bookmarkStart w:id="447" w:name="_Toc332445574"/>
            <w:bookmarkStart w:id="448" w:name="_Toc332445250"/>
            <w:bookmarkStart w:id="449" w:name="_Toc332444782"/>
            <w:bookmarkStart w:id="450" w:name="_Toc332467799"/>
            <w:bookmarkStart w:id="451" w:name="_Toc332463766"/>
            <w:bookmarkStart w:id="452" w:name="_Toc332463518"/>
            <w:bookmarkStart w:id="453" w:name="_Toc332463270"/>
            <w:bookmarkStart w:id="454" w:name="_Toc332461485"/>
            <w:bookmarkStart w:id="455" w:name="_Toc332461241"/>
            <w:bookmarkStart w:id="456" w:name="_Toc332460995"/>
            <w:bookmarkStart w:id="457" w:name="_Toc332457719"/>
            <w:bookmarkStart w:id="458" w:name="_Toc332450661"/>
            <w:bookmarkStart w:id="459" w:name="_Toc332446568"/>
            <w:bookmarkStart w:id="460" w:name="_Toc332445573"/>
            <w:bookmarkStart w:id="461" w:name="_Toc332445249"/>
            <w:bookmarkStart w:id="462" w:name="_Toc332444781"/>
            <w:bookmarkStart w:id="463" w:name="_Toc33166544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r w:rsidRPr="006B17BE">
              <w:rPr>
                <w:rFonts w:asciiTheme="minorHAnsi" w:hAnsiTheme="minorHAnsi"/>
                <w:sz w:val="24"/>
                <w:szCs w:val="24"/>
              </w:rPr>
              <w:t>Term</w:t>
            </w:r>
          </w:p>
        </w:tc>
        <w:tc>
          <w:tcPr>
            <w:tcW w:w="7231" w:type="dxa"/>
            <w:tcBorders>
              <w:top w:val="single" w:sz="4" w:space="0" w:color="auto"/>
              <w:left w:val="single" w:sz="4" w:space="0" w:color="auto"/>
              <w:bottom w:val="single" w:sz="4" w:space="0" w:color="auto"/>
              <w:right w:val="single" w:sz="4" w:space="0" w:color="auto"/>
            </w:tcBorders>
            <w:shd w:val="clear" w:color="auto" w:fill="CCCCCC" w:themeFill="text2" w:themeFillTint="33"/>
            <w:hideMark/>
          </w:tcPr>
          <w:p w14:paraId="502B0BB8" w14:textId="77777777" w:rsidR="00A83A47" w:rsidRPr="006B17BE" w:rsidRDefault="00A83A47">
            <w:pPr>
              <w:pStyle w:val="OWSTableheading"/>
              <w:rPr>
                <w:rFonts w:asciiTheme="minorHAnsi" w:hAnsiTheme="minorHAnsi"/>
                <w:sz w:val="24"/>
                <w:szCs w:val="24"/>
              </w:rPr>
            </w:pPr>
            <w:r w:rsidRPr="006B17BE">
              <w:rPr>
                <w:rFonts w:asciiTheme="minorHAnsi" w:hAnsiTheme="minorHAnsi"/>
                <w:sz w:val="24"/>
                <w:szCs w:val="24"/>
              </w:rPr>
              <w:t>Description</w:t>
            </w:r>
          </w:p>
        </w:tc>
      </w:tr>
      <w:tr w:rsidR="00A83A47" w:rsidRPr="006B17BE" w14:paraId="433FAC02" w14:textId="77777777" w:rsidTr="003B2F9C">
        <w:tc>
          <w:tcPr>
            <w:tcW w:w="1985" w:type="dxa"/>
            <w:tcBorders>
              <w:top w:val="single" w:sz="4" w:space="0" w:color="auto"/>
              <w:left w:val="single" w:sz="4" w:space="0" w:color="auto"/>
              <w:bottom w:val="single" w:sz="4" w:space="0" w:color="auto"/>
              <w:right w:val="single" w:sz="4" w:space="0" w:color="auto"/>
            </w:tcBorders>
            <w:hideMark/>
          </w:tcPr>
          <w:p w14:paraId="678F4152"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Abandoning</w:t>
            </w:r>
          </w:p>
        </w:tc>
        <w:tc>
          <w:tcPr>
            <w:tcW w:w="7231" w:type="dxa"/>
            <w:tcBorders>
              <w:top w:val="single" w:sz="4" w:space="0" w:color="auto"/>
              <w:left w:val="single" w:sz="4" w:space="0" w:color="auto"/>
              <w:bottom w:val="single" w:sz="4" w:space="0" w:color="auto"/>
              <w:right w:val="single" w:sz="4" w:space="0" w:color="auto"/>
            </w:tcBorders>
            <w:hideMark/>
          </w:tcPr>
          <w:p w14:paraId="7DC9D6BA" w14:textId="2DFEB104"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To cease efforts to produce fluids from a well and to plug the well without adversely affecting the environment</w:t>
            </w:r>
            <w:r w:rsidR="00B8549F" w:rsidRPr="006B17BE">
              <w:rPr>
                <w:rFonts w:asciiTheme="minorHAnsi" w:hAnsiTheme="minorHAnsi"/>
                <w:color w:val="auto"/>
                <w:sz w:val="24"/>
                <w:szCs w:val="24"/>
              </w:rPr>
              <w:t>.</w:t>
            </w:r>
          </w:p>
        </w:tc>
      </w:tr>
      <w:tr w:rsidR="00A83A47" w:rsidRPr="006B17BE" w14:paraId="0CC9F0E3" w14:textId="77777777" w:rsidTr="003B2F9C">
        <w:tc>
          <w:tcPr>
            <w:tcW w:w="1985" w:type="dxa"/>
            <w:tcBorders>
              <w:top w:val="single" w:sz="4" w:space="0" w:color="auto"/>
              <w:left w:val="single" w:sz="4" w:space="0" w:color="auto"/>
              <w:bottom w:val="single" w:sz="4" w:space="0" w:color="auto"/>
              <w:right w:val="single" w:sz="4" w:space="0" w:color="auto"/>
            </w:tcBorders>
            <w:hideMark/>
          </w:tcPr>
          <w:p w14:paraId="7CB6AE1A"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Annulus</w:t>
            </w:r>
          </w:p>
        </w:tc>
        <w:tc>
          <w:tcPr>
            <w:tcW w:w="7231" w:type="dxa"/>
            <w:tcBorders>
              <w:top w:val="single" w:sz="4" w:space="0" w:color="auto"/>
              <w:left w:val="single" w:sz="4" w:space="0" w:color="auto"/>
              <w:bottom w:val="single" w:sz="4" w:space="0" w:color="auto"/>
              <w:right w:val="single" w:sz="4" w:space="0" w:color="auto"/>
            </w:tcBorders>
            <w:hideMark/>
          </w:tcPr>
          <w:p w14:paraId="0742126F" w14:textId="64D673FA" w:rsidR="00A83A47" w:rsidRPr="006B17BE" w:rsidRDefault="00A83A47" w:rsidP="006552DB">
            <w:pPr>
              <w:pStyle w:val="OWSTabletext"/>
              <w:rPr>
                <w:rFonts w:asciiTheme="minorHAnsi" w:eastAsia="Tahoma" w:hAnsiTheme="minorHAnsi"/>
                <w:color w:val="auto"/>
                <w:sz w:val="24"/>
                <w:szCs w:val="24"/>
              </w:rPr>
            </w:pPr>
            <w:r w:rsidRPr="006B17BE">
              <w:rPr>
                <w:rFonts w:asciiTheme="minorHAnsi" w:hAnsiTheme="minorHAnsi"/>
                <w:color w:val="auto"/>
                <w:sz w:val="24"/>
                <w:szCs w:val="24"/>
              </w:rPr>
              <w:t xml:space="preserve">The gap between tubing and casing or between two casing strings or between the casing and the wellbore. The annulus between the tubing and casing is the primary path for producing gas from </w:t>
            </w:r>
            <w:r w:rsidR="006552DB">
              <w:rPr>
                <w:rFonts w:asciiTheme="minorHAnsi" w:hAnsiTheme="minorHAnsi"/>
                <w:color w:val="auto"/>
                <w:sz w:val="24"/>
                <w:szCs w:val="24"/>
              </w:rPr>
              <w:t>coal seam gas</w:t>
            </w:r>
            <w:r w:rsidRPr="006B17BE">
              <w:rPr>
                <w:rFonts w:asciiTheme="minorHAnsi" w:hAnsiTheme="minorHAnsi"/>
                <w:color w:val="auto"/>
                <w:sz w:val="24"/>
                <w:szCs w:val="24"/>
              </w:rPr>
              <w:t xml:space="preserve"> wells.</w:t>
            </w:r>
          </w:p>
        </w:tc>
      </w:tr>
      <w:tr w:rsidR="00A83A47" w:rsidRPr="006B17BE" w14:paraId="4EE530D6"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3A2AEFA9" w14:textId="77777777" w:rsidR="00A83A47" w:rsidRPr="006B17BE" w:rsidRDefault="00A83A47">
            <w:pPr>
              <w:pStyle w:val="OWSTabletext"/>
              <w:rPr>
                <w:rFonts w:asciiTheme="minorHAnsi" w:eastAsiaTheme="minorEastAsia" w:hAnsiTheme="minorHAnsi"/>
                <w:color w:val="auto"/>
                <w:sz w:val="24"/>
                <w:szCs w:val="24"/>
              </w:rPr>
            </w:pPr>
            <w:r w:rsidRPr="006B17BE">
              <w:rPr>
                <w:rFonts w:asciiTheme="minorHAnsi" w:hAnsiTheme="minorHAnsi"/>
                <w:color w:val="auto"/>
                <w:sz w:val="24"/>
                <w:szCs w:val="24"/>
              </w:rPr>
              <w:t>Bore</w:t>
            </w:r>
          </w:p>
        </w:tc>
        <w:tc>
          <w:tcPr>
            <w:tcW w:w="7231" w:type="dxa"/>
            <w:tcBorders>
              <w:top w:val="nil"/>
              <w:left w:val="nil"/>
              <w:bottom w:val="single" w:sz="4" w:space="0" w:color="auto"/>
              <w:right w:val="single" w:sz="4" w:space="0" w:color="auto"/>
            </w:tcBorders>
            <w:hideMark/>
          </w:tcPr>
          <w:p w14:paraId="1C38ECE8"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A narrow, artificially constructed hole or cavity used to intercept, collect or store water from an aquifer, or to passively observe or collect groundwater information. Also known as a borehole, drill holes or piezometer. This report uses the term ‘bore’ in reference to the extraction, exploration or monitoring or water.</w:t>
            </w:r>
            <w:r w:rsidRPr="006B17BE">
              <w:rPr>
                <w:rFonts w:asciiTheme="minorHAnsi" w:hAnsiTheme="minorHAnsi"/>
                <w:sz w:val="24"/>
                <w:szCs w:val="24"/>
              </w:rPr>
              <w:t xml:space="preserve"> </w:t>
            </w:r>
          </w:p>
        </w:tc>
      </w:tr>
      <w:tr w:rsidR="00A83A47" w:rsidRPr="006B17BE" w14:paraId="315C967C"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498F5031"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Borehole</w:t>
            </w:r>
          </w:p>
        </w:tc>
        <w:tc>
          <w:tcPr>
            <w:tcW w:w="7231" w:type="dxa"/>
            <w:tcBorders>
              <w:top w:val="nil"/>
              <w:left w:val="nil"/>
              <w:bottom w:val="single" w:sz="4" w:space="0" w:color="auto"/>
              <w:right w:val="single" w:sz="4" w:space="0" w:color="auto"/>
            </w:tcBorders>
            <w:hideMark/>
          </w:tcPr>
          <w:p w14:paraId="1A044876"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A hole drilled for purposes other than production of oil, gas or water (e.g. a mineral exploration borehole).</w:t>
            </w:r>
          </w:p>
        </w:tc>
      </w:tr>
      <w:tr w:rsidR="00A83A47" w:rsidRPr="006B17BE" w14:paraId="6ED6B5E8"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1EEE22E5"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Coal seam gas</w:t>
            </w:r>
          </w:p>
        </w:tc>
        <w:tc>
          <w:tcPr>
            <w:tcW w:w="7231" w:type="dxa"/>
            <w:tcBorders>
              <w:top w:val="nil"/>
              <w:left w:val="nil"/>
              <w:bottom w:val="single" w:sz="4" w:space="0" w:color="auto"/>
              <w:right w:val="single" w:sz="4" w:space="0" w:color="auto"/>
            </w:tcBorders>
            <w:hideMark/>
          </w:tcPr>
          <w:p w14:paraId="30BD724D"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A form of natural gas (generally 95 to 97% pure methane, CH</w:t>
            </w:r>
            <w:r w:rsidRPr="006B17BE">
              <w:rPr>
                <w:rFonts w:asciiTheme="minorHAnsi" w:hAnsiTheme="minorHAnsi"/>
                <w:color w:val="auto"/>
                <w:sz w:val="24"/>
                <w:szCs w:val="24"/>
                <w:vertAlign w:val="subscript"/>
              </w:rPr>
              <w:t>4</w:t>
            </w:r>
            <w:r w:rsidRPr="006B17BE">
              <w:rPr>
                <w:rFonts w:asciiTheme="minorHAnsi" w:hAnsiTheme="minorHAnsi"/>
                <w:color w:val="auto"/>
                <w:sz w:val="24"/>
                <w:szCs w:val="24"/>
              </w:rPr>
              <w:t>) typically extracted from permeable coal seams at depths of 300 to 1000 m. Also called coal seam methane (CSM) or coalbed methane (CBM).</w:t>
            </w:r>
          </w:p>
        </w:tc>
      </w:tr>
      <w:tr w:rsidR="00A83A47" w:rsidRPr="006B17BE" w14:paraId="5ADB87A7"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585B10B1"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Decommissioning</w:t>
            </w:r>
          </w:p>
        </w:tc>
        <w:tc>
          <w:tcPr>
            <w:tcW w:w="7231" w:type="dxa"/>
            <w:tcBorders>
              <w:top w:val="nil"/>
              <w:left w:val="nil"/>
              <w:bottom w:val="single" w:sz="4" w:space="0" w:color="auto"/>
              <w:right w:val="single" w:sz="4" w:space="0" w:color="auto"/>
            </w:tcBorders>
            <w:hideMark/>
          </w:tcPr>
          <w:p w14:paraId="389C2F9E" w14:textId="1ED9B72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The process to remove a well from service</w:t>
            </w:r>
            <w:r w:rsidR="00B8549F" w:rsidRPr="006B17BE">
              <w:rPr>
                <w:rFonts w:asciiTheme="minorHAnsi" w:hAnsiTheme="minorHAnsi"/>
                <w:color w:val="auto"/>
                <w:sz w:val="24"/>
                <w:szCs w:val="24"/>
              </w:rPr>
              <w:t>.</w:t>
            </w:r>
          </w:p>
        </w:tc>
      </w:tr>
      <w:tr w:rsidR="00A83A47" w:rsidRPr="006B17BE" w14:paraId="7A3061C4"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5AFB21FD"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Formation pore pressure</w:t>
            </w:r>
          </w:p>
        </w:tc>
        <w:tc>
          <w:tcPr>
            <w:tcW w:w="7231" w:type="dxa"/>
            <w:tcBorders>
              <w:top w:val="nil"/>
              <w:left w:val="nil"/>
              <w:bottom w:val="single" w:sz="4" w:space="0" w:color="auto"/>
              <w:right w:val="single" w:sz="4" w:space="0" w:color="auto"/>
            </w:tcBorders>
            <w:hideMark/>
          </w:tcPr>
          <w:p w14:paraId="6F53BAC1"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The pressure in the porous rock around the well.</w:t>
            </w:r>
          </w:p>
        </w:tc>
      </w:tr>
      <w:tr w:rsidR="00A83A47" w:rsidRPr="006B17BE" w14:paraId="16D4705D"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06DC888A"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Fracture gradient</w:t>
            </w:r>
          </w:p>
        </w:tc>
        <w:tc>
          <w:tcPr>
            <w:tcW w:w="7231" w:type="dxa"/>
            <w:tcBorders>
              <w:top w:val="nil"/>
              <w:left w:val="nil"/>
              <w:bottom w:val="single" w:sz="4" w:space="0" w:color="auto"/>
              <w:right w:val="single" w:sz="4" w:space="0" w:color="auto"/>
            </w:tcBorders>
            <w:hideMark/>
          </w:tcPr>
          <w:p w14:paraId="556ECDA7" w14:textId="21541EB3" w:rsidR="00A83A47" w:rsidRPr="006B17BE" w:rsidRDefault="00A83A47">
            <w:pPr>
              <w:pStyle w:val="OWSTabletext"/>
              <w:rPr>
                <w:rFonts w:asciiTheme="minorHAnsi" w:hAnsiTheme="minorHAnsi"/>
                <w:sz w:val="24"/>
                <w:szCs w:val="24"/>
              </w:rPr>
            </w:pPr>
            <w:r w:rsidRPr="006B17BE">
              <w:rPr>
                <w:rFonts w:asciiTheme="minorHAnsi" w:hAnsiTheme="minorHAnsi"/>
                <w:sz w:val="24"/>
                <w:szCs w:val="24"/>
              </w:rPr>
              <w:t>The pressure required to induce fractures in rock at a given depth</w:t>
            </w:r>
            <w:r w:rsidR="00B8549F" w:rsidRPr="006B17BE">
              <w:rPr>
                <w:rFonts w:asciiTheme="minorHAnsi" w:hAnsiTheme="minorHAnsi"/>
                <w:sz w:val="24"/>
                <w:szCs w:val="24"/>
              </w:rPr>
              <w:t>.</w:t>
            </w:r>
          </w:p>
        </w:tc>
      </w:tr>
      <w:tr w:rsidR="00A83A47" w:rsidRPr="006B17BE" w14:paraId="7A521921"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6EE75A74"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Hydraulic fracturing</w:t>
            </w:r>
          </w:p>
        </w:tc>
        <w:tc>
          <w:tcPr>
            <w:tcW w:w="7231" w:type="dxa"/>
            <w:tcBorders>
              <w:top w:val="nil"/>
              <w:left w:val="nil"/>
              <w:bottom w:val="single" w:sz="4" w:space="0" w:color="auto"/>
              <w:right w:val="single" w:sz="4" w:space="0" w:color="auto"/>
            </w:tcBorders>
            <w:hideMark/>
          </w:tcPr>
          <w:p w14:paraId="3C85F699"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Also known as ‘fracking’, ‘fraccing’, ‘fracture simulation’ or ‘fluid-driven fractures’, is the process by which hydrocarbon (oil and gas) bearing geological formations are ‘stimulated’ to enhance the flow of hydrocarbons and other fluids towards the well. The process involves the injection of fluids, gas, proppant and other additives under high pressure into a geological formation to create a fracture connecting the well to the reservoir. The fracture acts as a high conductivity channel through which the gas, and any associated water, can flow.</w:t>
            </w:r>
          </w:p>
        </w:tc>
      </w:tr>
      <w:tr w:rsidR="00A83A47" w:rsidRPr="006B17BE" w14:paraId="322AB533"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3A9B071E"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Hydrostatic pressure</w:t>
            </w:r>
          </w:p>
        </w:tc>
        <w:tc>
          <w:tcPr>
            <w:tcW w:w="7231" w:type="dxa"/>
            <w:tcBorders>
              <w:top w:val="nil"/>
              <w:left w:val="nil"/>
              <w:bottom w:val="single" w:sz="4" w:space="0" w:color="auto"/>
              <w:right w:val="single" w:sz="4" w:space="0" w:color="auto"/>
            </w:tcBorders>
            <w:hideMark/>
          </w:tcPr>
          <w:p w14:paraId="686CD4C0" w14:textId="77777777" w:rsidR="00A83A47" w:rsidRPr="006B17BE" w:rsidRDefault="00A83A47">
            <w:pPr>
              <w:pStyle w:val="OWSTabletext"/>
              <w:rPr>
                <w:rFonts w:asciiTheme="minorHAnsi" w:eastAsia="Tahoma" w:hAnsiTheme="minorHAnsi"/>
                <w:color w:val="auto"/>
                <w:sz w:val="24"/>
                <w:szCs w:val="24"/>
              </w:rPr>
            </w:pPr>
            <w:r w:rsidRPr="006B17BE">
              <w:rPr>
                <w:rFonts w:asciiTheme="minorHAnsi" w:hAnsiTheme="minorHAnsi"/>
                <w:color w:val="auto"/>
                <w:sz w:val="24"/>
                <w:szCs w:val="24"/>
              </w:rPr>
              <w:t>The theoretical pore pressure that would be expected purely from the weight of water in a column running from the depth of interest to the surface.</w:t>
            </w:r>
          </w:p>
        </w:tc>
      </w:tr>
      <w:tr w:rsidR="002D72D3" w:rsidRPr="006B17BE" w14:paraId="7C1F12B6" w14:textId="77777777" w:rsidTr="003B2F9C">
        <w:trPr>
          <w:trHeight w:val="300"/>
        </w:trPr>
        <w:tc>
          <w:tcPr>
            <w:tcW w:w="1985" w:type="dxa"/>
            <w:tcBorders>
              <w:top w:val="nil"/>
              <w:left w:val="single" w:sz="4" w:space="0" w:color="auto"/>
              <w:bottom w:val="single" w:sz="4" w:space="0" w:color="auto"/>
              <w:right w:val="single" w:sz="4" w:space="0" w:color="auto"/>
            </w:tcBorders>
          </w:tcPr>
          <w:p w14:paraId="6146A52C" w14:textId="7E1B5C53" w:rsidR="002D72D3" w:rsidRPr="006B17BE" w:rsidRDefault="00B8549F">
            <w:pPr>
              <w:pStyle w:val="OWSTabletext"/>
              <w:rPr>
                <w:rFonts w:asciiTheme="minorHAnsi" w:hAnsiTheme="minorHAnsi"/>
                <w:color w:val="auto"/>
                <w:sz w:val="24"/>
                <w:szCs w:val="24"/>
              </w:rPr>
            </w:pPr>
            <w:r w:rsidRPr="006B17BE">
              <w:rPr>
                <w:rFonts w:asciiTheme="minorHAnsi" w:hAnsiTheme="minorHAnsi"/>
                <w:color w:val="auto"/>
                <w:sz w:val="24"/>
                <w:szCs w:val="24"/>
              </w:rPr>
              <w:t>Open w</w:t>
            </w:r>
            <w:r w:rsidR="002D72D3" w:rsidRPr="006B17BE">
              <w:rPr>
                <w:rFonts w:asciiTheme="minorHAnsi" w:hAnsiTheme="minorHAnsi"/>
                <w:color w:val="auto"/>
                <w:sz w:val="24"/>
                <w:szCs w:val="24"/>
              </w:rPr>
              <w:t>ell</w:t>
            </w:r>
          </w:p>
        </w:tc>
        <w:tc>
          <w:tcPr>
            <w:tcW w:w="7231" w:type="dxa"/>
            <w:tcBorders>
              <w:top w:val="nil"/>
              <w:left w:val="nil"/>
              <w:bottom w:val="single" w:sz="4" w:space="0" w:color="auto"/>
              <w:right w:val="single" w:sz="4" w:space="0" w:color="auto"/>
            </w:tcBorders>
          </w:tcPr>
          <w:p w14:paraId="6E3B830A" w14:textId="36A27297" w:rsidR="002D72D3" w:rsidRPr="006B17BE" w:rsidRDefault="002D72D3" w:rsidP="002D72D3">
            <w:pPr>
              <w:pStyle w:val="OWSTabletext"/>
              <w:rPr>
                <w:rFonts w:asciiTheme="minorHAnsi" w:hAnsiTheme="minorHAnsi"/>
                <w:color w:val="auto"/>
                <w:sz w:val="24"/>
                <w:szCs w:val="24"/>
              </w:rPr>
            </w:pPr>
            <w:r w:rsidRPr="006B17BE">
              <w:rPr>
                <w:rFonts w:asciiTheme="minorHAnsi" w:hAnsiTheme="minorHAnsi"/>
                <w:color w:val="auto"/>
                <w:sz w:val="24"/>
                <w:szCs w:val="24"/>
              </w:rPr>
              <w:t>As used in this report</w:t>
            </w:r>
            <w:r w:rsidRPr="006B17BE">
              <w:rPr>
                <w:rFonts w:asciiTheme="minorHAnsi" w:hAnsiTheme="minorHAnsi"/>
                <w:sz w:val="24"/>
                <w:szCs w:val="24"/>
              </w:rPr>
              <w:t>: A completed well or wellbore that has continuity through the well column and open communication with the aquifer. Examples include an abandoned exploration wellbore that has not been through a process of decommissioning or a production well that has been repurposed for water extraction.</w:t>
            </w:r>
          </w:p>
        </w:tc>
      </w:tr>
      <w:tr w:rsidR="00B66D97" w:rsidRPr="006B17BE" w14:paraId="3F5C3FB1" w14:textId="77777777" w:rsidTr="003B2F9C">
        <w:trPr>
          <w:trHeight w:val="300"/>
        </w:trPr>
        <w:tc>
          <w:tcPr>
            <w:tcW w:w="1985" w:type="dxa"/>
            <w:tcBorders>
              <w:top w:val="nil"/>
              <w:left w:val="single" w:sz="4" w:space="0" w:color="auto"/>
              <w:bottom w:val="single" w:sz="4" w:space="0" w:color="auto"/>
              <w:right w:val="single" w:sz="4" w:space="0" w:color="auto"/>
            </w:tcBorders>
          </w:tcPr>
          <w:p w14:paraId="686F75AA" w14:textId="13682BEE" w:rsidR="00B66D97" w:rsidRPr="006B17BE" w:rsidRDefault="00B8549F">
            <w:pPr>
              <w:pStyle w:val="OWSTabletext"/>
              <w:rPr>
                <w:rFonts w:asciiTheme="minorHAnsi" w:hAnsiTheme="minorHAnsi"/>
                <w:color w:val="auto"/>
                <w:sz w:val="24"/>
                <w:szCs w:val="24"/>
              </w:rPr>
            </w:pPr>
            <w:r w:rsidRPr="006B17BE">
              <w:rPr>
                <w:rFonts w:asciiTheme="minorHAnsi" w:hAnsiTheme="minorHAnsi"/>
                <w:color w:val="auto"/>
                <w:sz w:val="24"/>
                <w:szCs w:val="24"/>
              </w:rPr>
              <w:t>Offset w</w:t>
            </w:r>
            <w:r w:rsidR="00B66D97" w:rsidRPr="006B17BE">
              <w:rPr>
                <w:rFonts w:asciiTheme="minorHAnsi" w:hAnsiTheme="minorHAnsi"/>
                <w:color w:val="auto"/>
                <w:sz w:val="24"/>
                <w:szCs w:val="24"/>
              </w:rPr>
              <w:t>ellbores</w:t>
            </w:r>
          </w:p>
        </w:tc>
        <w:tc>
          <w:tcPr>
            <w:tcW w:w="7231" w:type="dxa"/>
            <w:tcBorders>
              <w:top w:val="nil"/>
              <w:left w:val="nil"/>
              <w:bottom w:val="single" w:sz="4" w:space="0" w:color="auto"/>
              <w:right w:val="single" w:sz="4" w:space="0" w:color="auto"/>
            </w:tcBorders>
          </w:tcPr>
          <w:p w14:paraId="1701E934" w14:textId="1A5C514E" w:rsidR="00B66D97" w:rsidRPr="006B17BE" w:rsidRDefault="00432BF2" w:rsidP="002D72D3">
            <w:pPr>
              <w:pStyle w:val="OWSTabletext"/>
              <w:rPr>
                <w:rFonts w:asciiTheme="minorHAnsi" w:hAnsiTheme="minorHAnsi"/>
                <w:color w:val="auto"/>
                <w:sz w:val="24"/>
                <w:szCs w:val="24"/>
              </w:rPr>
            </w:pPr>
            <w:r w:rsidRPr="006B17BE">
              <w:rPr>
                <w:rFonts w:asciiTheme="minorHAnsi" w:hAnsiTheme="minorHAnsi"/>
                <w:sz w:val="24"/>
                <w:szCs w:val="24"/>
              </w:rPr>
              <w:t>An existing wellbore close to a proposed well that provides information for planning the proposed well.</w:t>
            </w:r>
          </w:p>
        </w:tc>
      </w:tr>
      <w:tr w:rsidR="00A83A47" w:rsidRPr="006B17BE" w14:paraId="6F2DBAA7"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74006FAC"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Well</w:t>
            </w:r>
          </w:p>
        </w:tc>
        <w:tc>
          <w:tcPr>
            <w:tcW w:w="7231" w:type="dxa"/>
            <w:tcBorders>
              <w:top w:val="nil"/>
              <w:left w:val="nil"/>
              <w:bottom w:val="single" w:sz="4" w:space="0" w:color="auto"/>
              <w:right w:val="single" w:sz="4" w:space="0" w:color="auto"/>
            </w:tcBorders>
            <w:hideMark/>
          </w:tcPr>
          <w:p w14:paraId="4FC90E12"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As used in this report: a completed structure, following drilling of a wellbore, used for production of oil or gas and typically including casing, cement, and tubing strings.</w:t>
            </w:r>
          </w:p>
        </w:tc>
      </w:tr>
      <w:tr w:rsidR="00A83A47" w:rsidRPr="006B17BE" w14:paraId="458F669C"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40A18EC7" w14:textId="78B76D61"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 xml:space="preserve">Well failure </w:t>
            </w:r>
          </w:p>
        </w:tc>
        <w:tc>
          <w:tcPr>
            <w:tcW w:w="7231" w:type="dxa"/>
            <w:tcBorders>
              <w:top w:val="nil"/>
              <w:left w:val="nil"/>
              <w:bottom w:val="single" w:sz="4" w:space="0" w:color="auto"/>
              <w:right w:val="single" w:sz="4" w:space="0" w:color="auto"/>
            </w:tcBorders>
            <w:hideMark/>
          </w:tcPr>
          <w:p w14:paraId="10EF40A3"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 xml:space="preserve">Well failure or loss of well integrity may result from a well breach (or number of well breaches). Well failure can take the form of a hydrological (fluid movement between different geological units) or environmental (fluid leaks from the well at surface or contamination of water resources) breach. </w:t>
            </w:r>
          </w:p>
        </w:tc>
      </w:tr>
      <w:tr w:rsidR="00A83A47" w:rsidRPr="006B17BE" w14:paraId="2705FFA0" w14:textId="77777777" w:rsidTr="003B2F9C">
        <w:trPr>
          <w:trHeight w:val="300"/>
        </w:trPr>
        <w:tc>
          <w:tcPr>
            <w:tcW w:w="1985" w:type="dxa"/>
            <w:tcBorders>
              <w:top w:val="nil"/>
              <w:left w:val="single" w:sz="4" w:space="0" w:color="auto"/>
              <w:bottom w:val="single" w:sz="4" w:space="0" w:color="auto"/>
              <w:right w:val="single" w:sz="4" w:space="0" w:color="auto"/>
            </w:tcBorders>
            <w:hideMark/>
          </w:tcPr>
          <w:p w14:paraId="2C8BEC6E"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Wellbore</w:t>
            </w:r>
          </w:p>
        </w:tc>
        <w:tc>
          <w:tcPr>
            <w:tcW w:w="7231" w:type="dxa"/>
            <w:tcBorders>
              <w:top w:val="nil"/>
              <w:left w:val="nil"/>
              <w:bottom w:val="single" w:sz="4" w:space="0" w:color="auto"/>
              <w:right w:val="single" w:sz="4" w:space="0" w:color="auto"/>
            </w:tcBorders>
            <w:hideMark/>
          </w:tcPr>
          <w:p w14:paraId="0EF9FA5A"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The hole initially produced by drilling and intended to be cased and cemented to create a well for production of oil or gas.</w:t>
            </w:r>
          </w:p>
        </w:tc>
      </w:tr>
    </w:tbl>
    <w:p w14:paraId="6FD764EB" w14:textId="77777777" w:rsidR="00A83A47" w:rsidRPr="006B17BE" w:rsidRDefault="00A83A47" w:rsidP="00A83A47">
      <w:pPr>
        <w:pStyle w:val="Heading1"/>
        <w:numPr>
          <w:ilvl w:val="0"/>
          <w:numId w:val="0"/>
        </w:numPr>
        <w:ind w:left="1134" w:hanging="1134"/>
        <w:rPr>
          <w:rFonts w:asciiTheme="minorHAnsi" w:hAnsiTheme="minorHAnsi"/>
          <w:sz w:val="24"/>
          <w:szCs w:val="24"/>
        </w:rPr>
      </w:pPr>
      <w:bookmarkStart w:id="464" w:name="_Toc432618724"/>
      <w:bookmarkStart w:id="465" w:name="_Toc483567930"/>
      <w:r w:rsidRPr="006B17BE">
        <w:rPr>
          <w:rFonts w:asciiTheme="minorHAnsi" w:hAnsiTheme="minorHAnsi"/>
          <w:sz w:val="24"/>
          <w:szCs w:val="24"/>
        </w:rPr>
        <w:t>Symbols</w:t>
      </w:r>
      <w:bookmarkEnd w:id="464"/>
      <w:bookmarkEnd w:id="465"/>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68"/>
        <w:gridCol w:w="6946"/>
      </w:tblGrid>
      <w:tr w:rsidR="00A83A47" w:rsidRPr="006B17BE" w14:paraId="655A48EC" w14:textId="77777777" w:rsidTr="00D826CC">
        <w:trPr>
          <w:tblHeader/>
        </w:trPr>
        <w:tc>
          <w:tcPr>
            <w:tcW w:w="2268" w:type="dxa"/>
            <w:tcBorders>
              <w:top w:val="single" w:sz="4" w:space="0" w:color="auto"/>
              <w:left w:val="single" w:sz="4" w:space="0" w:color="auto"/>
              <w:bottom w:val="single" w:sz="4" w:space="0" w:color="auto"/>
              <w:right w:val="single" w:sz="4" w:space="0" w:color="auto"/>
            </w:tcBorders>
            <w:shd w:val="clear" w:color="auto" w:fill="CCCCCC"/>
            <w:hideMark/>
          </w:tcPr>
          <w:p w14:paraId="3547794B"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Symbol</w:t>
            </w:r>
          </w:p>
        </w:tc>
        <w:tc>
          <w:tcPr>
            <w:tcW w:w="6946" w:type="dxa"/>
            <w:tcBorders>
              <w:top w:val="single" w:sz="4" w:space="0" w:color="auto"/>
              <w:left w:val="single" w:sz="4" w:space="0" w:color="auto"/>
              <w:bottom w:val="single" w:sz="4" w:space="0" w:color="auto"/>
              <w:right w:val="single" w:sz="4" w:space="0" w:color="auto"/>
            </w:tcBorders>
            <w:shd w:val="clear" w:color="auto" w:fill="CCCCCC"/>
            <w:hideMark/>
          </w:tcPr>
          <w:p w14:paraId="1205033F" w14:textId="77777777" w:rsidR="00A83A47" w:rsidRPr="006B17BE" w:rsidRDefault="00A83A47">
            <w:pPr>
              <w:pStyle w:val="OWSTabletext"/>
              <w:rPr>
                <w:rFonts w:asciiTheme="minorHAnsi" w:hAnsiTheme="minorHAnsi"/>
                <w:b/>
                <w:sz w:val="24"/>
                <w:szCs w:val="24"/>
              </w:rPr>
            </w:pPr>
            <w:r w:rsidRPr="006B17BE">
              <w:rPr>
                <w:rFonts w:asciiTheme="minorHAnsi" w:hAnsiTheme="minorHAnsi"/>
                <w:color w:val="auto"/>
                <w:sz w:val="24"/>
                <w:szCs w:val="24"/>
              </w:rPr>
              <w:t>Short description, units</w:t>
            </w:r>
          </w:p>
        </w:tc>
      </w:tr>
      <w:tr w:rsidR="00A83A47" w:rsidRPr="006B17BE" w14:paraId="6DECC11D"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53AC790C" w14:textId="77777777" w:rsidR="00A83A47" w:rsidRPr="006B17BE" w:rsidRDefault="00A83A47">
            <w:pPr>
              <w:pStyle w:val="OWSTabletext"/>
              <w:rPr>
                <w:rFonts w:asciiTheme="minorHAnsi" w:hAnsiTheme="minorHAnsi"/>
                <w:i/>
                <w:color w:val="auto"/>
                <w:sz w:val="24"/>
                <w:szCs w:val="24"/>
              </w:rPr>
            </w:pPr>
            <w:r w:rsidRPr="006B17BE">
              <w:rPr>
                <w:rFonts w:asciiTheme="minorHAnsi" w:hAnsiTheme="minorHAnsi"/>
                <w:i/>
                <w:color w:val="auto"/>
                <w:sz w:val="24"/>
                <w:szCs w:val="24"/>
              </w:rPr>
              <w:t>A</w:t>
            </w:r>
          </w:p>
        </w:tc>
        <w:tc>
          <w:tcPr>
            <w:tcW w:w="6946" w:type="dxa"/>
            <w:tcBorders>
              <w:top w:val="single" w:sz="4" w:space="0" w:color="auto"/>
              <w:left w:val="single" w:sz="4" w:space="0" w:color="auto"/>
              <w:bottom w:val="single" w:sz="4" w:space="0" w:color="auto"/>
              <w:right w:val="single" w:sz="4" w:space="0" w:color="auto"/>
            </w:tcBorders>
            <w:hideMark/>
          </w:tcPr>
          <w:p w14:paraId="1AACB01B"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Cross-section flow area [m</w:t>
            </w:r>
            <w:r w:rsidRPr="006B17BE">
              <w:rPr>
                <w:rFonts w:asciiTheme="minorHAnsi" w:hAnsiTheme="minorHAnsi"/>
                <w:color w:val="auto"/>
                <w:sz w:val="24"/>
                <w:szCs w:val="24"/>
                <w:vertAlign w:val="superscript"/>
              </w:rPr>
              <w:t>2</w:t>
            </w:r>
            <w:r w:rsidRPr="006B17BE">
              <w:rPr>
                <w:rFonts w:asciiTheme="minorHAnsi" w:hAnsiTheme="minorHAnsi"/>
                <w:color w:val="auto"/>
                <w:sz w:val="24"/>
                <w:szCs w:val="24"/>
              </w:rPr>
              <w:t>]</w:t>
            </w:r>
          </w:p>
        </w:tc>
      </w:tr>
      <w:tr w:rsidR="004B271A" w:rsidRPr="006B17BE" w14:paraId="53DEB1C5" w14:textId="77777777" w:rsidTr="00A83A47">
        <w:tc>
          <w:tcPr>
            <w:tcW w:w="2268" w:type="dxa"/>
            <w:tcBorders>
              <w:top w:val="single" w:sz="4" w:space="0" w:color="auto"/>
              <w:left w:val="single" w:sz="4" w:space="0" w:color="auto"/>
              <w:bottom w:val="single" w:sz="4" w:space="0" w:color="auto"/>
              <w:right w:val="single" w:sz="4" w:space="0" w:color="auto"/>
            </w:tcBorders>
          </w:tcPr>
          <w:p w14:paraId="182C6F12" w14:textId="2156AEF5" w:rsidR="004B271A" w:rsidRPr="006B17BE" w:rsidRDefault="004B271A">
            <w:pPr>
              <w:pStyle w:val="OWSTabletext"/>
              <w:rPr>
                <w:rFonts w:asciiTheme="minorHAnsi" w:hAnsiTheme="minorHAnsi"/>
                <w:i/>
                <w:color w:val="auto"/>
                <w:sz w:val="24"/>
                <w:szCs w:val="24"/>
              </w:rPr>
            </w:pPr>
            <w:r w:rsidRPr="006B17BE">
              <w:rPr>
                <w:rFonts w:asciiTheme="minorHAnsi" w:hAnsiTheme="minorHAnsi"/>
                <w:i/>
                <w:color w:val="auto"/>
                <w:sz w:val="24"/>
                <w:szCs w:val="24"/>
              </w:rPr>
              <w:t>A</w:t>
            </w:r>
            <w:r w:rsidRPr="006B17BE">
              <w:rPr>
                <w:rFonts w:asciiTheme="minorHAnsi" w:hAnsiTheme="minorHAnsi"/>
                <w:i/>
                <w:color w:val="auto"/>
                <w:sz w:val="24"/>
                <w:szCs w:val="24"/>
                <w:vertAlign w:val="subscript"/>
              </w:rPr>
              <w:t>ref</w:t>
            </w:r>
          </w:p>
        </w:tc>
        <w:tc>
          <w:tcPr>
            <w:tcW w:w="6946" w:type="dxa"/>
            <w:tcBorders>
              <w:top w:val="single" w:sz="4" w:space="0" w:color="auto"/>
              <w:left w:val="single" w:sz="4" w:space="0" w:color="auto"/>
              <w:bottom w:val="single" w:sz="4" w:space="0" w:color="auto"/>
              <w:right w:val="single" w:sz="4" w:space="0" w:color="auto"/>
            </w:tcBorders>
          </w:tcPr>
          <w:p w14:paraId="7BADC154" w14:textId="7AC4432A" w:rsidR="004B271A" w:rsidRPr="006B17BE" w:rsidRDefault="004B271A" w:rsidP="004B271A">
            <w:pPr>
              <w:pStyle w:val="OWSTabletext"/>
              <w:rPr>
                <w:rFonts w:asciiTheme="minorHAnsi" w:hAnsiTheme="minorHAnsi"/>
                <w:color w:val="auto"/>
                <w:sz w:val="24"/>
                <w:szCs w:val="24"/>
              </w:rPr>
            </w:pPr>
            <w:r w:rsidRPr="006B17BE">
              <w:rPr>
                <w:rFonts w:asciiTheme="minorHAnsi" w:hAnsiTheme="minorHAnsi"/>
                <w:sz w:val="24"/>
                <w:szCs w:val="24"/>
              </w:rPr>
              <w:t>Area of the reference aquitard [m</w:t>
            </w:r>
            <w:r w:rsidRPr="006B17BE">
              <w:rPr>
                <w:rFonts w:asciiTheme="minorHAnsi" w:hAnsiTheme="minorHAnsi"/>
                <w:sz w:val="24"/>
                <w:szCs w:val="24"/>
                <w:vertAlign w:val="superscript"/>
              </w:rPr>
              <w:t>2</w:t>
            </w:r>
            <w:r w:rsidRPr="006B17BE">
              <w:rPr>
                <w:rFonts w:asciiTheme="minorHAnsi" w:hAnsiTheme="minorHAnsi"/>
                <w:sz w:val="24"/>
                <w:szCs w:val="24"/>
              </w:rPr>
              <w:t>]</w:t>
            </w:r>
          </w:p>
        </w:tc>
      </w:tr>
      <w:tr w:rsidR="004B271A" w:rsidRPr="006B17BE" w14:paraId="6B085E59" w14:textId="77777777" w:rsidTr="00A83A47">
        <w:tc>
          <w:tcPr>
            <w:tcW w:w="2268" w:type="dxa"/>
            <w:tcBorders>
              <w:top w:val="single" w:sz="4" w:space="0" w:color="auto"/>
              <w:left w:val="single" w:sz="4" w:space="0" w:color="auto"/>
              <w:bottom w:val="single" w:sz="4" w:space="0" w:color="auto"/>
              <w:right w:val="single" w:sz="4" w:space="0" w:color="auto"/>
            </w:tcBorders>
          </w:tcPr>
          <w:p w14:paraId="3B9B31A2" w14:textId="3B186A1A" w:rsidR="004B271A" w:rsidRPr="006B17BE" w:rsidRDefault="004B271A">
            <w:pPr>
              <w:pStyle w:val="OWSTabletext"/>
              <w:rPr>
                <w:rFonts w:asciiTheme="minorHAnsi" w:hAnsiTheme="minorHAnsi"/>
                <w:i/>
                <w:color w:val="auto"/>
                <w:sz w:val="24"/>
                <w:szCs w:val="24"/>
              </w:rPr>
            </w:pPr>
            <w:r w:rsidRPr="006B17BE">
              <w:rPr>
                <w:rFonts w:asciiTheme="minorHAnsi" w:hAnsiTheme="minorHAnsi"/>
                <w:i/>
                <w:sz w:val="24"/>
                <w:szCs w:val="24"/>
              </w:rPr>
              <w:t>A</w:t>
            </w:r>
            <w:r w:rsidRPr="006B17BE">
              <w:rPr>
                <w:rFonts w:asciiTheme="minorHAnsi" w:hAnsiTheme="minorHAnsi"/>
                <w:sz w:val="24"/>
                <w:szCs w:val="24"/>
                <w:vertAlign w:val="subscript"/>
              </w:rPr>
              <w:t>well, i</w:t>
            </w:r>
          </w:p>
        </w:tc>
        <w:tc>
          <w:tcPr>
            <w:tcW w:w="6946" w:type="dxa"/>
            <w:tcBorders>
              <w:top w:val="single" w:sz="4" w:space="0" w:color="auto"/>
              <w:left w:val="single" w:sz="4" w:space="0" w:color="auto"/>
              <w:bottom w:val="single" w:sz="4" w:space="0" w:color="auto"/>
              <w:right w:val="single" w:sz="4" w:space="0" w:color="auto"/>
            </w:tcBorders>
          </w:tcPr>
          <w:p w14:paraId="4BCBF87B" w14:textId="2361D27A" w:rsidR="004B271A" w:rsidRPr="006B17BE" w:rsidRDefault="004B271A">
            <w:pPr>
              <w:pStyle w:val="OWSTabletext"/>
              <w:rPr>
                <w:rFonts w:asciiTheme="minorHAnsi" w:hAnsiTheme="minorHAnsi"/>
                <w:color w:val="auto"/>
                <w:sz w:val="24"/>
                <w:szCs w:val="24"/>
              </w:rPr>
            </w:pPr>
            <w:r w:rsidRPr="006B17BE">
              <w:rPr>
                <w:rFonts w:asciiTheme="minorHAnsi" w:hAnsiTheme="minorHAnsi"/>
                <w:sz w:val="24"/>
                <w:szCs w:val="24"/>
              </w:rPr>
              <w:t>Cross sectional area of each leaky well [m</w:t>
            </w:r>
            <w:r w:rsidRPr="006B17BE">
              <w:rPr>
                <w:rFonts w:asciiTheme="minorHAnsi" w:hAnsiTheme="minorHAnsi"/>
                <w:sz w:val="24"/>
                <w:szCs w:val="24"/>
                <w:vertAlign w:val="superscript"/>
              </w:rPr>
              <w:t>2</w:t>
            </w:r>
            <w:r w:rsidRPr="006B17BE">
              <w:rPr>
                <w:rFonts w:asciiTheme="minorHAnsi" w:hAnsiTheme="minorHAnsi"/>
                <w:sz w:val="24"/>
                <w:szCs w:val="24"/>
              </w:rPr>
              <w:t>]</w:t>
            </w:r>
          </w:p>
        </w:tc>
      </w:tr>
      <w:tr w:rsidR="00A83A47" w:rsidRPr="006B17BE" w14:paraId="5ADB4048"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2EB9766A" w14:textId="77777777" w:rsidR="00A83A47" w:rsidRPr="006B17BE" w:rsidRDefault="00A83A47">
            <w:pPr>
              <w:pStyle w:val="OWSTabletext"/>
              <w:rPr>
                <w:rFonts w:asciiTheme="minorHAnsi" w:hAnsiTheme="minorHAnsi"/>
                <w:i/>
                <w:color w:val="auto"/>
                <w:sz w:val="24"/>
                <w:szCs w:val="24"/>
              </w:rPr>
            </w:pPr>
            <w:r w:rsidRPr="006B17BE">
              <w:rPr>
                <w:rFonts w:asciiTheme="minorHAnsi" w:hAnsiTheme="minorHAnsi"/>
                <w:i/>
                <w:color w:val="auto"/>
                <w:sz w:val="24"/>
                <w:szCs w:val="24"/>
              </w:rPr>
              <w:t>d</w:t>
            </w:r>
          </w:p>
        </w:tc>
        <w:tc>
          <w:tcPr>
            <w:tcW w:w="6946" w:type="dxa"/>
            <w:tcBorders>
              <w:top w:val="single" w:sz="4" w:space="0" w:color="auto"/>
              <w:left w:val="single" w:sz="4" w:space="0" w:color="auto"/>
              <w:bottom w:val="single" w:sz="4" w:space="0" w:color="auto"/>
              <w:right w:val="single" w:sz="4" w:space="0" w:color="auto"/>
            </w:tcBorders>
            <w:hideMark/>
          </w:tcPr>
          <w:p w14:paraId="1C00842C" w14:textId="2BF1E50A" w:rsidR="00A83A47" w:rsidRPr="006B17BE" w:rsidRDefault="00E57CC6">
            <w:pPr>
              <w:pStyle w:val="OWSTabletext"/>
              <w:rPr>
                <w:rFonts w:asciiTheme="minorHAnsi" w:hAnsiTheme="minorHAnsi"/>
                <w:color w:val="auto"/>
                <w:sz w:val="24"/>
                <w:szCs w:val="24"/>
              </w:rPr>
            </w:pPr>
            <w:r w:rsidRPr="006B17BE">
              <w:rPr>
                <w:rFonts w:asciiTheme="minorHAnsi" w:hAnsiTheme="minorHAnsi"/>
                <w:color w:val="auto"/>
                <w:sz w:val="24"/>
                <w:szCs w:val="24"/>
              </w:rPr>
              <w:t>Cylinder length</w:t>
            </w:r>
            <w:r w:rsidR="00A83A47" w:rsidRPr="006B17BE">
              <w:rPr>
                <w:rFonts w:asciiTheme="minorHAnsi" w:hAnsiTheme="minorHAnsi"/>
                <w:color w:val="auto"/>
                <w:sz w:val="24"/>
                <w:szCs w:val="24"/>
              </w:rPr>
              <w:t xml:space="preserve"> [m]</w:t>
            </w:r>
          </w:p>
        </w:tc>
      </w:tr>
      <w:tr w:rsidR="00A83A47" w:rsidRPr="006B17BE" w14:paraId="60931B22"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283E021E" w14:textId="77777777" w:rsidR="00A83A47" w:rsidRPr="006B17BE" w:rsidRDefault="00A83A47">
            <w:pPr>
              <w:pStyle w:val="OWSTabletext"/>
              <w:rPr>
                <w:rFonts w:asciiTheme="minorHAnsi" w:hAnsiTheme="minorHAnsi"/>
                <w:i/>
                <w:color w:val="auto"/>
                <w:sz w:val="24"/>
                <w:szCs w:val="24"/>
              </w:rPr>
            </w:pPr>
            <w:r w:rsidRPr="006B17BE">
              <w:rPr>
                <w:rFonts w:asciiTheme="minorHAnsi" w:hAnsiTheme="minorHAnsi"/>
                <w:i/>
                <w:color w:val="auto"/>
                <w:sz w:val="24"/>
                <w:szCs w:val="24"/>
              </w:rPr>
              <w:t>D</w:t>
            </w:r>
          </w:p>
        </w:tc>
        <w:tc>
          <w:tcPr>
            <w:tcW w:w="6946" w:type="dxa"/>
            <w:tcBorders>
              <w:top w:val="single" w:sz="4" w:space="0" w:color="auto"/>
              <w:left w:val="single" w:sz="4" w:space="0" w:color="auto"/>
              <w:bottom w:val="single" w:sz="4" w:space="0" w:color="auto"/>
              <w:right w:val="single" w:sz="4" w:space="0" w:color="auto"/>
            </w:tcBorders>
            <w:hideMark/>
          </w:tcPr>
          <w:p w14:paraId="6DE40B51"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Hydraulic diameter of conduit [m]</w:t>
            </w:r>
          </w:p>
        </w:tc>
      </w:tr>
      <w:tr w:rsidR="00A83A47" w:rsidRPr="006B17BE" w14:paraId="743EAF79"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7026E79B" w14:textId="77777777" w:rsidR="00A83A47" w:rsidRPr="006B17BE" w:rsidRDefault="00A83A47">
            <w:pPr>
              <w:pStyle w:val="OWSTabletext"/>
              <w:rPr>
                <w:rFonts w:asciiTheme="minorHAnsi" w:hAnsiTheme="minorHAnsi"/>
                <w:i/>
                <w:color w:val="auto"/>
                <w:sz w:val="24"/>
                <w:szCs w:val="24"/>
              </w:rPr>
            </w:pPr>
            <w:r w:rsidRPr="006B17BE">
              <w:rPr>
                <w:rFonts w:asciiTheme="minorHAnsi" w:hAnsiTheme="minorHAnsi"/>
                <w:i/>
                <w:color w:val="auto"/>
                <w:sz w:val="24"/>
                <w:szCs w:val="24"/>
              </w:rPr>
              <w:t>G</w:t>
            </w:r>
          </w:p>
        </w:tc>
        <w:tc>
          <w:tcPr>
            <w:tcW w:w="6946" w:type="dxa"/>
            <w:tcBorders>
              <w:top w:val="single" w:sz="4" w:space="0" w:color="auto"/>
              <w:left w:val="single" w:sz="4" w:space="0" w:color="auto"/>
              <w:bottom w:val="single" w:sz="4" w:space="0" w:color="auto"/>
              <w:right w:val="single" w:sz="4" w:space="0" w:color="auto"/>
            </w:tcBorders>
            <w:hideMark/>
          </w:tcPr>
          <w:p w14:paraId="1F900C90"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Acceleration of gravity [m</w:t>
            </w:r>
            <w:r w:rsidRPr="006B17BE">
              <w:rPr>
                <w:rFonts w:asciiTheme="minorHAnsi" w:hAnsiTheme="minorHAnsi"/>
                <w:color w:val="auto"/>
                <w:sz w:val="24"/>
                <w:szCs w:val="24"/>
                <w:vertAlign w:val="superscript"/>
              </w:rPr>
              <w:t>-2</w:t>
            </w:r>
            <w:r w:rsidRPr="006B17BE">
              <w:rPr>
                <w:rFonts w:asciiTheme="minorHAnsi" w:hAnsiTheme="minorHAnsi"/>
                <w:color w:val="auto"/>
                <w:sz w:val="24"/>
                <w:szCs w:val="24"/>
              </w:rPr>
              <w:t>]</w:t>
            </w:r>
          </w:p>
        </w:tc>
      </w:tr>
      <w:tr w:rsidR="00A83A47" w:rsidRPr="006B17BE" w14:paraId="0560DDEC"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23DEB9E2" w14:textId="5DDD99C0" w:rsidR="00A83A47" w:rsidRPr="006B17BE" w:rsidRDefault="00B70EF7">
            <w:pPr>
              <w:pStyle w:val="OWSTabletext"/>
              <w:rPr>
                <w:rFonts w:asciiTheme="minorHAnsi" w:hAnsiTheme="minorHAnsi"/>
                <w:i/>
                <w:color w:val="auto"/>
                <w:sz w:val="24"/>
                <w:szCs w:val="24"/>
              </w:rPr>
            </w:pPr>
            <w:r w:rsidRPr="006B17BE">
              <w:rPr>
                <w:rFonts w:asciiTheme="minorHAnsi" w:hAnsiTheme="minorHAnsi"/>
                <w:i/>
                <w:color w:val="auto"/>
                <w:sz w:val="24"/>
                <w:szCs w:val="24"/>
              </w:rPr>
              <w:t>h</w:t>
            </w:r>
          </w:p>
        </w:tc>
        <w:tc>
          <w:tcPr>
            <w:tcW w:w="6946" w:type="dxa"/>
            <w:tcBorders>
              <w:top w:val="single" w:sz="4" w:space="0" w:color="auto"/>
              <w:left w:val="single" w:sz="4" w:space="0" w:color="auto"/>
              <w:bottom w:val="single" w:sz="4" w:space="0" w:color="auto"/>
              <w:right w:val="single" w:sz="4" w:space="0" w:color="auto"/>
            </w:tcBorders>
            <w:hideMark/>
          </w:tcPr>
          <w:p w14:paraId="328DCF92"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Hydraulic head [m]</w:t>
            </w:r>
          </w:p>
        </w:tc>
      </w:tr>
      <w:tr w:rsidR="00A83A47" w:rsidRPr="006B17BE" w14:paraId="08DDEDCF"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702E5DF4"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i/>
                <w:color w:val="auto"/>
                <w:sz w:val="24"/>
                <w:szCs w:val="24"/>
              </w:rPr>
              <w:t>h</w:t>
            </w:r>
            <w:r w:rsidRPr="006B17BE">
              <w:rPr>
                <w:rFonts w:asciiTheme="minorHAnsi" w:hAnsiTheme="minorHAnsi"/>
                <w:color w:val="auto"/>
                <w:sz w:val="24"/>
                <w:szCs w:val="24"/>
                <w:vertAlign w:val="subscript"/>
              </w:rPr>
              <w:t>f</w:t>
            </w:r>
          </w:p>
        </w:tc>
        <w:tc>
          <w:tcPr>
            <w:tcW w:w="6946" w:type="dxa"/>
            <w:tcBorders>
              <w:top w:val="single" w:sz="4" w:space="0" w:color="auto"/>
              <w:left w:val="single" w:sz="4" w:space="0" w:color="auto"/>
              <w:bottom w:val="single" w:sz="4" w:space="0" w:color="auto"/>
              <w:right w:val="single" w:sz="4" w:space="0" w:color="auto"/>
            </w:tcBorders>
            <w:hideMark/>
          </w:tcPr>
          <w:p w14:paraId="3DD754D3"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Head loss due to friction [m]</w:t>
            </w:r>
          </w:p>
        </w:tc>
      </w:tr>
      <w:tr w:rsidR="00A83A47" w:rsidRPr="006B17BE" w14:paraId="6D323251"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44F8D8CB" w14:textId="77777777" w:rsidR="00A83A47" w:rsidRPr="006B17BE" w:rsidRDefault="00A83A47">
            <w:pPr>
              <w:pStyle w:val="OWSTabletext"/>
              <w:rPr>
                <w:rFonts w:asciiTheme="minorHAnsi" w:hAnsiTheme="minorHAnsi"/>
                <w:i/>
                <w:color w:val="auto"/>
                <w:sz w:val="24"/>
                <w:szCs w:val="24"/>
              </w:rPr>
            </w:pPr>
            <w:r w:rsidRPr="006B17BE">
              <w:rPr>
                <w:rFonts w:asciiTheme="minorHAnsi" w:hAnsiTheme="minorHAnsi"/>
                <w:i/>
                <w:color w:val="auto"/>
                <w:sz w:val="24"/>
                <w:szCs w:val="24"/>
              </w:rPr>
              <w:t>k</w:t>
            </w:r>
          </w:p>
        </w:tc>
        <w:tc>
          <w:tcPr>
            <w:tcW w:w="6946" w:type="dxa"/>
            <w:tcBorders>
              <w:top w:val="single" w:sz="4" w:space="0" w:color="auto"/>
              <w:left w:val="single" w:sz="4" w:space="0" w:color="auto"/>
              <w:bottom w:val="single" w:sz="4" w:space="0" w:color="auto"/>
              <w:right w:val="single" w:sz="4" w:space="0" w:color="auto"/>
            </w:tcBorders>
            <w:hideMark/>
          </w:tcPr>
          <w:p w14:paraId="19A1BF3C" w14:textId="77777777" w:rsidR="00A83A47" w:rsidRPr="006B17BE" w:rsidRDefault="00A83A47">
            <w:pPr>
              <w:pStyle w:val="OWSTabletext"/>
              <w:rPr>
                <w:rFonts w:asciiTheme="minorHAnsi" w:hAnsiTheme="minorHAnsi"/>
                <w:color w:val="auto"/>
                <w:sz w:val="24"/>
                <w:szCs w:val="24"/>
              </w:rPr>
            </w:pPr>
            <w:r w:rsidRPr="006B17BE">
              <w:rPr>
                <w:rFonts w:asciiTheme="minorHAnsi" w:hAnsiTheme="minorHAnsi"/>
                <w:color w:val="auto"/>
                <w:sz w:val="24"/>
                <w:szCs w:val="24"/>
              </w:rPr>
              <w:t>Permeability [m</w:t>
            </w:r>
            <w:r w:rsidRPr="006B17BE">
              <w:rPr>
                <w:rFonts w:asciiTheme="minorHAnsi" w:hAnsiTheme="minorHAnsi"/>
                <w:color w:val="auto"/>
                <w:sz w:val="24"/>
                <w:szCs w:val="24"/>
                <w:vertAlign w:val="superscript"/>
              </w:rPr>
              <w:t>2</w:t>
            </w:r>
            <w:r w:rsidRPr="006B17BE">
              <w:rPr>
                <w:rFonts w:asciiTheme="minorHAnsi" w:hAnsiTheme="minorHAnsi"/>
                <w:color w:val="auto"/>
                <w:sz w:val="24"/>
                <w:szCs w:val="24"/>
              </w:rPr>
              <w:t>]</w:t>
            </w:r>
          </w:p>
        </w:tc>
      </w:tr>
      <w:tr w:rsidR="00A83A47" w:rsidRPr="006B17BE" w14:paraId="403CD226"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39C13F3E" w14:textId="79EC7F74" w:rsidR="00A83A47" w:rsidRPr="006B17BE" w:rsidRDefault="00A83A47">
            <w:pPr>
              <w:pStyle w:val="OWSTabletext"/>
              <w:rPr>
                <w:rFonts w:asciiTheme="minorHAnsi" w:hAnsiTheme="minorHAnsi"/>
                <w:i/>
                <w:color w:val="auto"/>
                <w:sz w:val="24"/>
                <w:szCs w:val="24"/>
              </w:rPr>
            </w:pPr>
            <w:r w:rsidRPr="006B17BE">
              <w:rPr>
                <w:rFonts w:asciiTheme="minorHAnsi" w:hAnsiTheme="minorHAnsi"/>
                <w:i/>
                <w:color w:val="auto"/>
                <w:sz w:val="24"/>
                <w:szCs w:val="24"/>
              </w:rPr>
              <w:t>K</w:t>
            </w:r>
            <w:r w:rsidR="00E57CC6" w:rsidRPr="006B17BE">
              <w:rPr>
                <w:rFonts w:asciiTheme="minorHAnsi" w:hAnsiTheme="minorHAnsi"/>
                <w:i/>
                <w:color w:val="auto"/>
                <w:sz w:val="24"/>
                <w:szCs w:val="24"/>
                <w:vertAlign w:val="subscript"/>
              </w:rPr>
              <w:t>h</w:t>
            </w:r>
          </w:p>
        </w:tc>
        <w:tc>
          <w:tcPr>
            <w:tcW w:w="6946" w:type="dxa"/>
            <w:tcBorders>
              <w:top w:val="single" w:sz="4" w:space="0" w:color="auto"/>
              <w:left w:val="single" w:sz="4" w:space="0" w:color="auto"/>
              <w:bottom w:val="single" w:sz="4" w:space="0" w:color="auto"/>
              <w:right w:val="single" w:sz="4" w:space="0" w:color="auto"/>
            </w:tcBorders>
            <w:hideMark/>
          </w:tcPr>
          <w:p w14:paraId="45A40411" w14:textId="0DA0CD07" w:rsidR="00A83A47" w:rsidRPr="006B17BE" w:rsidRDefault="00E57CC6" w:rsidP="00E57CC6">
            <w:pPr>
              <w:pStyle w:val="OWSTabletext"/>
              <w:rPr>
                <w:rFonts w:asciiTheme="minorHAnsi" w:hAnsiTheme="minorHAnsi"/>
                <w:color w:val="auto"/>
                <w:sz w:val="24"/>
                <w:szCs w:val="24"/>
              </w:rPr>
            </w:pPr>
            <w:r w:rsidRPr="006B17BE">
              <w:rPr>
                <w:rFonts w:asciiTheme="minorHAnsi" w:hAnsiTheme="minorHAnsi"/>
                <w:color w:val="auto"/>
                <w:sz w:val="24"/>
                <w:szCs w:val="24"/>
              </w:rPr>
              <w:t>Horizontal h</w:t>
            </w:r>
            <w:r w:rsidR="00A83A47" w:rsidRPr="006B17BE">
              <w:rPr>
                <w:rFonts w:asciiTheme="minorHAnsi" w:hAnsiTheme="minorHAnsi"/>
                <w:color w:val="auto"/>
                <w:sz w:val="24"/>
                <w:szCs w:val="24"/>
              </w:rPr>
              <w:t>ydraulic conductivity [m.d</w:t>
            </w:r>
            <w:r w:rsidR="00A83A47" w:rsidRPr="006B17BE">
              <w:rPr>
                <w:rFonts w:asciiTheme="minorHAnsi" w:hAnsiTheme="minorHAnsi"/>
                <w:color w:val="auto"/>
                <w:sz w:val="24"/>
                <w:szCs w:val="24"/>
                <w:vertAlign w:val="superscript"/>
              </w:rPr>
              <w:t>-1</w:t>
            </w:r>
            <w:r w:rsidR="00A83A47" w:rsidRPr="006B17BE">
              <w:rPr>
                <w:rFonts w:asciiTheme="minorHAnsi" w:hAnsiTheme="minorHAnsi"/>
                <w:color w:val="auto"/>
                <w:sz w:val="24"/>
                <w:szCs w:val="24"/>
              </w:rPr>
              <w:t>]</w:t>
            </w:r>
          </w:p>
        </w:tc>
      </w:tr>
      <w:tr w:rsidR="00A83A47" w:rsidRPr="006B17BE" w14:paraId="5B78C27E" w14:textId="77777777" w:rsidTr="00B70EF7">
        <w:tc>
          <w:tcPr>
            <w:tcW w:w="2268" w:type="dxa"/>
            <w:tcBorders>
              <w:top w:val="single" w:sz="4" w:space="0" w:color="auto"/>
              <w:left w:val="single" w:sz="4" w:space="0" w:color="auto"/>
              <w:bottom w:val="single" w:sz="4" w:space="0" w:color="auto"/>
              <w:right w:val="single" w:sz="4" w:space="0" w:color="auto"/>
            </w:tcBorders>
          </w:tcPr>
          <w:p w14:paraId="78419237" w14:textId="2673B9EF" w:rsidR="00A83A47" w:rsidRPr="006B17BE" w:rsidRDefault="00B70EF7">
            <w:pPr>
              <w:pStyle w:val="OWSTabletext"/>
              <w:rPr>
                <w:rFonts w:asciiTheme="minorHAnsi" w:hAnsiTheme="minorHAnsi"/>
                <w:color w:val="auto"/>
                <w:sz w:val="24"/>
                <w:szCs w:val="24"/>
              </w:rPr>
            </w:pPr>
            <w:r w:rsidRPr="006B17BE">
              <w:rPr>
                <w:rFonts w:asciiTheme="minorHAnsi" w:hAnsiTheme="minorHAnsi"/>
                <w:i/>
                <w:sz w:val="24"/>
                <w:szCs w:val="24"/>
              </w:rPr>
              <w:t>K</w:t>
            </w:r>
            <w:r w:rsidRPr="006B17BE">
              <w:rPr>
                <w:rFonts w:asciiTheme="minorHAnsi" w:hAnsiTheme="minorHAnsi"/>
                <w:sz w:val="24"/>
                <w:szCs w:val="24"/>
                <w:vertAlign w:val="subscript"/>
              </w:rPr>
              <w:t>eq</w:t>
            </w:r>
          </w:p>
        </w:tc>
        <w:tc>
          <w:tcPr>
            <w:tcW w:w="6946" w:type="dxa"/>
            <w:tcBorders>
              <w:top w:val="single" w:sz="4" w:space="0" w:color="auto"/>
              <w:left w:val="single" w:sz="4" w:space="0" w:color="auto"/>
              <w:bottom w:val="single" w:sz="4" w:space="0" w:color="auto"/>
              <w:right w:val="single" w:sz="4" w:space="0" w:color="auto"/>
            </w:tcBorders>
          </w:tcPr>
          <w:p w14:paraId="06934989" w14:textId="572C3C76" w:rsidR="00A83A47" w:rsidRPr="006B17BE" w:rsidRDefault="00B70EF7" w:rsidP="00B70EF7">
            <w:pPr>
              <w:pStyle w:val="OWSTabletext"/>
              <w:rPr>
                <w:rFonts w:asciiTheme="minorHAnsi" w:hAnsiTheme="minorHAnsi"/>
                <w:color w:val="auto"/>
                <w:sz w:val="24"/>
                <w:szCs w:val="24"/>
              </w:rPr>
            </w:pPr>
            <w:r w:rsidRPr="006B17BE">
              <w:rPr>
                <w:rFonts w:asciiTheme="minorHAnsi" w:hAnsiTheme="minorHAnsi"/>
                <w:sz w:val="24"/>
                <w:szCs w:val="24"/>
              </w:rPr>
              <w:t>Equivalent hydraulic conductivity of the combined aquitard and the leaky wells [m/d]</w:t>
            </w:r>
          </w:p>
        </w:tc>
      </w:tr>
      <w:tr w:rsidR="0045487B" w:rsidRPr="006B17BE" w14:paraId="4760E34B" w14:textId="77777777" w:rsidTr="00A83A47">
        <w:tc>
          <w:tcPr>
            <w:tcW w:w="2268" w:type="dxa"/>
            <w:tcBorders>
              <w:top w:val="single" w:sz="4" w:space="0" w:color="auto"/>
              <w:left w:val="single" w:sz="4" w:space="0" w:color="auto"/>
              <w:bottom w:val="single" w:sz="4" w:space="0" w:color="auto"/>
              <w:right w:val="single" w:sz="4" w:space="0" w:color="auto"/>
            </w:tcBorders>
          </w:tcPr>
          <w:p w14:paraId="1840AA3C" w14:textId="6AFC8BFC" w:rsidR="0045487B" w:rsidRPr="006B17BE" w:rsidRDefault="0045487B" w:rsidP="00B70EF7">
            <w:pPr>
              <w:pStyle w:val="OWSTabletext"/>
              <w:rPr>
                <w:rFonts w:asciiTheme="minorHAnsi" w:hAnsiTheme="minorHAnsi"/>
                <w:i/>
                <w:color w:val="auto"/>
                <w:sz w:val="24"/>
                <w:szCs w:val="24"/>
              </w:rPr>
            </w:pPr>
            <w:r w:rsidRPr="006B17BE">
              <w:rPr>
                <w:rFonts w:asciiTheme="minorHAnsi" w:hAnsiTheme="minorHAnsi"/>
                <w:i/>
                <w:color w:val="auto"/>
                <w:sz w:val="24"/>
                <w:szCs w:val="24"/>
              </w:rPr>
              <w:t>K</w:t>
            </w:r>
            <w:r w:rsidRPr="006B17BE">
              <w:rPr>
                <w:rFonts w:asciiTheme="minorHAnsi" w:hAnsiTheme="minorHAnsi"/>
                <w:color w:val="auto"/>
                <w:sz w:val="24"/>
                <w:szCs w:val="24"/>
                <w:vertAlign w:val="subscript"/>
              </w:rPr>
              <w:t>ref</w:t>
            </w:r>
          </w:p>
        </w:tc>
        <w:tc>
          <w:tcPr>
            <w:tcW w:w="6946" w:type="dxa"/>
            <w:tcBorders>
              <w:top w:val="single" w:sz="4" w:space="0" w:color="auto"/>
              <w:left w:val="single" w:sz="4" w:space="0" w:color="auto"/>
              <w:bottom w:val="single" w:sz="4" w:space="0" w:color="auto"/>
              <w:right w:val="single" w:sz="4" w:space="0" w:color="auto"/>
            </w:tcBorders>
          </w:tcPr>
          <w:p w14:paraId="03CF6BA2" w14:textId="16674DFB" w:rsidR="0045487B" w:rsidRPr="006B17BE" w:rsidRDefault="0045487B" w:rsidP="00B70EF7">
            <w:pPr>
              <w:pStyle w:val="OWSTabletext"/>
              <w:rPr>
                <w:rFonts w:asciiTheme="minorHAnsi" w:hAnsiTheme="minorHAnsi"/>
                <w:color w:val="auto"/>
                <w:sz w:val="24"/>
                <w:szCs w:val="24"/>
              </w:rPr>
            </w:pPr>
            <w:r w:rsidRPr="006B17BE">
              <w:rPr>
                <w:rFonts w:asciiTheme="minorHAnsi" w:hAnsiTheme="minorHAnsi"/>
                <w:color w:val="auto"/>
                <w:sz w:val="24"/>
                <w:szCs w:val="24"/>
              </w:rPr>
              <w:t>Background hydraulic conductivity for aquitards [m.d</w:t>
            </w:r>
            <w:r w:rsidRPr="006B17BE">
              <w:rPr>
                <w:rFonts w:asciiTheme="minorHAnsi" w:hAnsiTheme="minorHAnsi"/>
                <w:color w:val="auto"/>
                <w:sz w:val="24"/>
                <w:szCs w:val="24"/>
                <w:vertAlign w:val="superscript"/>
              </w:rPr>
              <w:t>-1</w:t>
            </w:r>
            <w:r w:rsidRPr="006B17BE">
              <w:rPr>
                <w:rFonts w:asciiTheme="minorHAnsi" w:hAnsiTheme="minorHAnsi"/>
                <w:color w:val="auto"/>
                <w:sz w:val="24"/>
                <w:szCs w:val="24"/>
              </w:rPr>
              <w:t>]</w:t>
            </w:r>
          </w:p>
        </w:tc>
      </w:tr>
      <w:tr w:rsidR="00B70EF7" w:rsidRPr="006B17BE" w14:paraId="4DD6D685" w14:textId="77777777" w:rsidTr="00A83A47">
        <w:tc>
          <w:tcPr>
            <w:tcW w:w="2268" w:type="dxa"/>
            <w:tcBorders>
              <w:top w:val="single" w:sz="4" w:space="0" w:color="auto"/>
              <w:left w:val="single" w:sz="4" w:space="0" w:color="auto"/>
              <w:bottom w:val="single" w:sz="4" w:space="0" w:color="auto"/>
              <w:right w:val="single" w:sz="4" w:space="0" w:color="auto"/>
            </w:tcBorders>
          </w:tcPr>
          <w:p w14:paraId="1FD70491" w14:textId="39CCE07A" w:rsidR="00B70EF7" w:rsidRPr="006B17BE" w:rsidRDefault="00B70EF7" w:rsidP="00B70EF7">
            <w:pPr>
              <w:pStyle w:val="OWSTabletext"/>
              <w:rPr>
                <w:rFonts w:asciiTheme="minorHAnsi" w:hAnsiTheme="minorHAnsi"/>
                <w:i/>
                <w:color w:val="auto"/>
                <w:sz w:val="24"/>
                <w:szCs w:val="24"/>
              </w:rPr>
            </w:pPr>
            <w:r w:rsidRPr="006B17BE">
              <w:rPr>
                <w:rFonts w:asciiTheme="minorHAnsi" w:hAnsiTheme="minorHAnsi"/>
                <w:i/>
                <w:color w:val="auto"/>
                <w:sz w:val="24"/>
                <w:szCs w:val="24"/>
              </w:rPr>
              <w:t>K</w:t>
            </w:r>
            <w:r w:rsidRPr="006B17BE">
              <w:rPr>
                <w:rFonts w:asciiTheme="minorHAnsi" w:hAnsiTheme="minorHAnsi"/>
                <w:color w:val="auto"/>
                <w:sz w:val="24"/>
                <w:szCs w:val="24"/>
                <w:vertAlign w:val="subscript"/>
              </w:rPr>
              <w:t>v</w:t>
            </w:r>
          </w:p>
        </w:tc>
        <w:tc>
          <w:tcPr>
            <w:tcW w:w="6946" w:type="dxa"/>
            <w:tcBorders>
              <w:top w:val="single" w:sz="4" w:space="0" w:color="auto"/>
              <w:left w:val="single" w:sz="4" w:space="0" w:color="auto"/>
              <w:bottom w:val="single" w:sz="4" w:space="0" w:color="auto"/>
              <w:right w:val="single" w:sz="4" w:space="0" w:color="auto"/>
            </w:tcBorders>
          </w:tcPr>
          <w:p w14:paraId="16D6E9DF" w14:textId="03CC84A3" w:rsidR="00B70EF7" w:rsidRPr="006B17BE" w:rsidRDefault="00B70EF7" w:rsidP="00B70EF7">
            <w:pPr>
              <w:pStyle w:val="OWSTabletext"/>
              <w:rPr>
                <w:rFonts w:asciiTheme="minorHAnsi" w:hAnsiTheme="minorHAnsi"/>
                <w:color w:val="auto"/>
                <w:sz w:val="24"/>
                <w:szCs w:val="24"/>
              </w:rPr>
            </w:pPr>
            <w:r w:rsidRPr="006B17BE">
              <w:rPr>
                <w:rFonts w:asciiTheme="minorHAnsi" w:hAnsiTheme="minorHAnsi"/>
                <w:color w:val="auto"/>
                <w:sz w:val="24"/>
                <w:szCs w:val="24"/>
              </w:rPr>
              <w:t>Vertical hydraulic conductivity [m.d</w:t>
            </w:r>
            <w:r w:rsidRPr="006B17BE">
              <w:rPr>
                <w:rFonts w:asciiTheme="minorHAnsi" w:hAnsiTheme="minorHAnsi"/>
                <w:color w:val="auto"/>
                <w:sz w:val="24"/>
                <w:szCs w:val="24"/>
                <w:vertAlign w:val="superscript"/>
              </w:rPr>
              <w:t>-1</w:t>
            </w:r>
            <w:r w:rsidRPr="006B17BE">
              <w:rPr>
                <w:rFonts w:asciiTheme="minorHAnsi" w:hAnsiTheme="minorHAnsi"/>
                <w:color w:val="auto"/>
                <w:sz w:val="24"/>
                <w:szCs w:val="24"/>
              </w:rPr>
              <w:t>]</w:t>
            </w:r>
          </w:p>
        </w:tc>
      </w:tr>
      <w:tr w:rsidR="00B70EF7" w:rsidRPr="006B17BE" w14:paraId="40989AEA" w14:textId="77777777" w:rsidTr="005F68B7">
        <w:tc>
          <w:tcPr>
            <w:tcW w:w="2268" w:type="dxa"/>
            <w:tcBorders>
              <w:top w:val="single" w:sz="4" w:space="0" w:color="auto"/>
              <w:left w:val="single" w:sz="4" w:space="0" w:color="auto"/>
              <w:bottom w:val="single" w:sz="4" w:space="0" w:color="auto"/>
              <w:right w:val="single" w:sz="4" w:space="0" w:color="auto"/>
            </w:tcBorders>
          </w:tcPr>
          <w:p w14:paraId="42CA3EAE" w14:textId="421CE951" w:rsidR="00B70EF7" w:rsidRPr="006B17BE" w:rsidRDefault="005F68B7" w:rsidP="00B70EF7">
            <w:pPr>
              <w:pStyle w:val="OWSTabletext"/>
              <w:rPr>
                <w:rFonts w:asciiTheme="minorHAnsi" w:hAnsiTheme="minorHAnsi"/>
                <w:i/>
                <w:color w:val="auto"/>
                <w:sz w:val="24"/>
                <w:szCs w:val="24"/>
              </w:rPr>
            </w:pPr>
            <w:r w:rsidRPr="006B17BE">
              <w:rPr>
                <w:rFonts w:asciiTheme="minorHAnsi" w:hAnsiTheme="minorHAnsi"/>
                <w:i/>
                <w:color w:val="auto"/>
                <w:sz w:val="24"/>
                <w:szCs w:val="24"/>
              </w:rPr>
              <w:t>K</w:t>
            </w:r>
            <w:r w:rsidR="00417ECC" w:rsidRPr="006B17BE">
              <w:rPr>
                <w:rFonts w:asciiTheme="minorHAnsi" w:hAnsiTheme="minorHAnsi"/>
                <w:i/>
                <w:color w:val="auto"/>
                <w:sz w:val="24"/>
                <w:szCs w:val="24"/>
                <w:vertAlign w:val="subscript"/>
              </w:rPr>
              <w:t>eff</w:t>
            </w:r>
          </w:p>
        </w:tc>
        <w:tc>
          <w:tcPr>
            <w:tcW w:w="6946" w:type="dxa"/>
            <w:tcBorders>
              <w:top w:val="single" w:sz="4" w:space="0" w:color="auto"/>
              <w:left w:val="single" w:sz="4" w:space="0" w:color="auto"/>
              <w:bottom w:val="single" w:sz="4" w:space="0" w:color="auto"/>
              <w:right w:val="single" w:sz="4" w:space="0" w:color="auto"/>
            </w:tcBorders>
          </w:tcPr>
          <w:p w14:paraId="63D36A0F" w14:textId="243A1578" w:rsidR="00B70EF7" w:rsidRPr="006B17BE" w:rsidRDefault="00D445CB" w:rsidP="00D445CB">
            <w:pPr>
              <w:pStyle w:val="OWSTabletext"/>
              <w:rPr>
                <w:rFonts w:asciiTheme="minorHAnsi" w:hAnsiTheme="minorHAnsi"/>
                <w:color w:val="auto"/>
                <w:sz w:val="24"/>
                <w:szCs w:val="24"/>
              </w:rPr>
            </w:pPr>
            <w:r w:rsidRPr="006B17BE">
              <w:rPr>
                <w:rFonts w:asciiTheme="minorHAnsi" w:hAnsiTheme="minorHAnsi"/>
                <w:color w:val="auto"/>
                <w:sz w:val="24"/>
                <w:szCs w:val="24"/>
              </w:rPr>
              <w:t xml:space="preserve">Effective </w:t>
            </w:r>
            <w:r w:rsidR="005F68B7" w:rsidRPr="006B17BE">
              <w:rPr>
                <w:rFonts w:asciiTheme="minorHAnsi" w:hAnsiTheme="minorHAnsi"/>
                <w:color w:val="auto"/>
                <w:sz w:val="24"/>
                <w:szCs w:val="24"/>
              </w:rPr>
              <w:t xml:space="preserve">hydraulic conductivity </w:t>
            </w:r>
            <w:r w:rsidRPr="006B17BE">
              <w:rPr>
                <w:rFonts w:asciiTheme="minorHAnsi" w:hAnsiTheme="minorHAnsi"/>
                <w:color w:val="auto"/>
                <w:sz w:val="24"/>
                <w:szCs w:val="24"/>
              </w:rPr>
              <w:t xml:space="preserve">of the well </w:t>
            </w:r>
            <w:r w:rsidR="005F68B7" w:rsidRPr="006B17BE">
              <w:rPr>
                <w:rFonts w:asciiTheme="minorHAnsi" w:hAnsiTheme="minorHAnsi"/>
                <w:color w:val="auto"/>
                <w:sz w:val="24"/>
                <w:szCs w:val="24"/>
              </w:rPr>
              <w:t>[m.d</w:t>
            </w:r>
            <w:r w:rsidR="005F68B7" w:rsidRPr="006B17BE">
              <w:rPr>
                <w:rFonts w:asciiTheme="minorHAnsi" w:hAnsiTheme="minorHAnsi"/>
                <w:color w:val="auto"/>
                <w:sz w:val="24"/>
                <w:szCs w:val="24"/>
                <w:vertAlign w:val="superscript"/>
              </w:rPr>
              <w:t>-1</w:t>
            </w:r>
            <w:r w:rsidR="005F68B7" w:rsidRPr="006B17BE">
              <w:rPr>
                <w:rFonts w:asciiTheme="minorHAnsi" w:hAnsiTheme="minorHAnsi"/>
                <w:color w:val="auto"/>
                <w:sz w:val="24"/>
                <w:szCs w:val="24"/>
              </w:rPr>
              <w:t>]</w:t>
            </w:r>
          </w:p>
        </w:tc>
      </w:tr>
      <w:tr w:rsidR="005F68B7" w:rsidRPr="006B17BE" w14:paraId="38D206F3" w14:textId="77777777" w:rsidTr="00A83A47">
        <w:tc>
          <w:tcPr>
            <w:tcW w:w="2268" w:type="dxa"/>
            <w:tcBorders>
              <w:top w:val="single" w:sz="4" w:space="0" w:color="auto"/>
              <w:left w:val="single" w:sz="4" w:space="0" w:color="auto"/>
              <w:bottom w:val="single" w:sz="4" w:space="0" w:color="auto"/>
              <w:right w:val="single" w:sz="4" w:space="0" w:color="auto"/>
            </w:tcBorders>
          </w:tcPr>
          <w:p w14:paraId="45466DBA" w14:textId="76BBE407" w:rsidR="005F68B7" w:rsidRPr="006B17BE" w:rsidRDefault="005F68B7" w:rsidP="005F68B7">
            <w:pPr>
              <w:pStyle w:val="OWSTabletext"/>
              <w:rPr>
                <w:rFonts w:asciiTheme="minorHAnsi" w:hAnsiTheme="minorHAnsi"/>
                <w:i/>
                <w:color w:val="auto"/>
                <w:sz w:val="24"/>
                <w:szCs w:val="24"/>
              </w:rPr>
            </w:pPr>
            <w:r w:rsidRPr="006B17BE">
              <w:rPr>
                <w:rFonts w:asciiTheme="minorHAnsi" w:hAnsiTheme="minorHAnsi"/>
                <w:i/>
                <w:color w:val="auto"/>
                <w:sz w:val="24"/>
                <w:szCs w:val="24"/>
              </w:rPr>
              <w:t>L</w:t>
            </w:r>
          </w:p>
        </w:tc>
        <w:tc>
          <w:tcPr>
            <w:tcW w:w="6946" w:type="dxa"/>
            <w:tcBorders>
              <w:top w:val="single" w:sz="4" w:space="0" w:color="auto"/>
              <w:left w:val="single" w:sz="4" w:space="0" w:color="auto"/>
              <w:bottom w:val="single" w:sz="4" w:space="0" w:color="auto"/>
              <w:right w:val="single" w:sz="4" w:space="0" w:color="auto"/>
            </w:tcBorders>
          </w:tcPr>
          <w:p w14:paraId="39EC49A5" w14:textId="2127E252" w:rsidR="005F68B7" w:rsidRPr="006B17BE" w:rsidRDefault="005F68B7" w:rsidP="005F68B7">
            <w:pPr>
              <w:pStyle w:val="OWSTabletext"/>
              <w:rPr>
                <w:rFonts w:asciiTheme="minorHAnsi" w:hAnsiTheme="minorHAnsi"/>
                <w:color w:val="auto"/>
                <w:sz w:val="24"/>
                <w:szCs w:val="24"/>
              </w:rPr>
            </w:pPr>
            <w:r w:rsidRPr="006B17BE">
              <w:rPr>
                <w:rFonts w:asciiTheme="minorHAnsi" w:hAnsiTheme="minorHAnsi"/>
                <w:color w:val="auto"/>
                <w:sz w:val="24"/>
                <w:szCs w:val="24"/>
              </w:rPr>
              <w:t>Length of flow path [m]</w:t>
            </w:r>
          </w:p>
        </w:tc>
      </w:tr>
      <w:tr w:rsidR="005F68B7" w:rsidRPr="006B17BE" w14:paraId="3F39196F"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46125FDC" w14:textId="77777777" w:rsidR="005F68B7" w:rsidRPr="006B17BE" w:rsidRDefault="005F68B7" w:rsidP="005F68B7">
            <w:pPr>
              <w:pStyle w:val="OWSTabletext"/>
              <w:rPr>
                <w:rFonts w:asciiTheme="minorHAnsi" w:hAnsiTheme="minorHAnsi"/>
                <w:i/>
                <w:color w:val="auto"/>
                <w:sz w:val="24"/>
                <w:szCs w:val="24"/>
              </w:rPr>
            </w:pPr>
            <w:r w:rsidRPr="006B17BE">
              <w:rPr>
                <w:rFonts w:asciiTheme="minorHAnsi" w:hAnsiTheme="minorHAnsi"/>
                <w:i/>
                <w:color w:val="auto"/>
                <w:sz w:val="24"/>
                <w:szCs w:val="24"/>
              </w:rPr>
              <w:t>Q</w:t>
            </w:r>
          </w:p>
        </w:tc>
        <w:tc>
          <w:tcPr>
            <w:tcW w:w="6946" w:type="dxa"/>
            <w:tcBorders>
              <w:top w:val="single" w:sz="4" w:space="0" w:color="auto"/>
              <w:left w:val="single" w:sz="4" w:space="0" w:color="auto"/>
              <w:bottom w:val="single" w:sz="4" w:space="0" w:color="auto"/>
              <w:right w:val="single" w:sz="4" w:space="0" w:color="auto"/>
            </w:tcBorders>
            <w:hideMark/>
          </w:tcPr>
          <w:p w14:paraId="49F460F9" w14:textId="77777777" w:rsidR="005F68B7" w:rsidRPr="006B17BE" w:rsidRDefault="005F68B7" w:rsidP="005F68B7">
            <w:pPr>
              <w:pStyle w:val="OWSTabletext"/>
              <w:rPr>
                <w:rFonts w:asciiTheme="minorHAnsi" w:hAnsiTheme="minorHAnsi"/>
                <w:color w:val="auto"/>
                <w:sz w:val="24"/>
                <w:szCs w:val="24"/>
              </w:rPr>
            </w:pPr>
            <w:r w:rsidRPr="006B17BE">
              <w:rPr>
                <w:rFonts w:asciiTheme="minorHAnsi" w:hAnsiTheme="minorHAnsi"/>
                <w:color w:val="auto"/>
                <w:sz w:val="24"/>
                <w:szCs w:val="24"/>
              </w:rPr>
              <w:t>Volumetric fluid flux [m</w:t>
            </w:r>
            <w:r w:rsidRPr="006B17BE">
              <w:rPr>
                <w:rFonts w:asciiTheme="minorHAnsi" w:hAnsiTheme="minorHAnsi"/>
                <w:color w:val="auto"/>
                <w:sz w:val="24"/>
                <w:szCs w:val="24"/>
                <w:vertAlign w:val="superscript"/>
              </w:rPr>
              <w:t>3</w:t>
            </w:r>
            <w:r w:rsidRPr="006B17BE">
              <w:rPr>
                <w:rFonts w:asciiTheme="minorHAnsi" w:hAnsiTheme="minorHAnsi"/>
                <w:color w:val="auto"/>
                <w:sz w:val="24"/>
                <w:szCs w:val="24"/>
              </w:rPr>
              <w:t>.d</w:t>
            </w:r>
            <w:r w:rsidRPr="006B17BE">
              <w:rPr>
                <w:rFonts w:asciiTheme="minorHAnsi" w:hAnsiTheme="minorHAnsi"/>
                <w:color w:val="auto"/>
                <w:sz w:val="24"/>
                <w:szCs w:val="24"/>
                <w:vertAlign w:val="superscript"/>
              </w:rPr>
              <w:t>-1</w:t>
            </w:r>
            <w:r w:rsidRPr="006B17BE">
              <w:rPr>
                <w:rFonts w:asciiTheme="minorHAnsi" w:hAnsiTheme="minorHAnsi"/>
                <w:color w:val="auto"/>
                <w:sz w:val="24"/>
                <w:szCs w:val="24"/>
              </w:rPr>
              <w:t>]</w:t>
            </w:r>
          </w:p>
        </w:tc>
      </w:tr>
      <w:tr w:rsidR="005F68B7" w:rsidRPr="006B17BE" w14:paraId="7A8A83DF" w14:textId="77777777" w:rsidTr="00A83A47">
        <w:tc>
          <w:tcPr>
            <w:tcW w:w="2268" w:type="dxa"/>
            <w:tcBorders>
              <w:top w:val="single" w:sz="4" w:space="0" w:color="auto"/>
              <w:left w:val="single" w:sz="4" w:space="0" w:color="auto"/>
              <w:bottom w:val="single" w:sz="4" w:space="0" w:color="auto"/>
              <w:right w:val="single" w:sz="4" w:space="0" w:color="auto"/>
            </w:tcBorders>
            <w:hideMark/>
          </w:tcPr>
          <w:p w14:paraId="55356609" w14:textId="7E9ED69C" w:rsidR="005F68B7" w:rsidRPr="006B17BE" w:rsidRDefault="005F68B7" w:rsidP="005F68B7">
            <w:pPr>
              <w:pStyle w:val="OWSTabletext"/>
              <w:rPr>
                <w:rFonts w:asciiTheme="minorHAnsi" w:hAnsiTheme="minorHAnsi"/>
                <w:i/>
                <w:color w:val="auto"/>
                <w:sz w:val="24"/>
                <w:szCs w:val="24"/>
              </w:rPr>
            </w:pPr>
            <w:r w:rsidRPr="006B17BE">
              <w:rPr>
                <w:rFonts w:asciiTheme="minorHAnsi" w:hAnsiTheme="minorHAnsi"/>
                <w:i/>
                <w:color w:val="auto"/>
                <w:sz w:val="24"/>
                <w:szCs w:val="24"/>
              </w:rPr>
              <w:t>r</w:t>
            </w:r>
            <w:r w:rsidRPr="006B17BE">
              <w:rPr>
                <w:rFonts w:asciiTheme="minorHAnsi" w:hAnsiTheme="minorHAnsi"/>
                <w:i/>
                <w:color w:val="auto"/>
                <w:sz w:val="24"/>
                <w:szCs w:val="24"/>
                <w:vertAlign w:val="subscript"/>
              </w:rPr>
              <w:t>w</w:t>
            </w:r>
          </w:p>
        </w:tc>
        <w:tc>
          <w:tcPr>
            <w:tcW w:w="6946" w:type="dxa"/>
            <w:tcBorders>
              <w:top w:val="single" w:sz="4" w:space="0" w:color="auto"/>
              <w:left w:val="single" w:sz="4" w:space="0" w:color="auto"/>
              <w:bottom w:val="single" w:sz="4" w:space="0" w:color="auto"/>
              <w:right w:val="single" w:sz="4" w:space="0" w:color="auto"/>
            </w:tcBorders>
            <w:hideMark/>
          </w:tcPr>
          <w:p w14:paraId="7C9851E4" w14:textId="3481DE55" w:rsidR="005F68B7" w:rsidRPr="006B17BE" w:rsidRDefault="005F68B7" w:rsidP="005F68B7">
            <w:pPr>
              <w:pStyle w:val="OWSTabletext"/>
              <w:rPr>
                <w:rFonts w:asciiTheme="minorHAnsi" w:hAnsiTheme="minorHAnsi"/>
                <w:color w:val="auto"/>
                <w:sz w:val="24"/>
                <w:szCs w:val="24"/>
              </w:rPr>
            </w:pPr>
            <w:r w:rsidRPr="006B17BE">
              <w:rPr>
                <w:rFonts w:asciiTheme="minorHAnsi" w:hAnsiTheme="minorHAnsi"/>
                <w:color w:val="auto"/>
                <w:sz w:val="24"/>
                <w:szCs w:val="24"/>
              </w:rPr>
              <w:t>Well radius [m]</w:t>
            </w:r>
          </w:p>
        </w:tc>
      </w:tr>
      <w:tr w:rsidR="005F68B7" w:rsidRPr="006B17BE" w14:paraId="425F4E08" w14:textId="77777777" w:rsidTr="00A83A47">
        <w:tc>
          <w:tcPr>
            <w:tcW w:w="2268" w:type="dxa"/>
            <w:tcBorders>
              <w:top w:val="single" w:sz="4" w:space="0" w:color="auto"/>
              <w:left w:val="single" w:sz="4" w:space="0" w:color="auto"/>
              <w:bottom w:val="single" w:sz="4" w:space="0" w:color="auto"/>
              <w:right w:val="single" w:sz="4" w:space="0" w:color="auto"/>
            </w:tcBorders>
          </w:tcPr>
          <w:p w14:paraId="5BB61088" w14:textId="2D1B4AAC" w:rsidR="005F68B7" w:rsidRPr="006B17BE" w:rsidRDefault="005F68B7" w:rsidP="005F68B7">
            <w:pPr>
              <w:pStyle w:val="OWSTabletext"/>
              <w:rPr>
                <w:rFonts w:asciiTheme="minorHAnsi" w:hAnsiTheme="minorHAnsi"/>
                <w:i/>
                <w:color w:val="auto"/>
                <w:sz w:val="24"/>
                <w:szCs w:val="24"/>
              </w:rPr>
            </w:pPr>
            <w:r w:rsidRPr="006B17BE">
              <w:rPr>
                <w:rFonts w:asciiTheme="minorHAnsi" w:hAnsiTheme="minorHAnsi"/>
                <w:i/>
                <w:sz w:val="24"/>
                <w:szCs w:val="24"/>
              </w:rPr>
              <w:t>ρ</w:t>
            </w:r>
          </w:p>
        </w:tc>
        <w:tc>
          <w:tcPr>
            <w:tcW w:w="6946" w:type="dxa"/>
            <w:tcBorders>
              <w:top w:val="single" w:sz="4" w:space="0" w:color="auto"/>
              <w:left w:val="single" w:sz="4" w:space="0" w:color="auto"/>
              <w:bottom w:val="single" w:sz="4" w:space="0" w:color="auto"/>
              <w:right w:val="single" w:sz="4" w:space="0" w:color="auto"/>
            </w:tcBorders>
          </w:tcPr>
          <w:p w14:paraId="72A5168F" w14:textId="0B538469" w:rsidR="005F68B7" w:rsidRPr="006B17BE" w:rsidRDefault="005F68B7" w:rsidP="005F68B7">
            <w:pPr>
              <w:pStyle w:val="OWSTabletext"/>
              <w:rPr>
                <w:rFonts w:asciiTheme="minorHAnsi" w:hAnsiTheme="minorHAnsi"/>
                <w:color w:val="auto"/>
                <w:sz w:val="24"/>
                <w:szCs w:val="24"/>
              </w:rPr>
            </w:pPr>
            <w:r w:rsidRPr="006B17BE">
              <w:rPr>
                <w:rFonts w:asciiTheme="minorHAnsi" w:hAnsiTheme="minorHAnsi"/>
                <w:sz w:val="24"/>
                <w:szCs w:val="24"/>
              </w:rPr>
              <w:t>Density of failed wells [-]</w:t>
            </w:r>
          </w:p>
        </w:tc>
      </w:tr>
      <w:tr w:rsidR="005F68B7" w:rsidRPr="006B17BE" w14:paraId="7ECA84CF" w14:textId="77777777" w:rsidTr="00A83A47">
        <w:tc>
          <w:tcPr>
            <w:tcW w:w="2268" w:type="dxa"/>
            <w:tcBorders>
              <w:top w:val="single" w:sz="4" w:space="0" w:color="auto"/>
              <w:left w:val="single" w:sz="4" w:space="0" w:color="auto"/>
              <w:bottom w:val="single" w:sz="4" w:space="0" w:color="auto"/>
              <w:right w:val="single" w:sz="4" w:space="0" w:color="auto"/>
            </w:tcBorders>
          </w:tcPr>
          <w:p w14:paraId="728962D0" w14:textId="3A5602EB" w:rsidR="005F68B7" w:rsidRPr="006B17BE" w:rsidRDefault="005F68B7" w:rsidP="005F68B7">
            <w:pPr>
              <w:pStyle w:val="OWSTabletext"/>
              <w:rPr>
                <w:rFonts w:asciiTheme="minorHAnsi" w:hAnsiTheme="minorHAnsi"/>
                <w:i/>
                <w:sz w:val="24"/>
                <w:szCs w:val="24"/>
              </w:rPr>
            </w:pPr>
            <w:r w:rsidRPr="006B17BE">
              <w:rPr>
                <w:rFonts w:asciiTheme="minorHAnsi" w:hAnsiTheme="minorHAnsi"/>
                <w:i/>
                <w:sz w:val="24"/>
                <w:szCs w:val="24"/>
              </w:rPr>
              <w:t>S</w:t>
            </w:r>
            <w:r w:rsidRPr="006B17BE">
              <w:rPr>
                <w:rFonts w:asciiTheme="minorHAnsi" w:hAnsiTheme="minorHAnsi"/>
                <w:i/>
                <w:sz w:val="24"/>
                <w:szCs w:val="24"/>
                <w:vertAlign w:val="subscript"/>
              </w:rPr>
              <w:t>y</w:t>
            </w:r>
          </w:p>
        </w:tc>
        <w:tc>
          <w:tcPr>
            <w:tcW w:w="6946" w:type="dxa"/>
            <w:tcBorders>
              <w:top w:val="single" w:sz="4" w:space="0" w:color="auto"/>
              <w:left w:val="single" w:sz="4" w:space="0" w:color="auto"/>
              <w:bottom w:val="single" w:sz="4" w:space="0" w:color="auto"/>
              <w:right w:val="single" w:sz="4" w:space="0" w:color="auto"/>
            </w:tcBorders>
          </w:tcPr>
          <w:p w14:paraId="1BA0B19D" w14:textId="0BF17034" w:rsidR="005F68B7" w:rsidRPr="006B17BE" w:rsidRDefault="005F68B7" w:rsidP="005F68B7">
            <w:pPr>
              <w:pStyle w:val="OWSTabletext"/>
              <w:rPr>
                <w:rFonts w:asciiTheme="minorHAnsi" w:hAnsiTheme="minorHAnsi"/>
                <w:sz w:val="24"/>
                <w:szCs w:val="24"/>
              </w:rPr>
            </w:pPr>
            <w:r w:rsidRPr="006B17BE">
              <w:rPr>
                <w:rFonts w:asciiTheme="minorHAnsi" w:hAnsiTheme="minorHAnsi"/>
                <w:sz w:val="24"/>
                <w:szCs w:val="24"/>
              </w:rPr>
              <w:t>Specific yield [-]</w:t>
            </w:r>
          </w:p>
        </w:tc>
      </w:tr>
      <w:tr w:rsidR="005F68B7" w:rsidRPr="006B17BE" w14:paraId="251A5D38" w14:textId="77777777" w:rsidTr="00A83A47">
        <w:tc>
          <w:tcPr>
            <w:tcW w:w="2268" w:type="dxa"/>
            <w:tcBorders>
              <w:top w:val="single" w:sz="4" w:space="0" w:color="auto"/>
              <w:left w:val="single" w:sz="4" w:space="0" w:color="auto"/>
              <w:bottom w:val="single" w:sz="4" w:space="0" w:color="auto"/>
              <w:right w:val="single" w:sz="4" w:space="0" w:color="auto"/>
            </w:tcBorders>
          </w:tcPr>
          <w:p w14:paraId="08013026" w14:textId="7F76ECBB" w:rsidR="005F68B7" w:rsidRPr="006B17BE" w:rsidRDefault="005F68B7" w:rsidP="005F68B7">
            <w:pPr>
              <w:pStyle w:val="OWSTabletext"/>
              <w:rPr>
                <w:rFonts w:asciiTheme="minorHAnsi" w:hAnsiTheme="minorHAnsi"/>
                <w:i/>
                <w:sz w:val="24"/>
                <w:szCs w:val="24"/>
              </w:rPr>
            </w:pPr>
            <w:r w:rsidRPr="006B17BE">
              <w:rPr>
                <w:rFonts w:asciiTheme="minorHAnsi" w:hAnsiTheme="minorHAnsi"/>
                <w:i/>
                <w:sz w:val="24"/>
                <w:szCs w:val="24"/>
              </w:rPr>
              <w:t>S</w:t>
            </w:r>
            <w:r w:rsidRPr="006B17BE">
              <w:rPr>
                <w:rFonts w:asciiTheme="minorHAnsi" w:hAnsiTheme="minorHAnsi"/>
                <w:i/>
                <w:sz w:val="24"/>
                <w:szCs w:val="24"/>
                <w:vertAlign w:val="subscript"/>
              </w:rPr>
              <w:t>s</w:t>
            </w:r>
          </w:p>
        </w:tc>
        <w:tc>
          <w:tcPr>
            <w:tcW w:w="6946" w:type="dxa"/>
            <w:tcBorders>
              <w:top w:val="single" w:sz="4" w:space="0" w:color="auto"/>
              <w:left w:val="single" w:sz="4" w:space="0" w:color="auto"/>
              <w:bottom w:val="single" w:sz="4" w:space="0" w:color="auto"/>
              <w:right w:val="single" w:sz="4" w:space="0" w:color="auto"/>
            </w:tcBorders>
          </w:tcPr>
          <w:p w14:paraId="30A0D50F" w14:textId="486A2F6A" w:rsidR="005F68B7" w:rsidRPr="006B17BE" w:rsidRDefault="005F68B7" w:rsidP="005F68B7">
            <w:pPr>
              <w:pStyle w:val="OWSTabletext"/>
              <w:rPr>
                <w:rFonts w:asciiTheme="minorHAnsi" w:hAnsiTheme="minorHAnsi"/>
                <w:sz w:val="24"/>
                <w:szCs w:val="24"/>
              </w:rPr>
            </w:pPr>
            <w:r w:rsidRPr="006B17BE">
              <w:rPr>
                <w:rFonts w:asciiTheme="minorHAnsi" w:hAnsiTheme="minorHAnsi"/>
                <w:sz w:val="24"/>
                <w:szCs w:val="24"/>
              </w:rPr>
              <w:t>specific storage [m</w:t>
            </w:r>
            <w:r w:rsidRPr="006B17BE">
              <w:rPr>
                <w:rFonts w:asciiTheme="minorHAnsi" w:hAnsiTheme="minorHAnsi"/>
                <w:sz w:val="24"/>
                <w:szCs w:val="24"/>
                <w:vertAlign w:val="superscript"/>
              </w:rPr>
              <w:t>-1</w:t>
            </w:r>
            <w:r w:rsidRPr="006B17BE">
              <w:rPr>
                <w:rFonts w:asciiTheme="minorHAnsi" w:hAnsiTheme="minorHAnsi"/>
                <w:sz w:val="24"/>
                <w:szCs w:val="24"/>
              </w:rPr>
              <w:t>]</w:t>
            </w:r>
          </w:p>
        </w:tc>
      </w:tr>
      <w:tr w:rsidR="005F68B7" w:rsidRPr="006B17BE" w14:paraId="78298C58" w14:textId="77777777" w:rsidTr="00A83A47">
        <w:tc>
          <w:tcPr>
            <w:tcW w:w="2268" w:type="dxa"/>
            <w:tcBorders>
              <w:top w:val="single" w:sz="4" w:space="0" w:color="auto"/>
              <w:left w:val="single" w:sz="4" w:space="0" w:color="auto"/>
              <w:bottom w:val="single" w:sz="4" w:space="0" w:color="auto"/>
              <w:right w:val="single" w:sz="4" w:space="0" w:color="auto"/>
            </w:tcBorders>
          </w:tcPr>
          <w:p w14:paraId="116BDF9A" w14:textId="33B9C9BE" w:rsidR="005F68B7" w:rsidRPr="006B17BE" w:rsidRDefault="005F68B7" w:rsidP="005F68B7">
            <w:pPr>
              <w:pStyle w:val="OWSTabletext"/>
              <w:rPr>
                <w:rFonts w:asciiTheme="minorHAnsi" w:hAnsiTheme="minorHAnsi"/>
                <w:i/>
                <w:sz w:val="24"/>
                <w:szCs w:val="24"/>
              </w:rPr>
            </w:pPr>
            <w:r w:rsidRPr="006B17BE">
              <w:rPr>
                <w:rFonts w:asciiTheme="minorHAnsi" w:hAnsiTheme="minorHAnsi"/>
                <w:i/>
                <w:sz w:val="24"/>
                <w:szCs w:val="24"/>
              </w:rPr>
              <w:t>T</w:t>
            </w:r>
            <w:r w:rsidRPr="006B17BE">
              <w:rPr>
                <w:rFonts w:asciiTheme="minorHAnsi" w:hAnsiTheme="minorHAnsi"/>
                <w:i/>
                <w:sz w:val="24"/>
                <w:szCs w:val="24"/>
                <w:vertAlign w:val="subscript"/>
              </w:rPr>
              <w:t>1</w:t>
            </w:r>
            <w:r w:rsidRPr="006B17BE">
              <w:rPr>
                <w:rFonts w:asciiTheme="minorHAnsi" w:hAnsiTheme="minorHAnsi"/>
                <w:i/>
                <w:sz w:val="24"/>
                <w:szCs w:val="24"/>
              </w:rPr>
              <w:t>,</w:t>
            </w:r>
            <w:r w:rsidRPr="006B17BE">
              <w:rPr>
                <w:rFonts w:asciiTheme="minorHAnsi" w:hAnsiTheme="minorHAnsi"/>
                <w:i/>
                <w:sz w:val="24"/>
                <w:szCs w:val="24"/>
                <w:vertAlign w:val="subscript"/>
              </w:rPr>
              <w:t xml:space="preserve"> </w:t>
            </w:r>
            <w:r w:rsidRPr="006B17BE">
              <w:rPr>
                <w:rFonts w:asciiTheme="minorHAnsi" w:hAnsiTheme="minorHAnsi"/>
                <w:i/>
                <w:sz w:val="24"/>
                <w:szCs w:val="24"/>
              </w:rPr>
              <w:t>T</w:t>
            </w:r>
            <w:r w:rsidRPr="006B17BE">
              <w:rPr>
                <w:rFonts w:asciiTheme="minorHAnsi" w:hAnsiTheme="minorHAnsi"/>
                <w:i/>
                <w:sz w:val="24"/>
                <w:szCs w:val="24"/>
                <w:vertAlign w:val="subscript"/>
              </w:rPr>
              <w:t>2</w:t>
            </w:r>
          </w:p>
        </w:tc>
        <w:tc>
          <w:tcPr>
            <w:tcW w:w="6946" w:type="dxa"/>
            <w:tcBorders>
              <w:top w:val="single" w:sz="4" w:space="0" w:color="auto"/>
              <w:left w:val="single" w:sz="4" w:space="0" w:color="auto"/>
              <w:bottom w:val="single" w:sz="4" w:space="0" w:color="auto"/>
              <w:right w:val="single" w:sz="4" w:space="0" w:color="auto"/>
            </w:tcBorders>
          </w:tcPr>
          <w:p w14:paraId="726DC4F3" w14:textId="52A59FF2" w:rsidR="005F68B7" w:rsidRPr="006B17BE" w:rsidRDefault="005F68B7" w:rsidP="005F68B7">
            <w:pPr>
              <w:pStyle w:val="OWSTabletext"/>
              <w:rPr>
                <w:rFonts w:asciiTheme="minorHAnsi" w:hAnsiTheme="minorHAnsi"/>
                <w:sz w:val="24"/>
                <w:szCs w:val="24"/>
              </w:rPr>
            </w:pPr>
            <w:r w:rsidRPr="006B17BE">
              <w:rPr>
                <w:rFonts w:asciiTheme="minorHAnsi" w:hAnsiTheme="minorHAnsi"/>
                <w:sz w:val="24"/>
                <w:szCs w:val="24"/>
              </w:rPr>
              <w:t>Transmissivity for Aquifer-1, -2 [m</w:t>
            </w:r>
            <w:r w:rsidRPr="006B17BE">
              <w:rPr>
                <w:rFonts w:asciiTheme="minorHAnsi" w:hAnsiTheme="minorHAnsi"/>
                <w:sz w:val="24"/>
                <w:szCs w:val="24"/>
                <w:vertAlign w:val="superscript"/>
              </w:rPr>
              <w:t>2</w:t>
            </w:r>
            <w:r w:rsidRPr="006B17BE">
              <w:rPr>
                <w:rFonts w:asciiTheme="minorHAnsi" w:hAnsiTheme="minorHAnsi"/>
                <w:sz w:val="24"/>
                <w:szCs w:val="24"/>
              </w:rPr>
              <w:t>/d]</w:t>
            </w:r>
          </w:p>
        </w:tc>
      </w:tr>
      <w:tr w:rsidR="005F68B7" w:rsidRPr="006B17BE" w14:paraId="1367FEFA" w14:textId="77777777" w:rsidTr="00A83A47">
        <w:tc>
          <w:tcPr>
            <w:tcW w:w="2268" w:type="dxa"/>
            <w:tcBorders>
              <w:top w:val="single" w:sz="4" w:space="0" w:color="auto"/>
              <w:left w:val="single" w:sz="4" w:space="0" w:color="auto"/>
              <w:bottom w:val="single" w:sz="4" w:space="0" w:color="auto"/>
              <w:right w:val="single" w:sz="4" w:space="0" w:color="auto"/>
            </w:tcBorders>
          </w:tcPr>
          <w:p w14:paraId="78DA526E" w14:textId="17AD88CD" w:rsidR="005F68B7" w:rsidRPr="006B17BE" w:rsidRDefault="005F68B7" w:rsidP="005F68B7">
            <w:pPr>
              <w:pStyle w:val="OWSTabletext"/>
              <w:rPr>
                <w:rFonts w:asciiTheme="minorHAnsi" w:hAnsiTheme="minorHAnsi"/>
                <w:i/>
                <w:sz w:val="24"/>
                <w:szCs w:val="24"/>
              </w:rPr>
            </w:pPr>
            <w:r w:rsidRPr="006B17BE">
              <w:rPr>
                <w:rFonts w:asciiTheme="minorHAnsi" w:hAnsiTheme="minorHAnsi"/>
                <w:i/>
                <w:sz w:val="24"/>
                <w:szCs w:val="24"/>
              </w:rPr>
              <w:t>z</w:t>
            </w:r>
          </w:p>
        </w:tc>
        <w:tc>
          <w:tcPr>
            <w:tcW w:w="6946" w:type="dxa"/>
            <w:tcBorders>
              <w:top w:val="single" w:sz="4" w:space="0" w:color="auto"/>
              <w:left w:val="single" w:sz="4" w:space="0" w:color="auto"/>
              <w:bottom w:val="single" w:sz="4" w:space="0" w:color="auto"/>
              <w:right w:val="single" w:sz="4" w:space="0" w:color="auto"/>
            </w:tcBorders>
          </w:tcPr>
          <w:p w14:paraId="6A993A8C" w14:textId="03D7B980" w:rsidR="005F68B7" w:rsidRPr="006B17BE" w:rsidRDefault="005F68B7" w:rsidP="005F68B7">
            <w:pPr>
              <w:pStyle w:val="OWSTabletext"/>
              <w:rPr>
                <w:rFonts w:asciiTheme="minorHAnsi" w:hAnsiTheme="minorHAnsi"/>
                <w:sz w:val="24"/>
                <w:szCs w:val="24"/>
              </w:rPr>
            </w:pPr>
            <w:r w:rsidRPr="006B17BE">
              <w:rPr>
                <w:rFonts w:asciiTheme="minorHAnsi" w:hAnsiTheme="minorHAnsi"/>
                <w:sz w:val="24"/>
                <w:szCs w:val="24"/>
              </w:rPr>
              <w:t>Thickness of the aquitard [m]</w:t>
            </w:r>
          </w:p>
        </w:tc>
      </w:tr>
    </w:tbl>
    <w:p w14:paraId="39DCA3B6" w14:textId="7573DFF1" w:rsidR="00A83A47" w:rsidRPr="006B17BE" w:rsidRDefault="00A83A47" w:rsidP="00A83A47">
      <w:pPr>
        <w:spacing w:after="0"/>
        <w:rPr>
          <w:rFonts w:asciiTheme="minorHAnsi" w:hAnsiTheme="minorHAnsi"/>
          <w:sz w:val="24"/>
          <w:szCs w:val="24"/>
        </w:rPr>
        <w:sectPr w:rsidR="00A83A47" w:rsidRPr="006B17BE" w:rsidSect="00F60987">
          <w:pgSz w:w="11900" w:h="16840"/>
          <w:pgMar w:top="1393" w:right="1418" w:bottom="1418" w:left="1418" w:header="142" w:footer="676" w:gutter="0"/>
          <w:pgNumType w:fmt="lowerRoman"/>
          <w:cols w:space="720"/>
        </w:sectPr>
      </w:pPr>
    </w:p>
    <w:p w14:paraId="77DC12C8" w14:textId="77777777" w:rsidR="00CC5DBC" w:rsidRPr="006B17BE" w:rsidRDefault="00CC5DBC" w:rsidP="00F21221">
      <w:pPr>
        <w:pStyle w:val="Heading1"/>
      </w:pPr>
      <w:bookmarkStart w:id="466" w:name="_Toc483567931"/>
      <w:r w:rsidRPr="006B17BE">
        <w:t>Introduction</w:t>
      </w:r>
      <w:bookmarkEnd w:id="466"/>
    </w:p>
    <w:p w14:paraId="3AECE003" w14:textId="3091391C" w:rsidR="00027B1B" w:rsidRDefault="00027B1B" w:rsidP="00207FE3">
      <w:pPr>
        <w:pStyle w:val="Heading2"/>
      </w:pPr>
      <w:bookmarkStart w:id="467" w:name="_Toc483567932"/>
      <w:r>
        <w:t>Terms of reference</w:t>
      </w:r>
      <w:bookmarkEnd w:id="467"/>
    </w:p>
    <w:p w14:paraId="7F8E2D67" w14:textId="558BF55B" w:rsidR="00033E87" w:rsidRPr="000A2C35" w:rsidRDefault="00033E87" w:rsidP="00033E87">
      <w:pPr>
        <w:pStyle w:val="Body"/>
      </w:pPr>
      <w:r w:rsidRPr="000A2C35">
        <w:t>Subsurface resources such as minerals, water and hydrocarbons are routinely exploited within Australia for industrial or agricultural uses. In such cases the resources are defined and/ or obtained via the exploration and/ or construction of bore holes and wells within the subsurface rock strata. In many cases these activities intersect various rock assemblages of different composition or quality. Such rock assemblages can contain desirable resources such as groundwater; however, in the case of coal seam gas they may represent additional challenges to safe abstraction of underlying resources. To ensure efficient and environmentally sustainable utilisation of either groundwater or coal seam gas resources, bore holes or wells which penetrate multiple rock strata must be constructed to a high standard (National Water Commission 201</w:t>
      </w:r>
      <w:r>
        <w:t>2</w:t>
      </w:r>
      <w:r w:rsidRPr="000A2C35">
        <w:t>). Such standards ensure best practi</w:t>
      </w:r>
      <w:r>
        <w:t>c</w:t>
      </w:r>
      <w:r w:rsidRPr="000A2C35">
        <w:t xml:space="preserve">e while minimising the risk of bore integrity issues, </w:t>
      </w:r>
      <w:r w:rsidR="00CA353A">
        <w:t>such as</w:t>
      </w:r>
      <w:r w:rsidRPr="000A2C35">
        <w:t xml:space="preserve"> the movement of gasses or liquids between two or more separate hydrostratigraphic units. </w:t>
      </w:r>
    </w:p>
    <w:p w14:paraId="0319D439" w14:textId="105078E0" w:rsidR="00033E87" w:rsidRDefault="00033E87" w:rsidP="00033E87">
      <w:pPr>
        <w:pStyle w:val="Body"/>
      </w:pPr>
      <w:r w:rsidRPr="00A84E2D">
        <w:t xml:space="preserve">Recommendations from </w:t>
      </w:r>
      <w:r>
        <w:t>previous</w:t>
      </w:r>
      <w:r w:rsidRPr="00A84E2D">
        <w:t xml:space="preserve"> work </w:t>
      </w:r>
      <w:r>
        <w:t xml:space="preserve">by the Office of Water Science (Commonwealth of Australia 2014) </w:t>
      </w:r>
      <w:r w:rsidRPr="00A84E2D">
        <w:t>have identified that a better understanding of the c</w:t>
      </w:r>
      <w:r w:rsidRPr="00033E87">
        <w:t>o</w:t>
      </w:r>
      <w:r w:rsidRPr="00A84E2D">
        <w:t>nsequence of bore failure should be attempted</w:t>
      </w:r>
      <w:r w:rsidR="00CA353A">
        <w:t>. A</w:t>
      </w:r>
      <w:r w:rsidRPr="00A84E2D">
        <w:t>s such this scope of work aims to address this knowledge gap.</w:t>
      </w:r>
    </w:p>
    <w:p w14:paraId="57B6ECED" w14:textId="612A7730" w:rsidR="00033E87" w:rsidRDefault="00033E87" w:rsidP="00033E87">
      <w:pPr>
        <w:pStyle w:val="Body"/>
      </w:pPr>
      <w:r w:rsidRPr="00A84E2D">
        <w:t xml:space="preserve">This project aims to determine the consequence of inter-aquifer connectivity caused by the degradation or substandard construction of bore holes and wells. Declines in bore integrity promote potential </w:t>
      </w:r>
      <w:r w:rsidR="00CA353A">
        <w:t>hydraulic communication</w:t>
      </w:r>
      <w:r w:rsidRPr="00A84E2D">
        <w:t xml:space="preserve">, which can alter the hydrological regime present in </w:t>
      </w:r>
      <w:r w:rsidR="00CA353A">
        <w:t>layered</w:t>
      </w:r>
      <w:r w:rsidRPr="00A84E2D">
        <w:t xml:space="preserve"> aquifer systems. This project expands </w:t>
      </w:r>
      <w:r w:rsidR="00D11BB7">
        <w:t>on</w:t>
      </w:r>
      <w:r>
        <w:t xml:space="preserve"> </w:t>
      </w:r>
      <w:r w:rsidRPr="00A84E2D">
        <w:t>previous work by us</w:t>
      </w:r>
      <w:r>
        <w:t>ing</w:t>
      </w:r>
      <w:r w:rsidRPr="00A84E2D">
        <w:t xml:space="preserve"> </w:t>
      </w:r>
      <w:r>
        <w:t xml:space="preserve">analytical and </w:t>
      </w:r>
      <w:r w:rsidRPr="00A84E2D">
        <w:t>numerical groundwater models to predict the consequence of inter-aquifer leakage through failed bore holes. The project will attempt</w:t>
      </w:r>
      <w:r>
        <w:t xml:space="preserve"> to use:</w:t>
      </w:r>
    </w:p>
    <w:p w14:paraId="1FAC1345" w14:textId="77777777" w:rsidR="00033E87" w:rsidRPr="00033E87" w:rsidRDefault="00033E87" w:rsidP="00033E87">
      <w:pPr>
        <w:pStyle w:val="ListParagraph"/>
        <w:numPr>
          <w:ilvl w:val="0"/>
          <w:numId w:val="38"/>
        </w:numPr>
        <w:overflowPunct w:val="0"/>
        <w:autoSpaceDE w:val="0"/>
        <w:autoSpaceDN w:val="0"/>
        <w:adjustRightInd w:val="0"/>
        <w:spacing w:before="0" w:after="240" w:line="240" w:lineRule="auto"/>
        <w:jc w:val="both"/>
        <w:textAlignment w:val="baseline"/>
        <w:rPr>
          <w:sz w:val="22"/>
          <w:szCs w:val="22"/>
        </w:rPr>
      </w:pPr>
      <w:r w:rsidRPr="00033E87">
        <w:rPr>
          <w:sz w:val="22"/>
          <w:szCs w:val="22"/>
        </w:rPr>
        <w:t>previously constructed numerical groundwater models to determine the regional-scale magnitudes of aquifer connectivity via open bore hole conduits required to cause inter-aquifer leakage</w:t>
      </w:r>
    </w:p>
    <w:p w14:paraId="276C095F" w14:textId="77777777" w:rsidR="00033E87" w:rsidRPr="00033E87" w:rsidRDefault="00033E87" w:rsidP="00033E87">
      <w:pPr>
        <w:pStyle w:val="ListParagraph"/>
        <w:numPr>
          <w:ilvl w:val="0"/>
          <w:numId w:val="38"/>
        </w:numPr>
        <w:overflowPunct w:val="0"/>
        <w:autoSpaceDE w:val="0"/>
        <w:autoSpaceDN w:val="0"/>
        <w:adjustRightInd w:val="0"/>
        <w:spacing w:before="0" w:after="240" w:line="240" w:lineRule="auto"/>
        <w:jc w:val="both"/>
        <w:textAlignment w:val="baseline"/>
        <w:rPr>
          <w:sz w:val="22"/>
          <w:szCs w:val="22"/>
        </w:rPr>
      </w:pPr>
      <w:r w:rsidRPr="00033E87">
        <w:rPr>
          <w:sz w:val="22"/>
          <w:szCs w:val="22"/>
        </w:rPr>
        <w:t>analytical models to determine the local-scale magnitudes of aquifer connectivity via open bore hole conduits.</w:t>
      </w:r>
    </w:p>
    <w:p w14:paraId="76091B7A" w14:textId="38A12F5B" w:rsidR="00B43CE8" w:rsidRPr="00A84E2D" w:rsidRDefault="00B43CE8" w:rsidP="00B43CE8">
      <w:pPr>
        <w:pStyle w:val="Body"/>
      </w:pPr>
      <w:r w:rsidRPr="00A84E2D">
        <w:t>The model</w:t>
      </w:r>
      <w:r>
        <w:t>ling</w:t>
      </w:r>
      <w:r w:rsidRPr="00A84E2D">
        <w:t xml:space="preserve"> will assess the consequences of </w:t>
      </w:r>
      <w:r>
        <w:t xml:space="preserve">well and </w:t>
      </w:r>
      <w:r w:rsidRPr="00A84E2D">
        <w:t xml:space="preserve">bore hole connectivity, </w:t>
      </w:r>
      <w:r w:rsidR="00D11BB7">
        <w:t>including</w:t>
      </w:r>
      <w:r w:rsidRPr="00A84E2D">
        <w:t xml:space="preserve"> the number of required connective pathways </w:t>
      </w:r>
      <w:r w:rsidR="00D11BB7">
        <w:t xml:space="preserve">required </w:t>
      </w:r>
      <w:r w:rsidRPr="00A84E2D">
        <w:t>to create a range of noticeable impacts. Impacts will be assessed by changes in:</w:t>
      </w:r>
    </w:p>
    <w:p w14:paraId="567001A4" w14:textId="77777777" w:rsidR="00B43CE8" w:rsidRPr="00B43CE8" w:rsidRDefault="00B43CE8" w:rsidP="00B43CE8">
      <w:pPr>
        <w:pStyle w:val="ListParagraph"/>
        <w:numPr>
          <w:ilvl w:val="0"/>
          <w:numId w:val="38"/>
        </w:numPr>
        <w:overflowPunct w:val="0"/>
        <w:autoSpaceDE w:val="0"/>
        <w:autoSpaceDN w:val="0"/>
        <w:adjustRightInd w:val="0"/>
        <w:spacing w:before="0" w:after="240" w:line="240" w:lineRule="auto"/>
        <w:jc w:val="both"/>
        <w:textAlignment w:val="baseline"/>
        <w:rPr>
          <w:sz w:val="22"/>
          <w:szCs w:val="22"/>
        </w:rPr>
      </w:pPr>
      <w:r w:rsidRPr="00B43CE8">
        <w:rPr>
          <w:sz w:val="22"/>
          <w:szCs w:val="22"/>
        </w:rPr>
        <w:t>aquifer potentiometric surface change or groundwater flux;</w:t>
      </w:r>
    </w:p>
    <w:p w14:paraId="21FBE731" w14:textId="77777777" w:rsidR="00B43CE8" w:rsidRPr="00B43CE8" w:rsidRDefault="00B43CE8" w:rsidP="00B43CE8">
      <w:pPr>
        <w:pStyle w:val="ListParagraph"/>
        <w:numPr>
          <w:ilvl w:val="0"/>
          <w:numId w:val="38"/>
        </w:numPr>
        <w:overflowPunct w:val="0"/>
        <w:autoSpaceDE w:val="0"/>
        <w:autoSpaceDN w:val="0"/>
        <w:adjustRightInd w:val="0"/>
        <w:spacing w:before="0" w:after="240" w:line="240" w:lineRule="auto"/>
        <w:jc w:val="both"/>
        <w:textAlignment w:val="baseline"/>
        <w:rPr>
          <w:sz w:val="22"/>
          <w:szCs w:val="22"/>
        </w:rPr>
      </w:pPr>
      <w:r w:rsidRPr="00B43CE8">
        <w:rPr>
          <w:sz w:val="22"/>
          <w:szCs w:val="22"/>
        </w:rPr>
        <w:t>aquifer hydraulic gradient change; and</w:t>
      </w:r>
    </w:p>
    <w:p w14:paraId="57E10AE1" w14:textId="5BD8128D" w:rsidR="00B43CE8" w:rsidRPr="00B43CE8" w:rsidRDefault="00B43CE8" w:rsidP="00B43CE8">
      <w:pPr>
        <w:pStyle w:val="ListParagraph"/>
        <w:numPr>
          <w:ilvl w:val="0"/>
          <w:numId w:val="38"/>
        </w:numPr>
        <w:overflowPunct w:val="0"/>
        <w:autoSpaceDE w:val="0"/>
        <w:autoSpaceDN w:val="0"/>
        <w:adjustRightInd w:val="0"/>
        <w:spacing w:before="0" w:after="240" w:line="240" w:lineRule="auto"/>
        <w:jc w:val="both"/>
        <w:textAlignment w:val="baseline"/>
        <w:rPr>
          <w:sz w:val="22"/>
          <w:szCs w:val="22"/>
        </w:rPr>
      </w:pPr>
      <w:r w:rsidRPr="00B43CE8">
        <w:rPr>
          <w:sz w:val="22"/>
          <w:szCs w:val="22"/>
        </w:rPr>
        <w:t>changes in temperature or salinity within aquifers where possible.</w:t>
      </w:r>
    </w:p>
    <w:p w14:paraId="18C09E9A" w14:textId="1C8C796D" w:rsidR="00684F4E" w:rsidRDefault="00ED7D6F" w:rsidP="00ED7D6F">
      <w:pPr>
        <w:pStyle w:val="Body"/>
      </w:pPr>
      <w:r w:rsidRPr="00FA2F75">
        <w:t>In conju</w:t>
      </w:r>
      <w:r>
        <w:t>n</w:t>
      </w:r>
      <w:r w:rsidRPr="00FA2F75">
        <w:t xml:space="preserve">ction </w:t>
      </w:r>
      <w:r>
        <w:t>with both modelling approaches, propose possible experimental designs to measure impact of wells/bores on local and regional scale.</w:t>
      </w:r>
    </w:p>
    <w:p w14:paraId="3FD31322" w14:textId="77777777" w:rsidR="00684F4E" w:rsidRPr="00684F4E" w:rsidRDefault="00684F4E" w:rsidP="00684F4E">
      <w:pPr>
        <w:rPr>
          <w:lang w:val="en-GB" w:eastAsia="ja-JP"/>
        </w:rPr>
      </w:pPr>
    </w:p>
    <w:p w14:paraId="541AF9BA" w14:textId="1F91DE37" w:rsidR="00684F4E" w:rsidRDefault="00684F4E" w:rsidP="00684F4E">
      <w:pPr>
        <w:rPr>
          <w:lang w:val="en-GB" w:eastAsia="ja-JP"/>
        </w:rPr>
      </w:pPr>
    </w:p>
    <w:p w14:paraId="3A0695CF" w14:textId="77777777" w:rsidR="00027B1B" w:rsidRPr="00684F4E" w:rsidRDefault="00027B1B" w:rsidP="00684F4E">
      <w:pPr>
        <w:jc w:val="right"/>
        <w:rPr>
          <w:lang w:val="en-GB" w:eastAsia="ja-JP"/>
        </w:rPr>
      </w:pPr>
    </w:p>
    <w:p w14:paraId="1266487C" w14:textId="64025D3C" w:rsidR="006C109F" w:rsidRDefault="00D1165C" w:rsidP="00207FE3">
      <w:pPr>
        <w:pStyle w:val="Heading2"/>
      </w:pPr>
      <w:bookmarkStart w:id="468" w:name="_Toc483567933"/>
      <w:r>
        <w:t>Human-induced pathways for inter-aquifer connectivity</w:t>
      </w:r>
      <w:bookmarkEnd w:id="468"/>
    </w:p>
    <w:p w14:paraId="51E57AA3" w14:textId="1F7FF106" w:rsidR="00CC6713" w:rsidRDefault="005C0075" w:rsidP="00725A64">
      <w:pPr>
        <w:pStyle w:val="Body"/>
      </w:pPr>
      <w:r w:rsidRPr="006B17BE">
        <w:t xml:space="preserve">Most literature related to </w:t>
      </w:r>
      <w:r w:rsidR="00102E6C" w:rsidRPr="006B17BE">
        <w:t xml:space="preserve">impacts from </w:t>
      </w:r>
      <w:r w:rsidRPr="006B17BE">
        <w:t xml:space="preserve">coal seam gas or shale gas production centres around the impact of hydraulic fracturing on </w:t>
      </w:r>
      <w:r w:rsidR="00BD5ED7" w:rsidRPr="006B17BE">
        <w:t xml:space="preserve">drinking water </w:t>
      </w:r>
      <w:r w:rsidR="00102E6C" w:rsidRPr="006B17BE">
        <w:t xml:space="preserve">quality </w:t>
      </w:r>
      <w:r w:rsidR="006C32E8" w:rsidRPr="006B17BE">
        <w:t xml:space="preserve">and </w:t>
      </w:r>
      <w:r w:rsidRPr="006B17BE">
        <w:t xml:space="preserve">the leakage of methane gas to surficial aquifers or to the land surface </w:t>
      </w:r>
      <w:r w:rsidR="008677F5" w:rsidRPr="006B17BE">
        <w:fldChar w:fldCharType="begin"/>
      </w:r>
      <w:r w:rsidR="00AC3BD2">
        <w:instrText xml:space="preserve"> ADDIN EN.CITE &lt;EndNote&gt;&lt;Cite&gt;&lt;Author&gt;Vengosh&lt;/Author&gt;&lt;Year&gt;2014&lt;/Year&gt;&lt;RecNum&gt;2525&lt;/RecNum&gt;&lt;DisplayText&gt;(Vengosh, Jackson, Warner, Darrah, &amp;amp; Kondash, 2014)&lt;/DisplayText&gt;&lt;record&gt;&lt;rec-number&gt;2525&lt;/rec-number&gt;&lt;foreign-keys&gt;&lt;key app="EN" db-id="sawsrtr20e9dd8ewz5evfttuv5erw5fa22tr"&gt;2525&lt;/key&gt;&lt;/foreign-keys&gt;&lt;ref-type name="Journal Article"&gt;17&lt;/ref-type&gt;&lt;contributors&gt;&lt;authors&gt;&lt;author&gt;Vengosh, Avner&lt;/author&gt;&lt;author&gt;Jackson, Robert B&lt;/author&gt;&lt;author&gt;Warner, Nathaniel&lt;/author&gt;&lt;author&gt;Darrah, Thomas H&lt;/author&gt;&lt;author&gt;Kondash, Andrew&lt;/author&gt;&lt;/authors&gt;&lt;/contributors&gt;&lt;titles&gt;&lt;title&gt;A critical review of the risks to water resources from unconventional shale gas development and hydraulic fracturing in the United States&lt;/title&gt;&lt;secondary-title&gt;Environmental science &amp;amp; technology&lt;/secondary-title&gt;&lt;/titles&gt;&lt;periodical&gt;&lt;full-title&gt;Environmental science &amp;amp; technology&lt;/full-title&gt;&lt;/periodical&gt;&lt;pages&gt;8334-8348&lt;/pages&gt;&lt;volume&gt;48&lt;/volume&gt;&lt;number&gt;15&lt;/number&gt;&lt;dates&gt;&lt;year&gt;2014&lt;/year&gt;&lt;/dates&gt;&lt;isbn&gt;0013-936X&lt;/isbn&gt;&lt;urls&gt;&lt;/urls&gt;&lt;/record&gt;&lt;/Cite&gt;&lt;/EndNote&gt;</w:instrText>
      </w:r>
      <w:r w:rsidR="008677F5" w:rsidRPr="006B17BE">
        <w:fldChar w:fldCharType="separate"/>
      </w:r>
      <w:r w:rsidR="00AC3BD2">
        <w:rPr>
          <w:noProof/>
        </w:rPr>
        <w:t>(</w:t>
      </w:r>
      <w:hyperlink w:anchor="_ENREF_8" w:tooltip="Vengosh, 2014 #2525" w:history="1">
        <w:r w:rsidR="00AC3BD2">
          <w:rPr>
            <w:noProof/>
          </w:rPr>
          <w:t>Vengosh, Jackson, Warner, Darrah, &amp; Kondash, 2014</w:t>
        </w:r>
      </w:hyperlink>
      <w:r w:rsidR="00AC3BD2">
        <w:rPr>
          <w:noProof/>
        </w:rPr>
        <w:t>)</w:t>
      </w:r>
      <w:r w:rsidR="008677F5" w:rsidRPr="006B17BE">
        <w:fldChar w:fldCharType="end"/>
      </w:r>
      <w:r w:rsidRPr="006B17BE">
        <w:t xml:space="preserve">. </w:t>
      </w:r>
      <w:r w:rsidR="008F18C2">
        <w:t xml:space="preserve">US EPA (2016a) considered two major subsurface mechanisms by which the injection of hydraulic fracturing fluid and the creation and propagation of fractures can lead to contamination of drinking water resources, i.e. unintentional migration of fluids and gases (i) up the production well into groundwater owing to poor casing or cementing, and (ii) through subsurface geologic formations into a drinking water resource. </w:t>
      </w:r>
      <w:r w:rsidR="006C32E8" w:rsidRPr="006B17BE">
        <w:t xml:space="preserve">Well failure has been identified as a possible pathway for migration of such contaminants from the hydrocarbon reservoir to shallower aquifers. Reagan et al. </w:t>
      </w:r>
      <w:r w:rsidR="00A219A8" w:rsidRPr="006B17BE">
        <w:fldChar w:fldCharType="begin"/>
      </w:r>
      <w:r w:rsidR="00AC3BD2">
        <w:instrText xml:space="preserve"> ADDIN EN.CITE &lt;EndNote&gt;&lt;Cite ExcludeAuth="1"&gt;&lt;Author&gt;Reagan&lt;/Author&gt;&lt;Year&gt;2015&lt;/Year&gt;&lt;RecNum&gt;82&lt;/RecNum&gt;&lt;DisplayText&gt;(2015)&lt;/DisplayText&gt;&lt;record&gt;&lt;rec-number&gt;82&lt;/rec-number&gt;&lt;foreign-keys&gt;&lt;key app="EN" db-id="xsexsdeavw900aew9xqxrzzyttv0wxs0rf9r" timestamp="1520464008"&gt;82&lt;/key&gt;&lt;/foreign-keys&gt;&lt;ref-type name="Journal Article"&gt;17&lt;/ref-type&gt;&lt;contributors&gt;&lt;authors&gt;&lt;author&gt;Reagan, Matthew T&lt;/author&gt;&lt;author&gt;Moridis, George J&lt;/author&gt;&lt;author&gt;Keen, Noel D&lt;/author&gt;&lt;author&gt;Johnson, Jeffrey N&lt;/author&gt;&lt;/authors&gt;&lt;/contributors&gt;&lt;titles&gt;&lt;title&gt;Numerical simulation of the environmental impact of hydraulic fracturing of tight/shale gas reservoirs on near-surface groundwater: Background, base cases, shallow reservoirs, short-term gas, and water transport&lt;/title&gt;&lt;secondary-title&gt;Water Resources Research&lt;/secondary-title&gt;&lt;/titles&gt;&lt;periodical&gt;&lt;full-title&gt;Water Resources Research&lt;/full-title&gt;&lt;/periodical&gt;&lt;pages&gt;2543-2573&lt;/pages&gt;&lt;volume&gt;51&lt;/volume&gt;&lt;number&gt;4&lt;/number&gt;&lt;dates&gt;&lt;year&gt;2015&lt;/year&gt;&lt;/dates&gt;&lt;isbn&gt;1944-7973&lt;/isbn&gt;&lt;urls&gt;&lt;/urls&gt;&lt;/record&gt;&lt;/Cite&gt;&lt;/EndNote&gt;</w:instrText>
      </w:r>
      <w:r w:rsidR="00A219A8" w:rsidRPr="006B17BE">
        <w:fldChar w:fldCharType="separate"/>
      </w:r>
      <w:r w:rsidR="006219F8" w:rsidRPr="006B17BE">
        <w:rPr>
          <w:noProof/>
        </w:rPr>
        <w:t>(</w:t>
      </w:r>
      <w:hyperlink w:anchor="_ENREF_4" w:tooltip="Reagan, 2015 #82" w:history="1">
        <w:r w:rsidR="00AC3BD2" w:rsidRPr="006B17BE">
          <w:rPr>
            <w:noProof/>
          </w:rPr>
          <w:t>2015</w:t>
        </w:r>
      </w:hyperlink>
      <w:r w:rsidR="006219F8" w:rsidRPr="006B17BE">
        <w:rPr>
          <w:noProof/>
        </w:rPr>
        <w:t>)</w:t>
      </w:r>
      <w:r w:rsidR="00A219A8" w:rsidRPr="006B17BE">
        <w:fldChar w:fldCharType="end"/>
      </w:r>
      <w:r w:rsidR="006C32E8" w:rsidRPr="006B17BE">
        <w:t xml:space="preserve"> identified four broad classes of plausible failure scenarios for upward migration of contaminants associated with hydraulic fracturing</w:t>
      </w:r>
      <w:r w:rsidR="00CC6713">
        <w:t>:</w:t>
      </w:r>
      <w:r w:rsidR="006C32E8" w:rsidRPr="006B17BE">
        <w:t xml:space="preserve"> </w:t>
      </w:r>
    </w:p>
    <w:p w14:paraId="126A5968" w14:textId="4781C15E" w:rsidR="00CC6713" w:rsidRPr="00E6110F" w:rsidRDefault="00A466B7" w:rsidP="00CC6713">
      <w:pPr>
        <w:pStyle w:val="Body"/>
        <w:numPr>
          <w:ilvl w:val="0"/>
          <w:numId w:val="40"/>
        </w:numPr>
      </w:pPr>
      <w:r>
        <w:t>v</w:t>
      </w:r>
      <w:r w:rsidR="00CC6713" w:rsidRPr="00E6110F">
        <w:t>ertically extensive fracturing of the overburden/caprock/aquitard separating the hydrocarbon reservoir from overlying groundwater owing to inadequate design and/or operati</w:t>
      </w:r>
      <w:r w:rsidR="00CC6713">
        <w:t>on of the fracturing operation</w:t>
      </w:r>
      <w:r w:rsidR="00CC6713" w:rsidRPr="00E6110F">
        <w:t>,</w:t>
      </w:r>
    </w:p>
    <w:p w14:paraId="14F4AE5F" w14:textId="63A4EE24" w:rsidR="00CC6713" w:rsidRPr="00E6110F" w:rsidRDefault="00A466B7" w:rsidP="00CC6713">
      <w:pPr>
        <w:pStyle w:val="Body"/>
        <w:numPr>
          <w:ilvl w:val="0"/>
          <w:numId w:val="40"/>
        </w:numPr>
      </w:pPr>
      <w:r>
        <w:t>r</w:t>
      </w:r>
      <w:r w:rsidR="00CC6713" w:rsidRPr="00E6110F">
        <w:t>eactivation of dormant fractures/faults due to hydraulic fracturing creating pa</w:t>
      </w:r>
      <w:r w:rsidR="00CC6713">
        <w:t>thways for contaminant leakage</w:t>
      </w:r>
      <w:r w:rsidR="00CC6713" w:rsidRPr="00E6110F">
        <w:t>,</w:t>
      </w:r>
    </w:p>
    <w:p w14:paraId="09D21FD9" w14:textId="39110358" w:rsidR="00CC6713" w:rsidRPr="00E6110F" w:rsidRDefault="00A466B7" w:rsidP="00CC6713">
      <w:pPr>
        <w:pStyle w:val="Body"/>
        <w:numPr>
          <w:ilvl w:val="0"/>
          <w:numId w:val="40"/>
        </w:numPr>
      </w:pPr>
      <w:r>
        <w:t>f</w:t>
      </w:r>
      <w:r w:rsidR="00CC6713" w:rsidRPr="00E6110F">
        <w:t>ractures from the stimulation operation intercept older abandoned unplugged wells (e.g. c</w:t>
      </w:r>
      <w:r w:rsidR="00CC6713">
        <w:t>onventional oil and gas wells)</w:t>
      </w:r>
      <w:r w:rsidR="00CC6713" w:rsidRPr="00E6110F">
        <w:t>,</w:t>
      </w:r>
      <w:r w:rsidR="00CC6713">
        <w:t xml:space="preserve"> and</w:t>
      </w:r>
    </w:p>
    <w:p w14:paraId="5D1C772F" w14:textId="6B24DB65" w:rsidR="00CC6713" w:rsidRPr="00E6110F" w:rsidRDefault="00A466B7" w:rsidP="00CC6713">
      <w:pPr>
        <w:pStyle w:val="Body"/>
        <w:numPr>
          <w:ilvl w:val="0"/>
          <w:numId w:val="40"/>
        </w:numPr>
      </w:pPr>
      <w:r>
        <w:t>c</w:t>
      </w:r>
      <w:r w:rsidR="00CC6713" w:rsidRPr="00E6110F">
        <w:t>ontinuous and highly permeable pathways via poorly completed wells due to inadequate desig</w:t>
      </w:r>
      <w:r w:rsidR="00CC6713">
        <w:t>n, installation or weak cement</w:t>
      </w:r>
      <w:r w:rsidR="00CC6713" w:rsidRPr="00E6110F">
        <w:t xml:space="preserve">. </w:t>
      </w:r>
    </w:p>
    <w:p w14:paraId="62C69A9C" w14:textId="4038513E" w:rsidR="006C32E8" w:rsidRPr="006B17BE" w:rsidRDefault="00E4171A" w:rsidP="00725A64">
      <w:pPr>
        <w:pStyle w:val="Body"/>
      </w:pPr>
      <w:r>
        <w:t>I</w:t>
      </w:r>
      <w:r w:rsidR="006C32E8" w:rsidRPr="006B17BE">
        <w:t xml:space="preserve">n a review of well integrity across the conventional and unconventional gas industry in the US, Jackson </w:t>
      </w:r>
      <w:r w:rsidR="00A219A8" w:rsidRPr="006B17BE">
        <w:fldChar w:fldCharType="begin"/>
      </w:r>
      <w:r w:rsidR="00AC3BD2">
        <w:instrText xml:space="preserve"> ADDIN EN.CITE &lt;EndNote&gt;&lt;Cite ExcludeAuth="1"&gt;&lt;Author&gt;Jackson&lt;/Author&gt;&lt;Year&gt;2014&lt;/Year&gt;&lt;RecNum&gt;83&lt;/RecNum&gt;&lt;DisplayText&gt;(2014)&lt;/DisplayText&gt;&lt;record&gt;&lt;rec-number&gt;83&lt;/rec-number&gt;&lt;foreign-keys&gt;&lt;key app="EN" db-id="xsexsdeavw900aew9xqxrzzyttv0wxs0rf9r" timestamp="1520464009"&gt;83&lt;/key&gt;&lt;/foreign-keys&gt;&lt;ref-type name="Journal Article"&gt;17&lt;/ref-type&gt;&lt;contributors&gt;&lt;authors&gt;&lt;author&gt;Jackson, Robert B&lt;/author&gt;&lt;/authors&gt;&lt;/contributors&gt;&lt;titles&gt;&lt;title&gt;The integrity of oil and gas wells&lt;/title&gt;&lt;secondary-title&gt;Proceedings of the National Academy of Sciences&lt;/secondary-title&gt;&lt;/titles&gt;&lt;periodical&gt;&lt;full-title&gt;Proceedings of the National Academy of Sciences&lt;/full-title&gt;&lt;/periodical&gt;&lt;pages&gt;10902-10903&lt;/pages&gt;&lt;volume&gt;111&lt;/volume&gt;&lt;number&gt;30&lt;/number&gt;&lt;dates&gt;&lt;year&gt;2014&lt;/year&gt;&lt;/dates&gt;&lt;isbn&gt;0027-8424&lt;/isbn&gt;&lt;urls&gt;&lt;/urls&gt;&lt;/record&gt;&lt;/Cite&gt;&lt;/EndNote&gt;</w:instrText>
      </w:r>
      <w:r w:rsidR="00A219A8" w:rsidRPr="006B17BE">
        <w:fldChar w:fldCharType="separate"/>
      </w:r>
      <w:r w:rsidR="006219F8" w:rsidRPr="006B17BE">
        <w:rPr>
          <w:noProof/>
        </w:rPr>
        <w:t>(</w:t>
      </w:r>
      <w:hyperlink w:anchor="_ENREF_3" w:tooltip="Jackson, 2014 #83" w:history="1">
        <w:r w:rsidR="00AC3BD2" w:rsidRPr="006B17BE">
          <w:rPr>
            <w:noProof/>
          </w:rPr>
          <w:t>2014</w:t>
        </w:r>
      </w:hyperlink>
      <w:r w:rsidR="006219F8" w:rsidRPr="006B17BE">
        <w:rPr>
          <w:noProof/>
        </w:rPr>
        <w:t>)</w:t>
      </w:r>
      <w:r w:rsidR="00A219A8" w:rsidRPr="006B17BE">
        <w:fldChar w:fldCharType="end"/>
      </w:r>
      <w:r w:rsidR="006C32E8" w:rsidRPr="006B17BE">
        <w:t xml:space="preserve"> illustrates the severity of well integrity failure, especially in Pennsylvania where since 2005 the Department of Environmental Protection has confirmed more than 100 cases of well-related groundwater contamination</w:t>
      </w:r>
      <w:r w:rsidR="00DB254A">
        <w:t>, out of more than 5,000 new wells</w:t>
      </w:r>
      <w:r w:rsidR="006C32E8" w:rsidRPr="006B17BE">
        <w:t xml:space="preserve">. According to </w:t>
      </w:r>
      <w:r w:rsidR="00A219A8" w:rsidRPr="006B17BE">
        <w:t xml:space="preserve">Jackson </w:t>
      </w:r>
      <w:r w:rsidR="00A219A8" w:rsidRPr="006B17BE">
        <w:fldChar w:fldCharType="begin"/>
      </w:r>
      <w:r w:rsidR="00AC3BD2">
        <w:instrText xml:space="preserve"> ADDIN EN.CITE &lt;EndNote&gt;&lt;Cite ExcludeAuth="1"&gt;&lt;Author&gt;Jackson&lt;/Author&gt;&lt;Year&gt;2014&lt;/Year&gt;&lt;RecNum&gt;83&lt;/RecNum&gt;&lt;DisplayText&gt;(2014)&lt;/DisplayText&gt;&lt;record&gt;&lt;rec-number&gt;83&lt;/rec-number&gt;&lt;foreign-keys&gt;&lt;key app="EN" db-id="xsexsdeavw900aew9xqxrzzyttv0wxs0rf9r" timestamp="1520464009"&gt;83&lt;/key&gt;&lt;/foreign-keys&gt;&lt;ref-type name="Journal Article"&gt;17&lt;/ref-type&gt;&lt;contributors&gt;&lt;authors&gt;&lt;author&gt;Jackson, Robert B&lt;/author&gt;&lt;/authors&gt;&lt;/contributors&gt;&lt;titles&gt;&lt;title&gt;The integrity of oil and gas wells&lt;/title&gt;&lt;secondary-title&gt;Proceedings of the National Academy of Sciences&lt;/secondary-title&gt;&lt;/titles&gt;&lt;periodical&gt;&lt;full-title&gt;Proceedings of the National Academy of Sciences&lt;/full-title&gt;&lt;/periodical&gt;&lt;pages&gt;10902-10903&lt;/pages&gt;&lt;volume&gt;111&lt;/volume&gt;&lt;number&gt;30&lt;/number&gt;&lt;dates&gt;&lt;year&gt;2014&lt;/year&gt;&lt;/dates&gt;&lt;isbn&gt;0027-8424&lt;/isbn&gt;&lt;urls&gt;&lt;/urls&gt;&lt;/record&gt;&lt;/Cite&gt;&lt;/EndNote&gt;</w:instrText>
      </w:r>
      <w:r w:rsidR="00A219A8" w:rsidRPr="006B17BE">
        <w:fldChar w:fldCharType="separate"/>
      </w:r>
      <w:r w:rsidR="006219F8" w:rsidRPr="006B17BE">
        <w:rPr>
          <w:noProof/>
        </w:rPr>
        <w:t>(</w:t>
      </w:r>
      <w:hyperlink w:anchor="_ENREF_3" w:tooltip="Jackson, 2014 #83" w:history="1">
        <w:r w:rsidR="00AC3BD2" w:rsidRPr="006B17BE">
          <w:rPr>
            <w:noProof/>
          </w:rPr>
          <w:t>2014</w:t>
        </w:r>
      </w:hyperlink>
      <w:r w:rsidR="006219F8" w:rsidRPr="006B17BE">
        <w:rPr>
          <w:noProof/>
        </w:rPr>
        <w:t>)</w:t>
      </w:r>
      <w:r w:rsidR="00A219A8" w:rsidRPr="006B17BE">
        <w:fldChar w:fldCharType="end"/>
      </w:r>
      <w:r w:rsidR="00A219A8" w:rsidRPr="006B17BE">
        <w:t xml:space="preserve">, </w:t>
      </w:r>
      <w:r w:rsidR="006C32E8" w:rsidRPr="006B17BE">
        <w:t xml:space="preserve">well integrity is the key to minimizing many of the risks associated with hydraulic fracturing and unconventional resource extraction. Finally, </w:t>
      </w:r>
      <w:r w:rsidR="00A219A8" w:rsidRPr="006B17BE">
        <w:t xml:space="preserve">Jackson </w:t>
      </w:r>
      <w:r w:rsidR="00A219A8" w:rsidRPr="006B17BE">
        <w:fldChar w:fldCharType="begin"/>
      </w:r>
      <w:r w:rsidR="00AC3BD2">
        <w:instrText xml:space="preserve"> ADDIN EN.CITE &lt;EndNote&gt;&lt;Cite ExcludeAuth="1"&gt;&lt;Author&gt;Jackson&lt;/Author&gt;&lt;Year&gt;2014&lt;/Year&gt;&lt;RecNum&gt;83&lt;/RecNum&gt;&lt;DisplayText&gt;(2014)&lt;/DisplayText&gt;&lt;record&gt;&lt;rec-number&gt;83&lt;/rec-number&gt;&lt;foreign-keys&gt;&lt;key app="EN" db-id="xsexsdeavw900aew9xqxrzzyttv0wxs0rf9r" timestamp="1520464009"&gt;83&lt;/key&gt;&lt;/foreign-keys&gt;&lt;ref-type name="Journal Article"&gt;17&lt;/ref-type&gt;&lt;contributors&gt;&lt;authors&gt;&lt;author&gt;Jackson, Robert B&lt;/author&gt;&lt;/authors&gt;&lt;/contributors&gt;&lt;titles&gt;&lt;title&gt;The integrity of oil and gas wells&lt;/title&gt;&lt;secondary-title&gt;Proceedings of the National Academy of Sciences&lt;/secondary-title&gt;&lt;/titles&gt;&lt;periodical&gt;&lt;full-title&gt;Proceedings of the National Academy of Sciences&lt;/full-title&gt;&lt;/periodical&gt;&lt;pages&gt;10902-10903&lt;/pages&gt;&lt;volume&gt;111&lt;/volume&gt;&lt;number&gt;30&lt;/number&gt;&lt;dates&gt;&lt;year&gt;2014&lt;/year&gt;&lt;/dates&gt;&lt;isbn&gt;0027-8424&lt;/isbn&gt;&lt;urls&gt;&lt;/urls&gt;&lt;/record&gt;&lt;/Cite&gt;&lt;/EndNote&gt;</w:instrText>
      </w:r>
      <w:r w:rsidR="00A219A8" w:rsidRPr="006B17BE">
        <w:fldChar w:fldCharType="separate"/>
      </w:r>
      <w:r w:rsidR="006219F8" w:rsidRPr="006B17BE">
        <w:rPr>
          <w:noProof/>
        </w:rPr>
        <w:t>(</w:t>
      </w:r>
      <w:hyperlink w:anchor="_ENREF_3" w:tooltip="Jackson, 2014 #83" w:history="1">
        <w:r w:rsidR="00AC3BD2" w:rsidRPr="006B17BE">
          <w:rPr>
            <w:noProof/>
          </w:rPr>
          <w:t>2014</w:t>
        </w:r>
      </w:hyperlink>
      <w:r w:rsidR="006219F8" w:rsidRPr="006B17BE">
        <w:rPr>
          <w:noProof/>
        </w:rPr>
        <w:t>)</w:t>
      </w:r>
      <w:r w:rsidR="00A219A8" w:rsidRPr="006B17BE">
        <w:fldChar w:fldCharType="end"/>
      </w:r>
      <w:r w:rsidR="00A219A8" w:rsidRPr="006B17BE">
        <w:t xml:space="preserve"> </w:t>
      </w:r>
      <w:r w:rsidR="006C32E8" w:rsidRPr="006B17BE">
        <w:t>identifies the need for much more information on the structural integrity of older producing wells and abandoned wells.</w:t>
      </w:r>
    </w:p>
    <w:p w14:paraId="0E130034" w14:textId="5B707098" w:rsidR="00F55DED" w:rsidRDefault="00F55DED" w:rsidP="00F55DED">
      <w:pPr>
        <w:pStyle w:val="Body"/>
      </w:pPr>
      <w:r w:rsidRPr="006B17BE">
        <w:t xml:space="preserve">In addition </w:t>
      </w:r>
      <w:r>
        <w:t>to</w:t>
      </w:r>
      <w:r w:rsidRPr="006B17BE">
        <w:t xml:space="preserve"> leaky coal seam gas wells, inter-aquifer connectivity may also be enhanced by degraded water bores, oil and gas wells repurposed into water bores, and inappropriately decommissioned coal exploration holes. The status of water bores in the Surat and its relevance to enhanced inter-aquifer connectivity was previously discussed by Wu et al. (201</w:t>
      </w:r>
      <w:r w:rsidR="00AC3BD2">
        <w:t>8</w:t>
      </w:r>
      <w:r w:rsidRPr="006B17BE">
        <w:t xml:space="preserve">). Especially the bores constructed before 1965 were considered to be in a poor condition due to lack of proper casing or due to the steel casing being corroded. In case such bores penetrate deep aquifers that are connected to a hydrocarbon resource, leakage pathways may develop that enhance inter-aquifer connectivity and affect the groundwater balance and/or groundwater quality. </w:t>
      </w:r>
      <w:r w:rsidR="00DB254A">
        <w:t xml:space="preserve">Note that such leakage pathways exist even without gas extraction. </w:t>
      </w:r>
      <w:r w:rsidRPr="006B17BE">
        <w:t xml:space="preserve">The number of potentially corroded deep water bores in the Gunnedah Basin is very likely much smaller than the estimated number for the Surat. Based on data from CDM Smith (2014), the majority of water bores in the Gunnedah Basin (Namoi) are either in the Namoi Alluvium or in the Pilliga Sandstone aquifer. The number of water bores deeper than 150 </w:t>
      </w:r>
      <w:r w:rsidR="00965F0B">
        <w:t xml:space="preserve">m </w:t>
      </w:r>
      <w:r w:rsidRPr="006B17BE">
        <w:t xml:space="preserve">is relatively small. There is no mentioning of water bores currently accessing groundwater from the primary or secondary coal seam target formations. For this reason the likelihood for enhanced inter-aquifer leakage in the Gunnedah Basin is considered small.   </w:t>
      </w:r>
    </w:p>
    <w:p w14:paraId="2781B46D" w14:textId="77777777" w:rsidR="00684F4E" w:rsidRPr="006B17BE" w:rsidRDefault="00684F4E" w:rsidP="00F55DED">
      <w:pPr>
        <w:pStyle w:val="Body"/>
      </w:pPr>
    </w:p>
    <w:p w14:paraId="33EA03BD" w14:textId="77777777" w:rsidR="00C3694F" w:rsidRDefault="00C3694F" w:rsidP="00C3694F">
      <w:pPr>
        <w:pStyle w:val="Heading2"/>
        <w:keepNext w:val="0"/>
        <w:keepLines w:val="0"/>
        <w:tabs>
          <w:tab w:val="clear" w:pos="1134"/>
        </w:tabs>
        <w:spacing w:before="200" w:after="200"/>
      </w:pPr>
      <w:bookmarkStart w:id="469" w:name="_Toc447635390"/>
      <w:bookmarkStart w:id="470" w:name="_Ref449101184"/>
      <w:bookmarkStart w:id="471" w:name="_Toc449104441"/>
      <w:bookmarkStart w:id="472" w:name="_Toc483567934"/>
      <w:r>
        <w:t>Coal seam gas well failure rates in Australia</w:t>
      </w:r>
      <w:bookmarkEnd w:id="469"/>
      <w:bookmarkEnd w:id="470"/>
      <w:bookmarkEnd w:id="471"/>
      <w:bookmarkEnd w:id="472"/>
    </w:p>
    <w:p w14:paraId="339E290D" w14:textId="47C18450" w:rsidR="00C3694F" w:rsidRPr="00C3694F" w:rsidRDefault="00C3694F" w:rsidP="00C3694F">
      <w:pPr>
        <w:pStyle w:val="Body"/>
      </w:pPr>
      <w:r w:rsidRPr="00C3694F">
        <w:t>To date, there have been few estimat</w:t>
      </w:r>
      <w:r w:rsidR="00207FE3">
        <w:t>es made of failure rates for coal seam gas</w:t>
      </w:r>
      <w:r w:rsidRPr="00C3694F">
        <w:t xml:space="preserve"> wells in Australia. The GasFields Commission Queensland (2015) reports statistics from well integrity compliance auditing undertaken from 2010 to March 2015. During this period 6</w:t>
      </w:r>
      <w:r w:rsidR="00207FE3">
        <w:t>,734 coal seam gas</w:t>
      </w:r>
      <w:r w:rsidRPr="00C3694F">
        <w:t xml:space="preserve"> exploration, appraisal and production wells had been drilled in Queensland. This involved both subsurface gas well compliance and surface well head compliance testing. For the subsurface equipment, no leaks were reported while there have been 21 statutory notifications (a rate of 0.3%) concerning suspect downhole cement quality during construction. After remediation, the cement failure rate was determined to be 0%. For subsurface equipment, the conclusion is that the risk of a subsurface breach of well integrity is assessed to be very low to near zero. In regards to the surface well head </w:t>
      </w:r>
      <w:r w:rsidR="00C47820">
        <w:t xml:space="preserve">gas </w:t>
      </w:r>
      <w:r w:rsidRPr="00C3694F">
        <w:t xml:space="preserve">leaks, 199 leaks have been reported and have been subsequently fixed. </w:t>
      </w:r>
    </w:p>
    <w:p w14:paraId="5599A4D3" w14:textId="659B798B" w:rsidR="00C3694F" w:rsidRPr="00C3694F" w:rsidRDefault="00207FE3" w:rsidP="00C3694F">
      <w:pPr>
        <w:pStyle w:val="Body"/>
      </w:pPr>
      <w:r>
        <w:t>Estimating coal seam gas</w:t>
      </w:r>
      <w:r w:rsidR="00C3694F" w:rsidRPr="00C3694F">
        <w:t xml:space="preserve"> well failure rates from failure rates reported for conventional onshore/offshore oil and gas wells or from shale gas wells has to be done with care</w:t>
      </w:r>
      <w:r>
        <w:t xml:space="preserve"> (Wu et al. 201</w:t>
      </w:r>
      <w:r w:rsidR="00AC3BD2">
        <w:t>8</w:t>
      </w:r>
      <w:r>
        <w:t>)</w:t>
      </w:r>
      <w:r w:rsidR="00C3694F" w:rsidRPr="00C3694F">
        <w:t xml:space="preserve">. Because offshore oil and gas wells are drilled in a different and more difficult environment than onshore </w:t>
      </w:r>
      <w:r>
        <w:t>coal seam</w:t>
      </w:r>
      <w:r w:rsidR="00C3694F" w:rsidRPr="00C3694F">
        <w:t xml:space="preserve"> wells, their failure rates are expected to be much higher than for </w:t>
      </w:r>
      <w:r>
        <w:t>coal seam gas</w:t>
      </w:r>
      <w:r w:rsidR="00C3694F" w:rsidRPr="00C3694F">
        <w:t xml:space="preserve"> wells. Furthermore</w:t>
      </w:r>
      <w:r>
        <w:t>, coal seam</w:t>
      </w:r>
      <w:r w:rsidR="00C3694F" w:rsidRPr="00C3694F">
        <w:t xml:space="preserve"> wells are shallower than conventional oil and gas and shale gas wells, and therefore subject to lower temperatures and pressures. Also, operating pressures for </w:t>
      </w:r>
      <w:r>
        <w:t>coal seam gas</w:t>
      </w:r>
      <w:r w:rsidR="00C3694F" w:rsidRPr="00C3694F">
        <w:t xml:space="preserve"> wells are lower and they have less casing layers (GasFields Commission Queensland 2015). Nevertheless, the findings from conventional and shale gas wells are useful in gaining understanding of po</w:t>
      </w:r>
      <w:r>
        <w:t>ssible failure mechanisms of coal seam gas</w:t>
      </w:r>
      <w:r w:rsidR="00C3694F" w:rsidRPr="00C3694F">
        <w:t xml:space="preserve"> wells, and for estimating upper bound failure rates.</w:t>
      </w:r>
    </w:p>
    <w:p w14:paraId="025508F9" w14:textId="6215EA17" w:rsidR="00C3694F" w:rsidRPr="00C3694F" w:rsidRDefault="00207FE3" w:rsidP="00C3694F">
      <w:pPr>
        <w:pStyle w:val="Body"/>
      </w:pPr>
      <w:r>
        <w:t>There are some preliminary, and purely desktop-based, estimates of failure rates for water bores (Wu et al. 201</w:t>
      </w:r>
      <w:r w:rsidR="00AC3BD2">
        <w:t>8</w:t>
      </w:r>
      <w:r>
        <w:t>). However, estimating coal seam gas</w:t>
      </w:r>
      <w:r w:rsidR="00C3694F" w:rsidRPr="00C3694F">
        <w:t xml:space="preserve"> well failure rates from water bore life expectancies also has its limitations. Failure rates derived for water bores should n</w:t>
      </w:r>
      <w:r>
        <w:t>ot be simply extrapolated to coal seam gas</w:t>
      </w:r>
      <w:r w:rsidR="00C3694F" w:rsidRPr="00C3694F">
        <w:t xml:space="preserve"> wells for a number of reasons, including that cementing the casing in ground can be d</w:t>
      </w:r>
      <w:r>
        <w:t>ifferent for water bores and coal seam gas</w:t>
      </w:r>
      <w:r w:rsidR="00C3694F" w:rsidRPr="00C3694F">
        <w:t xml:space="preserve"> wells (</w:t>
      </w:r>
      <w:r w:rsidR="00621419">
        <w:t>National Water Commission</w:t>
      </w:r>
      <w:r w:rsidR="00C3694F" w:rsidRPr="00C3694F">
        <w:t xml:space="preserve"> 2012 and DNRM 2013a), and prior to the late sixties cementing was not a requirement for water bores. </w:t>
      </w:r>
      <w:r>
        <w:t>Nevertheless</w:t>
      </w:r>
      <w:r w:rsidR="00C3694F" w:rsidRPr="00C3694F">
        <w:t xml:space="preserve">, cement plays a critical role in protecting steel casing from corroding, and hence has a significant impact on well life expectancy. </w:t>
      </w:r>
    </w:p>
    <w:p w14:paraId="31C46553" w14:textId="3A5478B9" w:rsidR="00B477EC" w:rsidRPr="004F69CD" w:rsidRDefault="00B477EC" w:rsidP="006C109F">
      <w:pPr>
        <w:pStyle w:val="Heading2"/>
      </w:pPr>
      <w:bookmarkStart w:id="473" w:name="_Ref479683832"/>
      <w:bookmarkStart w:id="474" w:name="_Toc483567935"/>
      <w:r>
        <w:t>Gas w</w:t>
      </w:r>
      <w:r w:rsidRPr="004F69CD">
        <w:t>ell abandonment</w:t>
      </w:r>
      <w:bookmarkEnd w:id="473"/>
      <w:bookmarkEnd w:id="474"/>
      <w:r w:rsidRPr="004F69CD">
        <w:t xml:space="preserve"> </w:t>
      </w:r>
    </w:p>
    <w:p w14:paraId="1456C43C" w14:textId="584D2694" w:rsidR="00745B92" w:rsidRPr="00745B92" w:rsidRDefault="00745B92" w:rsidP="00745B92">
      <w:pPr>
        <w:pStyle w:val="Body"/>
      </w:pPr>
      <w:r w:rsidRPr="00745B92">
        <w:t>Whenever a CSG well is taken out of production, or a CSG appraisal well is not developed into a production well, CSG well abandonment measures are taken to ensure the environmentally sound and safe isolation of the well, protection of groundwater resources, isolation of the productive formations from other formations, and the proper removal of surface equipment. This involves sealing the hole completely from the bottom to surface using a series of cement plugs, which provide a seal preventing any cross flow of water and gases between underground layers, as well as isolating all downhole zones from the surface (APPEA</w:t>
      </w:r>
      <w:r w:rsidR="00C47820">
        <w:t>,</w:t>
      </w:r>
      <w:r w:rsidRPr="00745B92">
        <w:t xml:space="preserve"> 2012). The well head is then removed and the steel casing (filled with cement) is cut off at least 1.5 m below ground level, sealed with a metal identification plate and buried. </w:t>
      </w:r>
    </w:p>
    <w:p w14:paraId="48FD2013" w14:textId="280AC491" w:rsidR="00B477EC" w:rsidRDefault="00745B92" w:rsidP="00B477EC">
      <w:pPr>
        <w:pStyle w:val="Body"/>
      </w:pPr>
      <w:r>
        <w:t xml:space="preserve">Literature on the performance of </w:t>
      </w:r>
      <w:r w:rsidR="00207FE3">
        <w:t>decommissioned and abandoned</w:t>
      </w:r>
      <w:r>
        <w:t xml:space="preserve"> wells is scarce</w:t>
      </w:r>
      <w:r w:rsidR="00207FE3">
        <w:t xml:space="preserve">. </w:t>
      </w:r>
      <w:r>
        <w:t xml:space="preserve">One example from Alberta, Canada, is reported next. </w:t>
      </w:r>
      <w:r w:rsidR="00B477EC" w:rsidRPr="00B477EC">
        <w:t xml:space="preserve">The pre-dominant method for well abandonment in Alberta is bridge plugs capped with cement placed using the dump-bailer method. </w:t>
      </w:r>
      <w:r w:rsidR="00027B1B" w:rsidRPr="00027B1B">
        <w:t>Dump bailers are used for dumping cement on pre-existing bridge plugs.</w:t>
      </w:r>
      <w:r w:rsidR="00027B1B">
        <w:t xml:space="preserve"> They consist of a</w:t>
      </w:r>
      <w:r w:rsidR="00027B1B" w:rsidRPr="00027B1B">
        <w:t> </w:t>
      </w:r>
      <w:hyperlink r:id="rId16" w:history="1">
        <w:r w:rsidR="00027B1B" w:rsidRPr="00027B1B">
          <w:t>wireline</w:t>
        </w:r>
      </w:hyperlink>
      <w:r w:rsidR="00027B1B" w:rsidRPr="00027B1B">
        <w:t> </w:t>
      </w:r>
      <w:r w:rsidR="00027B1B">
        <w:t>tool used to place small volumes of</w:t>
      </w:r>
      <w:r w:rsidR="00027B1B" w:rsidRPr="00027B1B">
        <w:t> </w:t>
      </w:r>
      <w:hyperlink r:id="rId17" w:history="1">
        <w:r w:rsidR="00027B1B" w:rsidRPr="00027B1B">
          <w:t>cement</w:t>
        </w:r>
      </w:hyperlink>
      <w:r w:rsidR="00027B1B" w:rsidRPr="00027B1B">
        <w:t> </w:t>
      </w:r>
      <w:hyperlink r:id="rId18" w:history="1">
        <w:r w:rsidR="00027B1B" w:rsidRPr="00027B1B">
          <w:t>slurry</w:t>
        </w:r>
      </w:hyperlink>
      <w:r w:rsidR="00027B1B">
        <w:t xml:space="preserve"> in a wellbore. Typically, the slurry is placed on a plug or similar device that provides a stable platform for the low-volume cement plug. </w:t>
      </w:r>
      <w:r w:rsidR="00B477EC" w:rsidRPr="00B477EC">
        <w:t>It was found that this method may not be adequate in providing a sufficient cement seal in the long term (Watson and Bachu 2009). A small subset of wellbores was re-entered to investigate the efficiency of the bridge plug abandonment method. These bridge plugs had been in service for 5 to 30 years. Generally, the cement cap placed on top of the bridge plug was not evident, even though a tour-report review indicated that the cement had been dump bailed on the bridge plug. It is estimated from experience and from this small sample that, over a long period of time (hundreds of years), approximately 10% of these types of zonal abandonments will fail and allow formation gases to enter the wellbore (Watson and Bachu 2009). Other abandonment methods, such as placing a cement plug across completed intervals using a balanced-plug method or setting a cement retainer and squeezing cement through perforations are expected to have lower failure rates in the long term.</w:t>
      </w:r>
    </w:p>
    <w:p w14:paraId="4E75065D" w14:textId="01ECC6FE" w:rsidR="00745B92" w:rsidRPr="0056669D" w:rsidRDefault="00745B92" w:rsidP="0056669D">
      <w:pPr>
        <w:pStyle w:val="Body"/>
      </w:pPr>
      <w:r w:rsidRPr="0056669D">
        <w:t>The cement used in well construction and abandonment is designed to have a long life span (NSW Chief Scientist and Engineer report 2014). Despite considerable research on petroleum well integrity (e.g. Davies et al. 2014; Popoola et al. 2013), very little information exists about the long-term (100 -1</w:t>
      </w:r>
      <w:r w:rsidR="004A13C9">
        <w:t>,</w:t>
      </w:r>
      <w:r w:rsidRPr="0056669D">
        <w:t>000 years) durability of abandoned petroleum wells (NSW Chief Scientist and Engineer report 2014). Also the current review did not find any studies on the long-term (100-1</w:t>
      </w:r>
      <w:r w:rsidR="004A13C9">
        <w:t>,</w:t>
      </w:r>
      <w:r w:rsidRPr="0056669D">
        <w:t>000 years) durability of the cement under CSG well conditions in Australia. Other studies have been conducted investigating cement degradation under simulated CO</w:t>
      </w:r>
      <w:r w:rsidRPr="0056669D">
        <w:rPr>
          <w:vertAlign w:val="subscript"/>
        </w:rPr>
        <w:t>2</w:t>
      </w:r>
      <w:r w:rsidRPr="0056669D">
        <w:t xml:space="preserve"> geological storage conditions (Azuma et al. 2013; Satoh et. al. 2013; Connell et al. 2015). Laboratory experimental studies have focused on the characterisation of cement and cement/rock, cement/casing interface behaviour when exposed to CO</w:t>
      </w:r>
      <w:r w:rsidRPr="0056669D">
        <w:rPr>
          <w:vertAlign w:val="subscript"/>
        </w:rPr>
        <w:t>2</w:t>
      </w:r>
      <w:r w:rsidRPr="0056669D">
        <w:t xml:space="preserve">. </w:t>
      </w:r>
    </w:p>
    <w:p w14:paraId="29268C04" w14:textId="46D63A03" w:rsidR="0056669D" w:rsidRPr="00745B92" w:rsidRDefault="00745B92" w:rsidP="0056669D">
      <w:pPr>
        <w:pStyle w:val="OWSNormal9pt"/>
        <w:rPr>
          <w:color w:val="auto"/>
          <w:sz w:val="22"/>
        </w:rPr>
      </w:pPr>
      <w:r w:rsidRPr="00745B92">
        <w:rPr>
          <w:color w:val="auto"/>
          <w:sz w:val="22"/>
        </w:rPr>
        <w:t>The long-term degradation behaviour of cement in abandoned wells under CO</w:t>
      </w:r>
      <w:r w:rsidRPr="00745B92">
        <w:rPr>
          <w:color w:val="auto"/>
          <w:sz w:val="22"/>
          <w:vertAlign w:val="subscript"/>
        </w:rPr>
        <w:t>2</w:t>
      </w:r>
      <w:r w:rsidRPr="00745B92">
        <w:rPr>
          <w:color w:val="auto"/>
          <w:sz w:val="22"/>
        </w:rPr>
        <w:t xml:space="preserve"> geological storage conditions was evaluated by numerically simulating the geochemical reactions between the cement seals and CO</w:t>
      </w:r>
      <w:r w:rsidRPr="00745B92">
        <w:rPr>
          <w:color w:val="auto"/>
          <w:sz w:val="22"/>
          <w:vertAlign w:val="subscript"/>
        </w:rPr>
        <w:t>2</w:t>
      </w:r>
      <w:r w:rsidRPr="00745B92">
        <w:rPr>
          <w:color w:val="auto"/>
          <w:sz w:val="22"/>
        </w:rPr>
        <w:t xml:space="preserve"> (Yamaguchi et al. 2013). The model was validated based on the laboratory experimental results by Satoh et al. (2013) prior to applying for abandoned wells</w:t>
      </w:r>
      <w:r w:rsidR="0056669D">
        <w:rPr>
          <w:color w:val="auto"/>
          <w:sz w:val="22"/>
        </w:rPr>
        <w:t>.</w:t>
      </w:r>
      <w:r w:rsidRPr="00745B92">
        <w:rPr>
          <w:color w:val="auto"/>
          <w:sz w:val="22"/>
        </w:rPr>
        <w:t xml:space="preserve"> The geochemical simulation of the reactions yielded the extent (length) of the alteration of the cement seals after long time periods. For example, the alteration length of cement seals after 1</w:t>
      </w:r>
      <w:r w:rsidR="0056669D">
        <w:rPr>
          <w:color w:val="auto"/>
          <w:sz w:val="22"/>
        </w:rPr>
        <w:t>,</w:t>
      </w:r>
      <w:r w:rsidRPr="00745B92">
        <w:rPr>
          <w:color w:val="auto"/>
          <w:sz w:val="22"/>
        </w:rPr>
        <w:t>000 year exposure was approximately one metre, leading to the conclusion that cement would be able to isolate CO</w:t>
      </w:r>
      <w:r w:rsidRPr="00745B92">
        <w:rPr>
          <w:color w:val="auto"/>
          <w:sz w:val="22"/>
          <w:vertAlign w:val="subscript"/>
        </w:rPr>
        <w:t>2</w:t>
      </w:r>
      <w:r w:rsidRPr="00745B92">
        <w:rPr>
          <w:color w:val="auto"/>
          <w:sz w:val="22"/>
        </w:rPr>
        <w:t xml:space="preserve"> in the reservoir over the long-term.</w:t>
      </w:r>
      <w:r w:rsidR="0056669D" w:rsidRPr="0056669D">
        <w:rPr>
          <w:color w:val="auto"/>
          <w:sz w:val="22"/>
        </w:rPr>
        <w:t xml:space="preserve"> </w:t>
      </w:r>
      <w:r w:rsidR="0056669D" w:rsidRPr="00745B92">
        <w:rPr>
          <w:color w:val="auto"/>
          <w:sz w:val="22"/>
        </w:rPr>
        <w:t>The study on long-term corrosion of cement by Yamaguchi et al. (2013) assumed that the abandoned wells were in a good condition and free of defects, such as micro</w:t>
      </w:r>
      <w:r w:rsidR="0056669D">
        <w:rPr>
          <w:color w:val="auto"/>
          <w:sz w:val="22"/>
        </w:rPr>
        <w:t>-</w:t>
      </w:r>
      <w:r w:rsidR="0056669D" w:rsidRPr="00745B92">
        <w:rPr>
          <w:color w:val="auto"/>
          <w:sz w:val="22"/>
        </w:rPr>
        <w:t xml:space="preserve">annulus in the cement sheath. This assumption may be valid for abandoned wells in the specific field studied, but may not be generalised to the abandoned wells in other fields. </w:t>
      </w:r>
    </w:p>
    <w:p w14:paraId="11FC4DA3" w14:textId="513D6786" w:rsidR="00745B92" w:rsidRPr="00745B92" w:rsidRDefault="00745B92" w:rsidP="00745B92">
      <w:pPr>
        <w:pStyle w:val="OWSNormal9pt"/>
        <w:rPr>
          <w:color w:val="auto"/>
          <w:sz w:val="22"/>
        </w:rPr>
      </w:pPr>
      <w:r w:rsidRPr="00745B92">
        <w:rPr>
          <w:color w:val="auto"/>
          <w:sz w:val="22"/>
        </w:rPr>
        <w:t>Popoola et al. (2013) noted that the literature on corrosion and cement degradation considers CO</w:t>
      </w:r>
      <w:r w:rsidRPr="00745B92">
        <w:rPr>
          <w:color w:val="auto"/>
          <w:sz w:val="22"/>
          <w:vertAlign w:val="subscript"/>
        </w:rPr>
        <w:t>2</w:t>
      </w:r>
      <w:r w:rsidRPr="00745B92">
        <w:rPr>
          <w:color w:val="auto"/>
          <w:sz w:val="22"/>
        </w:rPr>
        <w:t xml:space="preserve"> stored at high pressure to be more aggressive than methane. Therefore, a conclusion can be drawn that if </w:t>
      </w:r>
      <w:r w:rsidR="0056669D">
        <w:rPr>
          <w:color w:val="auto"/>
          <w:sz w:val="22"/>
        </w:rPr>
        <w:t>coal seam gas</w:t>
      </w:r>
      <w:r w:rsidRPr="00745B92">
        <w:rPr>
          <w:color w:val="auto"/>
          <w:sz w:val="22"/>
        </w:rPr>
        <w:t xml:space="preserve"> wells are properly designed, installed and maintained, the risk of long-term leakage from </w:t>
      </w:r>
      <w:r w:rsidR="0056669D">
        <w:rPr>
          <w:color w:val="auto"/>
          <w:sz w:val="22"/>
        </w:rPr>
        <w:t>coal seam gas</w:t>
      </w:r>
      <w:r w:rsidRPr="00745B92">
        <w:rPr>
          <w:color w:val="auto"/>
          <w:sz w:val="22"/>
        </w:rPr>
        <w:t xml:space="preserve"> wells from both the casing and cement can be considered to be minimal, although there is scope for additional research to specifically assess the impact of abandoned </w:t>
      </w:r>
      <w:r w:rsidR="0056669D">
        <w:rPr>
          <w:color w:val="auto"/>
          <w:sz w:val="22"/>
        </w:rPr>
        <w:t>coal seam gas</w:t>
      </w:r>
      <w:r w:rsidRPr="00745B92">
        <w:rPr>
          <w:color w:val="auto"/>
          <w:sz w:val="22"/>
        </w:rPr>
        <w:t xml:space="preserve"> wells over an extended timeframe (NSW Chief Scientist and Engineer report 2014).</w:t>
      </w:r>
    </w:p>
    <w:p w14:paraId="3A9A59D5" w14:textId="2DF513B4" w:rsidR="00745B92" w:rsidRDefault="007C3396" w:rsidP="00B477EC">
      <w:pPr>
        <w:pStyle w:val="Body"/>
      </w:pPr>
      <w:r>
        <w:t>The long-term integrity of decommissioned wells, e.g. by using a series of cement plu</w:t>
      </w:r>
      <w:r w:rsidR="00AE3D62">
        <w:t>g</w:t>
      </w:r>
      <w:r>
        <w:t xml:space="preserve">s, will also depend on the degree of well integrity just before such plugs are put in place. </w:t>
      </w:r>
      <w:r w:rsidR="00AE21D2">
        <w:t xml:space="preserve">The better the structural integrity of the well, the longer its lifetime after decommissioning. Therefore, any assessment of well integrity by measuring inter-annulus pressure build up and structural integrity prior to plugging will inform what steps can be reasonably taken during decommissioning to extend a cemented well’s lifetime. Subsequent monitoring after well abandonment for a subset of wells to detect gas leaks and well integrity failures around well head infrastructure may be further considered. </w:t>
      </w:r>
      <w:r>
        <w:t xml:space="preserve"> </w:t>
      </w:r>
    </w:p>
    <w:p w14:paraId="664B60CE" w14:textId="74CDB359" w:rsidR="006C109F" w:rsidRDefault="006C109F" w:rsidP="006C109F">
      <w:pPr>
        <w:pStyle w:val="Heading2"/>
      </w:pPr>
      <w:bookmarkStart w:id="475" w:name="_Ref483502270"/>
      <w:bookmarkStart w:id="476" w:name="_Ref483502373"/>
      <w:bookmarkStart w:id="477" w:name="_Toc483567936"/>
      <w:r>
        <w:t>Coal exploration holes</w:t>
      </w:r>
      <w:bookmarkEnd w:id="475"/>
      <w:bookmarkEnd w:id="476"/>
      <w:bookmarkEnd w:id="477"/>
    </w:p>
    <w:p w14:paraId="09FB90A7" w14:textId="77777777" w:rsidR="00F55DED" w:rsidRPr="006B17BE" w:rsidRDefault="00F55DED" w:rsidP="00F55DED">
      <w:pPr>
        <w:pStyle w:val="Body"/>
      </w:pPr>
      <w:r w:rsidRPr="006B17BE">
        <w:t xml:space="preserve">The potential risk of coal exploration holes in the Surat was discussed by OGIA (2016) in the framework of the Surat Cumulative Management Area (CMA); because the coal exploration holes are relatively shallow (up to 200 m), they do not penetrate the isolating layers (aquitards) above the target coal seam formations in the productive coal seam gas areas. For these reasons, the risk for enhanced inter-aquifer connectivity in the Surat CMA is considered low. </w:t>
      </w:r>
    </w:p>
    <w:p w14:paraId="12E90E45" w14:textId="729C1ABD" w:rsidR="00F55DED" w:rsidRPr="006B17BE" w:rsidRDefault="00F55DED" w:rsidP="00F55DED">
      <w:pPr>
        <w:pStyle w:val="Body"/>
      </w:pPr>
      <w:r w:rsidRPr="006B17BE">
        <w:t xml:space="preserve">A similar reasoning can be adopted for coal exploration bores in the Gunnedah Basin (Namoi), near Narrabri. The expected maximum depth of existing coal mines in the Namoi region varies from 100 m to 380 m (Northey et al. 2014). It is therefore reasonable to assume that the majority of the exploration bores have been of a similar depth, although deeper boreholes are likely to exist. However, given the great depth of the target coal formations at the well field (top of </w:t>
      </w:r>
      <w:r w:rsidR="00C47820">
        <w:t>Hoskissons coal [</w:t>
      </w:r>
      <w:r w:rsidRPr="006B17BE">
        <w:t>layer 3</w:t>
      </w:r>
      <w:r w:rsidR="00C47820">
        <w:t>]</w:t>
      </w:r>
      <w:r w:rsidRPr="006B17BE">
        <w:t xml:space="preserve"> is 340 m deeper than top of layer 1 and top of </w:t>
      </w:r>
      <w:r w:rsidR="00C47820">
        <w:t>Maules Creek [</w:t>
      </w:r>
      <w:r w:rsidRPr="006B17BE">
        <w:t>layer 5</w:t>
      </w:r>
      <w:r w:rsidR="00C47820">
        <w:t>]</w:t>
      </w:r>
      <w:r w:rsidRPr="006B17BE">
        <w:t xml:space="preserve"> is 470 m deeper than top of layer 1), the thickness of the overlying aquitards (480 m), and the absence of geographic intersections between the coal seam gas study area and major coal developments (Northey et al. 2014), it is very unlikely that coal exploration holes would indeed be contributing to inter-aquifer leakage in locations in the Gunnedah Basin where coal seam gas is expected to be extracted.</w:t>
      </w:r>
    </w:p>
    <w:p w14:paraId="11D51801" w14:textId="5C605E5C" w:rsidR="00F55DED" w:rsidRPr="006B17BE" w:rsidRDefault="00F55DED" w:rsidP="00F55DED">
      <w:pPr>
        <w:pStyle w:val="Body"/>
      </w:pPr>
      <w:r w:rsidRPr="006B17BE">
        <w:t xml:space="preserve">Based on these considerations, the </w:t>
      </w:r>
      <w:r w:rsidR="009E2DD9">
        <w:t xml:space="preserve">calculations of the </w:t>
      </w:r>
      <w:r w:rsidRPr="006B17BE">
        <w:t xml:space="preserve">impact of enhanced inter-aquifer leakage </w:t>
      </w:r>
      <w:r w:rsidR="009E2DD9">
        <w:t xml:space="preserve">that will be discussed in Section </w:t>
      </w:r>
      <w:r w:rsidR="009E2DD9">
        <w:fldChar w:fldCharType="begin"/>
      </w:r>
      <w:r w:rsidR="009E2DD9">
        <w:instrText xml:space="preserve"> REF _Ref483513731 \r \h </w:instrText>
      </w:r>
      <w:r w:rsidR="009E2DD9">
        <w:fldChar w:fldCharType="separate"/>
      </w:r>
      <w:r w:rsidR="00086147">
        <w:t>4.6</w:t>
      </w:r>
      <w:r w:rsidR="009E2DD9">
        <w:fldChar w:fldCharType="end"/>
      </w:r>
      <w:r w:rsidR="009E2DD9">
        <w:t xml:space="preserve"> </w:t>
      </w:r>
      <w:r w:rsidRPr="006B17BE">
        <w:t xml:space="preserve">will </w:t>
      </w:r>
      <w:r w:rsidR="009E2DD9">
        <w:t>consider</w:t>
      </w:r>
      <w:r w:rsidRPr="006B17BE">
        <w:t xml:space="preserve"> only for a small failure rate, i.e. 1, 2, and 5% of the well locations used. Furthermore, the analysis is considered more of an exploratory nature to illustrate potential impacts should inter-aquifer connectivity be enhanced through such pathways.  </w:t>
      </w:r>
    </w:p>
    <w:p w14:paraId="1FF80CCF" w14:textId="0A101E32" w:rsidR="00B01CBB" w:rsidRDefault="00B01CBB" w:rsidP="00B01CBB">
      <w:pPr>
        <w:pStyle w:val="Heading2"/>
      </w:pPr>
      <w:bookmarkStart w:id="478" w:name="_Toc483567937"/>
      <w:r w:rsidRPr="00B01CBB">
        <w:t>Monitoring well and bore integrity: review of methods</w:t>
      </w:r>
      <w:bookmarkEnd w:id="478"/>
    </w:p>
    <w:p w14:paraId="03375D98" w14:textId="288228EA" w:rsidR="00692EC8" w:rsidRDefault="00692EC8" w:rsidP="00692EC8">
      <w:pPr>
        <w:pStyle w:val="Body"/>
      </w:pPr>
      <w:r>
        <w:t xml:space="preserve">Well and bore integrity monitoring approaches adopted by different industries have been reviewed in Sections </w:t>
      </w:r>
      <w:r>
        <w:fldChar w:fldCharType="begin"/>
      </w:r>
      <w:r>
        <w:instrText xml:space="preserve"> REF _Ref479676601 \r \h </w:instrText>
      </w:r>
      <w:r>
        <w:fldChar w:fldCharType="separate"/>
      </w:r>
      <w:r w:rsidR="00086147">
        <w:t>1.6.1</w:t>
      </w:r>
      <w:r>
        <w:fldChar w:fldCharType="end"/>
      </w:r>
      <w:r>
        <w:t xml:space="preserve"> to </w:t>
      </w:r>
      <w:r>
        <w:fldChar w:fldCharType="begin"/>
      </w:r>
      <w:r>
        <w:instrText xml:space="preserve"> REF _Ref479676602 \r \h </w:instrText>
      </w:r>
      <w:r>
        <w:fldChar w:fldCharType="separate"/>
      </w:r>
      <w:r w:rsidR="00086147">
        <w:t>1.6.3</w:t>
      </w:r>
      <w:r>
        <w:fldChar w:fldCharType="end"/>
      </w:r>
      <w:r>
        <w:t>. A more comprehensive overview of monitoring approaches applicable to coal seam gas wells is prov</w:t>
      </w:r>
      <w:r w:rsidR="009E2DD9">
        <w:t>id</w:t>
      </w:r>
      <w:r>
        <w:t xml:space="preserve">ed in Section </w:t>
      </w:r>
      <w:r>
        <w:fldChar w:fldCharType="begin"/>
      </w:r>
      <w:r>
        <w:instrText xml:space="preserve"> REF _Ref479676622 \r \h </w:instrText>
      </w:r>
      <w:r>
        <w:fldChar w:fldCharType="separate"/>
      </w:r>
      <w:r w:rsidR="00086147">
        <w:t>6</w:t>
      </w:r>
      <w:r>
        <w:fldChar w:fldCharType="end"/>
      </w:r>
      <w:r>
        <w:t xml:space="preserve">. </w:t>
      </w:r>
    </w:p>
    <w:p w14:paraId="030F69FC" w14:textId="19801A49" w:rsidR="00D12FCF" w:rsidRDefault="00D12FCF" w:rsidP="00333B4F">
      <w:pPr>
        <w:pStyle w:val="Heading3"/>
      </w:pPr>
      <w:bookmarkStart w:id="479" w:name="_Ref479676601"/>
      <w:bookmarkStart w:id="480" w:name="_Toc483567938"/>
      <w:r>
        <w:t>Water bores</w:t>
      </w:r>
      <w:bookmarkEnd w:id="479"/>
      <w:bookmarkEnd w:id="480"/>
    </w:p>
    <w:p w14:paraId="42CA8BE4" w14:textId="7DDC152C" w:rsidR="00333B4F" w:rsidRDefault="00D17E8A" w:rsidP="00333B4F">
      <w:pPr>
        <w:pStyle w:val="Body"/>
      </w:pPr>
      <w:r>
        <w:t xml:space="preserve">Integrity of groundwater production bores has been investigated using borehole geophysical techniques (logging) and groundwater quality analysis. In the US, </w:t>
      </w:r>
      <w:r w:rsidR="00D12FCF" w:rsidRPr="00D17E8A">
        <w:t>borehole geophysical log</w:t>
      </w:r>
      <w:r>
        <w:t xml:space="preserve">s were combined with groundwater quality analysis to detect if </w:t>
      </w:r>
      <w:r w:rsidR="00D12FCF" w:rsidRPr="00D17E8A">
        <w:t xml:space="preserve">the </w:t>
      </w:r>
      <w:r>
        <w:t>water bores</w:t>
      </w:r>
      <w:r w:rsidR="00D12FCF" w:rsidRPr="00D17E8A">
        <w:t xml:space="preserve"> </w:t>
      </w:r>
      <w:r>
        <w:t xml:space="preserve">(both productive and abandoned) </w:t>
      </w:r>
      <w:r w:rsidR="00D12FCF" w:rsidRPr="00D17E8A">
        <w:t>could</w:t>
      </w:r>
      <w:r w:rsidRPr="00D17E8A">
        <w:t xml:space="preserve"> </w:t>
      </w:r>
      <w:r w:rsidR="00D12FCF" w:rsidRPr="00D17E8A">
        <w:t xml:space="preserve">have </w:t>
      </w:r>
      <w:r>
        <w:t xml:space="preserve">enhanced </w:t>
      </w:r>
      <w:r w:rsidR="00D12FCF" w:rsidRPr="00D17E8A">
        <w:t>vertical connect</w:t>
      </w:r>
      <w:r>
        <w:t>ivity</w:t>
      </w:r>
      <w:r w:rsidR="00333B4F">
        <w:t xml:space="preserve"> between a shallow alluvial aquifer and several underlying confined aquifers (USGS 1997)</w:t>
      </w:r>
      <w:r>
        <w:t>. The aim of the g</w:t>
      </w:r>
      <w:r w:rsidR="00D12FCF" w:rsidRPr="00D17E8A">
        <w:t xml:space="preserve">eophysical logging </w:t>
      </w:r>
      <w:r>
        <w:t xml:space="preserve">was to find evidence of </w:t>
      </w:r>
      <w:r w:rsidR="00D12FCF" w:rsidRPr="00D17E8A">
        <w:t>breaks or gaps in the well casings and cement around the casings</w:t>
      </w:r>
      <w:r w:rsidR="00333B4F">
        <w:t xml:space="preserve">. </w:t>
      </w:r>
      <w:r w:rsidRPr="00333B4F">
        <w:t xml:space="preserve">Although the geophysical data </w:t>
      </w:r>
      <w:r w:rsidR="00333B4F" w:rsidRPr="00333B4F">
        <w:t>provide</w:t>
      </w:r>
      <w:r w:rsidR="00333B4F">
        <w:t>d</w:t>
      </w:r>
      <w:r w:rsidR="00333B4F" w:rsidRPr="00333B4F">
        <w:t xml:space="preserve"> evidence of</w:t>
      </w:r>
      <w:r w:rsidRPr="00333B4F">
        <w:t xml:space="preserve"> a </w:t>
      </w:r>
      <w:r w:rsidR="00333B4F" w:rsidRPr="00333B4F">
        <w:t>couple</w:t>
      </w:r>
      <w:r w:rsidRPr="00333B4F">
        <w:t xml:space="preserve"> locations where local voids behind casing could be present, none of the evidence indicate</w:t>
      </w:r>
      <w:r w:rsidR="00333B4F">
        <w:t>d</w:t>
      </w:r>
      <w:r w:rsidRPr="00333B4F">
        <w:t xml:space="preserve"> that there are connected voids </w:t>
      </w:r>
      <w:r w:rsidR="00333B4F">
        <w:t xml:space="preserve">that </w:t>
      </w:r>
      <w:r w:rsidRPr="00333B4F">
        <w:t>could allow flow over substantial distances behind casing</w:t>
      </w:r>
      <w:r w:rsidR="00333B4F">
        <w:t xml:space="preserve">. </w:t>
      </w:r>
      <w:r w:rsidR="00333B4F" w:rsidRPr="00333B4F">
        <w:t xml:space="preserve">Based on water quality parameters </w:t>
      </w:r>
      <w:r w:rsidR="00333B4F">
        <w:t>(</w:t>
      </w:r>
      <w:r w:rsidR="00333B4F" w:rsidRPr="00333B4F">
        <w:t>VOCs, SVOCs, pesticides, PCBs, TPHs, trace elements, major ions, cyanide, and physical properties</w:t>
      </w:r>
      <w:r w:rsidR="00333B4F">
        <w:t>)</w:t>
      </w:r>
      <w:r w:rsidR="00333B4F" w:rsidRPr="00333B4F">
        <w:t xml:space="preserve"> sampled from the production bores, no evidence was found of increased connectivity.</w:t>
      </w:r>
    </w:p>
    <w:p w14:paraId="34CC79A1" w14:textId="7AF4B09C" w:rsidR="00A62E6D" w:rsidRDefault="00A62E6D" w:rsidP="00333B4F">
      <w:pPr>
        <w:pStyle w:val="Body"/>
      </w:pPr>
      <w:r>
        <w:t>In Australia, DERM (2011) identified that all areas of groundwater monitoring would benefit from an increased accuracy and validity of data. This includes an assessment of the integrity of the water bores to ensure that the data gathered is reflective of the aquifer status. The recommended operational instrumentation would be a down-hole video inspection camera.</w:t>
      </w:r>
    </w:p>
    <w:p w14:paraId="3ADCE295" w14:textId="28C7743F" w:rsidR="00D12FCF" w:rsidRDefault="00D77850" w:rsidP="00D77850">
      <w:pPr>
        <w:pStyle w:val="Heading3"/>
      </w:pPr>
      <w:bookmarkStart w:id="481" w:name="_Toc483567939"/>
      <w:r>
        <w:t xml:space="preserve">Injection </w:t>
      </w:r>
      <w:r w:rsidR="00D12FCF">
        <w:t>wells</w:t>
      </w:r>
      <w:bookmarkEnd w:id="481"/>
    </w:p>
    <w:p w14:paraId="46ED2F64" w14:textId="6ED2A256" w:rsidR="00D12FCF" w:rsidRPr="00D77850" w:rsidRDefault="00AF2A2E" w:rsidP="00D77850">
      <w:pPr>
        <w:pStyle w:val="Body"/>
      </w:pPr>
      <w:r>
        <w:t>I</w:t>
      </w:r>
      <w:r w:rsidR="00D916B1" w:rsidRPr="00D77850">
        <w:t>dentif</w:t>
      </w:r>
      <w:r w:rsidR="00D77850">
        <w:t>ication</w:t>
      </w:r>
      <w:r w:rsidR="00D916B1" w:rsidRPr="00D77850">
        <w:t xml:space="preserve"> and evaluat</w:t>
      </w:r>
      <w:r w:rsidR="00D77850">
        <w:t>ion</w:t>
      </w:r>
      <w:r w:rsidR="00D916B1" w:rsidRPr="00D77850">
        <w:t xml:space="preserve"> </w:t>
      </w:r>
      <w:r w:rsidR="00D77850">
        <w:t>of</w:t>
      </w:r>
      <w:r w:rsidR="00D916B1" w:rsidRPr="00D77850">
        <w:t xml:space="preserve"> methods used by industry and regulatory agencies to determine aspects of mechanical well integrity f</w:t>
      </w:r>
      <w:r>
        <w:t>or</w:t>
      </w:r>
      <w:r w:rsidR="00D916B1" w:rsidRPr="00D77850">
        <w:t xml:space="preserve"> injection wells</w:t>
      </w:r>
      <w:r w:rsidR="00D77850">
        <w:t xml:space="preserve"> was undertaken by </w:t>
      </w:r>
      <w:r w:rsidR="00692EC8">
        <w:t xml:space="preserve">the US </w:t>
      </w:r>
      <w:r w:rsidR="00D77850" w:rsidRPr="00D77850">
        <w:t xml:space="preserve">EPA </w:t>
      </w:r>
      <w:r w:rsidR="00692EC8">
        <w:t>(</w:t>
      </w:r>
      <w:r w:rsidR="00393DF8">
        <w:t>2008</w:t>
      </w:r>
      <w:r w:rsidR="00D77850" w:rsidRPr="00D77850">
        <w:t>)</w:t>
      </w:r>
      <w:r w:rsidR="00D916B1" w:rsidRPr="00D77850">
        <w:t>.</w:t>
      </w:r>
      <w:r w:rsidR="00692EC8">
        <w:t xml:space="preserve"> Demonstration of mechanical integrity is the most common means of demonstrating that there is no movement of fluids into or between different groundwater systems. </w:t>
      </w:r>
      <w:r w:rsidR="00D77850">
        <w:t xml:space="preserve">Based on their review </w:t>
      </w:r>
      <w:r w:rsidR="008004BC">
        <w:t>the following methods were reported by industry and regulatory agencies to identify the presence of leaks: p</w:t>
      </w:r>
      <w:r w:rsidR="00D916B1" w:rsidRPr="00D77850">
        <w:t>ressure testing</w:t>
      </w:r>
      <w:r>
        <w:t xml:space="preserve"> and</w:t>
      </w:r>
      <w:r w:rsidR="008004BC">
        <w:t xml:space="preserve"> </w:t>
      </w:r>
      <w:r w:rsidR="00D916B1" w:rsidRPr="00D77850">
        <w:t>wire-line geophysical logs including cement bond, sonic,</w:t>
      </w:r>
      <w:r w:rsidR="008004BC">
        <w:t xml:space="preserve"> </w:t>
      </w:r>
      <w:r w:rsidR="00D916B1" w:rsidRPr="00D77850">
        <w:t>temperature, density and neutron logs.</w:t>
      </w:r>
    </w:p>
    <w:p w14:paraId="5D6252F7" w14:textId="6F0B04F8" w:rsidR="00D77850" w:rsidRDefault="00D77850" w:rsidP="00D77850">
      <w:pPr>
        <w:pStyle w:val="Heading3"/>
      </w:pPr>
      <w:bookmarkStart w:id="482" w:name="_Ref479676602"/>
      <w:bookmarkStart w:id="483" w:name="_Toc483567940"/>
      <w:r>
        <w:t>Wellbore in a CO</w:t>
      </w:r>
      <w:r w:rsidRPr="00D77850">
        <w:rPr>
          <w:vertAlign w:val="subscript"/>
        </w:rPr>
        <w:t>2</w:t>
      </w:r>
      <w:r>
        <w:t>-rich environment</w:t>
      </w:r>
      <w:bookmarkEnd w:id="482"/>
      <w:bookmarkEnd w:id="483"/>
    </w:p>
    <w:p w14:paraId="6266DCD8" w14:textId="21AABF9F" w:rsidR="00D916B1" w:rsidRDefault="00D77850" w:rsidP="00D916B1">
      <w:pPr>
        <w:pStyle w:val="Body"/>
      </w:pPr>
      <w:r>
        <w:t>To test the integrity of a 30-year old</w:t>
      </w:r>
      <w:r w:rsidR="00AE3D62">
        <w:t>, mainly CO</w:t>
      </w:r>
      <w:r w:rsidR="00AE3D62" w:rsidRPr="005818B6">
        <w:rPr>
          <w:vertAlign w:val="subscript"/>
        </w:rPr>
        <w:t>2</w:t>
      </w:r>
      <w:r w:rsidR="00AE3D62">
        <w:t xml:space="preserve"> producing, </w:t>
      </w:r>
      <w:r>
        <w:t xml:space="preserve">wellbore </w:t>
      </w:r>
      <w:r w:rsidRPr="00D916B1">
        <w:t>installed in a high CO</w:t>
      </w:r>
      <w:r w:rsidRPr="00D77850">
        <w:rPr>
          <w:vertAlign w:val="subscript"/>
        </w:rPr>
        <w:t>2</w:t>
      </w:r>
      <w:r w:rsidRPr="00D916B1">
        <w:t>-bearing formation</w:t>
      </w:r>
      <w:r>
        <w:t xml:space="preserve">, </w:t>
      </w:r>
      <w:r w:rsidRPr="00D916B1">
        <w:t>Crow et al</w:t>
      </w:r>
      <w:r>
        <w:t>.</w:t>
      </w:r>
      <w:r w:rsidRPr="00D916B1">
        <w:t xml:space="preserve"> (2009) </w:t>
      </w:r>
      <w:r>
        <w:t>combined d</w:t>
      </w:r>
      <w:r w:rsidR="00D916B1" w:rsidRPr="00D916B1">
        <w:t xml:space="preserve">own-hole ultrasonic imaging </w:t>
      </w:r>
      <w:r>
        <w:t xml:space="preserve">and vertical interference tests. Ultrasonic imaging provided </w:t>
      </w:r>
      <w:r w:rsidR="00D916B1" w:rsidRPr="00D916B1">
        <w:t>measure</w:t>
      </w:r>
      <w:r>
        <w:t>ments of</w:t>
      </w:r>
      <w:r w:rsidR="00D916B1" w:rsidRPr="00D916B1">
        <w:t xml:space="preserve"> acoustic impedance as an indication of cement quality</w:t>
      </w:r>
      <w:r>
        <w:t xml:space="preserve">, while the </w:t>
      </w:r>
      <w:r w:rsidR="00D916B1" w:rsidRPr="00D916B1">
        <w:t xml:space="preserve">vertical interference test </w:t>
      </w:r>
      <w:r>
        <w:t xml:space="preserve">was </w:t>
      </w:r>
      <w:r w:rsidR="005818B6">
        <w:t xml:space="preserve">to </w:t>
      </w:r>
      <w:r>
        <w:t>appl</w:t>
      </w:r>
      <w:r w:rsidR="005818B6">
        <w:t>y</w:t>
      </w:r>
      <w:r>
        <w:t xml:space="preserve"> </w:t>
      </w:r>
      <w:r w:rsidRPr="00D916B1">
        <w:t xml:space="preserve">pressure across a cemented shale section </w:t>
      </w:r>
      <w:r>
        <w:t xml:space="preserve">and measured the </w:t>
      </w:r>
      <w:r w:rsidR="00D916B1" w:rsidRPr="00D916B1">
        <w:t>response</w:t>
      </w:r>
      <w:r>
        <w:t>.</w:t>
      </w:r>
      <w:r w:rsidR="00D916B1" w:rsidRPr="00D916B1">
        <w:t xml:space="preserve"> </w:t>
      </w:r>
      <w:r>
        <w:t>The latter provides</w:t>
      </w:r>
      <w:r w:rsidR="00AF2A2E">
        <w:t xml:space="preserve"> an</w:t>
      </w:r>
      <w:r>
        <w:t xml:space="preserve"> indication of the extent of hydraulic communication along the exterior of the well casing between the two perforations and is a measure of the effective permeability of the barrier system</w:t>
      </w:r>
      <w:r w:rsidR="00D916B1" w:rsidRPr="00D916B1">
        <w:t xml:space="preserve">. </w:t>
      </w:r>
    </w:p>
    <w:p w14:paraId="5ADA0765" w14:textId="02659FD8" w:rsidR="00221500" w:rsidRPr="006B17BE" w:rsidRDefault="00221500" w:rsidP="00F21221">
      <w:pPr>
        <w:pStyle w:val="Heading1"/>
      </w:pPr>
      <w:bookmarkStart w:id="484" w:name="_Ref479676999"/>
      <w:bookmarkStart w:id="485" w:name="_Toc483567941"/>
      <w:r w:rsidRPr="006B17BE">
        <w:t>Conceptualisation</w:t>
      </w:r>
      <w:r w:rsidR="00C15753" w:rsidRPr="006B17BE">
        <w:t xml:space="preserve"> of leaky well</w:t>
      </w:r>
      <w:r w:rsidR="008916B1" w:rsidRPr="006B17BE">
        <w:t>s</w:t>
      </w:r>
      <w:bookmarkEnd w:id="484"/>
      <w:bookmarkEnd w:id="485"/>
    </w:p>
    <w:p w14:paraId="0069DEA9" w14:textId="41FED665" w:rsidR="0075292E" w:rsidRPr="00C440EA" w:rsidRDefault="00D57737" w:rsidP="00C440EA">
      <w:pPr>
        <w:pStyle w:val="Heading2"/>
      </w:pPr>
      <w:bookmarkStart w:id="486" w:name="_Toc483567942"/>
      <w:r w:rsidRPr="00C440EA">
        <w:t>Previous s</w:t>
      </w:r>
      <w:r w:rsidR="0075292E" w:rsidRPr="00C440EA">
        <w:t>eepage pathway conceptualisation</w:t>
      </w:r>
      <w:r w:rsidR="007609CF" w:rsidRPr="00C440EA">
        <w:t>s</w:t>
      </w:r>
      <w:bookmarkEnd w:id="486"/>
    </w:p>
    <w:p w14:paraId="2B5C240C" w14:textId="50268AE4" w:rsidR="005C0219" w:rsidRPr="006B17BE" w:rsidRDefault="00751A0C" w:rsidP="00725A64">
      <w:pPr>
        <w:pStyle w:val="Body"/>
      </w:pPr>
      <w:r w:rsidRPr="006B17BE">
        <w:t>In a recent review</w:t>
      </w:r>
      <w:r w:rsidR="00B66D97" w:rsidRPr="006B17BE">
        <w:t xml:space="preserve"> of </w:t>
      </w:r>
      <w:r w:rsidR="00EF5C08" w:rsidRPr="006B17BE">
        <w:t xml:space="preserve">national and international literature </w:t>
      </w:r>
      <w:r w:rsidRPr="006B17BE">
        <w:t xml:space="preserve">on bore and well induced inter-aquifer connectivity, Wu et al. </w:t>
      </w:r>
      <w:r w:rsidR="00A2214B" w:rsidRPr="006B17BE">
        <w:fldChar w:fldCharType="begin"/>
      </w:r>
      <w:r w:rsidR="00AC3BD2">
        <w:instrText xml:space="preserve"> ADDIN EN.CITE &lt;EndNote&gt;&lt;Cite ExcludeAuth="1"&gt;&lt;Author&gt;Wu&lt;/Author&gt;&lt;Year&gt;2018&lt;/Year&gt;&lt;RecNum&gt;84&lt;/RecNum&gt;&lt;DisplayText&gt;(2018)&lt;/DisplayText&gt;&lt;record&gt;&lt;rec-number&gt;84&lt;/rec-number&gt;&lt;foreign-keys&gt;&lt;key app="EN" db-id="xsexsdeavw900aew9xqxrzzyttv0wxs0rf9r" timestamp="1520464009"&gt;84&lt;/key&gt;&lt;/foreign-keys&gt;&lt;ref-type name="Report"&gt;27&lt;/ref-type&gt;&lt;contributors&gt;&lt;authors&gt;&lt;author&gt;Wu, B.&lt;/author&gt;&lt;author&gt;Doble, R.&lt;/author&gt;&lt;author&gt;Turnadge, C.&lt;/author&gt;&lt;author&gt;Mallants, D.&lt;/author&gt;&lt;/authors&gt;&lt;/contributors&gt;&lt;titles&gt;&lt;title&gt;Bore and well induced inter-aquifer connectivity: a review of literature on failure mechanisms and conceptualisation of hydrocarbon reservoir-aquifer failure pathways. Prepared by the Commonwealth Scientific and Industrial Research Organisation CSIRO, Canberra.&lt;/title&gt;&lt;/titles&gt;&lt;dates&gt;&lt;year&gt;2018&lt;/year&gt;&lt;/dates&gt;&lt;urls&gt;&lt;/urls&gt;&lt;/record&gt;&lt;/Cite&gt;&lt;/EndNote&gt;</w:instrText>
      </w:r>
      <w:r w:rsidR="00A2214B" w:rsidRPr="006B17BE">
        <w:fldChar w:fldCharType="separate"/>
      </w:r>
      <w:r w:rsidR="00AC3BD2">
        <w:rPr>
          <w:noProof/>
        </w:rPr>
        <w:t>(</w:t>
      </w:r>
      <w:hyperlink w:anchor="_ENREF_9" w:tooltip="Wu, 2018 #84" w:history="1">
        <w:r w:rsidR="00AC3BD2">
          <w:rPr>
            <w:noProof/>
          </w:rPr>
          <w:t>2018</w:t>
        </w:r>
      </w:hyperlink>
      <w:r w:rsidR="00AC3BD2">
        <w:rPr>
          <w:noProof/>
        </w:rPr>
        <w:t>)</w:t>
      </w:r>
      <w:r w:rsidR="00A2214B" w:rsidRPr="006B17BE">
        <w:fldChar w:fldCharType="end"/>
      </w:r>
      <w:r w:rsidRPr="006B17BE">
        <w:t xml:space="preserve"> summarised well failure mechanisms and developed several conceptualisations of plausible hydrocarbon reservoir-aquifer failure pathways. </w:t>
      </w:r>
      <w:r w:rsidR="00AA4447" w:rsidRPr="006B17BE">
        <w:t xml:space="preserve">Four major pathways - and their conceptualisations - for movement of water between strata </w:t>
      </w:r>
      <w:r w:rsidR="00B66D97" w:rsidRPr="006B17BE">
        <w:t>were</w:t>
      </w:r>
      <w:r w:rsidR="00AA4447" w:rsidRPr="006B17BE">
        <w:t xml:space="preserve"> identified: (i) pathways linked to uncased exploration bores, (ii) pathways linked to decommissioned </w:t>
      </w:r>
      <w:r w:rsidR="00C4036D" w:rsidRPr="006B17BE">
        <w:t xml:space="preserve">coal seam gas </w:t>
      </w:r>
      <w:r w:rsidR="00AA4447" w:rsidRPr="006B17BE">
        <w:t>production wells, (iii) pathways linked to oil and gas wells repurposed for water extraction</w:t>
      </w:r>
      <w:r w:rsidR="00AA2BB7" w:rsidRPr="006B17BE">
        <w:t xml:space="preserve"> and water bores with degraded casing</w:t>
      </w:r>
      <w:r w:rsidR="00AA4447" w:rsidRPr="006B17BE">
        <w:t xml:space="preserve">, and (iv) </w:t>
      </w:r>
      <w:r w:rsidR="00AA2BB7" w:rsidRPr="006B17BE">
        <w:t xml:space="preserve">natural </w:t>
      </w:r>
      <w:r w:rsidR="00AA4447" w:rsidRPr="006B17BE">
        <w:t xml:space="preserve">pathways linked to fractures and faults between wellbores and surficial aquifers. </w:t>
      </w:r>
      <w:r w:rsidR="005F61B3" w:rsidRPr="006B17BE">
        <w:t xml:space="preserve">For the purpose of this study, </w:t>
      </w:r>
      <w:r w:rsidR="00F326BC">
        <w:t xml:space="preserve">two out of the above four </w:t>
      </w:r>
      <w:r w:rsidR="005F61B3" w:rsidRPr="006B17BE">
        <w:t>conceptualisation</w:t>
      </w:r>
      <w:r w:rsidR="00F81FC5">
        <w:t>s</w:t>
      </w:r>
      <w:r w:rsidR="005F61B3" w:rsidRPr="006B17BE">
        <w:t xml:space="preserve"> </w:t>
      </w:r>
      <w:r w:rsidR="00F326BC">
        <w:t xml:space="preserve">(i.e., </w:t>
      </w:r>
      <w:r w:rsidR="00450A33">
        <w:t>(i) and (ii)</w:t>
      </w:r>
      <w:r w:rsidR="00F326BC">
        <w:t>)</w:t>
      </w:r>
      <w:r w:rsidR="00450A33">
        <w:t xml:space="preserve"> </w:t>
      </w:r>
      <w:r w:rsidR="005F61B3" w:rsidRPr="006B17BE">
        <w:t xml:space="preserve">will be taken forward to (i) </w:t>
      </w:r>
      <w:r w:rsidR="00C4036D" w:rsidRPr="006B17BE">
        <w:t xml:space="preserve">determine regional-scale impacts from enhanced </w:t>
      </w:r>
      <w:r w:rsidR="009E554A" w:rsidRPr="006B17BE">
        <w:t>inter-aquifer</w:t>
      </w:r>
      <w:r w:rsidR="00C4036D" w:rsidRPr="006B17BE">
        <w:t xml:space="preserve"> connectivity on groundwater fluxes and heads</w:t>
      </w:r>
      <w:r w:rsidR="005F61B3" w:rsidRPr="006B17BE">
        <w:t xml:space="preserve">, </w:t>
      </w:r>
      <w:r w:rsidR="00C4036D" w:rsidRPr="006B17BE">
        <w:t xml:space="preserve">and </w:t>
      </w:r>
      <w:r w:rsidR="005F61B3" w:rsidRPr="006B17BE">
        <w:t>(ii)</w:t>
      </w:r>
      <w:r w:rsidR="00C4036D" w:rsidRPr="006B17BE">
        <w:t xml:space="preserve"> determine local-scale impacts from enhanced </w:t>
      </w:r>
      <w:r w:rsidR="009E554A" w:rsidRPr="006B17BE">
        <w:t>inter-aquifer</w:t>
      </w:r>
      <w:r w:rsidR="00C4036D" w:rsidRPr="006B17BE">
        <w:t xml:space="preserve"> connectivity on solute transport and risks for groundwater quality deterioration. </w:t>
      </w:r>
      <w:r w:rsidR="005F61B3" w:rsidRPr="006B17BE">
        <w:t xml:space="preserve"> </w:t>
      </w:r>
      <w:r w:rsidR="00F326BC">
        <w:t>Pathway (i) was selected as it likely represents a worst-case under the condition that the borehole is completely open for fluid migration; this pathway would also encompass effects due to pathway (iii). Pathway (ii) was selected as it is the only real pathway linked to CSG extraction. Pathway (iv</w:t>
      </w:r>
      <w:r w:rsidR="00E46A9C">
        <w:t>) is out of scope as it is a natural pathway that cannot be managed.</w:t>
      </w:r>
      <w:r w:rsidR="00F326BC">
        <w:t xml:space="preserve">   </w:t>
      </w:r>
    </w:p>
    <w:p w14:paraId="04045467" w14:textId="727215C1" w:rsidR="007609CF" w:rsidRPr="006B17BE" w:rsidRDefault="005C0219" w:rsidP="00725A64">
      <w:pPr>
        <w:pStyle w:val="Body"/>
      </w:pPr>
      <w:r w:rsidRPr="006B17BE">
        <w:t xml:space="preserve">The </w:t>
      </w:r>
      <w:r w:rsidR="00C4036D" w:rsidRPr="006B17BE">
        <w:t xml:space="preserve">leakage pathway </w:t>
      </w:r>
      <w:r w:rsidRPr="006B17BE">
        <w:t>conceptualisation</w:t>
      </w:r>
      <w:r w:rsidR="00C4036D" w:rsidRPr="006B17BE">
        <w:t>s selected for purpose of this study are</w:t>
      </w:r>
      <w:r w:rsidRPr="006B17BE">
        <w:t xml:space="preserve"> </w:t>
      </w:r>
      <w:r w:rsidR="00C4036D" w:rsidRPr="006B17BE">
        <w:t xml:space="preserve">decommissioned coal seam gas production wells and </w:t>
      </w:r>
      <w:r w:rsidR="00764BC9" w:rsidRPr="006B17BE">
        <w:t xml:space="preserve">uncased exploration </w:t>
      </w:r>
      <w:r w:rsidR="00C4036D" w:rsidRPr="006B17BE">
        <w:t>bores</w:t>
      </w:r>
      <w:r w:rsidRPr="006B17BE">
        <w:t xml:space="preserve">. </w:t>
      </w:r>
      <w:r w:rsidR="00764BC9" w:rsidRPr="006B17BE">
        <w:t xml:space="preserve">In open, abandoned </w:t>
      </w:r>
      <w:r w:rsidR="007609CF" w:rsidRPr="006B17BE">
        <w:t>exploration bores</w:t>
      </w:r>
      <w:r w:rsidR="00764BC9" w:rsidRPr="006B17BE">
        <w:t xml:space="preserve"> the migration pathway is through the open</w:t>
      </w:r>
      <w:r w:rsidR="007609CF" w:rsidRPr="006B17BE">
        <w:t>,</w:t>
      </w:r>
      <w:r w:rsidR="00764BC9" w:rsidRPr="006B17BE">
        <w:t xml:space="preserve"> backfilled </w:t>
      </w:r>
      <w:r w:rsidR="007609CF" w:rsidRPr="006B17BE">
        <w:t>or partially collapsed borehole</w:t>
      </w:r>
      <w:r w:rsidR="00764BC9" w:rsidRPr="006B17BE">
        <w:t xml:space="preserve">, with </w:t>
      </w:r>
      <w:r w:rsidR="007609CF" w:rsidRPr="006B17BE">
        <w:t xml:space="preserve">likely </w:t>
      </w:r>
      <w:r w:rsidR="00764BC9" w:rsidRPr="006B17BE">
        <w:t>little or no resistance to flow (</w:t>
      </w:r>
      <w:r w:rsidR="00764BC9" w:rsidRPr="006B17BE">
        <w:fldChar w:fldCharType="begin"/>
      </w:r>
      <w:r w:rsidR="00764BC9" w:rsidRPr="006B17BE">
        <w:instrText xml:space="preserve"> REF _Ref456868882 \h </w:instrText>
      </w:r>
      <w:r w:rsidR="00AA16BE" w:rsidRPr="006B17BE">
        <w:instrText xml:space="preserve"> \* MERGEFORMAT </w:instrText>
      </w:r>
      <w:r w:rsidR="00764BC9" w:rsidRPr="006B17BE">
        <w:fldChar w:fldCharType="separate"/>
      </w:r>
      <w:r w:rsidR="00086147" w:rsidRPr="00086147">
        <w:t xml:space="preserve">Figure </w:t>
      </w:r>
      <w:r w:rsidR="00086147" w:rsidRPr="00086147">
        <w:rPr>
          <w:noProof/>
        </w:rPr>
        <w:t>2</w:t>
      </w:r>
      <w:r w:rsidR="00086147" w:rsidRPr="00086147">
        <w:rPr>
          <w:noProof/>
        </w:rPr>
        <w:noBreakHyphen/>
        <w:t>1</w:t>
      </w:r>
      <w:r w:rsidR="00764BC9" w:rsidRPr="006B17BE">
        <w:fldChar w:fldCharType="end"/>
      </w:r>
      <w:r w:rsidR="00764BC9" w:rsidRPr="006B17BE">
        <w:t xml:space="preserve">). </w:t>
      </w:r>
      <w:r w:rsidR="007609CF" w:rsidRPr="006B17BE">
        <w:t>Depending on the ambient hydraulic gradients across low-permeable formations (aquitards), flow can be upward or downward. Conditions where upward flow exists in one location and downward flow in another location can also occur.</w:t>
      </w:r>
    </w:p>
    <w:p w14:paraId="54E0C41E" w14:textId="714FBB1A" w:rsidR="005C0219" w:rsidRPr="006B17BE" w:rsidRDefault="000E3660" w:rsidP="00725A64">
      <w:pPr>
        <w:pStyle w:val="Body"/>
      </w:pPr>
      <w:r w:rsidRPr="006B17BE">
        <w:t>Well integrity failure was only simulated after the 25-year gas production period</w:t>
      </w:r>
      <w:r>
        <w:t xml:space="preserve"> (i.e., when wells have been decommissioned)</w:t>
      </w:r>
      <w:r w:rsidRPr="006B17BE">
        <w:t xml:space="preserve">, based on the assumption that failed coal seam gas wells would be repaired or decommissioned during the pumping/production phase. </w:t>
      </w:r>
      <w:r w:rsidR="005C0219" w:rsidRPr="006B17BE">
        <w:t xml:space="preserve">In decommissioned and abandoned </w:t>
      </w:r>
      <w:r w:rsidR="007609CF" w:rsidRPr="006B17BE">
        <w:t xml:space="preserve">coal seam gas </w:t>
      </w:r>
      <w:r w:rsidR="005C0219" w:rsidRPr="006B17BE">
        <w:t xml:space="preserve">wells, loss of integrity may lead to the following pathways for water migration </w:t>
      </w:r>
      <w:r w:rsidR="007609CF" w:rsidRPr="006B17BE">
        <w:t xml:space="preserve">and solute transport </w:t>
      </w:r>
      <w:r w:rsidR="005C0219" w:rsidRPr="006B17BE">
        <w:t>(</w:t>
      </w:r>
      <w:r w:rsidR="005C0219" w:rsidRPr="006B17BE">
        <w:fldChar w:fldCharType="begin"/>
      </w:r>
      <w:r w:rsidR="005C0219" w:rsidRPr="006B17BE">
        <w:instrText xml:space="preserve"> REF _Ref449523517 \h </w:instrText>
      </w:r>
      <w:r w:rsidR="00AA16BE" w:rsidRPr="006B17BE">
        <w:instrText xml:space="preserve"> \* MERGEFORMAT </w:instrText>
      </w:r>
      <w:r w:rsidR="005C0219" w:rsidRPr="006B17BE">
        <w:fldChar w:fldCharType="separate"/>
      </w:r>
      <w:r w:rsidR="00086147" w:rsidRPr="00086147">
        <w:t xml:space="preserve">Figure </w:t>
      </w:r>
      <w:r w:rsidR="00086147" w:rsidRPr="00086147">
        <w:rPr>
          <w:noProof/>
        </w:rPr>
        <w:t>2</w:t>
      </w:r>
      <w:r w:rsidR="00086147" w:rsidRPr="00086147">
        <w:rPr>
          <w:noProof/>
        </w:rPr>
        <w:noBreakHyphen/>
        <w:t>2</w:t>
      </w:r>
      <w:r w:rsidR="005C0219" w:rsidRPr="006B17BE">
        <w:fldChar w:fldCharType="end"/>
      </w:r>
      <w:r w:rsidR="005C0219" w:rsidRPr="006B17BE">
        <w:t>):</w:t>
      </w:r>
    </w:p>
    <w:p w14:paraId="4DD0A35E" w14:textId="2551E99A" w:rsidR="005C0219" w:rsidRPr="006B17BE" w:rsidRDefault="005C0219" w:rsidP="00D67169">
      <w:pPr>
        <w:pStyle w:val="Body"/>
        <w:numPr>
          <w:ilvl w:val="0"/>
          <w:numId w:val="18"/>
        </w:numPr>
      </w:pPr>
      <w:r w:rsidRPr="006B17BE">
        <w:t>through a micro-annulus between the cement casing and the soil/rock matrix (1) or the steel well casing (2)</w:t>
      </w:r>
    </w:p>
    <w:p w14:paraId="58181946" w14:textId="527B91CF" w:rsidR="005C0219" w:rsidRPr="006B17BE" w:rsidRDefault="005C0219" w:rsidP="00D67169">
      <w:pPr>
        <w:pStyle w:val="Body"/>
        <w:numPr>
          <w:ilvl w:val="0"/>
          <w:numId w:val="18"/>
        </w:numPr>
        <w:rPr>
          <w:rFonts w:asciiTheme="minorHAnsi" w:hAnsiTheme="minorHAnsi"/>
        </w:rPr>
      </w:pPr>
      <w:r w:rsidRPr="006B17BE">
        <w:t>through</w:t>
      </w:r>
      <w:r w:rsidRPr="006B17BE">
        <w:rPr>
          <w:rFonts w:asciiTheme="minorHAnsi" w:hAnsiTheme="minorHAnsi"/>
        </w:rPr>
        <w:t xml:space="preserve"> a deteriorated cement sheath between the well casing and soil/rock matrix (3)</w:t>
      </w:r>
    </w:p>
    <w:p w14:paraId="2F8E8140" w14:textId="69959C5F" w:rsidR="005C0219" w:rsidRPr="006B17BE" w:rsidRDefault="005C0219" w:rsidP="00D67169">
      <w:pPr>
        <w:pStyle w:val="Body"/>
        <w:numPr>
          <w:ilvl w:val="0"/>
          <w:numId w:val="18"/>
        </w:numPr>
        <w:rPr>
          <w:rFonts w:asciiTheme="minorHAnsi" w:hAnsiTheme="minorHAnsi"/>
        </w:rPr>
      </w:pPr>
      <w:r w:rsidRPr="006B17BE">
        <w:rPr>
          <w:rFonts w:asciiTheme="minorHAnsi" w:hAnsiTheme="minorHAnsi"/>
        </w:rPr>
        <w:t xml:space="preserve">through </w:t>
      </w:r>
      <w:r w:rsidRPr="006B17BE">
        <w:t>deteriorated</w:t>
      </w:r>
      <w:r w:rsidRPr="006B17BE">
        <w:rPr>
          <w:rFonts w:asciiTheme="minorHAnsi" w:hAnsiTheme="minorHAnsi"/>
        </w:rPr>
        <w:t xml:space="preserve"> cement plugs used in decommissioning (4, 5), and</w:t>
      </w:r>
    </w:p>
    <w:p w14:paraId="09014088" w14:textId="2B9CD11D" w:rsidR="005C0219" w:rsidRPr="006B17BE" w:rsidRDefault="005C0219" w:rsidP="00D67169">
      <w:pPr>
        <w:pStyle w:val="Body"/>
        <w:numPr>
          <w:ilvl w:val="0"/>
          <w:numId w:val="18"/>
        </w:numPr>
        <w:rPr>
          <w:rFonts w:asciiTheme="minorHAnsi" w:hAnsiTheme="minorHAnsi"/>
        </w:rPr>
      </w:pPr>
      <w:r w:rsidRPr="006B17BE">
        <w:rPr>
          <w:rFonts w:asciiTheme="minorHAnsi" w:hAnsiTheme="minorHAnsi"/>
        </w:rPr>
        <w:t>through the well itself, via corrosion holes, shear or tensile damage (6).</w:t>
      </w:r>
    </w:p>
    <w:p w14:paraId="7292535C" w14:textId="41185B70" w:rsidR="00E46A9C" w:rsidRDefault="005C0219" w:rsidP="00725A64">
      <w:pPr>
        <w:pStyle w:val="Body"/>
      </w:pPr>
      <w:r w:rsidRPr="006B17BE">
        <w:t xml:space="preserve">In </w:t>
      </w:r>
      <w:r w:rsidR="0059364C" w:rsidRPr="006B17BE">
        <w:fldChar w:fldCharType="begin"/>
      </w:r>
      <w:r w:rsidR="0059364C" w:rsidRPr="006B17BE">
        <w:instrText xml:space="preserve"> REF _Ref449523517 \h </w:instrText>
      </w:r>
      <w:r w:rsidR="00D530AE" w:rsidRPr="006B17BE">
        <w:instrText xml:space="preserve"> \* MERGEFORMAT </w:instrText>
      </w:r>
      <w:r w:rsidR="0059364C" w:rsidRPr="006B17BE">
        <w:fldChar w:fldCharType="separate"/>
      </w:r>
      <w:r w:rsidR="00086147" w:rsidRPr="00086147">
        <w:t xml:space="preserve">Figure </w:t>
      </w:r>
      <w:r w:rsidR="00086147" w:rsidRPr="00086147">
        <w:rPr>
          <w:noProof/>
        </w:rPr>
        <w:t>2</w:t>
      </w:r>
      <w:r w:rsidR="00086147" w:rsidRPr="00086147">
        <w:rPr>
          <w:noProof/>
        </w:rPr>
        <w:noBreakHyphen/>
        <w:t>2</w:t>
      </w:r>
      <w:r w:rsidR="0059364C" w:rsidRPr="006B17BE">
        <w:fldChar w:fldCharType="end"/>
      </w:r>
      <w:r w:rsidRPr="006B17BE">
        <w:t xml:space="preserve"> flow is from upper aquifer to lower aquifer based on the downward head gradient (H</w:t>
      </w:r>
      <w:r w:rsidRPr="006B17BE">
        <w:rPr>
          <w:vertAlign w:val="subscript"/>
        </w:rPr>
        <w:t>1</w:t>
      </w:r>
      <w:r w:rsidRPr="006B17BE">
        <w:t>&gt;H</w:t>
      </w:r>
      <w:r w:rsidRPr="006B17BE">
        <w:rPr>
          <w:vertAlign w:val="subscript"/>
        </w:rPr>
        <w:t>2</w:t>
      </w:r>
      <w:r w:rsidRPr="006B17BE">
        <w:t xml:space="preserve">). This scenario </w:t>
      </w:r>
      <w:r w:rsidR="007609CF" w:rsidRPr="006B17BE">
        <w:t xml:space="preserve">may </w:t>
      </w:r>
      <w:r w:rsidRPr="006B17BE">
        <w:t xml:space="preserve">represent </w:t>
      </w:r>
      <w:r w:rsidR="007609CF" w:rsidRPr="006B17BE">
        <w:t xml:space="preserve">either a natural downward gradient or a downward gradient typical for </w:t>
      </w:r>
      <w:r w:rsidRPr="006B17BE">
        <w:t>the period of depressurisation during or long after gas extraction has ended (note that recovery to the initial hydraulic head condition in the coal seam formation may take hundreds of years</w:t>
      </w:r>
      <w:r w:rsidR="00A2214B" w:rsidRPr="006B17BE">
        <w:t xml:space="preserve"> </w:t>
      </w:r>
      <w:r w:rsidR="00A2214B" w:rsidRPr="006B17BE">
        <w:fldChar w:fldCharType="begin"/>
      </w:r>
      <w:r w:rsidR="00AC3BD2">
        <w:instrText xml:space="preserve"> ADDIN EN.CITE &lt;EndNote&gt;&lt;Cite&gt;&lt;Author&gt;Wu&lt;/Author&gt;&lt;Year&gt;2018&lt;/Year&gt;&lt;RecNum&gt;84&lt;/RecNum&gt;&lt;DisplayText&gt;(Wu et al., 2018)&lt;/DisplayText&gt;&lt;record&gt;&lt;rec-number&gt;84&lt;/rec-number&gt;&lt;foreign-keys&gt;&lt;key app="EN" db-id="xsexsdeavw900aew9xqxrzzyttv0wxs0rf9r" timestamp="1520464009"&gt;84&lt;/key&gt;&lt;/foreign-keys&gt;&lt;ref-type name="Report"&gt;27&lt;/ref-type&gt;&lt;contributors&gt;&lt;authors&gt;&lt;author&gt;Wu, B.&lt;/author&gt;&lt;author&gt;Doble, R.&lt;/author&gt;&lt;author&gt;Turnadge, C.&lt;/author&gt;&lt;author&gt;Mallants, D.&lt;/author&gt;&lt;/authors&gt;&lt;/contributors&gt;&lt;titles&gt;&lt;title&gt;Bore and well induced inter-aquifer connectivity: a review of literature on failure mechanisms and conceptualisation of hydrocarbon reservoir-aquifer failure pathways. Prepared by the Commonwealth Scientific and Industrial Research Organisation CSIRO, Canberra.&lt;/title&gt;&lt;/titles&gt;&lt;dates&gt;&lt;year&gt;2018&lt;/year&gt;&lt;/dates&gt;&lt;urls&gt;&lt;/urls&gt;&lt;/record&gt;&lt;/Cite&gt;&lt;/EndNote&gt;</w:instrText>
      </w:r>
      <w:r w:rsidR="00A2214B" w:rsidRPr="006B17BE">
        <w:fldChar w:fldCharType="separate"/>
      </w:r>
      <w:r w:rsidR="00AC3BD2">
        <w:rPr>
          <w:noProof/>
        </w:rPr>
        <w:t>(</w:t>
      </w:r>
      <w:hyperlink w:anchor="_ENREF_9" w:tooltip="Wu, 2018 #84" w:history="1">
        <w:r w:rsidR="00AC3BD2">
          <w:rPr>
            <w:noProof/>
          </w:rPr>
          <w:t>Wu et al., 2018</w:t>
        </w:r>
      </w:hyperlink>
      <w:r w:rsidR="00AC3BD2">
        <w:rPr>
          <w:noProof/>
        </w:rPr>
        <w:t>)</w:t>
      </w:r>
      <w:r w:rsidR="00A2214B" w:rsidRPr="006B17BE">
        <w:fldChar w:fldCharType="end"/>
      </w:r>
      <w:r w:rsidR="00365D10" w:rsidRPr="006B17BE">
        <w:t>)</w:t>
      </w:r>
      <w:r w:rsidRPr="006B17BE">
        <w:t xml:space="preserve">. </w:t>
      </w:r>
      <w:r w:rsidR="00E46A9C" w:rsidRPr="00E46A9C">
        <w:t xml:space="preserve">This conceptualization must also assume that the coal seam gas zone has had sufficient time to re-equilibrate </w:t>
      </w:r>
      <w:r w:rsidR="00E46A9C">
        <w:t xml:space="preserve">such </w:t>
      </w:r>
      <w:r w:rsidR="00E46A9C" w:rsidRPr="00E46A9C">
        <w:t>that the cleat system has become re-saturated with formation water and that any remaining methane is immobile and adsorbed into the matrix of the coal. Otherwise there is a relative permeability problem for the water to be able to move into or out o</w:t>
      </w:r>
      <w:r w:rsidR="00E46A9C">
        <w:t>f</w:t>
      </w:r>
      <w:r w:rsidR="00E46A9C" w:rsidRPr="00E46A9C">
        <w:t xml:space="preserve"> the coal zone.</w:t>
      </w:r>
      <w:r w:rsidR="00E46A9C">
        <w:t xml:space="preserve"> </w:t>
      </w:r>
    </w:p>
    <w:p w14:paraId="1CE1F9BA" w14:textId="277E4EC4" w:rsidR="005C0219" w:rsidRDefault="005C0219" w:rsidP="00725A64">
      <w:pPr>
        <w:pStyle w:val="Body"/>
      </w:pPr>
      <w:r w:rsidRPr="006B17BE">
        <w:t>When an upward gradient exists (H</w:t>
      </w:r>
      <w:r w:rsidRPr="006B17BE">
        <w:rPr>
          <w:vertAlign w:val="subscript"/>
        </w:rPr>
        <w:t>2</w:t>
      </w:r>
      <w:r w:rsidRPr="006B17BE">
        <w:t>&gt;H</w:t>
      </w:r>
      <w:r w:rsidRPr="006B17BE">
        <w:rPr>
          <w:vertAlign w:val="subscript"/>
        </w:rPr>
        <w:t>1</w:t>
      </w:r>
      <w:r w:rsidRPr="006B17BE">
        <w:t>), flow will be from the lower to the upper aquifer. The latter condition was observed both pre-</w:t>
      </w:r>
      <w:r w:rsidR="006552DB">
        <w:t>coal seam</w:t>
      </w:r>
      <w:r w:rsidRPr="006B17BE">
        <w:t xml:space="preserve"> </w:t>
      </w:r>
      <w:r w:rsidR="006552DB">
        <w:t xml:space="preserve">gas </w:t>
      </w:r>
      <w:r w:rsidRPr="006B17BE">
        <w:t>and post-</w:t>
      </w:r>
      <w:r w:rsidR="006552DB">
        <w:t>coal seam gas</w:t>
      </w:r>
      <w:r w:rsidRPr="006B17BE">
        <w:t xml:space="preserve"> extraction in several locations of </w:t>
      </w:r>
      <w:r w:rsidR="00365D10" w:rsidRPr="006B17BE">
        <w:t>a</w:t>
      </w:r>
      <w:r w:rsidRPr="006B17BE">
        <w:t xml:space="preserve"> </w:t>
      </w:r>
      <w:r w:rsidR="0059364C" w:rsidRPr="006B17BE">
        <w:t xml:space="preserve">regional </w:t>
      </w:r>
      <w:r w:rsidRPr="006B17BE">
        <w:t xml:space="preserve">groundwater model </w:t>
      </w:r>
      <w:r w:rsidR="0059364C" w:rsidRPr="006B17BE">
        <w:t>that provided realistic head boundary conditions</w:t>
      </w:r>
      <w:r w:rsidR="00365D10" w:rsidRPr="006B17BE">
        <w:t xml:space="preserve"> for the current study</w:t>
      </w:r>
      <w:r w:rsidR="0059364C" w:rsidRPr="006B17BE">
        <w:t xml:space="preserve"> </w:t>
      </w:r>
      <w:r w:rsidR="00A2214B" w:rsidRPr="006B17BE">
        <w:fldChar w:fldCharType="begin"/>
      </w:r>
      <w:r w:rsidR="00AC3BD2">
        <w:instrText xml:space="preserve"> ADDIN EN.CITE &lt;EndNote&gt;&lt;Cite&gt;&lt;Author&gt;Wu&lt;/Author&gt;&lt;Year&gt;2018&lt;/Year&gt;&lt;RecNum&gt;84&lt;/RecNum&gt;&lt;DisplayText&gt;(Wu et al., 2018)&lt;/DisplayText&gt;&lt;record&gt;&lt;rec-number&gt;84&lt;/rec-number&gt;&lt;foreign-keys&gt;&lt;key app="EN" db-id="xsexsdeavw900aew9xqxrzzyttv0wxs0rf9r" timestamp="1520464009"&gt;84&lt;/key&gt;&lt;/foreign-keys&gt;&lt;ref-type name="Report"&gt;27&lt;/ref-type&gt;&lt;contributors&gt;&lt;authors&gt;&lt;author&gt;Wu, B.&lt;/author&gt;&lt;author&gt;Doble, R.&lt;/author&gt;&lt;author&gt;Turnadge, C.&lt;/author&gt;&lt;author&gt;Mallants, D.&lt;/author&gt;&lt;/authors&gt;&lt;/contributors&gt;&lt;titles&gt;&lt;title&gt;Bore and well induced inter-aquifer connectivity: a review of literature on failure mechanisms and conceptualisation of hydrocarbon reservoir-aquifer failure pathways. Prepared by the Commonwealth Scientific and Industrial Research Organisation CSIRO, Canberra.&lt;/title&gt;&lt;/titles&gt;&lt;dates&gt;&lt;year&gt;2018&lt;/year&gt;&lt;/dates&gt;&lt;urls&gt;&lt;/urls&gt;&lt;/record&gt;&lt;/Cite&gt;&lt;/EndNote&gt;</w:instrText>
      </w:r>
      <w:r w:rsidR="00A2214B" w:rsidRPr="006B17BE">
        <w:fldChar w:fldCharType="separate"/>
      </w:r>
      <w:r w:rsidR="00AC3BD2">
        <w:rPr>
          <w:noProof/>
        </w:rPr>
        <w:t>(</w:t>
      </w:r>
      <w:hyperlink w:anchor="_ENREF_9" w:tooltip="Wu, 2018 #84" w:history="1">
        <w:r w:rsidR="00AC3BD2">
          <w:rPr>
            <w:noProof/>
          </w:rPr>
          <w:t>Wu et al., 2018</w:t>
        </w:r>
      </w:hyperlink>
      <w:r w:rsidR="00AC3BD2">
        <w:rPr>
          <w:noProof/>
        </w:rPr>
        <w:t>)</w:t>
      </w:r>
      <w:r w:rsidR="00A2214B" w:rsidRPr="006B17BE">
        <w:fldChar w:fldCharType="end"/>
      </w:r>
      <w:r w:rsidRPr="006B17BE">
        <w:t xml:space="preserve">. </w:t>
      </w:r>
    </w:p>
    <w:p w14:paraId="11A1C5BD" w14:textId="77777777" w:rsidR="003F7BCE" w:rsidRPr="006B17BE" w:rsidRDefault="003F7BCE" w:rsidP="00725A64">
      <w:pPr>
        <w:pStyle w:val="Body"/>
      </w:pPr>
    </w:p>
    <w:p w14:paraId="026F7558" w14:textId="77777777" w:rsidR="00764BC9" w:rsidRPr="006B17BE" w:rsidRDefault="00764BC9" w:rsidP="00764BC9">
      <w:pPr>
        <w:jc w:val="center"/>
        <w:rPr>
          <w:rFonts w:asciiTheme="minorHAnsi" w:hAnsiTheme="minorHAnsi"/>
          <w:sz w:val="24"/>
          <w:szCs w:val="24"/>
          <w:lang w:val="en-GB"/>
        </w:rPr>
      </w:pPr>
      <w:r w:rsidRPr="006B17BE">
        <w:rPr>
          <w:rFonts w:asciiTheme="minorHAnsi" w:hAnsiTheme="minorHAnsi"/>
          <w:noProof/>
          <w:sz w:val="24"/>
          <w:szCs w:val="24"/>
        </w:rPr>
        <w:drawing>
          <wp:inline distT="0" distB="0" distL="0" distR="0" wp14:anchorId="49A534E1" wp14:editId="087814C8">
            <wp:extent cx="4277938" cy="4029740"/>
            <wp:effectExtent l="0" t="0" r="8890" b="8890"/>
            <wp:docPr id="1" name="Picture 5" descr="Pathways for water movement in uncased exploration bores: (1) upward flow through an open exploration bore (H2&gt;H1), (2) downward flow through an open exploration bore (H1&gt;H2), (3) upward flow through an initially backfilled exploration bore whose sealing capacity has been impaired (H2&gt;H1), and (4) flow through a backfilled, sealed exploration bore (H1&gt;H2). All indications of flow are potential directions. Not to scale [Wu et al. 2016]." title="Figure 2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56F9475C-BB7C-47BF-BB06-FA4E05C86E23" descr="625DFE9B-F53A-4A17-AEBD-1C968DC059F6@gateway"/>
                    <pic:cNvPicPr>
                      <a:picLocks noChangeAspect="1" noChangeArrowheads="1"/>
                    </pic:cNvPicPr>
                  </pic:nvPicPr>
                  <pic:blipFill>
                    <a:blip r:embed="rId19" cstate="print"/>
                    <a:srcRect/>
                    <a:stretch>
                      <a:fillRect/>
                    </a:stretch>
                  </pic:blipFill>
                  <pic:spPr bwMode="auto">
                    <a:xfrm>
                      <a:off x="0" y="0"/>
                      <a:ext cx="4283232" cy="4034727"/>
                    </a:xfrm>
                    <a:prstGeom prst="rect">
                      <a:avLst/>
                    </a:prstGeom>
                    <a:noFill/>
                    <a:ln w="9525">
                      <a:noFill/>
                      <a:miter lim="800000"/>
                      <a:headEnd/>
                      <a:tailEnd/>
                    </a:ln>
                  </pic:spPr>
                </pic:pic>
              </a:graphicData>
            </a:graphic>
          </wp:inline>
        </w:drawing>
      </w:r>
    </w:p>
    <w:p w14:paraId="0D5460F4" w14:textId="352B639F" w:rsidR="00764BC9" w:rsidRPr="006B17BE" w:rsidRDefault="00764BC9" w:rsidP="00FE19D7">
      <w:pPr>
        <w:pStyle w:val="Caption"/>
        <w:rPr>
          <w:rFonts w:asciiTheme="minorHAnsi" w:hAnsiTheme="minorHAnsi" w:cstheme="minorHAnsi"/>
          <w:szCs w:val="24"/>
        </w:rPr>
      </w:pPr>
      <w:bookmarkStart w:id="487" w:name="_Ref456868882"/>
      <w:bookmarkStart w:id="488" w:name="_Toc508267266"/>
      <w:r w:rsidRPr="006B17BE">
        <w:rPr>
          <w:rFonts w:asciiTheme="minorHAnsi" w:hAnsiTheme="minorHAnsi" w:cstheme="minorHAnsi"/>
          <w:szCs w:val="24"/>
        </w:rPr>
        <w:t xml:space="preserve">Figure </w:t>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STYLEREF 1 \s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2</w:t>
      </w:r>
      <w:r w:rsidR="0014612E">
        <w:rPr>
          <w:rFonts w:asciiTheme="minorHAnsi" w:hAnsiTheme="minorHAnsi" w:cstheme="minorHAnsi"/>
          <w:szCs w:val="24"/>
        </w:rPr>
        <w:fldChar w:fldCharType="end"/>
      </w:r>
      <w:r w:rsidR="0014612E">
        <w:rPr>
          <w:rFonts w:asciiTheme="minorHAnsi" w:hAnsiTheme="minorHAnsi" w:cstheme="minorHAnsi"/>
          <w:szCs w:val="24"/>
        </w:rPr>
        <w:noBreakHyphen/>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SEQ Figure \* ARABIC \s 1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1</w:t>
      </w:r>
      <w:r w:rsidR="0014612E">
        <w:rPr>
          <w:rFonts w:asciiTheme="minorHAnsi" w:hAnsiTheme="minorHAnsi" w:cstheme="minorHAnsi"/>
          <w:szCs w:val="24"/>
        </w:rPr>
        <w:fldChar w:fldCharType="end"/>
      </w:r>
      <w:bookmarkEnd w:id="487"/>
      <w:r w:rsidRPr="006B17BE">
        <w:rPr>
          <w:rFonts w:asciiTheme="minorHAnsi" w:hAnsiTheme="minorHAnsi" w:cstheme="minorHAnsi"/>
          <w:szCs w:val="24"/>
        </w:rPr>
        <w:t xml:space="preserve"> Pathways for water movement in uncased exploration bores: (1) upward flow through an open exploration bore (H</w:t>
      </w:r>
      <w:r w:rsidRPr="006B17BE">
        <w:rPr>
          <w:rFonts w:asciiTheme="minorHAnsi" w:hAnsiTheme="minorHAnsi" w:cstheme="minorHAnsi"/>
          <w:szCs w:val="24"/>
          <w:vertAlign w:val="subscript"/>
        </w:rPr>
        <w:t>2</w:t>
      </w:r>
      <w:r w:rsidRPr="006B17BE">
        <w:rPr>
          <w:rFonts w:asciiTheme="minorHAnsi" w:hAnsiTheme="minorHAnsi" w:cstheme="minorHAnsi"/>
          <w:szCs w:val="24"/>
        </w:rPr>
        <w:t>&gt;H</w:t>
      </w:r>
      <w:r w:rsidRPr="006B17BE">
        <w:rPr>
          <w:rFonts w:asciiTheme="minorHAnsi" w:hAnsiTheme="minorHAnsi" w:cstheme="minorHAnsi"/>
          <w:szCs w:val="24"/>
          <w:vertAlign w:val="subscript"/>
        </w:rPr>
        <w:t>1</w:t>
      </w:r>
      <w:r w:rsidRPr="006B17BE">
        <w:rPr>
          <w:rFonts w:asciiTheme="minorHAnsi" w:hAnsiTheme="minorHAnsi" w:cstheme="minorHAnsi"/>
          <w:szCs w:val="24"/>
        </w:rPr>
        <w:t>), (2) downward flow through an open exploration bore (H</w:t>
      </w:r>
      <w:r w:rsidRPr="006B17BE">
        <w:rPr>
          <w:rFonts w:asciiTheme="minorHAnsi" w:hAnsiTheme="minorHAnsi" w:cstheme="minorHAnsi"/>
          <w:szCs w:val="24"/>
          <w:vertAlign w:val="subscript"/>
        </w:rPr>
        <w:t>1</w:t>
      </w:r>
      <w:r w:rsidRPr="006B17BE">
        <w:rPr>
          <w:rFonts w:asciiTheme="minorHAnsi" w:hAnsiTheme="minorHAnsi" w:cstheme="minorHAnsi"/>
          <w:szCs w:val="24"/>
        </w:rPr>
        <w:t>&gt;H</w:t>
      </w:r>
      <w:r w:rsidRPr="006B17BE">
        <w:rPr>
          <w:rFonts w:asciiTheme="minorHAnsi" w:hAnsiTheme="minorHAnsi" w:cstheme="minorHAnsi"/>
          <w:szCs w:val="24"/>
          <w:vertAlign w:val="subscript"/>
        </w:rPr>
        <w:t>2</w:t>
      </w:r>
      <w:r w:rsidRPr="006B17BE">
        <w:rPr>
          <w:rFonts w:asciiTheme="minorHAnsi" w:hAnsiTheme="minorHAnsi" w:cstheme="minorHAnsi"/>
          <w:szCs w:val="24"/>
        </w:rPr>
        <w:t>), (3) upward flow through an initially backfilled exploration bore whose sealing capacity has been impaired (H</w:t>
      </w:r>
      <w:r w:rsidRPr="006B17BE">
        <w:rPr>
          <w:rFonts w:asciiTheme="minorHAnsi" w:hAnsiTheme="minorHAnsi" w:cstheme="minorHAnsi"/>
          <w:szCs w:val="24"/>
          <w:vertAlign w:val="subscript"/>
        </w:rPr>
        <w:t>2</w:t>
      </w:r>
      <w:r w:rsidRPr="006B17BE">
        <w:rPr>
          <w:rFonts w:asciiTheme="minorHAnsi" w:hAnsiTheme="minorHAnsi" w:cstheme="minorHAnsi"/>
          <w:szCs w:val="24"/>
        </w:rPr>
        <w:t>&gt;H</w:t>
      </w:r>
      <w:r w:rsidRPr="006B17BE">
        <w:rPr>
          <w:rFonts w:asciiTheme="minorHAnsi" w:hAnsiTheme="minorHAnsi" w:cstheme="minorHAnsi"/>
          <w:szCs w:val="24"/>
          <w:vertAlign w:val="subscript"/>
        </w:rPr>
        <w:t>1</w:t>
      </w:r>
      <w:r w:rsidRPr="006B17BE">
        <w:rPr>
          <w:rFonts w:asciiTheme="minorHAnsi" w:hAnsiTheme="minorHAnsi" w:cstheme="minorHAnsi"/>
          <w:szCs w:val="24"/>
        </w:rPr>
        <w:t>), and (4) flow through a backfilled, sealed exploration bore (H</w:t>
      </w:r>
      <w:r w:rsidRPr="006B17BE">
        <w:rPr>
          <w:rFonts w:asciiTheme="minorHAnsi" w:hAnsiTheme="minorHAnsi" w:cstheme="minorHAnsi"/>
          <w:szCs w:val="24"/>
          <w:vertAlign w:val="subscript"/>
        </w:rPr>
        <w:t>1</w:t>
      </w:r>
      <w:r w:rsidRPr="006B17BE">
        <w:rPr>
          <w:rFonts w:asciiTheme="minorHAnsi" w:hAnsiTheme="minorHAnsi" w:cstheme="minorHAnsi"/>
          <w:szCs w:val="24"/>
        </w:rPr>
        <w:t>&gt;H</w:t>
      </w:r>
      <w:r w:rsidRPr="006B17BE">
        <w:rPr>
          <w:rFonts w:asciiTheme="minorHAnsi" w:hAnsiTheme="minorHAnsi" w:cstheme="minorHAnsi"/>
          <w:szCs w:val="24"/>
          <w:vertAlign w:val="subscript"/>
        </w:rPr>
        <w:t>2</w:t>
      </w:r>
      <w:r w:rsidRPr="006B17BE">
        <w:rPr>
          <w:rFonts w:asciiTheme="minorHAnsi" w:hAnsiTheme="minorHAnsi" w:cstheme="minorHAnsi"/>
          <w:szCs w:val="24"/>
        </w:rPr>
        <w:t xml:space="preserve">). </w:t>
      </w:r>
      <w:r w:rsidR="004D24B4">
        <w:rPr>
          <w:rFonts w:asciiTheme="minorHAnsi" w:hAnsiTheme="minorHAnsi" w:cstheme="minorHAnsi"/>
          <w:szCs w:val="24"/>
        </w:rPr>
        <w:t xml:space="preserve">All indications of flow are potential directions. </w:t>
      </w:r>
      <w:r w:rsidRPr="006B17BE">
        <w:rPr>
          <w:rFonts w:asciiTheme="minorHAnsi" w:hAnsiTheme="minorHAnsi" w:cstheme="minorHAnsi"/>
          <w:szCs w:val="24"/>
        </w:rPr>
        <w:t>Not to scale [Wu et al. 201</w:t>
      </w:r>
      <w:r w:rsidR="00AC3BD2">
        <w:rPr>
          <w:rFonts w:asciiTheme="minorHAnsi" w:hAnsiTheme="minorHAnsi" w:cstheme="minorHAnsi"/>
          <w:szCs w:val="24"/>
        </w:rPr>
        <w:t>8</w:t>
      </w:r>
      <w:r w:rsidRPr="006B17BE">
        <w:rPr>
          <w:rFonts w:asciiTheme="minorHAnsi" w:hAnsiTheme="minorHAnsi" w:cstheme="minorHAnsi"/>
          <w:szCs w:val="24"/>
        </w:rPr>
        <w:t>].</w:t>
      </w:r>
      <w:bookmarkEnd w:id="488"/>
    </w:p>
    <w:p w14:paraId="43003EE4" w14:textId="77777777" w:rsidR="0009623F" w:rsidRPr="006B17BE" w:rsidRDefault="0009623F" w:rsidP="00764BC9">
      <w:pPr>
        <w:rPr>
          <w:rFonts w:asciiTheme="minorHAnsi" w:hAnsiTheme="minorHAnsi"/>
          <w:sz w:val="24"/>
          <w:szCs w:val="24"/>
        </w:rPr>
      </w:pPr>
    </w:p>
    <w:p w14:paraId="7796039C" w14:textId="1B4720BC" w:rsidR="00764BC9" w:rsidRPr="006B17BE" w:rsidRDefault="00764BC9" w:rsidP="00725A64">
      <w:pPr>
        <w:pStyle w:val="Body"/>
      </w:pPr>
      <w:r w:rsidRPr="006B17BE">
        <w:t>For a single leaky well</w:t>
      </w:r>
      <w:r w:rsidR="007609CF" w:rsidRPr="006B17BE">
        <w:t xml:space="preserve"> or bore</w:t>
      </w:r>
      <w:r w:rsidRPr="006B17BE">
        <w:t xml:space="preserve">, single-phase flow through the well may be represented using the Darcy flow equation with an effective well hydraulic conductivity. The flow through the well will be governed by the </w:t>
      </w:r>
      <w:r w:rsidR="007609CF" w:rsidRPr="006B17BE">
        <w:t xml:space="preserve">well or bore </w:t>
      </w:r>
      <w:r w:rsidRPr="006B17BE">
        <w:t>effective hydraulic conductivity</w:t>
      </w:r>
      <w:r w:rsidR="007609CF" w:rsidRPr="006B17BE">
        <w:t xml:space="preserve"> (</w:t>
      </w:r>
      <w:r w:rsidR="007609CF" w:rsidRPr="006B17BE">
        <w:rPr>
          <w:i/>
        </w:rPr>
        <w:t>K</w:t>
      </w:r>
      <w:r w:rsidR="007609CF" w:rsidRPr="006B17BE">
        <w:rPr>
          <w:vertAlign w:val="subscript"/>
        </w:rPr>
        <w:t>eff</w:t>
      </w:r>
      <w:r w:rsidR="007609CF" w:rsidRPr="006B17BE">
        <w:t>)</w:t>
      </w:r>
      <w:r w:rsidRPr="006B17BE">
        <w:t>, the radius of the bore hole and the head difference between the top and bottom of the well</w:t>
      </w:r>
      <w:r w:rsidR="004D24B4">
        <w:t xml:space="preserve"> (i.e., between the two aquifers)</w:t>
      </w:r>
      <w:r w:rsidRPr="006B17BE">
        <w:t xml:space="preserve">. Where the effective bore conductivity is high, flow through the bore may be limited by the transmissivity of the </w:t>
      </w:r>
      <w:r w:rsidR="00450A33">
        <w:t>upper</w:t>
      </w:r>
      <w:r w:rsidR="00450A33" w:rsidRPr="006B17BE">
        <w:t xml:space="preserve"> </w:t>
      </w:r>
      <w:r w:rsidRPr="006B17BE">
        <w:t xml:space="preserve">aquifer and the production zone (see discussion in Section </w:t>
      </w:r>
      <w:r w:rsidRPr="006B17BE">
        <w:fldChar w:fldCharType="begin"/>
      </w:r>
      <w:r w:rsidRPr="006B17BE">
        <w:instrText xml:space="preserve"> REF _Ref450573502 \r \h  \* MERGEFORMAT </w:instrText>
      </w:r>
      <w:r w:rsidRPr="006B17BE">
        <w:fldChar w:fldCharType="separate"/>
      </w:r>
      <w:r w:rsidR="00086147">
        <w:t>2.2</w:t>
      </w:r>
      <w:r w:rsidRPr="006B17BE">
        <w:fldChar w:fldCharType="end"/>
      </w:r>
      <w:r w:rsidRPr="006B17BE">
        <w:t xml:space="preserve">). This was demonstrated by Silliman and Higgins </w:t>
      </w:r>
      <w:r w:rsidRPr="006B17BE">
        <w:fldChar w:fldCharType="begin"/>
      </w:r>
      <w:r w:rsidR="00AC3BD2">
        <w:instrText xml:space="preserve"> ADDIN EN.CITE &lt;EndNote&gt;&lt;Cite ExcludeAuth="1"&gt;&lt;Author&gt;Silliman&lt;/Author&gt;&lt;Year&gt;1990&lt;/Year&gt;&lt;RecNum&gt;85&lt;/RecNum&gt;&lt;DisplayText&gt;(1990)&lt;/DisplayText&gt;&lt;record&gt;&lt;rec-number&gt;85&lt;/rec-number&gt;&lt;foreign-keys&gt;&lt;key app="EN" db-id="xsexsdeavw900aew9xqxrzzyttv0wxs0rf9r" timestamp="1520464009"&gt;85&lt;/key&gt;&lt;/foreign-keys&gt;&lt;ref-type name="Journal Article"&gt;17&lt;/ref-type&gt;&lt;contributors&gt;&lt;authors&gt;&lt;author&gt;Silliman, Stephen&lt;/author&gt;&lt;author&gt;Higgins, David&lt;/author&gt;&lt;/authors&gt;&lt;/contributors&gt;&lt;titles&gt;&lt;title&gt;An Analytical Solution for Steady‐State Flow Between Aquifers Through an Open Well&lt;/title&gt;&lt;secondary-title&gt;Groundwater&lt;/secondary-title&gt;&lt;/titles&gt;&lt;periodical&gt;&lt;full-title&gt;Groundwater&lt;/full-title&gt;&lt;/periodical&gt;&lt;pages&gt;184-190&lt;/pages&gt;&lt;volume&gt;28&lt;/volume&gt;&lt;number&gt;2&lt;/number&gt;&lt;dates&gt;&lt;year&gt;1990&lt;/year&gt;&lt;/dates&gt;&lt;isbn&gt;1745-6584&lt;/isbn&gt;&lt;urls&gt;&lt;/urls&gt;&lt;/record&gt;&lt;/Cite&gt;&lt;/EndNote&gt;</w:instrText>
      </w:r>
      <w:r w:rsidRPr="006B17BE">
        <w:fldChar w:fldCharType="separate"/>
      </w:r>
      <w:r w:rsidRPr="006B17BE">
        <w:rPr>
          <w:noProof/>
        </w:rPr>
        <w:t>(</w:t>
      </w:r>
      <w:hyperlink w:anchor="_ENREF_5" w:tooltip="Silliman, 1990 #85" w:history="1">
        <w:r w:rsidR="00AC3BD2" w:rsidRPr="006B17BE">
          <w:rPr>
            <w:noProof/>
          </w:rPr>
          <w:t>1990</w:t>
        </w:r>
      </w:hyperlink>
      <w:r w:rsidRPr="006B17BE">
        <w:rPr>
          <w:noProof/>
        </w:rPr>
        <w:t>)</w:t>
      </w:r>
      <w:r w:rsidRPr="006B17BE">
        <w:fldChar w:fldCharType="end"/>
      </w:r>
      <w:r w:rsidRPr="006B17BE">
        <w:t xml:space="preserve"> </w:t>
      </w:r>
      <w:r w:rsidR="007609CF" w:rsidRPr="006B17BE">
        <w:t>and Doble et al. (201</w:t>
      </w:r>
      <w:r w:rsidR="00F250ED">
        <w:t>8</w:t>
      </w:r>
      <w:r w:rsidR="007609CF" w:rsidRPr="006B17BE">
        <w:t xml:space="preserve">) </w:t>
      </w:r>
      <w:r w:rsidRPr="006B17BE">
        <w:t>for a simplified hydrogeological system with two aquifers separated by an aquitard. When the well conductivity is high relative to aquifer transmissivity, the aquifers can limit radial flow to or from the well location.</w:t>
      </w:r>
    </w:p>
    <w:p w14:paraId="5AA658FC" w14:textId="77777777" w:rsidR="00B80C82" w:rsidRPr="006B17BE" w:rsidRDefault="00B80C82" w:rsidP="00D530AE">
      <w:pPr>
        <w:rPr>
          <w:rFonts w:asciiTheme="minorHAnsi" w:hAnsiTheme="minorHAnsi"/>
          <w:sz w:val="24"/>
          <w:szCs w:val="24"/>
        </w:rPr>
      </w:pPr>
    </w:p>
    <w:p w14:paraId="3AB0A353" w14:textId="77777777" w:rsidR="00B80C82" w:rsidRPr="006B17BE" w:rsidRDefault="00B80C82" w:rsidP="00D530AE">
      <w:pPr>
        <w:rPr>
          <w:rFonts w:asciiTheme="minorHAnsi" w:hAnsiTheme="minorHAnsi"/>
          <w:sz w:val="24"/>
          <w:szCs w:val="24"/>
        </w:rPr>
      </w:pPr>
    </w:p>
    <w:p w14:paraId="2436055A" w14:textId="77777777" w:rsidR="005C0219" w:rsidRPr="006B17BE" w:rsidRDefault="005C0219" w:rsidP="005C0219">
      <w:pPr>
        <w:jc w:val="center"/>
        <w:rPr>
          <w:rFonts w:asciiTheme="minorHAnsi" w:hAnsiTheme="minorHAnsi"/>
          <w:sz w:val="24"/>
          <w:szCs w:val="24"/>
          <w:lang w:val="en-GB"/>
        </w:rPr>
      </w:pPr>
      <w:r w:rsidRPr="006B17BE">
        <w:rPr>
          <w:rFonts w:asciiTheme="minorHAnsi" w:eastAsia="Times New Roman" w:hAnsiTheme="minorHAnsi"/>
          <w:noProof/>
          <w:sz w:val="24"/>
          <w:szCs w:val="24"/>
        </w:rPr>
        <w:drawing>
          <wp:inline distT="0" distB="0" distL="0" distR="0" wp14:anchorId="7CAD7C88" wp14:editId="7B030759">
            <wp:extent cx="4502150" cy="5124302"/>
            <wp:effectExtent l="0" t="0" r="0" b="635"/>
            <wp:docPr id="97" name="Picture 3" descr="Pathways for water movement in decommissioned cemented wellbores: flow through micro-annulus between cement and rock matrix (1) or steel casing (2), flow through deteriorated cemented annulus (3), flow through deteriorated cement plugs (4), flow through micro-annulus between plug and casing (5), and flow through corroded or sheared casing (6). Upward flow is equally possible when H2 &gt; H1. All indications of flow are potential directions. Not to scale [Wu et al. 2016]."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 Doble sect 2_11_ 2015.jpg"/>
                    <pic:cNvPicPr/>
                  </pic:nvPicPr>
                  <pic:blipFill>
                    <a:blip r:embed="rId20"/>
                    <a:stretch>
                      <a:fillRect/>
                    </a:stretch>
                  </pic:blipFill>
                  <pic:spPr>
                    <a:xfrm>
                      <a:off x="0" y="0"/>
                      <a:ext cx="4517916" cy="5142247"/>
                    </a:xfrm>
                    <a:prstGeom prst="rect">
                      <a:avLst/>
                    </a:prstGeom>
                  </pic:spPr>
                </pic:pic>
              </a:graphicData>
            </a:graphic>
          </wp:inline>
        </w:drawing>
      </w:r>
    </w:p>
    <w:p w14:paraId="47780AB0" w14:textId="31AEE4A3" w:rsidR="005C0219" w:rsidRPr="006B17BE" w:rsidRDefault="005C0219" w:rsidP="00FE19D7">
      <w:pPr>
        <w:pStyle w:val="Caption"/>
        <w:rPr>
          <w:rFonts w:asciiTheme="minorHAnsi" w:hAnsiTheme="minorHAnsi" w:cstheme="minorHAnsi"/>
          <w:szCs w:val="24"/>
        </w:rPr>
      </w:pPr>
      <w:bookmarkStart w:id="489" w:name="_Ref449523517"/>
      <w:bookmarkStart w:id="490" w:name="_Ref448415154"/>
      <w:bookmarkStart w:id="491" w:name="_Toc508267267"/>
      <w:r w:rsidRPr="006B17BE">
        <w:rPr>
          <w:rFonts w:asciiTheme="minorHAnsi" w:hAnsiTheme="minorHAnsi" w:cstheme="minorHAnsi"/>
          <w:szCs w:val="24"/>
        </w:rPr>
        <w:t xml:space="preserve">Figure </w:t>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STYLEREF 1 \s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2</w:t>
      </w:r>
      <w:r w:rsidR="0014612E">
        <w:rPr>
          <w:rFonts w:asciiTheme="minorHAnsi" w:hAnsiTheme="minorHAnsi" w:cstheme="minorHAnsi"/>
          <w:szCs w:val="24"/>
        </w:rPr>
        <w:fldChar w:fldCharType="end"/>
      </w:r>
      <w:r w:rsidR="0014612E">
        <w:rPr>
          <w:rFonts w:asciiTheme="minorHAnsi" w:hAnsiTheme="minorHAnsi" w:cstheme="minorHAnsi"/>
          <w:szCs w:val="24"/>
        </w:rPr>
        <w:noBreakHyphen/>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SEQ Figure \* ARABIC \s 1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2</w:t>
      </w:r>
      <w:r w:rsidR="0014612E">
        <w:rPr>
          <w:rFonts w:asciiTheme="minorHAnsi" w:hAnsiTheme="minorHAnsi" w:cstheme="minorHAnsi"/>
          <w:szCs w:val="24"/>
        </w:rPr>
        <w:fldChar w:fldCharType="end"/>
      </w:r>
      <w:bookmarkEnd w:id="489"/>
      <w:bookmarkEnd w:id="490"/>
      <w:r w:rsidRPr="006B17BE">
        <w:rPr>
          <w:rFonts w:asciiTheme="minorHAnsi" w:hAnsiTheme="minorHAnsi" w:cstheme="minorHAnsi"/>
          <w:szCs w:val="24"/>
        </w:rPr>
        <w:t xml:space="preserve"> Pathways for water movement in </w:t>
      </w:r>
      <w:r w:rsidR="007609CF" w:rsidRPr="006B17BE">
        <w:rPr>
          <w:rFonts w:asciiTheme="minorHAnsi" w:hAnsiTheme="minorHAnsi" w:cstheme="minorHAnsi"/>
          <w:szCs w:val="24"/>
        </w:rPr>
        <w:t xml:space="preserve">decommissioned </w:t>
      </w:r>
      <w:r w:rsidRPr="006B17BE">
        <w:rPr>
          <w:rFonts w:asciiTheme="minorHAnsi" w:hAnsiTheme="minorHAnsi" w:cstheme="minorHAnsi"/>
          <w:szCs w:val="24"/>
        </w:rPr>
        <w:t>cemented wellbores: flow through micro</w:t>
      </w:r>
      <w:r w:rsidR="00AE07E8" w:rsidRPr="006B17BE">
        <w:rPr>
          <w:rFonts w:asciiTheme="minorHAnsi" w:hAnsiTheme="minorHAnsi" w:cstheme="minorHAnsi"/>
          <w:szCs w:val="24"/>
        </w:rPr>
        <w:t>-</w:t>
      </w:r>
      <w:r w:rsidRPr="006B17BE">
        <w:rPr>
          <w:rFonts w:asciiTheme="minorHAnsi" w:hAnsiTheme="minorHAnsi" w:cstheme="minorHAnsi"/>
          <w:szCs w:val="24"/>
        </w:rPr>
        <w:t>annulus between cement and rock matrix (1) or steel casing (2), flow through deteriorated cemented annulus (3), flow through deteriorated cement plugs (4), flow through micro</w:t>
      </w:r>
      <w:r w:rsidR="00AE07E8" w:rsidRPr="006B17BE">
        <w:rPr>
          <w:rFonts w:asciiTheme="minorHAnsi" w:hAnsiTheme="minorHAnsi" w:cstheme="minorHAnsi"/>
          <w:szCs w:val="24"/>
        </w:rPr>
        <w:t>-</w:t>
      </w:r>
      <w:r w:rsidRPr="006B17BE">
        <w:rPr>
          <w:rFonts w:asciiTheme="minorHAnsi" w:hAnsiTheme="minorHAnsi" w:cstheme="minorHAnsi"/>
          <w:szCs w:val="24"/>
        </w:rPr>
        <w:t>annulus between plug and casing (5), and flow through corroded or sheared casing (6). Upward flow is equally possible when H2 &gt; H1.</w:t>
      </w:r>
      <w:r w:rsidR="00CF43F0" w:rsidRPr="006B17BE">
        <w:rPr>
          <w:rFonts w:asciiTheme="minorHAnsi" w:hAnsiTheme="minorHAnsi" w:cstheme="minorHAnsi"/>
          <w:szCs w:val="24"/>
        </w:rPr>
        <w:t xml:space="preserve"> </w:t>
      </w:r>
      <w:r w:rsidR="004D24B4">
        <w:rPr>
          <w:rFonts w:asciiTheme="minorHAnsi" w:hAnsiTheme="minorHAnsi" w:cstheme="minorHAnsi"/>
          <w:szCs w:val="24"/>
        </w:rPr>
        <w:t xml:space="preserve">All indications of flow are potential directions. </w:t>
      </w:r>
      <w:r w:rsidR="00CF43F0" w:rsidRPr="006B17BE">
        <w:rPr>
          <w:rFonts w:asciiTheme="minorHAnsi" w:hAnsiTheme="minorHAnsi" w:cstheme="minorHAnsi"/>
          <w:szCs w:val="24"/>
        </w:rPr>
        <w:t>Not to scale</w:t>
      </w:r>
      <w:r w:rsidR="00D34998" w:rsidRPr="006B17BE">
        <w:rPr>
          <w:rFonts w:asciiTheme="minorHAnsi" w:hAnsiTheme="minorHAnsi" w:cstheme="minorHAnsi"/>
          <w:szCs w:val="24"/>
        </w:rPr>
        <w:t xml:space="preserve"> [Wu et al. 201</w:t>
      </w:r>
      <w:r w:rsidR="00AC3BD2">
        <w:rPr>
          <w:rFonts w:asciiTheme="minorHAnsi" w:hAnsiTheme="minorHAnsi" w:cstheme="minorHAnsi"/>
          <w:szCs w:val="24"/>
        </w:rPr>
        <w:t>8</w:t>
      </w:r>
      <w:r w:rsidR="00D34998" w:rsidRPr="006B17BE">
        <w:rPr>
          <w:rFonts w:asciiTheme="minorHAnsi" w:hAnsiTheme="minorHAnsi" w:cstheme="minorHAnsi"/>
          <w:szCs w:val="24"/>
        </w:rPr>
        <w:t>]</w:t>
      </w:r>
      <w:r w:rsidR="003C62A3" w:rsidRPr="006B17BE">
        <w:rPr>
          <w:rFonts w:asciiTheme="minorHAnsi" w:hAnsiTheme="minorHAnsi" w:cstheme="minorHAnsi"/>
          <w:szCs w:val="24"/>
        </w:rPr>
        <w:t>.</w:t>
      </w:r>
      <w:bookmarkEnd w:id="491"/>
    </w:p>
    <w:p w14:paraId="06C3699F" w14:textId="77777777" w:rsidR="008302B1" w:rsidRPr="006B17BE" w:rsidRDefault="008302B1">
      <w:pPr>
        <w:spacing w:after="160" w:line="259" w:lineRule="auto"/>
        <w:rPr>
          <w:rFonts w:asciiTheme="minorHAnsi" w:eastAsiaTheme="majorEastAsia" w:hAnsiTheme="minorHAnsi" w:cstheme="majorBidi"/>
          <w:bCs/>
          <w:color w:val="004B87" w:themeColor="accent2"/>
          <w:sz w:val="24"/>
          <w:szCs w:val="24"/>
        </w:rPr>
      </w:pPr>
      <w:bookmarkStart w:id="492" w:name="_Ref450323791"/>
      <w:r w:rsidRPr="006B17BE">
        <w:rPr>
          <w:rFonts w:asciiTheme="minorHAnsi" w:hAnsiTheme="minorHAnsi"/>
          <w:sz w:val="24"/>
          <w:szCs w:val="24"/>
        </w:rPr>
        <w:br w:type="page"/>
      </w:r>
    </w:p>
    <w:p w14:paraId="639D5737" w14:textId="3CF34ECF" w:rsidR="0075292E" w:rsidRPr="00C440EA" w:rsidRDefault="00CE0632" w:rsidP="00287A00">
      <w:pPr>
        <w:pStyle w:val="Heading2"/>
      </w:pPr>
      <w:bookmarkStart w:id="493" w:name="_Ref450573502"/>
      <w:bookmarkStart w:id="494" w:name="_Toc483567943"/>
      <w:r w:rsidRPr="00C440EA">
        <w:t xml:space="preserve">Exploring the potential </w:t>
      </w:r>
      <w:r w:rsidR="007609CF" w:rsidRPr="00C440EA">
        <w:t xml:space="preserve">for </w:t>
      </w:r>
      <w:r w:rsidR="00D57737" w:rsidRPr="00C440EA">
        <w:t xml:space="preserve">regional-scale </w:t>
      </w:r>
      <w:r w:rsidRPr="00C440EA">
        <w:t>impact</w:t>
      </w:r>
      <w:bookmarkEnd w:id="492"/>
      <w:bookmarkEnd w:id="493"/>
      <w:r w:rsidR="00970274" w:rsidRPr="00C440EA">
        <w:t>s</w:t>
      </w:r>
      <w:bookmarkEnd w:id="494"/>
    </w:p>
    <w:p w14:paraId="0CA840ED" w14:textId="1546B4A5" w:rsidR="00E52880" w:rsidRPr="006B17BE" w:rsidRDefault="009C2712" w:rsidP="00725A64">
      <w:pPr>
        <w:pStyle w:val="Body"/>
      </w:pPr>
      <w:r w:rsidRPr="006B17BE">
        <w:t xml:space="preserve">The potential for regional-scale impacts on groundwater quantity and quality </w:t>
      </w:r>
      <w:r w:rsidR="004D24B4">
        <w:t xml:space="preserve">from theoretical well leakage </w:t>
      </w:r>
      <w:r w:rsidRPr="006B17BE">
        <w:t xml:space="preserve">will be explored by using a three-dimensional groundwater flow model </w:t>
      </w:r>
      <w:r w:rsidR="00E52880" w:rsidRPr="006B17BE">
        <w:t xml:space="preserve">for assessing quantity impacts </w:t>
      </w:r>
      <w:r w:rsidRPr="006B17BE">
        <w:t xml:space="preserve">and a three-dimensional analytical solution for </w:t>
      </w:r>
      <w:r w:rsidR="00E52880" w:rsidRPr="006B17BE">
        <w:t xml:space="preserve">assessing quality impacts. The two leakage pathways considered are the decommissioned coal seam gas production wells and uncased exploration bores. </w:t>
      </w:r>
    </w:p>
    <w:p w14:paraId="39A103AA" w14:textId="646A613F" w:rsidR="004D24B4" w:rsidRDefault="00E52880" w:rsidP="00725A64">
      <w:pPr>
        <w:pStyle w:val="Body"/>
      </w:pPr>
      <w:r w:rsidRPr="006B17BE">
        <w:t>The scenario</w:t>
      </w:r>
      <w:r w:rsidR="00C02EF1">
        <w:t>s</w:t>
      </w:r>
      <w:r w:rsidRPr="006B17BE">
        <w:t xml:space="preserve"> that will be explored assume that during coal seam gas production all potential leaky gas wells will be detected and remediated. As such, there are no leaks considered during a 25-year gas (and water) production period. Leakage pathways are considered to exist only after decommissioning and abandonment of the gas production site, for reasons that casing material will gradually degrade over time; unless continued monitoring occurs of the abandoned wells, such leaks may go undetected. </w:t>
      </w:r>
      <w:r w:rsidR="004D24B4">
        <w:t xml:space="preserve">As mentioned above, this condition assumes that </w:t>
      </w:r>
      <w:r w:rsidR="004D24B4" w:rsidRPr="004D24B4">
        <w:t>the near-well region has gone back to water saturation in the cleat system and is no longer gas-saturated. Immediately at the end of gas production, the water saturation in the gas reservoir is likely to be low and thus there are relative permeability issues. In other words, the relative permeability will remain low until the reservoir is fully water-saturated; until then, downward flow will advance slowly. These processes have not been considered here; the assumption is that this resaturation has occurred.</w:t>
      </w:r>
    </w:p>
    <w:p w14:paraId="432DDB41" w14:textId="356550C7" w:rsidR="00E52880" w:rsidRPr="006B17BE" w:rsidRDefault="00E52880" w:rsidP="00725A64">
      <w:pPr>
        <w:pStyle w:val="Body"/>
      </w:pPr>
      <w:r w:rsidRPr="006B17BE">
        <w:t>In the simulations the assumption will be that flow rates primarily occur through the leaky annulus, but with a realistic upper limit to the effective hydraulic conductivity of such a leaky well.</w:t>
      </w:r>
      <w:r w:rsidR="006B422E" w:rsidRPr="006B17BE">
        <w:t xml:space="preserve"> </w:t>
      </w:r>
      <w:r w:rsidR="00DC1144">
        <w:t xml:space="preserve">Failure </w:t>
      </w:r>
      <w:r w:rsidR="006B422E" w:rsidRPr="006B17BE">
        <w:t xml:space="preserve"> rates from 0 to 100% will be considered.</w:t>
      </w:r>
      <w:r w:rsidR="00C02EF1">
        <w:t xml:space="preserve"> Note, however, that the assumption of absence of leakage pathways during the gas production period does not mean that local loss of well integrity </w:t>
      </w:r>
      <w:r w:rsidR="00DC1144">
        <w:t>does not</w:t>
      </w:r>
      <w:r w:rsidR="00C02EF1">
        <w:t xml:space="preserve"> exist; as long as such local issues do not provide for a continuous pathway, fluid flow will not happen. Nevertheless, understanding the well integrity prior to decommissioning is important because well integrity will deteriorate over time and decommissioning measures should account for the status of well integrity to be most effective. </w:t>
      </w:r>
    </w:p>
    <w:p w14:paraId="11FEDCA4" w14:textId="23C45326" w:rsidR="006C59FE" w:rsidRPr="006B17BE" w:rsidRDefault="00E52880" w:rsidP="00725A64">
      <w:pPr>
        <w:pStyle w:val="Body"/>
      </w:pPr>
      <w:r w:rsidRPr="006B17BE">
        <w:t xml:space="preserve">The scenario for the uncased exploration bores </w:t>
      </w:r>
      <w:r w:rsidR="001B5B4A" w:rsidRPr="006B17BE">
        <w:t xml:space="preserve">differs in two ways from the previous scenario: the effective hydraulic conductivity is much higher as backfilling </w:t>
      </w:r>
      <w:r w:rsidR="00B14366" w:rsidRPr="006B17BE">
        <w:t xml:space="preserve">with natural material </w:t>
      </w:r>
      <w:r w:rsidR="001B5B4A" w:rsidRPr="006B17BE">
        <w:t xml:space="preserve">is most likely less effective than for </w:t>
      </w:r>
      <w:r w:rsidR="004D24B4">
        <w:t xml:space="preserve">properly </w:t>
      </w:r>
      <w:r w:rsidR="001B5B4A" w:rsidRPr="006B17BE">
        <w:t xml:space="preserve">decommissioned coal seam gas wells, and the number of leaky bores </w:t>
      </w:r>
      <w:r w:rsidR="00DB532D">
        <w:t>physically located</w:t>
      </w:r>
      <w:r w:rsidR="00DB532D" w:rsidRPr="006B17BE">
        <w:t xml:space="preserve"> </w:t>
      </w:r>
      <w:r w:rsidR="001B5B4A" w:rsidRPr="006B17BE">
        <w:t xml:space="preserve">within the gas production area </w:t>
      </w:r>
      <w:r w:rsidRPr="006B17BE">
        <w:t xml:space="preserve">is </w:t>
      </w:r>
      <w:r w:rsidR="00DB532D">
        <w:t xml:space="preserve">considered </w:t>
      </w:r>
      <w:r w:rsidR="001B5B4A" w:rsidRPr="006B17BE">
        <w:t>much smaller</w:t>
      </w:r>
      <w:r w:rsidR="006B422E" w:rsidRPr="006B17BE">
        <w:t xml:space="preserve"> (</w:t>
      </w:r>
      <w:r w:rsidR="00DB532D">
        <w:t xml:space="preserve">a </w:t>
      </w:r>
      <w:r w:rsidR="00DC1144">
        <w:t>failure</w:t>
      </w:r>
      <w:r w:rsidR="00DB532D">
        <w:t xml:space="preserve"> </w:t>
      </w:r>
      <w:r w:rsidR="006B422E" w:rsidRPr="006B17BE">
        <w:t>rate up to 5% of all bores</w:t>
      </w:r>
      <w:r w:rsidR="00DB532D">
        <w:t xml:space="preserve"> is considered based on the discussion in Section </w:t>
      </w:r>
      <w:r w:rsidR="00DB532D">
        <w:fldChar w:fldCharType="begin"/>
      </w:r>
      <w:r w:rsidR="00DB532D">
        <w:instrText xml:space="preserve"> REF _Ref483502270 \r \h </w:instrText>
      </w:r>
      <w:r w:rsidR="00DB532D">
        <w:fldChar w:fldCharType="separate"/>
      </w:r>
      <w:r w:rsidR="00086147">
        <w:t>1.5</w:t>
      </w:r>
      <w:r w:rsidR="00DB532D">
        <w:fldChar w:fldCharType="end"/>
      </w:r>
      <w:r w:rsidR="006B422E" w:rsidRPr="006B17BE">
        <w:t>)</w:t>
      </w:r>
      <w:r w:rsidR="001B5B4A" w:rsidRPr="006B17BE">
        <w:t xml:space="preserve">. The latter assumption reflects the observation that coal exploration bores are generally relatively shallow </w:t>
      </w:r>
      <w:r w:rsidR="00B14366" w:rsidRPr="006B17BE">
        <w:t xml:space="preserve">and/or </w:t>
      </w:r>
      <w:r w:rsidR="00970274" w:rsidRPr="006B17BE">
        <w:t xml:space="preserve">are </w:t>
      </w:r>
      <w:r w:rsidR="001B5B4A" w:rsidRPr="006B17BE">
        <w:t>geographically separated from the coal seam gas production area</w:t>
      </w:r>
      <w:r w:rsidR="00B14366" w:rsidRPr="006B17BE">
        <w:t xml:space="preserve"> (see discussion in </w:t>
      </w:r>
      <w:r w:rsidR="00DB532D">
        <w:t xml:space="preserve">Section </w:t>
      </w:r>
      <w:r w:rsidR="00DB532D">
        <w:fldChar w:fldCharType="begin"/>
      </w:r>
      <w:r w:rsidR="00DB532D">
        <w:instrText xml:space="preserve"> REF _Ref483502373 \r \h </w:instrText>
      </w:r>
      <w:r w:rsidR="00DB532D">
        <w:fldChar w:fldCharType="separate"/>
      </w:r>
      <w:r w:rsidR="00086147">
        <w:t>1.5</w:t>
      </w:r>
      <w:r w:rsidR="00DB532D">
        <w:fldChar w:fldCharType="end"/>
      </w:r>
      <w:r w:rsidR="00DB532D">
        <w:t xml:space="preserve"> and </w:t>
      </w:r>
      <w:r w:rsidR="00B14366" w:rsidRPr="006B17BE">
        <w:t xml:space="preserve">Section </w:t>
      </w:r>
      <w:r w:rsidR="00B14366" w:rsidRPr="006B17BE">
        <w:fldChar w:fldCharType="begin"/>
      </w:r>
      <w:r w:rsidR="00B14366" w:rsidRPr="006B17BE">
        <w:instrText xml:space="preserve"> REF _Ref478657203 \r \h </w:instrText>
      </w:r>
      <w:r w:rsidR="006B17BE">
        <w:instrText xml:space="preserve"> \* MERGEFORMAT </w:instrText>
      </w:r>
      <w:r w:rsidR="00B14366" w:rsidRPr="006B17BE">
        <w:fldChar w:fldCharType="separate"/>
      </w:r>
      <w:r w:rsidR="00086147">
        <w:t>4.6</w:t>
      </w:r>
      <w:r w:rsidR="00B14366" w:rsidRPr="006B17BE">
        <w:fldChar w:fldCharType="end"/>
      </w:r>
      <w:r w:rsidR="00B14366" w:rsidRPr="006B17BE">
        <w:t>)</w:t>
      </w:r>
      <w:r w:rsidR="001B5B4A" w:rsidRPr="006B17BE">
        <w:t>.</w:t>
      </w:r>
      <w:r w:rsidR="00B14366" w:rsidRPr="006B17BE">
        <w:t xml:space="preserve"> </w:t>
      </w:r>
      <w:r w:rsidRPr="006B17BE">
        <w:t xml:space="preserve">   </w:t>
      </w:r>
    </w:p>
    <w:p w14:paraId="5115630B" w14:textId="77777777" w:rsidR="00764BC9" w:rsidRPr="006B17BE" w:rsidRDefault="00764BC9" w:rsidP="00D57737">
      <w:pPr>
        <w:rPr>
          <w:rFonts w:asciiTheme="minorHAnsi" w:hAnsiTheme="minorHAnsi"/>
          <w:sz w:val="24"/>
          <w:szCs w:val="24"/>
        </w:rPr>
      </w:pPr>
    </w:p>
    <w:p w14:paraId="542740BF" w14:textId="61745752" w:rsidR="006D5FE9" w:rsidRPr="006B17BE" w:rsidRDefault="004C332D" w:rsidP="00F21221">
      <w:pPr>
        <w:pStyle w:val="Heading1"/>
      </w:pPr>
      <w:bookmarkStart w:id="495" w:name="_Ref450564769"/>
      <w:bookmarkStart w:id="496" w:name="_Toc483567944"/>
      <w:r w:rsidRPr="006B17BE">
        <w:t xml:space="preserve">Numerical </w:t>
      </w:r>
      <w:r w:rsidR="00F21221" w:rsidRPr="006B17BE">
        <w:t xml:space="preserve">groundwater flow </w:t>
      </w:r>
      <w:r w:rsidRPr="006B17BE">
        <w:t>m</w:t>
      </w:r>
      <w:r w:rsidR="00AE21EF" w:rsidRPr="006B17BE">
        <w:t>odel development</w:t>
      </w:r>
      <w:bookmarkEnd w:id="495"/>
      <w:bookmarkEnd w:id="496"/>
    </w:p>
    <w:p w14:paraId="507D907F" w14:textId="7C1D2649" w:rsidR="00A90B3C" w:rsidRPr="006B17BE" w:rsidRDefault="00A90B3C" w:rsidP="00A90B3C">
      <w:pPr>
        <w:pStyle w:val="Heading2"/>
      </w:pPr>
      <w:bookmarkStart w:id="497" w:name="_Toc483567945"/>
      <w:r w:rsidRPr="006B17BE">
        <w:t>Case study area</w:t>
      </w:r>
      <w:bookmarkEnd w:id="497"/>
    </w:p>
    <w:p w14:paraId="7F87E2D4" w14:textId="19F685AD" w:rsidR="00AA16BE" w:rsidRPr="006B17BE" w:rsidRDefault="00AA16BE" w:rsidP="0093655B">
      <w:pPr>
        <w:pStyle w:val="Body"/>
      </w:pPr>
      <w:r w:rsidRPr="006B17BE">
        <w:t xml:space="preserve">The </w:t>
      </w:r>
      <w:r w:rsidR="00A90B3C" w:rsidRPr="006B17BE">
        <w:t xml:space="preserve">study area coincides with the area reported in the </w:t>
      </w:r>
      <w:r w:rsidRPr="006B17BE">
        <w:t xml:space="preserve">Groundwater Impact Assessment of </w:t>
      </w:r>
      <w:r w:rsidRPr="006B17BE">
        <w:fldChar w:fldCharType="begin" w:fldLock="1"/>
      </w:r>
      <w:r w:rsidRPr="006B17BE">
        <w:instrText>ADDIN CSL_CITATION { "citationItems" : [ { "id" : "ITEM-1", "itemData" : { "author" : [ { "dropping-particle" : "", "family" : "CDM Smith", "given" : "", "non-dropping-particle" : "", "parse-names" : false, "suffix" : "" } ], "id" : "ITEM-1", "issued" : { "date-parts" : [ [ "2014" ] ] }, "number-of-pages" : "288", "title" : "Narrabri Gas Project Groundwater Modelling Report Santos Narrabri Gas Project Groundwater Modelling Report", "type" : "report" }, "uris" : [ "http://www.mendeley.com/documents/?uuid=cf84bf44-b302-44a3-820f-c7311d8468bd" ] } ], "mendeley" : { "formattedCitation" : "(CDM Smith, 2014)", "plainTextFormattedCitation" : "(CDM Smith, 2014)", "previouslyFormattedCitation" : "(CDM Smith, 2014)" }, "properties" : { "noteIndex" : 0 }, "schema" : "https://github.com/citation-style-language/schema/raw/master/csl-citation.json" }</w:instrText>
      </w:r>
      <w:r w:rsidRPr="006B17BE">
        <w:fldChar w:fldCharType="separate"/>
      </w:r>
      <w:r w:rsidRPr="006B17BE">
        <w:rPr>
          <w:noProof/>
        </w:rPr>
        <w:t>CDM Smith</w:t>
      </w:r>
      <w:r w:rsidR="00A90B3C" w:rsidRPr="006B17BE">
        <w:rPr>
          <w:noProof/>
        </w:rPr>
        <w:t xml:space="preserve"> (</w:t>
      </w:r>
      <w:r w:rsidRPr="006B17BE">
        <w:rPr>
          <w:noProof/>
        </w:rPr>
        <w:t>2014)</w:t>
      </w:r>
      <w:r w:rsidRPr="006B17BE">
        <w:fldChar w:fldCharType="end"/>
      </w:r>
      <w:r w:rsidR="00A90B3C" w:rsidRPr="006B17BE">
        <w:t>.</w:t>
      </w:r>
      <w:r w:rsidRPr="006B17BE">
        <w:t xml:space="preserve"> </w:t>
      </w:r>
      <w:r w:rsidR="00A90B3C" w:rsidRPr="006B17BE">
        <w:t xml:space="preserve">The CDM Smith model </w:t>
      </w:r>
      <w:r w:rsidRPr="006B17BE">
        <w:t xml:space="preserve">was used </w:t>
      </w:r>
      <w:r w:rsidR="00A90B3C" w:rsidRPr="006B17BE">
        <w:t xml:space="preserve">as a guide </w:t>
      </w:r>
      <w:r w:rsidRPr="006B17BE">
        <w:t>to develop a simplified groundwater flow model of the regional impacts of well</w:t>
      </w:r>
      <w:r w:rsidR="00A90B3C" w:rsidRPr="006B17BE">
        <w:t xml:space="preserve"> or bore</w:t>
      </w:r>
      <w:r w:rsidRPr="006B17BE">
        <w:t xml:space="preserve"> integrity failure in regions where </w:t>
      </w:r>
      <w:r w:rsidR="00A90B3C" w:rsidRPr="006B17BE">
        <w:t>c</w:t>
      </w:r>
      <w:r w:rsidRPr="006B17BE">
        <w:t xml:space="preserve">oal </w:t>
      </w:r>
      <w:r w:rsidR="00A90B3C" w:rsidRPr="006B17BE">
        <w:t>s</w:t>
      </w:r>
      <w:r w:rsidRPr="006B17BE">
        <w:t xml:space="preserve">eam </w:t>
      </w:r>
      <w:r w:rsidR="00A90B3C" w:rsidRPr="006B17BE">
        <w:t>g</w:t>
      </w:r>
      <w:r w:rsidRPr="006B17BE">
        <w:t xml:space="preserve">as extraction occurs. The simplified groundwater flow model was developed in MODFLOW-USG to be consistent with the </w:t>
      </w:r>
      <w:r w:rsidR="00A90B3C" w:rsidRPr="006B17BE">
        <w:t>single-well groundwater flow</w:t>
      </w:r>
      <w:r w:rsidRPr="006B17BE">
        <w:t xml:space="preserve"> modelling by Doble et al. </w:t>
      </w:r>
      <w:r w:rsidRPr="006B17BE">
        <w:fldChar w:fldCharType="begin" w:fldLock="1"/>
      </w:r>
      <w:r w:rsidRPr="006B17BE">
        <w:instrText>ADDIN CSL_CITATION { "citationItems" : [ { "id" : "ITEM-1", "itemData" : { "author" : [ { "dropping-particle" : "", "family" : "Doble", "given" : "Rebecca", "non-dropping-particle" : "", "parse-names" : false, "suffix" : "" }, { "dropping-particle" : "", "family" : "Mccallum", "given" : "Jim", "non-dropping-particle" : "", "parse-names" : false, "suffix" : "" }, { "dropping-particle" : "", "family" : "Turnadge", "given" : "Chris", "non-dropping-particle" : "", "parse-names" : false, "suffix" : "" }, { "dropping-particle" : "", "family" : "Peeters", "given" : "Luk", "non-dropping-particle" : "", "parse-names" : false, "suffix" : "" }, { "dropping-particle" : "", "family" : "Wu", "given" : "Bailin", "non-dropping-particle" : "", "parse-names" : false, "suffix" : "" }, { "dropping-particle" : "", "family" : "Mallants", "given" : "Dirk", "non-dropping-particle" : "", "parse-names" : false, "suffix" : "" } ], "id" : "ITEM-1", "issued" : { "date-parts" : [ [ "2016" ] ] }, "number-of-pages" : "36", "publisher-place" : "Canberra, ACT", "title" : "Modelling inter-aquifer leakage associated with well integrity failure", "type" : "report" }, "uris" : [ "http://www.mendeley.com/documents/?uuid=465a006c-104b-463c-aa31-beda12ad2510" ] } ], "mendeley" : { "formattedCitation" : "(Doble &lt;i&gt;et al.&lt;/i&gt;, 2016)", "manualFormatting" : "(2016)", "plainTextFormattedCitation" : "(Doble et al., 2016)", "previouslyFormattedCitation" : "(Doble &lt;i&gt;et al.&lt;/i&gt;, 2016)" }, "properties" : { "noteIndex" : 0 }, "schema" : "https://github.com/citation-style-language/schema/raw/master/csl-citation.json" }</w:instrText>
      </w:r>
      <w:r w:rsidRPr="006B17BE">
        <w:fldChar w:fldCharType="separate"/>
      </w:r>
      <w:r w:rsidRPr="006B17BE">
        <w:rPr>
          <w:noProof/>
        </w:rPr>
        <w:t>(201</w:t>
      </w:r>
      <w:r w:rsidR="00AC3BD2">
        <w:rPr>
          <w:noProof/>
        </w:rPr>
        <w:t>8</w:t>
      </w:r>
      <w:r w:rsidRPr="006B17BE">
        <w:rPr>
          <w:noProof/>
        </w:rPr>
        <w:t>)</w:t>
      </w:r>
      <w:r w:rsidRPr="006B17BE">
        <w:fldChar w:fldCharType="end"/>
      </w:r>
      <w:r w:rsidRPr="006B17BE">
        <w:t>.</w:t>
      </w:r>
    </w:p>
    <w:p w14:paraId="4B95FAA5" w14:textId="0881CD72" w:rsidR="00C45DEC" w:rsidRDefault="00AA16BE" w:rsidP="0093655B">
      <w:pPr>
        <w:pStyle w:val="Body"/>
      </w:pPr>
      <w:r w:rsidRPr="006B17BE">
        <w:t>The simplified model domain consists of 5 layers, the top layer represents the main water bearing aquifer in the area (Pilliga Sandstone) which overlays a sequence of alternating aquitards (layers 2 and 4) and target coal seams (</w:t>
      </w:r>
      <w:r w:rsidR="0009623F" w:rsidRPr="006B17BE">
        <w:t>Hoskissons Coal Formation as the secondary target formation [</w:t>
      </w:r>
      <w:r w:rsidRPr="006B17BE">
        <w:t>layer 3</w:t>
      </w:r>
      <w:r w:rsidR="0009623F" w:rsidRPr="006B17BE">
        <w:t>]</w:t>
      </w:r>
      <w:r w:rsidRPr="006B17BE">
        <w:t xml:space="preserve"> and</w:t>
      </w:r>
      <w:r w:rsidR="0009623F" w:rsidRPr="006B17BE">
        <w:t xml:space="preserve"> Maules Creek Formation as the primary coal target formation</w:t>
      </w:r>
      <w:r w:rsidRPr="006B17BE">
        <w:t xml:space="preserve"> </w:t>
      </w:r>
      <w:r w:rsidR="0009623F" w:rsidRPr="006B17BE">
        <w:t>[</w:t>
      </w:r>
      <w:r w:rsidR="00CC29FE">
        <w:t xml:space="preserve">layer </w:t>
      </w:r>
      <w:r w:rsidRPr="006B17BE">
        <w:t>5</w:t>
      </w:r>
      <w:r w:rsidR="0009623F" w:rsidRPr="006B17BE">
        <w:t>]</w:t>
      </w:r>
      <w:r w:rsidRPr="006B17BE">
        <w:t xml:space="preserve">). </w:t>
      </w:r>
      <w:r w:rsidR="00A90B3C" w:rsidRPr="006B17BE">
        <w:fldChar w:fldCharType="begin"/>
      </w:r>
      <w:r w:rsidR="00A90B3C" w:rsidRPr="006B17BE">
        <w:instrText xml:space="preserve"> REF _Ref477504756 \h </w:instrText>
      </w:r>
      <w:r w:rsidR="006B17BE">
        <w:instrText xml:space="preserve"> \* MERGEFORMAT </w:instrText>
      </w:r>
      <w:r w:rsidR="00A90B3C" w:rsidRPr="006B17BE">
        <w:fldChar w:fldCharType="separate"/>
      </w:r>
      <w:r w:rsidR="00086147">
        <w:t xml:space="preserve">Table </w:t>
      </w:r>
      <w:r w:rsidR="00086147">
        <w:rPr>
          <w:noProof/>
        </w:rPr>
        <w:t>3</w:t>
      </w:r>
      <w:r w:rsidR="00086147">
        <w:rPr>
          <w:noProof/>
        </w:rPr>
        <w:noBreakHyphen/>
        <w:t>1</w:t>
      </w:r>
      <w:r w:rsidR="00A90B3C" w:rsidRPr="006B17BE">
        <w:fldChar w:fldCharType="end"/>
      </w:r>
      <w:r w:rsidR="00A90B3C" w:rsidRPr="006B17BE">
        <w:t xml:space="preserve"> </w:t>
      </w:r>
      <w:r w:rsidRPr="006B17BE">
        <w:t xml:space="preserve">outlines the layer amalgamation from the 24 layer </w:t>
      </w:r>
      <w:r w:rsidR="00C45DEC" w:rsidRPr="006B17BE">
        <w:t xml:space="preserve">CDM Smith </w:t>
      </w:r>
      <w:r w:rsidRPr="006B17BE">
        <w:t xml:space="preserve">model </w:t>
      </w:r>
      <w:r w:rsidR="00C45DEC" w:rsidRPr="006B17BE">
        <w:t>(CDM Smith</w:t>
      </w:r>
      <w:r w:rsidR="00AE07E8" w:rsidRPr="006B17BE">
        <w:t>,</w:t>
      </w:r>
      <w:r w:rsidR="00C45DEC" w:rsidRPr="006B17BE">
        <w:t xml:space="preserve"> 2014) </w:t>
      </w:r>
      <w:r w:rsidRPr="006B17BE">
        <w:t xml:space="preserve">to the simplified 5 layer model. The thickness and elevation of each layer were taken as the average amalgamated layer thickness from the </w:t>
      </w:r>
      <w:r w:rsidR="00CC29FE">
        <w:t>CDM Smith (2014)</w:t>
      </w:r>
      <w:r w:rsidR="005B4247" w:rsidRPr="006B17BE">
        <w:t xml:space="preserve"> </w:t>
      </w:r>
      <w:r w:rsidRPr="006B17BE">
        <w:t>model (see</w:t>
      </w:r>
      <w:r w:rsidR="00C45DEC" w:rsidRPr="006B17BE">
        <w:t xml:space="preserve"> </w:t>
      </w:r>
      <w:r w:rsidR="00C45DEC" w:rsidRPr="006B17BE">
        <w:fldChar w:fldCharType="begin"/>
      </w:r>
      <w:r w:rsidR="00C45DEC" w:rsidRPr="006B17BE">
        <w:instrText xml:space="preserve"> REF _Ref477504756 \h </w:instrText>
      </w:r>
      <w:r w:rsidR="006B17BE">
        <w:instrText xml:space="preserve"> \* MERGEFORMAT </w:instrText>
      </w:r>
      <w:r w:rsidR="00C45DEC" w:rsidRPr="006B17BE">
        <w:fldChar w:fldCharType="separate"/>
      </w:r>
      <w:r w:rsidR="00086147">
        <w:t xml:space="preserve">Table </w:t>
      </w:r>
      <w:r w:rsidR="00086147">
        <w:rPr>
          <w:noProof/>
        </w:rPr>
        <w:t>3</w:t>
      </w:r>
      <w:r w:rsidR="00086147">
        <w:rPr>
          <w:noProof/>
        </w:rPr>
        <w:noBreakHyphen/>
        <w:t>1</w:t>
      </w:r>
      <w:r w:rsidR="00C45DEC" w:rsidRPr="006B17BE">
        <w:fldChar w:fldCharType="end"/>
      </w:r>
      <w:r w:rsidRPr="006B17BE">
        <w:t xml:space="preserve">). </w:t>
      </w:r>
    </w:p>
    <w:p w14:paraId="6DEF5167" w14:textId="460B0CB1" w:rsidR="002A03F3" w:rsidRPr="006B17BE" w:rsidRDefault="002A03F3" w:rsidP="002A03F3">
      <w:pPr>
        <w:pStyle w:val="Body"/>
      </w:pPr>
      <w:r>
        <w:t>The simplified model represents an enhanced version of the Doble et al. (201</w:t>
      </w:r>
      <w:r w:rsidR="00AC3BD2">
        <w:t>8</w:t>
      </w:r>
      <w:r>
        <w:t xml:space="preserve">) model, and maintains some of the spatial elements of the CDM Smith (2014) model. It should be noted that by representing the aquitard sequences as single layers the model will underestimate lag times in the aquitard response to pumping and overestimate drawdown in the aquifers (Frind, 1979). Indeed, </w:t>
      </w:r>
      <w:r>
        <w:rPr>
          <w:noProof/>
        </w:rPr>
        <w:t>a single-layer aquitard allows for the entire storage volume of the aquifer to be available, which greatly overestimates the rate of drawdown propagation through the aquifer. As such this deliberate overestimation of drawdown is appropriate as it results in a conservative estimate of impacts. Where large impacts are predicted, more refined assessments can be made in a subsequent phase.</w:t>
      </w:r>
    </w:p>
    <w:p w14:paraId="6EF706B5" w14:textId="1D39B1CB" w:rsidR="002A03F3" w:rsidRPr="006B17BE" w:rsidRDefault="002A03F3" w:rsidP="002A03F3">
      <w:pPr>
        <w:pStyle w:val="Body"/>
      </w:pPr>
      <w:r w:rsidRPr="006B17BE">
        <w:t>Each layer was simulated as a confined but convertible aquifer; within MODFLOW a convertible aquifer refers to a confined aquifer tha</w:t>
      </w:r>
      <w:r>
        <w:t>t</w:t>
      </w:r>
      <w:r w:rsidRPr="006B17BE">
        <w:t xml:space="preserve"> becomes unconfined if the groundwater head drops below the </w:t>
      </w:r>
      <w:r>
        <w:t>top</w:t>
      </w:r>
      <w:r w:rsidRPr="006B17BE">
        <w:t xml:space="preserve"> of the model cell. This allows for a realistic representation of aquifer depressurisation during pumping. To limit the impact of boundary conditions, the model domain is 195 km by 151 km (29,445 km</w:t>
      </w:r>
      <w:r w:rsidRPr="006B17BE">
        <w:rPr>
          <w:vertAlign w:val="superscript"/>
        </w:rPr>
        <w:t>2</w:t>
      </w:r>
      <w:r w:rsidRPr="006B17BE">
        <w:t>), which represents a distance of 40-60 km between the edge of the study area well field and the model boundary. The NGPA model was used as a template for the model grid structure, where the cell size ranges from 1×1 km</w:t>
      </w:r>
      <w:r w:rsidRPr="006B17BE">
        <w:rPr>
          <w:vertAlign w:val="superscript"/>
        </w:rPr>
        <w:t>2</w:t>
      </w:r>
      <w:r w:rsidRPr="006B17BE">
        <w:t xml:space="preserve"> (at and around the well field), 5×1 km</w:t>
      </w:r>
      <w:r w:rsidRPr="006B17BE">
        <w:rPr>
          <w:vertAlign w:val="superscript"/>
        </w:rPr>
        <w:t>2</w:t>
      </w:r>
      <w:r w:rsidRPr="006B17BE">
        <w:t xml:space="preserve"> and 1×5 km</w:t>
      </w:r>
      <w:r w:rsidRPr="006B17BE">
        <w:rPr>
          <w:vertAlign w:val="superscript"/>
        </w:rPr>
        <w:t>2</w:t>
      </w:r>
      <w:r w:rsidRPr="006B17BE">
        <w:t xml:space="preserve"> to the east, west and north of the model, to 5×5 km</w:t>
      </w:r>
      <w:r w:rsidRPr="006B17BE">
        <w:rPr>
          <w:vertAlign w:val="superscript"/>
        </w:rPr>
        <w:t>2</w:t>
      </w:r>
      <w:r w:rsidRPr="006B17BE">
        <w:t xml:space="preserve"> (at the northern, eastern and western edges of the model) (</w:t>
      </w:r>
      <w:r w:rsidRPr="006B17BE">
        <w:fldChar w:fldCharType="begin"/>
      </w:r>
      <w:r w:rsidRPr="006B17BE">
        <w:instrText xml:space="preserve"> REF _Ref476035480 \h  \* MERGEFORMAT </w:instrText>
      </w:r>
      <w:r w:rsidRPr="006B17BE">
        <w:fldChar w:fldCharType="separate"/>
      </w:r>
      <w:r w:rsidR="00086147" w:rsidRPr="00086147">
        <w:t xml:space="preserve">Figure </w:t>
      </w:r>
      <w:r w:rsidR="00086147" w:rsidRPr="00086147">
        <w:rPr>
          <w:noProof/>
        </w:rPr>
        <w:t>3</w:t>
      </w:r>
      <w:r w:rsidR="00086147" w:rsidRPr="00086147">
        <w:rPr>
          <w:noProof/>
        </w:rPr>
        <w:noBreakHyphen/>
        <w:t>1</w:t>
      </w:r>
      <w:r w:rsidRPr="006B17BE">
        <w:fldChar w:fldCharType="end"/>
      </w:r>
      <w:r w:rsidRPr="006B17BE">
        <w:t>).</w:t>
      </w:r>
      <w:r>
        <w:t xml:space="preserve"> In a previous study on well integrity at the scale of an individual well, Doble et al. (201</w:t>
      </w:r>
      <w:r w:rsidR="00F90BA4">
        <w:t>8</w:t>
      </w:r>
      <w:r>
        <w:t>) demonstrated that when using MODFLOW-USG and the CLN package the effect of cell size does not have on effect on predictions of drawdown. Cells size tested ranged from 0.5 to 1000 m.</w:t>
      </w:r>
    </w:p>
    <w:p w14:paraId="22874FB9" w14:textId="77777777" w:rsidR="002A03F3" w:rsidRDefault="002A03F3" w:rsidP="0093655B">
      <w:pPr>
        <w:pStyle w:val="Body"/>
      </w:pPr>
    </w:p>
    <w:p w14:paraId="15C92DBD" w14:textId="77777777" w:rsidR="002A03F3" w:rsidRDefault="002A03F3" w:rsidP="0093655B">
      <w:pPr>
        <w:pStyle w:val="Body"/>
      </w:pPr>
    </w:p>
    <w:p w14:paraId="61EC795C" w14:textId="77777777" w:rsidR="002A03F3" w:rsidRDefault="002A03F3" w:rsidP="0093655B">
      <w:pPr>
        <w:pStyle w:val="Body"/>
      </w:pPr>
    </w:p>
    <w:p w14:paraId="47F8A61F" w14:textId="77777777" w:rsidR="002A03F3" w:rsidRPr="006B17BE" w:rsidRDefault="002A03F3" w:rsidP="0093655B">
      <w:pPr>
        <w:pStyle w:val="Body"/>
      </w:pPr>
    </w:p>
    <w:p w14:paraId="13ADAE63" w14:textId="5812012E" w:rsidR="00E35425" w:rsidRPr="00684F4E" w:rsidRDefault="0014612E" w:rsidP="0014612E">
      <w:pPr>
        <w:pStyle w:val="Caption"/>
      </w:pPr>
      <w:bookmarkStart w:id="498" w:name="_Ref477504756"/>
      <w:bookmarkStart w:id="499" w:name="_Toc508267199"/>
      <w:r>
        <w:t xml:space="preserve">Table </w:t>
      </w:r>
      <w:r w:rsidR="00296C49">
        <w:fldChar w:fldCharType="begin"/>
      </w:r>
      <w:r w:rsidR="00296C49">
        <w:instrText xml:space="preserve"> STYLEREF 1 \s </w:instrText>
      </w:r>
      <w:r w:rsidR="00296C49">
        <w:fldChar w:fldCharType="separate"/>
      </w:r>
      <w:r w:rsidR="00086147">
        <w:rPr>
          <w:noProof/>
        </w:rPr>
        <w:t>3</w:t>
      </w:r>
      <w:r w:rsidR="00296C49">
        <w:rPr>
          <w:noProof/>
        </w:rPr>
        <w:fldChar w:fldCharType="end"/>
      </w:r>
      <w:r>
        <w:noBreakHyphen/>
      </w:r>
      <w:r w:rsidR="00296C49">
        <w:fldChar w:fldCharType="begin"/>
      </w:r>
      <w:r w:rsidR="00296C49">
        <w:instrText xml:space="preserve"> SEQ Table \* ARABIC \s 1 </w:instrText>
      </w:r>
      <w:r w:rsidR="00296C49">
        <w:fldChar w:fldCharType="separate"/>
      </w:r>
      <w:r w:rsidR="00086147">
        <w:rPr>
          <w:noProof/>
        </w:rPr>
        <w:t>1</w:t>
      </w:r>
      <w:r w:rsidR="00296C49">
        <w:rPr>
          <w:noProof/>
        </w:rPr>
        <w:fldChar w:fldCharType="end"/>
      </w:r>
      <w:bookmarkEnd w:id="498"/>
      <w:r w:rsidR="00E35425" w:rsidRPr="00684F4E">
        <w:t xml:space="preserve"> Outline of geological units in the </w:t>
      </w:r>
      <w:r w:rsidR="00085A58" w:rsidRPr="00684F4E">
        <w:t>study area</w:t>
      </w:r>
      <w:r w:rsidR="00E35425" w:rsidRPr="00684F4E">
        <w:t xml:space="preserve">  </w:t>
      </w:r>
      <w:r w:rsidR="00085A58" w:rsidRPr="00684F4E">
        <w:t xml:space="preserve">with numerical </w:t>
      </w:r>
      <w:r w:rsidR="00E35425" w:rsidRPr="00684F4E">
        <w:t xml:space="preserve">model </w:t>
      </w:r>
      <w:r w:rsidR="00085A58" w:rsidRPr="00684F4E">
        <w:t xml:space="preserve">layers based on </w:t>
      </w:r>
      <w:r w:rsidR="00085A58" w:rsidRPr="00684F4E">
        <w:fldChar w:fldCharType="begin" w:fldLock="1"/>
      </w:r>
      <w:r w:rsidR="00085A58" w:rsidRPr="00684F4E">
        <w:instrText>ADDIN CSL_CITATION { "citationItems" : [ { "id" : "ITEM-1", "itemData" : { "author" : [ { "dropping-particle" : "", "family" : "CDM Smith", "given" : "", "non-dropping-particle" : "", "parse-names" : false, "suffix" : "" } ], "id" : "ITEM-1", "issued" : { "date-parts" : [ [ "2014" ] ] }, "number-of-pages" : "288", "title" : "Narrabri Gas Project Groundwater Modelling Report Santos Narrabri Gas Project Groundwater Modelling Report", "type" : "report" }, "uris" : [ "http://www.mendeley.com/documents/?uuid=cf84bf44-b302-44a3-820f-c7311d8468bd" ] } ], "mendeley" : { "formattedCitation" : "(CDM Smith, 2014)", "plainTextFormattedCitation" : "(CDM Smith, 2014)", "previouslyFormattedCitation" : "(CDM Smith, 2014)" }, "properties" : { "noteIndex" : 0 }, "schema" : "https://github.com/citation-style-language/schema/raw/master/csl-citation.json" }</w:instrText>
      </w:r>
      <w:r w:rsidR="00085A58" w:rsidRPr="00684F4E">
        <w:fldChar w:fldCharType="separate"/>
      </w:r>
      <w:r w:rsidR="00085A58" w:rsidRPr="00684F4E">
        <w:t>CDM Smith (2014)</w:t>
      </w:r>
      <w:r w:rsidR="00085A58" w:rsidRPr="00684F4E">
        <w:fldChar w:fldCharType="end"/>
      </w:r>
      <w:r w:rsidR="00085A58" w:rsidRPr="00684F4E">
        <w:t xml:space="preserve">, </w:t>
      </w:r>
      <w:r w:rsidR="00E35425" w:rsidRPr="00684F4E">
        <w:t>and simplified model layers</w:t>
      </w:r>
      <w:r w:rsidR="00085A58" w:rsidRPr="00684F4E">
        <w:t xml:space="preserve"> used in this study</w:t>
      </w:r>
      <w:r w:rsidR="00E35425" w:rsidRPr="00684F4E">
        <w:t>.</w:t>
      </w:r>
      <w:r w:rsidR="00C45DEC" w:rsidRPr="00684F4E">
        <w:t xml:space="preserve"> NC = not considered in the model.</w:t>
      </w:r>
      <w:bookmarkEnd w:id="499"/>
    </w:p>
    <w:tbl>
      <w:tblPr>
        <w:tblStyle w:val="ListTable3-Accent1"/>
        <w:tblW w:w="0" w:type="auto"/>
        <w:jc w:val="center"/>
        <w:tblBorders>
          <w:insideH w:val="single" w:sz="4" w:space="0" w:color="41B6E6" w:themeColor="accent1"/>
          <w:insideV w:val="single" w:sz="4" w:space="0" w:color="auto"/>
        </w:tblBorders>
        <w:tblLayout w:type="fixed"/>
        <w:tblLook w:val="04A0" w:firstRow="1" w:lastRow="0" w:firstColumn="1" w:lastColumn="0" w:noHBand="0" w:noVBand="1"/>
      </w:tblPr>
      <w:tblGrid>
        <w:gridCol w:w="3565"/>
        <w:gridCol w:w="2016"/>
        <w:gridCol w:w="1259"/>
        <w:gridCol w:w="2087"/>
      </w:tblGrid>
      <w:tr w:rsidR="00E35425" w:rsidRPr="006B17BE" w14:paraId="08C7E5A5" w14:textId="77777777" w:rsidTr="00F60987">
        <w:trPr>
          <w:cnfStyle w:val="100000000000" w:firstRow="1" w:lastRow="0" w:firstColumn="0" w:lastColumn="0" w:oddVBand="0" w:evenVBand="0" w:oddHBand="0" w:evenHBand="0" w:firstRowFirstColumn="0" w:firstRowLastColumn="0" w:lastRowFirstColumn="0" w:lastRowLastColumn="0"/>
          <w:jc w:val="center"/>
        </w:trPr>
        <w:tc>
          <w:tcPr>
            <w:cnfStyle w:val="001000000100" w:firstRow="0" w:lastRow="0" w:firstColumn="1" w:lastColumn="0" w:oddVBand="0" w:evenVBand="0" w:oddHBand="0" w:evenHBand="0" w:firstRowFirstColumn="1" w:firstRowLastColumn="0" w:lastRowFirstColumn="0" w:lastRowLastColumn="0"/>
            <w:tcW w:w="3565" w:type="dxa"/>
            <w:tcBorders>
              <w:top w:val="single" w:sz="4" w:space="0" w:color="CCCCCC"/>
              <w:left w:val="single" w:sz="4" w:space="0" w:color="CCCCCC"/>
              <w:bottom w:val="single" w:sz="4" w:space="0" w:color="CCCCCC"/>
            </w:tcBorders>
            <w:shd w:val="clear" w:color="auto" w:fill="CCCCCC"/>
            <w:vAlign w:val="center"/>
          </w:tcPr>
          <w:p w14:paraId="0907D88C" w14:textId="77777777" w:rsidR="00E35425" w:rsidRPr="006B17BE" w:rsidRDefault="00E35425" w:rsidP="002F3590">
            <w:pPr>
              <w:pStyle w:val="OWSTabletext"/>
            </w:pPr>
            <w:r w:rsidRPr="006B17BE">
              <w:t>Formation</w:t>
            </w:r>
          </w:p>
        </w:tc>
        <w:tc>
          <w:tcPr>
            <w:tcW w:w="2016" w:type="dxa"/>
            <w:tcBorders>
              <w:top w:val="single" w:sz="4" w:space="0" w:color="CCCCCC"/>
              <w:bottom w:val="single" w:sz="4" w:space="0" w:color="CCCCCC"/>
            </w:tcBorders>
            <w:shd w:val="clear" w:color="auto" w:fill="CCCCCC"/>
            <w:vAlign w:val="center"/>
          </w:tcPr>
          <w:p w14:paraId="0D0B1867" w14:textId="77777777" w:rsidR="00E35425" w:rsidRPr="006B17BE" w:rsidRDefault="00E35425" w:rsidP="002F3590">
            <w:pPr>
              <w:pStyle w:val="OWSTabletext"/>
              <w:cnfStyle w:val="100000000000" w:firstRow="1" w:lastRow="0" w:firstColumn="0" w:lastColumn="0" w:oddVBand="0" w:evenVBand="0" w:oddHBand="0" w:evenHBand="0" w:firstRowFirstColumn="0" w:firstRowLastColumn="0" w:lastRowFirstColumn="0" w:lastRowLastColumn="0"/>
            </w:pPr>
            <w:r w:rsidRPr="006B17BE">
              <w:t>Hydrostratigraphic Unit</w:t>
            </w:r>
          </w:p>
        </w:tc>
        <w:tc>
          <w:tcPr>
            <w:tcW w:w="1259" w:type="dxa"/>
            <w:tcBorders>
              <w:top w:val="single" w:sz="4" w:space="0" w:color="CCCCCC"/>
              <w:bottom w:val="single" w:sz="4" w:space="0" w:color="CCCCCC"/>
            </w:tcBorders>
            <w:shd w:val="clear" w:color="auto" w:fill="CCCCCC"/>
            <w:vAlign w:val="center"/>
          </w:tcPr>
          <w:p w14:paraId="7DB3DAF7" w14:textId="3B6C478C" w:rsidR="00E35425" w:rsidRPr="006B17BE" w:rsidRDefault="00E35425" w:rsidP="002F3590">
            <w:pPr>
              <w:pStyle w:val="OWSTabletext"/>
              <w:cnfStyle w:val="100000000000" w:firstRow="1" w:lastRow="0" w:firstColumn="0" w:lastColumn="0" w:oddVBand="0" w:evenVBand="0" w:oddHBand="0" w:evenHBand="0" w:firstRowFirstColumn="0" w:firstRowLastColumn="0" w:lastRowFirstColumn="0" w:lastRowLastColumn="0"/>
            </w:pPr>
            <w:r w:rsidRPr="006B17BE">
              <w:t>Model Layer</w:t>
            </w:r>
          </w:p>
        </w:tc>
        <w:tc>
          <w:tcPr>
            <w:tcW w:w="2087" w:type="dxa"/>
            <w:tcBorders>
              <w:top w:val="single" w:sz="4" w:space="0" w:color="CCCCCC"/>
              <w:bottom w:val="single" w:sz="4" w:space="0" w:color="CCCCCC"/>
              <w:right w:val="single" w:sz="4" w:space="0" w:color="CCCCCC"/>
            </w:tcBorders>
            <w:shd w:val="clear" w:color="auto" w:fill="CCCCCC"/>
            <w:vAlign w:val="center"/>
          </w:tcPr>
          <w:p w14:paraId="77E434BB" w14:textId="77777777" w:rsidR="00E35425" w:rsidRPr="006B17BE" w:rsidRDefault="00E35425" w:rsidP="002F3590">
            <w:pPr>
              <w:pStyle w:val="OWSTabletext"/>
              <w:cnfStyle w:val="100000000000" w:firstRow="1" w:lastRow="0" w:firstColumn="0" w:lastColumn="0" w:oddVBand="0" w:evenVBand="0" w:oddHBand="0" w:evenHBand="0" w:firstRowFirstColumn="0" w:firstRowLastColumn="0" w:lastRowFirstColumn="0" w:lastRowLastColumn="0"/>
            </w:pPr>
            <w:r w:rsidRPr="006B17BE">
              <w:t>Simplified Model Layer</w:t>
            </w:r>
          </w:p>
        </w:tc>
      </w:tr>
      <w:tr w:rsidR="00E35425" w:rsidRPr="006B17BE" w14:paraId="40616852"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right w:val="none" w:sz="0" w:space="0" w:color="auto"/>
            </w:tcBorders>
            <w:shd w:val="clear" w:color="auto" w:fill="CCCCCC"/>
            <w:vAlign w:val="center"/>
          </w:tcPr>
          <w:p w14:paraId="77C19A38" w14:textId="6ABE1EBF" w:rsidR="00E35425" w:rsidRPr="006B17BE" w:rsidRDefault="00E35425" w:rsidP="002F3590">
            <w:pPr>
              <w:pStyle w:val="OWSTabletext"/>
              <w:rPr>
                <w:b w:val="0"/>
              </w:rPr>
            </w:pPr>
            <w:r w:rsidRPr="006B17BE">
              <w:t>Narrabri/Gunnedah Alluvium</w:t>
            </w:r>
          </w:p>
        </w:tc>
        <w:tc>
          <w:tcPr>
            <w:tcW w:w="2016" w:type="dxa"/>
            <w:tcBorders>
              <w:top w:val="single" w:sz="4" w:space="0" w:color="CCCCCC"/>
              <w:bottom w:val="single" w:sz="4" w:space="0" w:color="CCCCCC"/>
            </w:tcBorders>
            <w:shd w:val="clear" w:color="auto" w:fill="CCCCCC"/>
            <w:vAlign w:val="center"/>
          </w:tcPr>
          <w:p w14:paraId="594647C9"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Aquifer</w:t>
            </w:r>
          </w:p>
        </w:tc>
        <w:tc>
          <w:tcPr>
            <w:tcW w:w="1259" w:type="dxa"/>
            <w:tcBorders>
              <w:top w:val="single" w:sz="4" w:space="0" w:color="CCCCCC"/>
              <w:bottom w:val="single" w:sz="4" w:space="0" w:color="CCCCCC"/>
            </w:tcBorders>
            <w:shd w:val="clear" w:color="auto" w:fill="CCCCCC"/>
            <w:vAlign w:val="center"/>
          </w:tcPr>
          <w:p w14:paraId="783CC428"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1</w:t>
            </w:r>
          </w:p>
        </w:tc>
        <w:tc>
          <w:tcPr>
            <w:tcW w:w="2087" w:type="dxa"/>
            <w:tcBorders>
              <w:top w:val="single" w:sz="4" w:space="0" w:color="CCCCCC"/>
              <w:bottom w:val="single" w:sz="4" w:space="0" w:color="CCCCCC"/>
              <w:right w:val="single" w:sz="4" w:space="0" w:color="CCCCCC"/>
            </w:tcBorders>
            <w:shd w:val="clear" w:color="auto" w:fill="CCCCCC"/>
            <w:vAlign w:val="center"/>
          </w:tcPr>
          <w:p w14:paraId="4E3E2013"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NC</w:t>
            </w:r>
          </w:p>
        </w:tc>
      </w:tr>
      <w:tr w:rsidR="00E35425" w:rsidRPr="006B17BE" w14:paraId="4CAEC5D9"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73EBEF72" w14:textId="77777777" w:rsidR="00E35425" w:rsidRPr="006B17BE" w:rsidRDefault="00E35425" w:rsidP="002F3590">
            <w:pPr>
              <w:pStyle w:val="OWSTabletext"/>
              <w:rPr>
                <w:b w:val="0"/>
              </w:rPr>
            </w:pPr>
            <w:r w:rsidRPr="006B17BE">
              <w:t>Liverpool Range Volcanics</w:t>
            </w:r>
          </w:p>
        </w:tc>
        <w:tc>
          <w:tcPr>
            <w:tcW w:w="2016" w:type="dxa"/>
            <w:tcBorders>
              <w:top w:val="single" w:sz="4" w:space="0" w:color="CCCCCC"/>
              <w:bottom w:val="single" w:sz="4" w:space="0" w:color="CCCCCC"/>
            </w:tcBorders>
            <w:vAlign w:val="center"/>
          </w:tcPr>
          <w:p w14:paraId="3D4DEA91"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712C83C8"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2</w:t>
            </w:r>
          </w:p>
        </w:tc>
        <w:tc>
          <w:tcPr>
            <w:tcW w:w="2087" w:type="dxa"/>
            <w:tcBorders>
              <w:top w:val="single" w:sz="4" w:space="0" w:color="CCCCCC"/>
              <w:bottom w:val="single" w:sz="4" w:space="0" w:color="CCCCCC"/>
              <w:right w:val="single" w:sz="4" w:space="0" w:color="CCCCCC"/>
            </w:tcBorders>
            <w:vAlign w:val="center"/>
          </w:tcPr>
          <w:p w14:paraId="53C877F5"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NC</w:t>
            </w:r>
          </w:p>
        </w:tc>
      </w:tr>
      <w:tr w:rsidR="00E35425" w:rsidRPr="006B17BE" w14:paraId="7DBC6375"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67E8F97C" w14:textId="3318972C" w:rsidR="00E35425" w:rsidRPr="006B17BE" w:rsidRDefault="00E35425" w:rsidP="002F3590">
            <w:pPr>
              <w:pStyle w:val="OWSTabletext"/>
              <w:rPr>
                <w:b w:val="0"/>
              </w:rPr>
            </w:pPr>
            <w:r w:rsidRPr="006B17BE">
              <w:t>Wallumbilla Formation</w:t>
            </w:r>
          </w:p>
        </w:tc>
        <w:tc>
          <w:tcPr>
            <w:tcW w:w="2016" w:type="dxa"/>
            <w:tcBorders>
              <w:top w:val="single" w:sz="4" w:space="0" w:color="CCCCCC"/>
              <w:bottom w:val="single" w:sz="4" w:space="0" w:color="CCCCCC"/>
            </w:tcBorders>
            <w:vAlign w:val="center"/>
          </w:tcPr>
          <w:p w14:paraId="6FB7FA36"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0006E69A" w14:textId="595B334E" w:rsidR="00E35425" w:rsidRPr="006B17BE" w:rsidRDefault="00090FC4" w:rsidP="002F3590">
            <w:pPr>
              <w:pStyle w:val="OWSTabletext"/>
              <w:cnfStyle w:val="000000100000" w:firstRow="0" w:lastRow="0" w:firstColumn="0" w:lastColumn="0" w:oddVBand="0" w:evenVBand="0" w:oddHBand="1" w:evenHBand="0" w:firstRowFirstColumn="0" w:firstRowLastColumn="0" w:lastRowFirstColumn="0" w:lastRowLastColumn="0"/>
            </w:pPr>
            <w:r w:rsidRPr="006B17BE">
              <w:t>2</w:t>
            </w:r>
          </w:p>
        </w:tc>
        <w:tc>
          <w:tcPr>
            <w:tcW w:w="2087" w:type="dxa"/>
            <w:tcBorders>
              <w:top w:val="single" w:sz="4" w:space="0" w:color="CCCCCC"/>
              <w:bottom w:val="single" w:sz="4" w:space="0" w:color="CCCCCC"/>
              <w:right w:val="single" w:sz="4" w:space="0" w:color="CCCCCC"/>
            </w:tcBorders>
            <w:vAlign w:val="center"/>
          </w:tcPr>
          <w:p w14:paraId="23C95486"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NC</w:t>
            </w:r>
          </w:p>
        </w:tc>
      </w:tr>
      <w:tr w:rsidR="00E35425" w:rsidRPr="006B17BE" w14:paraId="25AC8B60"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3F40719F" w14:textId="40E6422E" w:rsidR="00E35425" w:rsidRPr="006B17BE" w:rsidRDefault="00E35425" w:rsidP="002F3590">
            <w:pPr>
              <w:pStyle w:val="OWSTabletext"/>
              <w:rPr>
                <w:b w:val="0"/>
              </w:rPr>
            </w:pPr>
            <w:r w:rsidRPr="006B17BE">
              <w:t>Bungil Formation</w:t>
            </w:r>
          </w:p>
        </w:tc>
        <w:tc>
          <w:tcPr>
            <w:tcW w:w="2016" w:type="dxa"/>
            <w:tcBorders>
              <w:top w:val="single" w:sz="4" w:space="0" w:color="CCCCCC"/>
              <w:bottom w:val="single" w:sz="4" w:space="0" w:color="CCCCCC"/>
            </w:tcBorders>
            <w:vAlign w:val="center"/>
          </w:tcPr>
          <w:p w14:paraId="2653ACD1"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73198F69" w14:textId="32F93738" w:rsidR="00E35425" w:rsidRPr="006B17BE" w:rsidRDefault="00090FC4" w:rsidP="002F3590">
            <w:pPr>
              <w:pStyle w:val="OWSTabletext"/>
              <w:cnfStyle w:val="000000000000" w:firstRow="0" w:lastRow="0" w:firstColumn="0" w:lastColumn="0" w:oddVBand="0" w:evenVBand="0" w:oddHBand="0" w:evenHBand="0" w:firstRowFirstColumn="0" w:firstRowLastColumn="0" w:lastRowFirstColumn="0" w:lastRowLastColumn="0"/>
            </w:pPr>
            <w:r w:rsidRPr="006B17BE">
              <w:t>3</w:t>
            </w:r>
          </w:p>
        </w:tc>
        <w:tc>
          <w:tcPr>
            <w:tcW w:w="2087" w:type="dxa"/>
            <w:tcBorders>
              <w:top w:val="single" w:sz="4" w:space="0" w:color="CCCCCC"/>
              <w:bottom w:val="single" w:sz="4" w:space="0" w:color="CCCCCC"/>
              <w:right w:val="single" w:sz="4" w:space="0" w:color="CCCCCC"/>
            </w:tcBorders>
            <w:vAlign w:val="center"/>
          </w:tcPr>
          <w:p w14:paraId="369FA5E8"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NC</w:t>
            </w:r>
          </w:p>
        </w:tc>
      </w:tr>
      <w:tr w:rsidR="00E35425" w:rsidRPr="006B17BE" w14:paraId="79502761"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676BB066" w14:textId="3100694B" w:rsidR="00E35425" w:rsidRPr="006B17BE" w:rsidRDefault="00E35425" w:rsidP="002F3590">
            <w:pPr>
              <w:pStyle w:val="OWSTabletext"/>
              <w:rPr>
                <w:b w:val="0"/>
              </w:rPr>
            </w:pPr>
            <w:r w:rsidRPr="006B17BE">
              <w:t>Mooga Sandstone</w:t>
            </w:r>
          </w:p>
        </w:tc>
        <w:tc>
          <w:tcPr>
            <w:tcW w:w="2016" w:type="dxa"/>
            <w:tcBorders>
              <w:top w:val="single" w:sz="4" w:space="0" w:color="CCCCCC"/>
              <w:bottom w:val="single" w:sz="4" w:space="0" w:color="CCCCCC"/>
            </w:tcBorders>
            <w:vAlign w:val="center"/>
          </w:tcPr>
          <w:p w14:paraId="295B20AF"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28019512" w14:textId="4401A17F" w:rsidR="00E35425" w:rsidRPr="006B17BE" w:rsidRDefault="00090FC4" w:rsidP="002F3590">
            <w:pPr>
              <w:pStyle w:val="OWSTabletext"/>
              <w:cnfStyle w:val="000000100000" w:firstRow="0" w:lastRow="0" w:firstColumn="0" w:lastColumn="0" w:oddVBand="0" w:evenVBand="0" w:oddHBand="1" w:evenHBand="0" w:firstRowFirstColumn="0" w:firstRowLastColumn="0" w:lastRowFirstColumn="0" w:lastRowLastColumn="0"/>
            </w:pPr>
            <w:r w:rsidRPr="006B17BE">
              <w:t>4</w:t>
            </w:r>
          </w:p>
        </w:tc>
        <w:tc>
          <w:tcPr>
            <w:tcW w:w="2087" w:type="dxa"/>
            <w:tcBorders>
              <w:top w:val="single" w:sz="4" w:space="0" w:color="CCCCCC"/>
              <w:bottom w:val="single" w:sz="4" w:space="0" w:color="CCCCCC"/>
              <w:right w:val="single" w:sz="4" w:space="0" w:color="CCCCCC"/>
            </w:tcBorders>
            <w:vAlign w:val="center"/>
          </w:tcPr>
          <w:p w14:paraId="5FC08F8E"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NC</w:t>
            </w:r>
          </w:p>
        </w:tc>
      </w:tr>
      <w:tr w:rsidR="00E35425" w:rsidRPr="006B17BE" w14:paraId="1AF15986"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1303AA8E" w14:textId="205D5458" w:rsidR="00E35425" w:rsidRPr="006B17BE" w:rsidRDefault="00E35425" w:rsidP="002F3590">
            <w:pPr>
              <w:pStyle w:val="OWSTabletext"/>
              <w:rPr>
                <w:b w:val="0"/>
              </w:rPr>
            </w:pPr>
            <w:r w:rsidRPr="006B17BE">
              <w:t>Orallo Formaion</w:t>
            </w:r>
          </w:p>
        </w:tc>
        <w:tc>
          <w:tcPr>
            <w:tcW w:w="2016" w:type="dxa"/>
            <w:tcBorders>
              <w:top w:val="single" w:sz="4" w:space="0" w:color="CCCCCC"/>
              <w:bottom w:val="single" w:sz="4" w:space="0" w:color="CCCCCC"/>
            </w:tcBorders>
            <w:vAlign w:val="center"/>
          </w:tcPr>
          <w:p w14:paraId="0EB2B5DF"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78F7ECE5" w14:textId="3FFFEC46" w:rsidR="00E35425" w:rsidRPr="006B17BE" w:rsidRDefault="00090FC4" w:rsidP="002F3590">
            <w:pPr>
              <w:pStyle w:val="OWSTabletext"/>
              <w:cnfStyle w:val="000000000000" w:firstRow="0" w:lastRow="0" w:firstColumn="0" w:lastColumn="0" w:oddVBand="0" w:evenVBand="0" w:oddHBand="0" w:evenHBand="0" w:firstRowFirstColumn="0" w:firstRowLastColumn="0" w:lastRowFirstColumn="0" w:lastRowLastColumn="0"/>
            </w:pPr>
            <w:r w:rsidRPr="006B17BE">
              <w:t>5</w:t>
            </w:r>
          </w:p>
        </w:tc>
        <w:tc>
          <w:tcPr>
            <w:tcW w:w="2087" w:type="dxa"/>
            <w:tcBorders>
              <w:top w:val="single" w:sz="4" w:space="0" w:color="CCCCCC"/>
              <w:bottom w:val="single" w:sz="4" w:space="0" w:color="CCCCCC"/>
              <w:right w:val="single" w:sz="4" w:space="0" w:color="CCCCCC"/>
            </w:tcBorders>
            <w:vAlign w:val="center"/>
          </w:tcPr>
          <w:p w14:paraId="5A4818EE"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NC</w:t>
            </w:r>
          </w:p>
        </w:tc>
      </w:tr>
      <w:tr w:rsidR="00E35425" w:rsidRPr="006B17BE" w14:paraId="4C1941CD"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right w:val="none" w:sz="0" w:space="0" w:color="auto"/>
            </w:tcBorders>
            <w:shd w:val="clear" w:color="auto" w:fill="CCCCCC"/>
            <w:vAlign w:val="center"/>
          </w:tcPr>
          <w:p w14:paraId="38043535" w14:textId="58180ABA" w:rsidR="00E35425" w:rsidRPr="006B17BE" w:rsidRDefault="0009623F" w:rsidP="002F3590">
            <w:pPr>
              <w:pStyle w:val="OWSTabletext"/>
              <w:rPr>
                <w:b w:val="0"/>
              </w:rPr>
            </w:pPr>
            <w:r w:rsidRPr="006B17BE">
              <w:t>Pilliga</w:t>
            </w:r>
            <w:r w:rsidR="00E35425" w:rsidRPr="006B17BE">
              <w:t xml:space="preserve"> Sandstone</w:t>
            </w:r>
          </w:p>
        </w:tc>
        <w:tc>
          <w:tcPr>
            <w:tcW w:w="2016" w:type="dxa"/>
            <w:tcBorders>
              <w:top w:val="single" w:sz="4" w:space="0" w:color="CCCCCC"/>
              <w:bottom w:val="single" w:sz="4" w:space="0" w:color="CCCCCC"/>
            </w:tcBorders>
            <w:shd w:val="clear" w:color="auto" w:fill="CCCCCC"/>
            <w:vAlign w:val="center"/>
          </w:tcPr>
          <w:p w14:paraId="147A0FB1"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Aquifer</w:t>
            </w:r>
          </w:p>
        </w:tc>
        <w:tc>
          <w:tcPr>
            <w:tcW w:w="1259" w:type="dxa"/>
            <w:tcBorders>
              <w:top w:val="single" w:sz="4" w:space="0" w:color="CCCCCC"/>
              <w:bottom w:val="single" w:sz="4" w:space="0" w:color="CCCCCC"/>
            </w:tcBorders>
            <w:shd w:val="clear" w:color="auto" w:fill="CCCCCC"/>
            <w:vAlign w:val="center"/>
          </w:tcPr>
          <w:p w14:paraId="29B8C02F" w14:textId="2D605E7C" w:rsidR="00E35425" w:rsidRPr="006B17BE" w:rsidRDefault="00090FC4" w:rsidP="002F3590">
            <w:pPr>
              <w:pStyle w:val="OWSTabletext"/>
              <w:cnfStyle w:val="000000100000" w:firstRow="0" w:lastRow="0" w:firstColumn="0" w:lastColumn="0" w:oddVBand="0" w:evenVBand="0" w:oddHBand="1" w:evenHBand="0" w:firstRowFirstColumn="0" w:firstRowLastColumn="0" w:lastRowFirstColumn="0" w:lastRowLastColumn="0"/>
            </w:pPr>
            <w:r w:rsidRPr="006B17BE">
              <w:t>6</w:t>
            </w:r>
          </w:p>
        </w:tc>
        <w:tc>
          <w:tcPr>
            <w:tcW w:w="2087" w:type="dxa"/>
            <w:tcBorders>
              <w:top w:val="single" w:sz="4" w:space="0" w:color="CCCCCC"/>
              <w:bottom w:val="single" w:sz="4" w:space="0" w:color="CCCCCC"/>
              <w:right w:val="single" w:sz="4" w:space="0" w:color="CCCCCC"/>
            </w:tcBorders>
            <w:shd w:val="clear" w:color="auto" w:fill="CCCCCC"/>
            <w:vAlign w:val="center"/>
          </w:tcPr>
          <w:p w14:paraId="2FB19E79"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1</w:t>
            </w:r>
          </w:p>
        </w:tc>
      </w:tr>
      <w:tr w:rsidR="00E35425" w:rsidRPr="006B17BE" w14:paraId="53508998"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7FFE3800" w14:textId="73462FFF" w:rsidR="00E35425" w:rsidRPr="006B17BE" w:rsidRDefault="00E35425" w:rsidP="002F3590">
            <w:pPr>
              <w:pStyle w:val="OWSTabletext"/>
              <w:rPr>
                <w:b w:val="0"/>
              </w:rPr>
            </w:pPr>
            <w:r w:rsidRPr="006B17BE">
              <w:t>Purlawaugh Formation</w:t>
            </w:r>
            <w:r w:rsidR="005B208B" w:rsidRPr="006B17BE">
              <w:t>/</w:t>
            </w:r>
            <w:r w:rsidRPr="006B17BE">
              <w:t>Garrawilla Volcanics</w:t>
            </w:r>
          </w:p>
        </w:tc>
        <w:tc>
          <w:tcPr>
            <w:tcW w:w="2016" w:type="dxa"/>
            <w:tcBorders>
              <w:top w:val="single" w:sz="4" w:space="0" w:color="CCCCCC"/>
              <w:bottom w:val="single" w:sz="4" w:space="0" w:color="CCCCCC"/>
            </w:tcBorders>
            <w:vAlign w:val="center"/>
          </w:tcPr>
          <w:p w14:paraId="56B752BB"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51EDBE27" w14:textId="65157783" w:rsidR="00E35425" w:rsidRPr="006B17BE" w:rsidRDefault="00090FC4" w:rsidP="002F3590">
            <w:pPr>
              <w:pStyle w:val="OWSTabletext"/>
              <w:cnfStyle w:val="000000000000" w:firstRow="0" w:lastRow="0" w:firstColumn="0" w:lastColumn="0" w:oddVBand="0" w:evenVBand="0" w:oddHBand="0" w:evenHBand="0" w:firstRowFirstColumn="0" w:firstRowLastColumn="0" w:lastRowFirstColumn="0" w:lastRowLastColumn="0"/>
            </w:pPr>
            <w:r w:rsidRPr="006B17BE">
              <w:t>7</w:t>
            </w:r>
          </w:p>
        </w:tc>
        <w:tc>
          <w:tcPr>
            <w:tcW w:w="2087" w:type="dxa"/>
            <w:tcBorders>
              <w:top w:val="single" w:sz="4" w:space="0" w:color="CCCCCC"/>
              <w:bottom w:val="single" w:sz="4" w:space="0" w:color="CCCCCC"/>
              <w:right w:val="single" w:sz="4" w:space="0" w:color="CCCCCC"/>
            </w:tcBorders>
            <w:vAlign w:val="center"/>
          </w:tcPr>
          <w:p w14:paraId="28A4BF6D"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2</w:t>
            </w:r>
          </w:p>
        </w:tc>
      </w:tr>
      <w:tr w:rsidR="00E35425" w:rsidRPr="006B17BE" w14:paraId="437AEFBB"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53BB739E" w14:textId="66AC3C5A" w:rsidR="00E35425" w:rsidRPr="006B17BE" w:rsidRDefault="00E35425" w:rsidP="002F3590">
            <w:pPr>
              <w:pStyle w:val="OWSTabletext"/>
              <w:rPr>
                <w:b w:val="0"/>
              </w:rPr>
            </w:pPr>
            <w:r w:rsidRPr="006B17BE">
              <w:t>Deriah Formation/Napperby Formation</w:t>
            </w:r>
          </w:p>
        </w:tc>
        <w:tc>
          <w:tcPr>
            <w:tcW w:w="2016" w:type="dxa"/>
            <w:tcBorders>
              <w:top w:val="single" w:sz="4" w:space="0" w:color="CCCCCC"/>
              <w:bottom w:val="single" w:sz="4" w:space="0" w:color="CCCCCC"/>
            </w:tcBorders>
            <w:vAlign w:val="center"/>
          </w:tcPr>
          <w:p w14:paraId="594F67B6"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564A9FDC" w14:textId="0396CCD6" w:rsidR="00E35425" w:rsidRPr="006B17BE" w:rsidRDefault="00090FC4" w:rsidP="002F3590">
            <w:pPr>
              <w:pStyle w:val="OWSTabletext"/>
              <w:cnfStyle w:val="000000100000" w:firstRow="0" w:lastRow="0" w:firstColumn="0" w:lastColumn="0" w:oddVBand="0" w:evenVBand="0" w:oddHBand="1" w:evenHBand="0" w:firstRowFirstColumn="0" w:firstRowLastColumn="0" w:lastRowFirstColumn="0" w:lastRowLastColumn="0"/>
            </w:pPr>
            <w:r w:rsidRPr="006B17BE">
              <w:t>8</w:t>
            </w:r>
          </w:p>
        </w:tc>
        <w:tc>
          <w:tcPr>
            <w:tcW w:w="2087" w:type="dxa"/>
            <w:tcBorders>
              <w:top w:val="single" w:sz="4" w:space="0" w:color="CCCCCC"/>
              <w:bottom w:val="single" w:sz="4" w:space="0" w:color="CCCCCC"/>
              <w:right w:val="single" w:sz="4" w:space="0" w:color="CCCCCC"/>
            </w:tcBorders>
            <w:vAlign w:val="center"/>
          </w:tcPr>
          <w:p w14:paraId="07E3A699"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2</w:t>
            </w:r>
          </w:p>
        </w:tc>
      </w:tr>
      <w:tr w:rsidR="00E35425" w:rsidRPr="006B17BE" w14:paraId="7484A40C"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5E4BC2F5" w14:textId="23C57592" w:rsidR="00E35425" w:rsidRPr="006B17BE" w:rsidRDefault="005B208B" w:rsidP="002F3590">
            <w:pPr>
              <w:pStyle w:val="OWSTabletext"/>
              <w:rPr>
                <w:b w:val="0"/>
              </w:rPr>
            </w:pPr>
            <w:r w:rsidRPr="006B17BE">
              <w:t>Digby Formation/</w:t>
            </w:r>
            <w:r w:rsidR="00E35425" w:rsidRPr="006B17BE">
              <w:t>Trinkey F</w:t>
            </w:r>
            <w:r w:rsidRPr="006B17BE">
              <w:t>or</w:t>
            </w:r>
            <w:r w:rsidR="00E35425" w:rsidRPr="006B17BE">
              <w:t>m</w:t>
            </w:r>
            <w:r w:rsidRPr="006B17BE">
              <w:t>ation</w:t>
            </w:r>
          </w:p>
        </w:tc>
        <w:tc>
          <w:tcPr>
            <w:tcW w:w="2016" w:type="dxa"/>
            <w:tcBorders>
              <w:top w:val="single" w:sz="4" w:space="0" w:color="CCCCCC"/>
              <w:bottom w:val="single" w:sz="4" w:space="0" w:color="CCCCCC"/>
            </w:tcBorders>
            <w:vAlign w:val="center"/>
          </w:tcPr>
          <w:p w14:paraId="1B830BAB"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0D6370B9" w14:textId="0517E408" w:rsidR="00E35425" w:rsidRPr="006B17BE" w:rsidRDefault="00090FC4" w:rsidP="00C45DEC">
            <w:pPr>
              <w:pStyle w:val="OWSTabletext"/>
              <w:cnfStyle w:val="000000000000" w:firstRow="0" w:lastRow="0" w:firstColumn="0" w:lastColumn="0" w:oddVBand="0" w:evenVBand="0" w:oddHBand="0" w:evenHBand="0" w:firstRowFirstColumn="0" w:firstRowLastColumn="0" w:lastRowFirstColumn="0" w:lastRowLastColumn="0"/>
            </w:pPr>
            <w:r w:rsidRPr="006B17BE">
              <w:t>9</w:t>
            </w:r>
          </w:p>
        </w:tc>
        <w:tc>
          <w:tcPr>
            <w:tcW w:w="2087" w:type="dxa"/>
            <w:tcBorders>
              <w:top w:val="single" w:sz="4" w:space="0" w:color="CCCCCC"/>
              <w:bottom w:val="single" w:sz="4" w:space="0" w:color="CCCCCC"/>
              <w:right w:val="single" w:sz="4" w:space="0" w:color="CCCCCC"/>
            </w:tcBorders>
            <w:vAlign w:val="center"/>
          </w:tcPr>
          <w:p w14:paraId="3AE81544"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2</w:t>
            </w:r>
          </w:p>
        </w:tc>
      </w:tr>
      <w:tr w:rsidR="00E35425" w:rsidRPr="006B17BE" w14:paraId="4C495673"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1F96521A" w14:textId="05073E35" w:rsidR="00E35425" w:rsidRPr="006B17BE" w:rsidRDefault="00E35425" w:rsidP="002F3590">
            <w:pPr>
              <w:pStyle w:val="OWSTabletext"/>
              <w:rPr>
                <w:b w:val="0"/>
              </w:rPr>
            </w:pPr>
            <w:r w:rsidRPr="006B17BE">
              <w:t>Wallala F</w:t>
            </w:r>
            <w:r w:rsidR="005B208B" w:rsidRPr="006B17BE">
              <w:t>ormation</w:t>
            </w:r>
            <w:r w:rsidRPr="006B17BE">
              <w:t>/Breeza Coal M</w:t>
            </w:r>
            <w:r w:rsidR="005B208B" w:rsidRPr="006B17BE">
              <w:t>ember</w:t>
            </w:r>
          </w:p>
        </w:tc>
        <w:tc>
          <w:tcPr>
            <w:tcW w:w="2016" w:type="dxa"/>
            <w:tcBorders>
              <w:top w:val="single" w:sz="4" w:space="0" w:color="CCCCCC"/>
              <w:bottom w:val="single" w:sz="4" w:space="0" w:color="CCCCCC"/>
            </w:tcBorders>
            <w:vAlign w:val="center"/>
          </w:tcPr>
          <w:p w14:paraId="64D87F18"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609098C7" w14:textId="7A28AC8C"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1</w:t>
            </w:r>
            <w:r w:rsidR="00090FC4" w:rsidRPr="006B17BE">
              <w:t>0</w:t>
            </w:r>
          </w:p>
        </w:tc>
        <w:tc>
          <w:tcPr>
            <w:tcW w:w="2087" w:type="dxa"/>
            <w:tcBorders>
              <w:top w:val="single" w:sz="4" w:space="0" w:color="CCCCCC"/>
              <w:bottom w:val="single" w:sz="4" w:space="0" w:color="CCCCCC"/>
              <w:right w:val="single" w:sz="4" w:space="0" w:color="CCCCCC"/>
            </w:tcBorders>
            <w:vAlign w:val="center"/>
          </w:tcPr>
          <w:p w14:paraId="2641FB10"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2</w:t>
            </w:r>
          </w:p>
        </w:tc>
      </w:tr>
      <w:tr w:rsidR="00E35425" w:rsidRPr="006B17BE" w14:paraId="2E159ED5"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right w:val="none" w:sz="0" w:space="0" w:color="auto"/>
            </w:tcBorders>
            <w:shd w:val="clear" w:color="auto" w:fill="auto"/>
            <w:vAlign w:val="center"/>
          </w:tcPr>
          <w:p w14:paraId="3486581D" w14:textId="3E81D18D" w:rsidR="00E35425" w:rsidRPr="006B17BE" w:rsidRDefault="00E35425" w:rsidP="002F3590">
            <w:pPr>
              <w:pStyle w:val="OWSTabletext"/>
              <w:rPr>
                <w:b w:val="0"/>
              </w:rPr>
            </w:pPr>
            <w:r w:rsidRPr="006B17BE">
              <w:t>Clare S</w:t>
            </w:r>
            <w:r w:rsidR="005B208B" w:rsidRPr="006B17BE">
              <w:t>andstone</w:t>
            </w:r>
            <w:r w:rsidRPr="006B17BE">
              <w:t>/</w:t>
            </w:r>
            <w:r w:rsidR="005B208B" w:rsidRPr="006B17BE">
              <w:t>Howes Hill Coal Memb</w:t>
            </w:r>
            <w:r w:rsidR="00B871EC" w:rsidRPr="006B17BE">
              <w:t>e</w:t>
            </w:r>
            <w:r w:rsidR="005B208B" w:rsidRPr="006B17BE">
              <w:t>r</w:t>
            </w:r>
          </w:p>
        </w:tc>
        <w:tc>
          <w:tcPr>
            <w:tcW w:w="2016" w:type="dxa"/>
            <w:tcBorders>
              <w:top w:val="single" w:sz="4" w:space="0" w:color="CCCCCC"/>
              <w:bottom w:val="single" w:sz="4" w:space="0" w:color="CCCCCC"/>
            </w:tcBorders>
            <w:shd w:val="clear" w:color="auto" w:fill="auto"/>
            <w:vAlign w:val="center"/>
          </w:tcPr>
          <w:p w14:paraId="20EF1E50"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Aquifer</w:t>
            </w:r>
          </w:p>
        </w:tc>
        <w:tc>
          <w:tcPr>
            <w:tcW w:w="1259" w:type="dxa"/>
            <w:tcBorders>
              <w:top w:val="single" w:sz="4" w:space="0" w:color="CCCCCC"/>
              <w:bottom w:val="single" w:sz="4" w:space="0" w:color="CCCCCC"/>
            </w:tcBorders>
            <w:shd w:val="clear" w:color="auto" w:fill="auto"/>
            <w:vAlign w:val="center"/>
          </w:tcPr>
          <w:p w14:paraId="106AAB5F" w14:textId="05706861"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1</w:t>
            </w:r>
            <w:r w:rsidR="00090FC4" w:rsidRPr="006B17BE">
              <w:t>1</w:t>
            </w:r>
          </w:p>
        </w:tc>
        <w:tc>
          <w:tcPr>
            <w:tcW w:w="2087" w:type="dxa"/>
            <w:tcBorders>
              <w:top w:val="single" w:sz="4" w:space="0" w:color="CCCCCC"/>
              <w:bottom w:val="single" w:sz="4" w:space="0" w:color="CCCCCC"/>
              <w:right w:val="single" w:sz="4" w:space="0" w:color="CCCCCC"/>
            </w:tcBorders>
            <w:shd w:val="clear" w:color="auto" w:fill="auto"/>
            <w:vAlign w:val="center"/>
          </w:tcPr>
          <w:p w14:paraId="673D19DA" w14:textId="18C7EC69" w:rsidR="00E35425" w:rsidRPr="006B17BE" w:rsidRDefault="0045034D" w:rsidP="00C45DEC">
            <w:pPr>
              <w:pStyle w:val="OWSTabletext"/>
              <w:cnfStyle w:val="000000000000" w:firstRow="0" w:lastRow="0" w:firstColumn="0" w:lastColumn="0" w:oddVBand="0" w:evenVBand="0" w:oddHBand="0" w:evenHBand="0" w:firstRowFirstColumn="0" w:firstRowLastColumn="0" w:lastRowFirstColumn="0" w:lastRowLastColumn="0"/>
            </w:pPr>
            <w:r w:rsidRPr="006B17BE">
              <w:t>2</w:t>
            </w:r>
          </w:p>
        </w:tc>
      </w:tr>
      <w:tr w:rsidR="00E35425" w:rsidRPr="006B17BE" w14:paraId="7928E559"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0E7B14AB" w14:textId="3D6DFE0D" w:rsidR="00E35425" w:rsidRPr="006B17BE" w:rsidRDefault="005B208B" w:rsidP="002F3590">
            <w:pPr>
              <w:pStyle w:val="OWSTabletext"/>
              <w:rPr>
                <w:b w:val="0"/>
              </w:rPr>
            </w:pPr>
            <w:r w:rsidRPr="006B17BE">
              <w:t>Benelabri Formati</w:t>
            </w:r>
            <w:r w:rsidR="00500A96" w:rsidRPr="006B17BE">
              <w:t>o</w:t>
            </w:r>
            <w:r w:rsidRPr="006B17BE">
              <w:t>n</w:t>
            </w:r>
          </w:p>
        </w:tc>
        <w:tc>
          <w:tcPr>
            <w:tcW w:w="2016" w:type="dxa"/>
            <w:tcBorders>
              <w:top w:val="single" w:sz="4" w:space="0" w:color="CCCCCC"/>
              <w:bottom w:val="single" w:sz="4" w:space="0" w:color="CCCCCC"/>
            </w:tcBorders>
            <w:vAlign w:val="center"/>
          </w:tcPr>
          <w:p w14:paraId="22D49BF2"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516F52C1" w14:textId="44610BE8"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1</w:t>
            </w:r>
            <w:r w:rsidR="00090FC4" w:rsidRPr="006B17BE">
              <w:t>2</w:t>
            </w:r>
          </w:p>
        </w:tc>
        <w:tc>
          <w:tcPr>
            <w:tcW w:w="2087" w:type="dxa"/>
            <w:tcBorders>
              <w:top w:val="single" w:sz="4" w:space="0" w:color="CCCCCC"/>
              <w:bottom w:val="single" w:sz="4" w:space="0" w:color="CCCCCC"/>
              <w:right w:val="single" w:sz="4" w:space="0" w:color="CCCCCC"/>
            </w:tcBorders>
            <w:vAlign w:val="center"/>
          </w:tcPr>
          <w:p w14:paraId="36C686A9" w14:textId="5A12A5BC" w:rsidR="00E35425" w:rsidRPr="006B17BE" w:rsidRDefault="0045034D" w:rsidP="002F3590">
            <w:pPr>
              <w:pStyle w:val="OWSTabletext"/>
              <w:cnfStyle w:val="000000100000" w:firstRow="0" w:lastRow="0" w:firstColumn="0" w:lastColumn="0" w:oddVBand="0" w:evenVBand="0" w:oddHBand="1" w:evenHBand="0" w:firstRowFirstColumn="0" w:firstRowLastColumn="0" w:lastRowFirstColumn="0" w:lastRowLastColumn="0"/>
            </w:pPr>
            <w:r w:rsidRPr="006B17BE">
              <w:t>2</w:t>
            </w:r>
          </w:p>
        </w:tc>
      </w:tr>
      <w:tr w:rsidR="00E35425" w:rsidRPr="006B17BE" w14:paraId="7930941F"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shd w:val="clear" w:color="auto" w:fill="CCCCCC"/>
            <w:vAlign w:val="center"/>
          </w:tcPr>
          <w:p w14:paraId="30F36D03" w14:textId="20515FF7" w:rsidR="00E35425" w:rsidRPr="006B17BE" w:rsidRDefault="005B208B" w:rsidP="002F3590">
            <w:pPr>
              <w:pStyle w:val="OWSTabletext"/>
              <w:rPr>
                <w:b w:val="0"/>
              </w:rPr>
            </w:pPr>
            <w:r w:rsidRPr="006B17BE">
              <w:t>Hoskissons Coal</w:t>
            </w:r>
            <w:r w:rsidR="0045034D" w:rsidRPr="006B17BE">
              <w:t xml:space="preserve"> (Late Permian)</w:t>
            </w:r>
          </w:p>
        </w:tc>
        <w:tc>
          <w:tcPr>
            <w:tcW w:w="2016" w:type="dxa"/>
            <w:tcBorders>
              <w:top w:val="single" w:sz="4" w:space="0" w:color="CCCCCC"/>
              <w:bottom w:val="single" w:sz="4" w:space="0" w:color="CCCCCC"/>
            </w:tcBorders>
            <w:shd w:val="clear" w:color="auto" w:fill="CCCCCC"/>
            <w:vAlign w:val="center"/>
          </w:tcPr>
          <w:p w14:paraId="05A9D24D" w14:textId="6704EE0E" w:rsidR="00E35425" w:rsidRPr="006B17BE" w:rsidRDefault="006552DB" w:rsidP="002F3590">
            <w:pPr>
              <w:pStyle w:val="OWSTabletext"/>
              <w:cnfStyle w:val="000000000000" w:firstRow="0" w:lastRow="0" w:firstColumn="0" w:lastColumn="0" w:oddVBand="0" w:evenVBand="0" w:oddHBand="0" w:evenHBand="0" w:firstRowFirstColumn="0" w:firstRowLastColumn="0" w:lastRowFirstColumn="0" w:lastRowLastColumn="0"/>
            </w:pPr>
            <w:r>
              <w:t>CSG</w:t>
            </w:r>
            <w:r w:rsidR="00194820" w:rsidRPr="006B17BE">
              <w:t xml:space="preserve"> reservoir</w:t>
            </w:r>
          </w:p>
        </w:tc>
        <w:tc>
          <w:tcPr>
            <w:tcW w:w="1259" w:type="dxa"/>
            <w:tcBorders>
              <w:top w:val="single" w:sz="4" w:space="0" w:color="CCCCCC"/>
              <w:bottom w:val="single" w:sz="4" w:space="0" w:color="CCCCCC"/>
            </w:tcBorders>
            <w:shd w:val="clear" w:color="auto" w:fill="CCCCCC"/>
            <w:vAlign w:val="center"/>
          </w:tcPr>
          <w:p w14:paraId="5EF58F04" w14:textId="1BFC3CF2"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1</w:t>
            </w:r>
            <w:r w:rsidR="00090FC4" w:rsidRPr="006B17BE">
              <w:t>3</w:t>
            </w:r>
          </w:p>
        </w:tc>
        <w:tc>
          <w:tcPr>
            <w:tcW w:w="2087" w:type="dxa"/>
            <w:tcBorders>
              <w:top w:val="single" w:sz="4" w:space="0" w:color="CCCCCC"/>
              <w:bottom w:val="single" w:sz="4" w:space="0" w:color="CCCCCC"/>
              <w:right w:val="single" w:sz="4" w:space="0" w:color="CCCCCC"/>
            </w:tcBorders>
            <w:shd w:val="clear" w:color="auto" w:fill="CCCCCC"/>
            <w:vAlign w:val="center"/>
          </w:tcPr>
          <w:p w14:paraId="0D7C6B64" w14:textId="3A7E501B" w:rsidR="00E35425" w:rsidRPr="006B17BE" w:rsidRDefault="0045034D" w:rsidP="002F3590">
            <w:pPr>
              <w:pStyle w:val="OWSTabletext"/>
              <w:cnfStyle w:val="000000000000" w:firstRow="0" w:lastRow="0" w:firstColumn="0" w:lastColumn="0" w:oddVBand="0" w:evenVBand="0" w:oddHBand="0" w:evenHBand="0" w:firstRowFirstColumn="0" w:firstRowLastColumn="0" w:lastRowFirstColumn="0" w:lastRowLastColumn="0"/>
            </w:pPr>
            <w:r w:rsidRPr="006B17BE">
              <w:t>3</w:t>
            </w:r>
          </w:p>
        </w:tc>
      </w:tr>
      <w:tr w:rsidR="00E35425" w:rsidRPr="006B17BE" w14:paraId="2DDC5047"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57AF5D53" w14:textId="61C3F684" w:rsidR="00E35425" w:rsidRPr="006B17BE" w:rsidRDefault="005B208B" w:rsidP="002F3590">
            <w:pPr>
              <w:pStyle w:val="OWSTabletext"/>
              <w:rPr>
                <w:b w:val="0"/>
              </w:rPr>
            </w:pPr>
            <w:r w:rsidRPr="006B17BE">
              <w:t>Brigalow Formation</w:t>
            </w:r>
          </w:p>
        </w:tc>
        <w:tc>
          <w:tcPr>
            <w:tcW w:w="2016" w:type="dxa"/>
            <w:tcBorders>
              <w:top w:val="single" w:sz="4" w:space="0" w:color="CCCCCC"/>
              <w:bottom w:val="single" w:sz="4" w:space="0" w:color="CCCCCC"/>
            </w:tcBorders>
            <w:vAlign w:val="center"/>
          </w:tcPr>
          <w:p w14:paraId="7D9C20ED"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69A813E3" w14:textId="36BAE209"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1</w:t>
            </w:r>
            <w:r w:rsidR="00090FC4" w:rsidRPr="006B17BE">
              <w:t>4</w:t>
            </w:r>
          </w:p>
        </w:tc>
        <w:tc>
          <w:tcPr>
            <w:tcW w:w="2087" w:type="dxa"/>
            <w:tcBorders>
              <w:top w:val="single" w:sz="4" w:space="0" w:color="CCCCCC"/>
              <w:bottom w:val="single" w:sz="4" w:space="0" w:color="CCCCCC"/>
              <w:right w:val="single" w:sz="4" w:space="0" w:color="CCCCCC"/>
            </w:tcBorders>
            <w:vAlign w:val="center"/>
          </w:tcPr>
          <w:p w14:paraId="700FEBF7"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4</w:t>
            </w:r>
          </w:p>
        </w:tc>
      </w:tr>
      <w:tr w:rsidR="00E35425" w:rsidRPr="006B17BE" w14:paraId="16D47F16"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78007CD8" w14:textId="47578110" w:rsidR="00E35425" w:rsidRPr="006B17BE" w:rsidRDefault="005B208B" w:rsidP="002F3590">
            <w:pPr>
              <w:pStyle w:val="OWSTabletext"/>
              <w:rPr>
                <w:b w:val="0"/>
              </w:rPr>
            </w:pPr>
            <w:r w:rsidRPr="006B17BE">
              <w:t>Arkarula Formatin</w:t>
            </w:r>
          </w:p>
        </w:tc>
        <w:tc>
          <w:tcPr>
            <w:tcW w:w="2016" w:type="dxa"/>
            <w:tcBorders>
              <w:top w:val="single" w:sz="4" w:space="0" w:color="CCCCCC"/>
              <w:bottom w:val="single" w:sz="4" w:space="0" w:color="CCCCCC"/>
            </w:tcBorders>
            <w:vAlign w:val="center"/>
          </w:tcPr>
          <w:p w14:paraId="45C26E7E"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4F15B3B6" w14:textId="1AD3F7AC"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1</w:t>
            </w:r>
            <w:r w:rsidR="00090FC4" w:rsidRPr="006B17BE">
              <w:t>5</w:t>
            </w:r>
          </w:p>
        </w:tc>
        <w:tc>
          <w:tcPr>
            <w:tcW w:w="2087" w:type="dxa"/>
            <w:tcBorders>
              <w:top w:val="single" w:sz="4" w:space="0" w:color="CCCCCC"/>
              <w:bottom w:val="single" w:sz="4" w:space="0" w:color="CCCCCC"/>
              <w:right w:val="single" w:sz="4" w:space="0" w:color="CCCCCC"/>
            </w:tcBorders>
            <w:vAlign w:val="center"/>
          </w:tcPr>
          <w:p w14:paraId="0E9C2217"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4</w:t>
            </w:r>
          </w:p>
        </w:tc>
      </w:tr>
      <w:tr w:rsidR="00E35425" w:rsidRPr="006B17BE" w14:paraId="20048606"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711C2157" w14:textId="1300418E" w:rsidR="00E35425" w:rsidRPr="006B17BE" w:rsidRDefault="005B208B" w:rsidP="002F3590">
            <w:pPr>
              <w:pStyle w:val="OWSTabletext"/>
              <w:rPr>
                <w:b w:val="0"/>
              </w:rPr>
            </w:pPr>
            <w:r w:rsidRPr="006B17BE">
              <w:t>Melvilles Coal Member</w:t>
            </w:r>
          </w:p>
        </w:tc>
        <w:tc>
          <w:tcPr>
            <w:tcW w:w="2016" w:type="dxa"/>
            <w:tcBorders>
              <w:top w:val="single" w:sz="4" w:space="0" w:color="CCCCCC"/>
              <w:bottom w:val="single" w:sz="4" w:space="0" w:color="CCCCCC"/>
            </w:tcBorders>
            <w:vAlign w:val="center"/>
          </w:tcPr>
          <w:p w14:paraId="5F380934"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03C600D0" w14:textId="50D14F7C"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1</w:t>
            </w:r>
            <w:r w:rsidR="00090FC4" w:rsidRPr="006B17BE">
              <w:t>6</w:t>
            </w:r>
          </w:p>
        </w:tc>
        <w:tc>
          <w:tcPr>
            <w:tcW w:w="2087" w:type="dxa"/>
            <w:tcBorders>
              <w:top w:val="single" w:sz="4" w:space="0" w:color="CCCCCC"/>
              <w:bottom w:val="single" w:sz="4" w:space="0" w:color="CCCCCC"/>
              <w:right w:val="single" w:sz="4" w:space="0" w:color="CCCCCC"/>
            </w:tcBorders>
            <w:vAlign w:val="center"/>
          </w:tcPr>
          <w:p w14:paraId="5E19D4C6"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4</w:t>
            </w:r>
          </w:p>
        </w:tc>
      </w:tr>
      <w:tr w:rsidR="00E35425" w:rsidRPr="006B17BE" w14:paraId="5BAEDACD"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689662B4" w14:textId="1C60A069" w:rsidR="00E35425" w:rsidRPr="006B17BE" w:rsidRDefault="005B208B" w:rsidP="002F3590">
            <w:pPr>
              <w:pStyle w:val="OWSTabletext"/>
              <w:rPr>
                <w:b w:val="0"/>
              </w:rPr>
            </w:pPr>
            <w:r w:rsidRPr="006B17BE">
              <w:t>Pamboola Formation</w:t>
            </w:r>
          </w:p>
        </w:tc>
        <w:tc>
          <w:tcPr>
            <w:tcW w:w="2016" w:type="dxa"/>
            <w:tcBorders>
              <w:top w:val="single" w:sz="4" w:space="0" w:color="CCCCCC"/>
              <w:bottom w:val="single" w:sz="4" w:space="0" w:color="CCCCCC"/>
            </w:tcBorders>
            <w:vAlign w:val="center"/>
          </w:tcPr>
          <w:p w14:paraId="6C557B04"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265D2A50" w14:textId="648B29A0"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1</w:t>
            </w:r>
            <w:r w:rsidR="00090FC4" w:rsidRPr="006B17BE">
              <w:t>7</w:t>
            </w:r>
          </w:p>
        </w:tc>
        <w:tc>
          <w:tcPr>
            <w:tcW w:w="2087" w:type="dxa"/>
            <w:tcBorders>
              <w:top w:val="single" w:sz="4" w:space="0" w:color="CCCCCC"/>
              <w:bottom w:val="single" w:sz="4" w:space="0" w:color="CCCCCC"/>
              <w:right w:val="single" w:sz="4" w:space="0" w:color="CCCCCC"/>
            </w:tcBorders>
            <w:vAlign w:val="center"/>
          </w:tcPr>
          <w:p w14:paraId="5F2CFB3A"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4</w:t>
            </w:r>
          </w:p>
        </w:tc>
      </w:tr>
      <w:tr w:rsidR="00E35425" w:rsidRPr="006B17BE" w14:paraId="3B5FE9CA"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5E0CD88A" w14:textId="2EFB69E1" w:rsidR="00E35425" w:rsidRPr="006B17BE" w:rsidRDefault="005B208B" w:rsidP="002F3590">
            <w:pPr>
              <w:pStyle w:val="OWSTabletext"/>
              <w:rPr>
                <w:b w:val="0"/>
              </w:rPr>
            </w:pPr>
            <w:r w:rsidRPr="006B17BE">
              <w:t>Watermark Formation</w:t>
            </w:r>
          </w:p>
        </w:tc>
        <w:tc>
          <w:tcPr>
            <w:tcW w:w="2016" w:type="dxa"/>
            <w:tcBorders>
              <w:top w:val="single" w:sz="4" w:space="0" w:color="CCCCCC"/>
              <w:bottom w:val="single" w:sz="4" w:space="0" w:color="CCCCCC"/>
            </w:tcBorders>
            <w:vAlign w:val="center"/>
          </w:tcPr>
          <w:p w14:paraId="2DDC1FD1"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70BD6E2A" w14:textId="1B995629"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1</w:t>
            </w:r>
            <w:r w:rsidR="00090FC4" w:rsidRPr="006B17BE">
              <w:t>8</w:t>
            </w:r>
          </w:p>
        </w:tc>
        <w:tc>
          <w:tcPr>
            <w:tcW w:w="2087" w:type="dxa"/>
            <w:tcBorders>
              <w:top w:val="single" w:sz="4" w:space="0" w:color="CCCCCC"/>
              <w:bottom w:val="single" w:sz="4" w:space="0" w:color="CCCCCC"/>
              <w:right w:val="single" w:sz="4" w:space="0" w:color="CCCCCC"/>
            </w:tcBorders>
            <w:vAlign w:val="center"/>
          </w:tcPr>
          <w:p w14:paraId="2E3827E9"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4</w:t>
            </w:r>
          </w:p>
        </w:tc>
      </w:tr>
      <w:tr w:rsidR="00E35425" w:rsidRPr="006B17BE" w14:paraId="0CF7DDEA"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6998C38C" w14:textId="37900AB4" w:rsidR="00E35425" w:rsidRPr="006B17BE" w:rsidRDefault="00E35425" w:rsidP="002F3590">
            <w:pPr>
              <w:pStyle w:val="OWSTabletext"/>
              <w:rPr>
                <w:b w:val="0"/>
              </w:rPr>
            </w:pPr>
            <w:r w:rsidRPr="006B17BE">
              <w:t>P</w:t>
            </w:r>
            <w:r w:rsidR="005B208B" w:rsidRPr="006B17BE">
              <w:t>orcupine Formation</w:t>
            </w:r>
          </w:p>
        </w:tc>
        <w:tc>
          <w:tcPr>
            <w:tcW w:w="2016" w:type="dxa"/>
            <w:tcBorders>
              <w:top w:val="single" w:sz="4" w:space="0" w:color="CCCCCC"/>
              <w:bottom w:val="single" w:sz="4" w:space="0" w:color="CCCCCC"/>
            </w:tcBorders>
            <w:vAlign w:val="center"/>
          </w:tcPr>
          <w:p w14:paraId="2492B18B"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2AB1F99D" w14:textId="19EC5C30" w:rsidR="00E35425" w:rsidRPr="006B17BE" w:rsidRDefault="00090FC4" w:rsidP="002F3590">
            <w:pPr>
              <w:pStyle w:val="OWSTabletext"/>
              <w:cnfStyle w:val="000000000000" w:firstRow="0" w:lastRow="0" w:firstColumn="0" w:lastColumn="0" w:oddVBand="0" w:evenVBand="0" w:oddHBand="0" w:evenHBand="0" w:firstRowFirstColumn="0" w:firstRowLastColumn="0" w:lastRowFirstColumn="0" w:lastRowLastColumn="0"/>
            </w:pPr>
            <w:r w:rsidRPr="006B17BE">
              <w:t>19</w:t>
            </w:r>
          </w:p>
        </w:tc>
        <w:tc>
          <w:tcPr>
            <w:tcW w:w="2087" w:type="dxa"/>
            <w:tcBorders>
              <w:top w:val="single" w:sz="4" w:space="0" w:color="CCCCCC"/>
              <w:bottom w:val="single" w:sz="4" w:space="0" w:color="CCCCCC"/>
              <w:right w:val="single" w:sz="4" w:space="0" w:color="CCCCCC"/>
            </w:tcBorders>
            <w:vAlign w:val="center"/>
          </w:tcPr>
          <w:p w14:paraId="08C1C6E4"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4</w:t>
            </w:r>
          </w:p>
        </w:tc>
      </w:tr>
      <w:tr w:rsidR="00E35425" w:rsidRPr="006B17BE" w14:paraId="79B0CC3A"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1C091F9E" w14:textId="4CF7C586" w:rsidR="00E35425" w:rsidRPr="006B17BE" w:rsidRDefault="005B208B" w:rsidP="002F3590">
            <w:pPr>
              <w:pStyle w:val="OWSTabletext"/>
              <w:rPr>
                <w:b w:val="0"/>
              </w:rPr>
            </w:pPr>
            <w:r w:rsidRPr="006B17BE">
              <w:t>Maules Creek Formation (upper)</w:t>
            </w:r>
          </w:p>
        </w:tc>
        <w:tc>
          <w:tcPr>
            <w:tcW w:w="2016" w:type="dxa"/>
            <w:tcBorders>
              <w:top w:val="single" w:sz="4" w:space="0" w:color="CCCCCC"/>
              <w:bottom w:val="single" w:sz="4" w:space="0" w:color="CCCCCC"/>
            </w:tcBorders>
            <w:vAlign w:val="center"/>
          </w:tcPr>
          <w:p w14:paraId="250EC06C"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41F8C8C6" w14:textId="0D192D52"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2</w:t>
            </w:r>
            <w:r w:rsidR="00090FC4" w:rsidRPr="006B17BE">
              <w:t>0/21</w:t>
            </w:r>
          </w:p>
        </w:tc>
        <w:tc>
          <w:tcPr>
            <w:tcW w:w="2087" w:type="dxa"/>
            <w:tcBorders>
              <w:top w:val="single" w:sz="4" w:space="0" w:color="CCCCCC"/>
              <w:bottom w:val="single" w:sz="4" w:space="0" w:color="CCCCCC"/>
              <w:right w:val="single" w:sz="4" w:space="0" w:color="CCCCCC"/>
            </w:tcBorders>
            <w:vAlign w:val="center"/>
          </w:tcPr>
          <w:p w14:paraId="003B3019"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4</w:t>
            </w:r>
          </w:p>
        </w:tc>
      </w:tr>
      <w:tr w:rsidR="00E35425" w:rsidRPr="006B17BE" w14:paraId="6AE8BBF2" w14:textId="77777777" w:rsidTr="00F60987">
        <w:trPr>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right w:val="none" w:sz="0" w:space="0" w:color="auto"/>
            </w:tcBorders>
            <w:shd w:val="clear" w:color="auto" w:fill="CCCCCC"/>
            <w:vAlign w:val="center"/>
          </w:tcPr>
          <w:p w14:paraId="0E97C02A" w14:textId="01B86F95" w:rsidR="00E35425" w:rsidRPr="006B17BE" w:rsidRDefault="00E35425" w:rsidP="002F3590">
            <w:pPr>
              <w:pStyle w:val="OWSTabletext"/>
              <w:rPr>
                <w:b w:val="0"/>
              </w:rPr>
            </w:pPr>
            <w:r w:rsidRPr="006B17BE">
              <w:t>Early Permian coal seam</w:t>
            </w:r>
            <w:r w:rsidR="009B3FA1" w:rsidRPr="006B17BE">
              <w:t xml:space="preserve"> (Maules Creek Fm))</w:t>
            </w:r>
          </w:p>
        </w:tc>
        <w:tc>
          <w:tcPr>
            <w:tcW w:w="2016" w:type="dxa"/>
            <w:tcBorders>
              <w:top w:val="single" w:sz="4" w:space="0" w:color="CCCCCC"/>
              <w:bottom w:val="single" w:sz="4" w:space="0" w:color="CCCCCC"/>
            </w:tcBorders>
            <w:shd w:val="clear" w:color="auto" w:fill="CCCCCC"/>
            <w:vAlign w:val="center"/>
          </w:tcPr>
          <w:p w14:paraId="6EB3CD1E" w14:textId="2F460F35" w:rsidR="00E35425" w:rsidRPr="006B17BE" w:rsidRDefault="006552DB" w:rsidP="006552DB">
            <w:pPr>
              <w:pStyle w:val="OWSTabletext"/>
              <w:cnfStyle w:val="000000000000" w:firstRow="0" w:lastRow="0" w:firstColumn="0" w:lastColumn="0" w:oddVBand="0" w:evenVBand="0" w:oddHBand="0" w:evenHBand="0" w:firstRowFirstColumn="0" w:firstRowLastColumn="0" w:lastRowFirstColumn="0" w:lastRowLastColumn="0"/>
            </w:pPr>
            <w:r>
              <w:t>CSG</w:t>
            </w:r>
            <w:r w:rsidR="00194820" w:rsidRPr="006B17BE">
              <w:t xml:space="preserve"> reservoir</w:t>
            </w:r>
          </w:p>
        </w:tc>
        <w:tc>
          <w:tcPr>
            <w:tcW w:w="1259" w:type="dxa"/>
            <w:tcBorders>
              <w:top w:val="single" w:sz="4" w:space="0" w:color="CCCCCC"/>
              <w:bottom w:val="single" w:sz="4" w:space="0" w:color="CCCCCC"/>
            </w:tcBorders>
            <w:shd w:val="clear" w:color="auto" w:fill="CCCCCC"/>
            <w:vAlign w:val="center"/>
          </w:tcPr>
          <w:p w14:paraId="02D0EB24" w14:textId="08E32543"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2</w:t>
            </w:r>
            <w:r w:rsidR="00090FC4" w:rsidRPr="006B17BE">
              <w:t>2</w:t>
            </w:r>
          </w:p>
        </w:tc>
        <w:tc>
          <w:tcPr>
            <w:tcW w:w="2087" w:type="dxa"/>
            <w:tcBorders>
              <w:top w:val="single" w:sz="4" w:space="0" w:color="CCCCCC"/>
              <w:bottom w:val="single" w:sz="4" w:space="0" w:color="CCCCCC"/>
              <w:right w:val="single" w:sz="4" w:space="0" w:color="CCCCCC"/>
            </w:tcBorders>
            <w:shd w:val="clear" w:color="auto" w:fill="CCCCCC"/>
            <w:vAlign w:val="center"/>
          </w:tcPr>
          <w:p w14:paraId="23D985A4" w14:textId="77777777" w:rsidR="00E35425" w:rsidRPr="006B17BE" w:rsidRDefault="00E35425" w:rsidP="002F3590">
            <w:pPr>
              <w:pStyle w:val="OWSTabletext"/>
              <w:cnfStyle w:val="000000000000" w:firstRow="0" w:lastRow="0" w:firstColumn="0" w:lastColumn="0" w:oddVBand="0" w:evenVBand="0" w:oddHBand="0" w:evenHBand="0" w:firstRowFirstColumn="0" w:firstRowLastColumn="0" w:lastRowFirstColumn="0" w:lastRowLastColumn="0"/>
            </w:pPr>
            <w:r w:rsidRPr="006B17BE">
              <w:t>5</w:t>
            </w:r>
          </w:p>
        </w:tc>
      </w:tr>
      <w:tr w:rsidR="00E35425" w:rsidRPr="006B17BE" w14:paraId="665EE252" w14:textId="77777777" w:rsidTr="00F6098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65" w:type="dxa"/>
            <w:tcBorders>
              <w:top w:val="single" w:sz="4" w:space="0" w:color="CCCCCC"/>
              <w:left w:val="single" w:sz="4" w:space="0" w:color="CCCCCC"/>
              <w:bottom w:val="single" w:sz="4" w:space="0" w:color="CCCCCC"/>
            </w:tcBorders>
            <w:vAlign w:val="center"/>
          </w:tcPr>
          <w:p w14:paraId="7D7F1BCF" w14:textId="2E0732C4" w:rsidR="00E35425" w:rsidRPr="006B17BE" w:rsidRDefault="005B208B" w:rsidP="002F3590">
            <w:pPr>
              <w:pStyle w:val="OWSTabletext"/>
              <w:rPr>
                <w:b w:val="0"/>
              </w:rPr>
            </w:pPr>
            <w:r w:rsidRPr="006B17BE">
              <w:t>Maules Creek Formation (lower)</w:t>
            </w:r>
          </w:p>
        </w:tc>
        <w:tc>
          <w:tcPr>
            <w:tcW w:w="2016" w:type="dxa"/>
            <w:tcBorders>
              <w:top w:val="single" w:sz="4" w:space="0" w:color="CCCCCC"/>
              <w:bottom w:val="single" w:sz="4" w:space="0" w:color="CCCCCC"/>
            </w:tcBorders>
            <w:vAlign w:val="center"/>
          </w:tcPr>
          <w:p w14:paraId="105ADFCB"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Aquitard</w:t>
            </w:r>
          </w:p>
        </w:tc>
        <w:tc>
          <w:tcPr>
            <w:tcW w:w="1259" w:type="dxa"/>
            <w:tcBorders>
              <w:top w:val="single" w:sz="4" w:space="0" w:color="CCCCCC"/>
              <w:bottom w:val="single" w:sz="4" w:space="0" w:color="CCCCCC"/>
            </w:tcBorders>
            <w:vAlign w:val="center"/>
          </w:tcPr>
          <w:p w14:paraId="09483183" w14:textId="48C53882" w:rsidR="00E35425" w:rsidRPr="006B17BE" w:rsidRDefault="00E35425" w:rsidP="00C45DEC">
            <w:pPr>
              <w:pStyle w:val="OWSTabletext"/>
              <w:cnfStyle w:val="000000100000" w:firstRow="0" w:lastRow="0" w:firstColumn="0" w:lastColumn="0" w:oddVBand="0" w:evenVBand="0" w:oddHBand="1" w:evenHBand="0" w:firstRowFirstColumn="0" w:firstRowLastColumn="0" w:lastRowFirstColumn="0" w:lastRowLastColumn="0"/>
            </w:pPr>
            <w:r w:rsidRPr="006B17BE">
              <w:t>23/24</w:t>
            </w:r>
          </w:p>
        </w:tc>
        <w:tc>
          <w:tcPr>
            <w:tcW w:w="2087" w:type="dxa"/>
            <w:tcBorders>
              <w:top w:val="single" w:sz="4" w:space="0" w:color="CCCCCC"/>
              <w:bottom w:val="single" w:sz="4" w:space="0" w:color="CCCCCC"/>
              <w:right w:val="single" w:sz="4" w:space="0" w:color="CCCCCC"/>
            </w:tcBorders>
            <w:vAlign w:val="center"/>
          </w:tcPr>
          <w:p w14:paraId="31A01BFF" w14:textId="77777777" w:rsidR="00E35425" w:rsidRPr="006B17BE" w:rsidRDefault="00E35425" w:rsidP="002F3590">
            <w:pPr>
              <w:pStyle w:val="OWSTabletext"/>
              <w:cnfStyle w:val="000000100000" w:firstRow="0" w:lastRow="0" w:firstColumn="0" w:lastColumn="0" w:oddVBand="0" w:evenVBand="0" w:oddHBand="1" w:evenHBand="0" w:firstRowFirstColumn="0" w:firstRowLastColumn="0" w:lastRowFirstColumn="0" w:lastRowLastColumn="0"/>
            </w:pPr>
            <w:r w:rsidRPr="006B17BE">
              <w:t>-</w:t>
            </w:r>
          </w:p>
        </w:tc>
      </w:tr>
    </w:tbl>
    <w:p w14:paraId="0E760DF5" w14:textId="77777777" w:rsidR="00E35425" w:rsidRDefault="00E35425" w:rsidP="00AA16BE">
      <w:pPr>
        <w:spacing w:line="360" w:lineRule="auto"/>
        <w:jc w:val="both"/>
        <w:rPr>
          <w:rFonts w:asciiTheme="minorHAnsi" w:hAnsiTheme="minorHAnsi" w:cstheme="minorHAnsi"/>
          <w:sz w:val="24"/>
          <w:szCs w:val="24"/>
        </w:rPr>
      </w:pPr>
    </w:p>
    <w:p w14:paraId="2858F090" w14:textId="647BA6A1" w:rsidR="002A03F3" w:rsidRPr="006B17BE" w:rsidRDefault="002A03F3" w:rsidP="002A03F3">
      <w:pPr>
        <w:pStyle w:val="Body"/>
      </w:pPr>
      <w:r w:rsidRPr="006B17BE">
        <w:t xml:space="preserve">Hydraulic properties for each layer are outlined in </w:t>
      </w:r>
      <w:r w:rsidRPr="006B17BE">
        <w:fldChar w:fldCharType="begin"/>
      </w:r>
      <w:r w:rsidRPr="006B17BE">
        <w:instrText xml:space="preserve"> REF _Ref478663509 \h </w:instrText>
      </w:r>
      <w:r>
        <w:instrText xml:space="preserve"> \* MERGEFORMAT </w:instrText>
      </w:r>
      <w:r w:rsidRPr="006B17BE">
        <w:fldChar w:fldCharType="separate"/>
      </w:r>
      <w:r w:rsidR="00086147" w:rsidRPr="00684F4E">
        <w:t xml:space="preserve">Table </w:t>
      </w:r>
      <w:r w:rsidR="00086147">
        <w:rPr>
          <w:noProof/>
        </w:rPr>
        <w:t>3</w:t>
      </w:r>
      <w:r w:rsidR="00086147">
        <w:rPr>
          <w:noProof/>
        </w:rPr>
        <w:noBreakHyphen/>
        <w:t>2</w:t>
      </w:r>
      <w:r w:rsidRPr="006B17BE">
        <w:fldChar w:fldCharType="end"/>
      </w:r>
      <w:r w:rsidRPr="006B17BE">
        <w:t xml:space="preserve">, and were based on those used in the CDM Smith (2014) model. </w:t>
      </w:r>
      <w:r w:rsidR="009C69AA">
        <w:t xml:space="preserve">More recent aquitard hydraulic conductivity values are available from Turnadge et al. (2017). </w:t>
      </w:r>
      <w:r w:rsidR="00265E96">
        <w:t xml:space="preserve">The new value for layer 2 (upper aquitard series) is more than two times lower than the value used by CDM Smith (2014); this again represent a conservative condition. For layer 4 (lower aquitard series) the new value is 2.5 times higher than the CDM Smith (2014) value; while this is not conservative, the slightly higher </w:t>
      </w:r>
      <w:r w:rsidR="00265E96" w:rsidRPr="00265E96">
        <w:rPr>
          <w:i/>
        </w:rPr>
        <w:t>K</w:t>
      </w:r>
      <w:r w:rsidR="00265E96" w:rsidRPr="00265E96">
        <w:rPr>
          <w:vertAlign w:val="subscript"/>
        </w:rPr>
        <w:t>V</w:t>
      </w:r>
      <w:r w:rsidR="00265E96">
        <w:t xml:space="preserve"> for layer 4 is likely compensated by the lower </w:t>
      </w:r>
      <w:r w:rsidR="00265E96" w:rsidRPr="00265E96">
        <w:rPr>
          <w:i/>
        </w:rPr>
        <w:t>K</w:t>
      </w:r>
      <w:r w:rsidR="00265E96" w:rsidRPr="00265E96">
        <w:rPr>
          <w:vertAlign w:val="subscript"/>
        </w:rPr>
        <w:t>V</w:t>
      </w:r>
      <w:r w:rsidR="00265E96">
        <w:t xml:space="preserve"> for the second layer. </w:t>
      </w:r>
      <w:r w:rsidRPr="006B17BE">
        <w:t xml:space="preserve">Layer boundary conditions were chosen based on the structural geology within the Bohena Trough, in which the study area is located. The coal seams (and aquitards) were deposited within the basement trough limiting their spatial extent. Therefore they represent layers of finite area and volume, as such no flow boundaries were chosen to represent this spatial discontinuity in the simplified model (layers 2 to 5). </w:t>
      </w:r>
      <w:r w:rsidR="009C69AA">
        <w:t>All model boundary conditions are only applied to the edge cells.</w:t>
      </w:r>
    </w:p>
    <w:p w14:paraId="32FB83AE" w14:textId="77777777" w:rsidR="00AA16BE" w:rsidRPr="006B17BE" w:rsidRDefault="00AA16BE" w:rsidP="00AA16BE">
      <w:pPr>
        <w:keepNext/>
        <w:keepLines/>
        <w:spacing w:line="360" w:lineRule="auto"/>
        <w:jc w:val="center"/>
        <w:rPr>
          <w:rFonts w:asciiTheme="minorHAnsi" w:hAnsiTheme="minorHAnsi" w:cstheme="minorHAnsi"/>
          <w:sz w:val="24"/>
          <w:szCs w:val="24"/>
        </w:rPr>
      </w:pPr>
      <w:r w:rsidRPr="006B17BE">
        <w:rPr>
          <w:rFonts w:asciiTheme="minorHAnsi" w:hAnsiTheme="minorHAnsi" w:cstheme="minorHAnsi"/>
          <w:noProof/>
          <w:sz w:val="24"/>
          <w:szCs w:val="24"/>
        </w:rPr>
        <w:drawing>
          <wp:inline distT="0" distB="0" distL="0" distR="0" wp14:anchorId="6B9B9D1A" wp14:editId="36891F86">
            <wp:extent cx="5698053" cy="4374776"/>
            <wp:effectExtent l="0" t="0" r="0" b="6985"/>
            <wp:docPr id="23" name="Picture 23" descr="\\usermn\n\noor0021\Pictures\Fig_Gunnedah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mn\n\noor0021\Pictures\Fig_Gunnedah_model.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79162" cy="4437049"/>
                    </a:xfrm>
                    <a:prstGeom prst="rect">
                      <a:avLst/>
                    </a:prstGeom>
                    <a:noFill/>
                    <a:ln>
                      <a:noFill/>
                    </a:ln>
                  </pic:spPr>
                </pic:pic>
              </a:graphicData>
            </a:graphic>
          </wp:inline>
        </w:drawing>
      </w:r>
    </w:p>
    <w:p w14:paraId="75F767CD" w14:textId="5E91F9E9" w:rsidR="00AA16BE" w:rsidRDefault="00AA16BE" w:rsidP="00AA16BE">
      <w:pPr>
        <w:pStyle w:val="Caption"/>
        <w:rPr>
          <w:rFonts w:asciiTheme="minorHAnsi" w:hAnsiTheme="minorHAnsi" w:cstheme="minorHAnsi"/>
          <w:szCs w:val="24"/>
        </w:rPr>
      </w:pPr>
      <w:bookmarkStart w:id="500" w:name="_Ref476035480"/>
      <w:bookmarkStart w:id="501" w:name="_Ref476035477"/>
      <w:bookmarkStart w:id="502" w:name="_Toc508267268"/>
      <w:r w:rsidRPr="006B17BE">
        <w:rPr>
          <w:rFonts w:asciiTheme="minorHAnsi" w:hAnsiTheme="minorHAnsi" w:cstheme="minorHAnsi"/>
          <w:szCs w:val="24"/>
        </w:rPr>
        <w:t xml:space="preserve">Figure </w:t>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STYLEREF 1 \s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3</w:t>
      </w:r>
      <w:r w:rsidR="0014612E">
        <w:rPr>
          <w:rFonts w:asciiTheme="minorHAnsi" w:hAnsiTheme="minorHAnsi" w:cstheme="minorHAnsi"/>
          <w:szCs w:val="24"/>
        </w:rPr>
        <w:fldChar w:fldCharType="end"/>
      </w:r>
      <w:r w:rsidR="0014612E">
        <w:rPr>
          <w:rFonts w:asciiTheme="minorHAnsi" w:hAnsiTheme="minorHAnsi" w:cstheme="minorHAnsi"/>
          <w:szCs w:val="24"/>
        </w:rPr>
        <w:noBreakHyphen/>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SEQ Figure \* ARABIC \s 1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1</w:t>
      </w:r>
      <w:r w:rsidR="0014612E">
        <w:rPr>
          <w:rFonts w:asciiTheme="minorHAnsi" w:hAnsiTheme="minorHAnsi" w:cstheme="minorHAnsi"/>
          <w:szCs w:val="24"/>
        </w:rPr>
        <w:fldChar w:fldCharType="end"/>
      </w:r>
      <w:bookmarkEnd w:id="500"/>
      <w:r w:rsidRPr="006B17BE">
        <w:rPr>
          <w:rFonts w:asciiTheme="minorHAnsi" w:hAnsiTheme="minorHAnsi" w:cstheme="minorHAnsi"/>
          <w:szCs w:val="24"/>
        </w:rPr>
        <w:t xml:space="preserve"> Diagrams of the simplified model grid. (a) </w:t>
      </w:r>
      <w:r w:rsidR="00B26FC3" w:rsidRPr="006B17BE">
        <w:rPr>
          <w:rFonts w:asciiTheme="minorHAnsi" w:hAnsiTheme="minorHAnsi" w:cstheme="minorHAnsi"/>
          <w:szCs w:val="24"/>
        </w:rPr>
        <w:t xml:space="preserve">Black rectangle </w:t>
      </w:r>
      <w:r w:rsidRPr="006B17BE">
        <w:rPr>
          <w:rFonts w:asciiTheme="minorHAnsi" w:hAnsiTheme="minorHAnsi" w:cstheme="minorHAnsi"/>
          <w:szCs w:val="24"/>
        </w:rPr>
        <w:t xml:space="preserve">shows the area represented by the simplified model </w:t>
      </w:r>
      <w:r w:rsidR="00C45DEC" w:rsidRPr="006B17BE">
        <w:rPr>
          <w:rFonts w:asciiTheme="minorHAnsi" w:hAnsiTheme="minorHAnsi" w:cstheme="minorHAnsi"/>
          <w:szCs w:val="24"/>
        </w:rPr>
        <w:t xml:space="preserve">(195 km </w:t>
      </w:r>
      <w:r w:rsidR="00CC29FE">
        <w:rPr>
          <w:rFonts w:asciiTheme="minorHAnsi" w:hAnsiTheme="minorHAnsi" w:cstheme="minorHAnsi"/>
          <w:szCs w:val="24"/>
        </w:rPr>
        <w:t>×</w:t>
      </w:r>
      <w:r w:rsidR="00C45DEC" w:rsidRPr="006B17BE">
        <w:rPr>
          <w:rFonts w:asciiTheme="minorHAnsi" w:hAnsiTheme="minorHAnsi" w:cstheme="minorHAnsi"/>
          <w:szCs w:val="24"/>
        </w:rPr>
        <w:t xml:space="preserve"> 151 km</w:t>
      </w:r>
      <w:r w:rsidR="00CC29FE" w:rsidRPr="00CC29FE">
        <w:rPr>
          <w:rFonts w:asciiTheme="minorHAnsi" w:hAnsiTheme="minorHAnsi" w:cstheme="minorHAnsi"/>
          <w:szCs w:val="24"/>
          <w:vertAlign w:val="superscript"/>
        </w:rPr>
        <w:t>2</w:t>
      </w:r>
      <w:r w:rsidR="00C45DEC" w:rsidRPr="006B17BE">
        <w:rPr>
          <w:rFonts w:asciiTheme="minorHAnsi" w:hAnsiTheme="minorHAnsi" w:cstheme="minorHAnsi"/>
          <w:szCs w:val="24"/>
        </w:rPr>
        <w:t xml:space="preserve">) </w:t>
      </w:r>
      <w:r w:rsidRPr="006B17BE">
        <w:rPr>
          <w:rFonts w:asciiTheme="minorHAnsi" w:hAnsiTheme="minorHAnsi" w:cstheme="minorHAnsi"/>
          <w:szCs w:val="24"/>
        </w:rPr>
        <w:t xml:space="preserve">relative to the </w:t>
      </w:r>
      <w:r w:rsidR="00B26FC3" w:rsidRPr="006B17BE">
        <w:rPr>
          <w:rFonts w:asciiTheme="minorHAnsi" w:hAnsiTheme="minorHAnsi" w:cstheme="minorHAnsi"/>
          <w:szCs w:val="24"/>
        </w:rPr>
        <w:t>full CDM Smith (2014)</w:t>
      </w:r>
      <w:r w:rsidR="005B4247" w:rsidRPr="006B17BE">
        <w:rPr>
          <w:rFonts w:asciiTheme="minorHAnsi" w:hAnsiTheme="minorHAnsi" w:cstheme="minorHAnsi"/>
          <w:szCs w:val="24"/>
        </w:rPr>
        <w:t xml:space="preserve"> </w:t>
      </w:r>
      <w:r w:rsidRPr="006B17BE">
        <w:rPr>
          <w:rFonts w:asciiTheme="minorHAnsi" w:hAnsiTheme="minorHAnsi" w:cstheme="minorHAnsi"/>
          <w:szCs w:val="24"/>
        </w:rPr>
        <w:t>model</w:t>
      </w:r>
      <w:r w:rsidR="00B26FC3" w:rsidRPr="006B17BE">
        <w:rPr>
          <w:rFonts w:asciiTheme="minorHAnsi" w:hAnsiTheme="minorHAnsi" w:cstheme="minorHAnsi"/>
          <w:szCs w:val="24"/>
        </w:rPr>
        <w:t>;</w:t>
      </w:r>
      <w:r w:rsidRPr="006B17BE">
        <w:rPr>
          <w:rFonts w:asciiTheme="minorHAnsi" w:hAnsiTheme="minorHAnsi" w:cstheme="minorHAnsi"/>
          <w:szCs w:val="24"/>
        </w:rPr>
        <w:t xml:space="preserve"> (b) </w:t>
      </w:r>
      <w:r w:rsidR="00B26FC3" w:rsidRPr="006B17BE">
        <w:rPr>
          <w:rFonts w:asciiTheme="minorHAnsi" w:hAnsiTheme="minorHAnsi" w:cstheme="minorHAnsi"/>
          <w:szCs w:val="24"/>
        </w:rPr>
        <w:t>S</w:t>
      </w:r>
      <w:r w:rsidRPr="006B17BE">
        <w:rPr>
          <w:rFonts w:asciiTheme="minorHAnsi" w:hAnsiTheme="minorHAnsi" w:cstheme="minorHAnsi"/>
          <w:szCs w:val="24"/>
        </w:rPr>
        <w:t xml:space="preserve">implified model grid structure and </w:t>
      </w:r>
      <w:r w:rsidR="00CC29FE">
        <w:rPr>
          <w:rFonts w:asciiTheme="minorHAnsi" w:hAnsiTheme="minorHAnsi" w:cstheme="minorHAnsi"/>
          <w:szCs w:val="24"/>
        </w:rPr>
        <w:t>coal seam gas</w:t>
      </w:r>
      <w:r w:rsidR="00B26FC3" w:rsidRPr="006B17BE">
        <w:rPr>
          <w:rFonts w:asciiTheme="minorHAnsi" w:hAnsiTheme="minorHAnsi" w:cstheme="minorHAnsi"/>
          <w:szCs w:val="24"/>
        </w:rPr>
        <w:t xml:space="preserve"> </w:t>
      </w:r>
      <w:r w:rsidRPr="006B17BE">
        <w:rPr>
          <w:rFonts w:asciiTheme="minorHAnsi" w:hAnsiTheme="minorHAnsi" w:cstheme="minorHAnsi"/>
          <w:szCs w:val="24"/>
        </w:rPr>
        <w:t>well locations (white dots)</w:t>
      </w:r>
      <w:r w:rsidR="00B26FC3" w:rsidRPr="006B17BE">
        <w:rPr>
          <w:rFonts w:asciiTheme="minorHAnsi" w:hAnsiTheme="minorHAnsi" w:cstheme="minorHAnsi"/>
          <w:szCs w:val="24"/>
        </w:rPr>
        <w:t>;</w:t>
      </w:r>
      <w:r w:rsidRPr="006B17BE">
        <w:rPr>
          <w:rFonts w:asciiTheme="minorHAnsi" w:hAnsiTheme="minorHAnsi" w:cstheme="minorHAnsi"/>
          <w:szCs w:val="24"/>
        </w:rPr>
        <w:t xml:space="preserve"> (c) </w:t>
      </w:r>
      <w:r w:rsidR="00B26FC3" w:rsidRPr="006B17BE">
        <w:rPr>
          <w:rFonts w:asciiTheme="minorHAnsi" w:hAnsiTheme="minorHAnsi" w:cstheme="minorHAnsi"/>
          <w:szCs w:val="24"/>
        </w:rPr>
        <w:t>R</w:t>
      </w:r>
      <w:r w:rsidRPr="006B17BE">
        <w:rPr>
          <w:rFonts w:asciiTheme="minorHAnsi" w:hAnsiTheme="minorHAnsi" w:cstheme="minorHAnsi"/>
          <w:szCs w:val="24"/>
        </w:rPr>
        <w:t xml:space="preserve">elative thicknesses </w:t>
      </w:r>
      <w:r w:rsidR="00C45DEC" w:rsidRPr="006B17BE">
        <w:rPr>
          <w:rFonts w:asciiTheme="minorHAnsi" w:hAnsiTheme="minorHAnsi" w:cstheme="minorHAnsi"/>
          <w:szCs w:val="24"/>
        </w:rPr>
        <w:t xml:space="preserve">(nearly 480 m) </w:t>
      </w:r>
      <w:r w:rsidRPr="006B17BE">
        <w:rPr>
          <w:rFonts w:asciiTheme="minorHAnsi" w:hAnsiTheme="minorHAnsi" w:cstheme="minorHAnsi"/>
          <w:szCs w:val="24"/>
        </w:rPr>
        <w:t>of the model layers of the simplified model.</w:t>
      </w:r>
      <w:bookmarkEnd w:id="501"/>
      <w:bookmarkEnd w:id="502"/>
      <w:r w:rsidRPr="006B17BE">
        <w:rPr>
          <w:rFonts w:asciiTheme="minorHAnsi" w:hAnsiTheme="minorHAnsi" w:cstheme="minorHAnsi"/>
          <w:szCs w:val="24"/>
        </w:rPr>
        <w:t xml:space="preserve"> </w:t>
      </w:r>
    </w:p>
    <w:p w14:paraId="741CD33F" w14:textId="77777777" w:rsidR="00684F4E" w:rsidRDefault="00684F4E" w:rsidP="00684F4E">
      <w:pPr>
        <w:pStyle w:val="Body"/>
      </w:pPr>
    </w:p>
    <w:p w14:paraId="23CFC09C" w14:textId="11A973CF" w:rsidR="00684F4E" w:rsidRPr="006B17BE" w:rsidRDefault="00684F4E" w:rsidP="00684F4E">
      <w:pPr>
        <w:pStyle w:val="Body"/>
      </w:pPr>
      <w:r w:rsidRPr="006B17BE">
        <w:t>The Pilliga Sandstone (layer 1) is the most contiguous geological layer in the model, as such constant head boundaries were used in the model (</w:t>
      </w:r>
      <w:r w:rsidRPr="006B17BE">
        <w:fldChar w:fldCharType="begin"/>
      </w:r>
      <w:r w:rsidRPr="006B17BE">
        <w:instrText xml:space="preserve"> REF _Ref478663645 \h </w:instrText>
      </w:r>
      <w:r>
        <w:instrText xml:space="preserve"> \* MERGEFORMAT </w:instrText>
      </w:r>
      <w:r w:rsidRPr="006B17BE">
        <w:fldChar w:fldCharType="separate"/>
      </w:r>
      <w:r w:rsidR="00086147" w:rsidRPr="006B17BE">
        <w:t xml:space="preserve">Figure </w:t>
      </w:r>
      <w:r w:rsidR="00086147">
        <w:rPr>
          <w:noProof/>
        </w:rPr>
        <w:t>3</w:t>
      </w:r>
      <w:r w:rsidR="00086147">
        <w:rPr>
          <w:noProof/>
        </w:rPr>
        <w:noBreakHyphen/>
        <w:t>2</w:t>
      </w:r>
      <w:r w:rsidRPr="006B17BE">
        <w:fldChar w:fldCharType="end"/>
      </w:r>
      <w:r w:rsidRPr="006B17BE">
        <w:t>). The constant head boundary (layer 1) in the simplified model was based on the steady-state groundwater heads previously calculated with the CDM Smith (2014) model (</w:t>
      </w:r>
      <w:r w:rsidRPr="006B17BE">
        <w:fldChar w:fldCharType="begin"/>
      </w:r>
      <w:r w:rsidRPr="006B17BE">
        <w:instrText xml:space="preserve"> REF _Ref476035621 \h  \* MERGEFORMAT </w:instrText>
      </w:r>
      <w:r w:rsidRPr="006B17BE">
        <w:fldChar w:fldCharType="separate"/>
      </w:r>
      <w:r w:rsidR="00086147" w:rsidRPr="00086147">
        <w:t xml:space="preserve">Figure </w:t>
      </w:r>
      <w:r w:rsidR="00086147" w:rsidRPr="00086147">
        <w:rPr>
          <w:noProof/>
        </w:rPr>
        <w:t>3</w:t>
      </w:r>
      <w:r w:rsidR="00086147" w:rsidRPr="00086147">
        <w:rPr>
          <w:noProof/>
        </w:rPr>
        <w:noBreakHyphen/>
        <w:t>3</w:t>
      </w:r>
      <w:r w:rsidRPr="006B17BE">
        <w:fldChar w:fldCharType="end"/>
      </w:r>
      <w:r w:rsidRPr="006B17BE">
        <w:t xml:space="preserve">). This generated a realistic regional flow field within the simplified model. Initial conditions used for layers 2-5 were equal to the average steady-state heads from the CDM Smith (2014) model. </w:t>
      </w:r>
    </w:p>
    <w:p w14:paraId="22746F72" w14:textId="77777777" w:rsidR="00684F4E" w:rsidRDefault="00684F4E" w:rsidP="00684F4E">
      <w:pPr>
        <w:pStyle w:val="BodyText"/>
      </w:pPr>
    </w:p>
    <w:p w14:paraId="1CE7F7FC" w14:textId="77777777" w:rsidR="0014612E" w:rsidRDefault="0014612E" w:rsidP="00684F4E">
      <w:pPr>
        <w:pStyle w:val="BodyText"/>
      </w:pPr>
    </w:p>
    <w:p w14:paraId="6D923D86" w14:textId="77777777" w:rsidR="0014612E" w:rsidRDefault="0014612E" w:rsidP="00684F4E">
      <w:pPr>
        <w:pStyle w:val="BodyText"/>
      </w:pPr>
    </w:p>
    <w:p w14:paraId="458B36EA" w14:textId="77777777" w:rsidR="00684F4E" w:rsidRPr="00684F4E" w:rsidRDefault="00684F4E" w:rsidP="00684F4E">
      <w:pPr>
        <w:pStyle w:val="BodyText"/>
      </w:pPr>
    </w:p>
    <w:p w14:paraId="06F9D1AD" w14:textId="212D4BB1" w:rsidR="00794942" w:rsidRPr="00684F4E" w:rsidRDefault="00794942" w:rsidP="00684F4E">
      <w:pPr>
        <w:pStyle w:val="Caption"/>
      </w:pPr>
      <w:bookmarkStart w:id="503" w:name="_Ref478663509"/>
      <w:bookmarkStart w:id="504" w:name="_Toc508267200"/>
      <w:r w:rsidRPr="00684F4E">
        <w:t xml:space="preserve">Table </w:t>
      </w:r>
      <w:r w:rsidR="00296C49">
        <w:fldChar w:fldCharType="begin"/>
      </w:r>
      <w:r w:rsidR="00296C49">
        <w:instrText xml:space="preserve"> STYLEREF 1 \s </w:instrText>
      </w:r>
      <w:r w:rsidR="00296C49">
        <w:fldChar w:fldCharType="separate"/>
      </w:r>
      <w:r w:rsidR="00086147">
        <w:rPr>
          <w:noProof/>
        </w:rPr>
        <w:t>3</w:t>
      </w:r>
      <w:r w:rsidR="00296C49">
        <w:rPr>
          <w:noProof/>
        </w:rPr>
        <w:fldChar w:fldCharType="end"/>
      </w:r>
      <w:r w:rsidR="0014612E">
        <w:noBreakHyphen/>
      </w:r>
      <w:r w:rsidR="00296C49">
        <w:fldChar w:fldCharType="begin"/>
      </w:r>
      <w:r w:rsidR="00296C49">
        <w:instrText xml:space="preserve"> SEQ Table \* ARABIC \s 1 </w:instrText>
      </w:r>
      <w:r w:rsidR="00296C49">
        <w:fldChar w:fldCharType="separate"/>
      </w:r>
      <w:r w:rsidR="00086147">
        <w:rPr>
          <w:noProof/>
        </w:rPr>
        <w:t>2</w:t>
      </w:r>
      <w:r w:rsidR="00296C49">
        <w:rPr>
          <w:noProof/>
        </w:rPr>
        <w:fldChar w:fldCharType="end"/>
      </w:r>
      <w:bookmarkEnd w:id="503"/>
      <w:r w:rsidRPr="00684F4E">
        <w:t xml:space="preserve"> Simplified groundwater model layer discretisation and parameterisation. CHB and NFB are constant head boundary and no flow boundary</w:t>
      </w:r>
      <w:r w:rsidR="0092151B" w:rsidRPr="00684F4E">
        <w:t>,</w:t>
      </w:r>
      <w:r w:rsidRPr="00684F4E">
        <w:t xml:space="preserve"> respectively. Data from CDM Smith (2014)</w:t>
      </w:r>
      <w:r w:rsidR="009C69AA" w:rsidRPr="00684F4E">
        <w:t>.</w:t>
      </w:r>
      <w:r w:rsidR="00265E96" w:rsidRPr="00684F4E">
        <w:t xml:space="preserve"> Values in square brackets are new measurements (median from harmonically upscaled values) reported by Turnadge et al. (2017).</w:t>
      </w:r>
      <w:bookmarkEnd w:id="504"/>
    </w:p>
    <w:tbl>
      <w:tblPr>
        <w:tblStyle w:val="ListTable3-Accent1"/>
        <w:tblW w:w="0" w:type="auto"/>
        <w:jc w:val="center"/>
        <w:tblBorders>
          <w:top w:val="single" w:sz="4" w:space="0" w:color="CCCCCC"/>
          <w:left w:val="single" w:sz="4" w:space="0" w:color="CCCCCC"/>
          <w:bottom w:val="single" w:sz="4" w:space="0" w:color="CCCCCC"/>
          <w:right w:val="single" w:sz="4" w:space="0" w:color="CCCCCC"/>
          <w:insideH w:val="single" w:sz="4" w:space="0" w:color="CCCCCC"/>
        </w:tblBorders>
        <w:tblLook w:val="04A0" w:firstRow="1" w:lastRow="0" w:firstColumn="1" w:lastColumn="0" w:noHBand="0" w:noVBand="1"/>
      </w:tblPr>
      <w:tblGrid>
        <w:gridCol w:w="3686"/>
        <w:gridCol w:w="1134"/>
        <w:gridCol w:w="992"/>
        <w:gridCol w:w="1134"/>
        <w:gridCol w:w="993"/>
        <w:gridCol w:w="992"/>
      </w:tblGrid>
      <w:tr w:rsidR="00794942" w:rsidRPr="006B17BE" w14:paraId="7F101FA8" w14:textId="77777777" w:rsidTr="00F60987">
        <w:trPr>
          <w:cnfStyle w:val="100000000000" w:firstRow="1" w:lastRow="0" w:firstColumn="0" w:lastColumn="0" w:oddVBand="0" w:evenVBand="0" w:oddHBand="0" w:evenHBand="0" w:firstRowFirstColumn="0" w:firstRowLastColumn="0" w:lastRowFirstColumn="0" w:lastRowLastColumn="0"/>
          <w:trHeight w:val="524"/>
          <w:jc w:val="center"/>
        </w:trPr>
        <w:tc>
          <w:tcPr>
            <w:cnfStyle w:val="001000000100" w:firstRow="0" w:lastRow="0" w:firstColumn="1" w:lastColumn="0" w:oddVBand="0" w:evenVBand="0" w:oddHBand="0" w:evenHBand="0" w:firstRowFirstColumn="1" w:firstRowLastColumn="0" w:lastRowFirstColumn="0" w:lastRowLastColumn="0"/>
            <w:tcW w:w="3686" w:type="dxa"/>
            <w:tcBorders>
              <w:bottom w:val="none" w:sz="0" w:space="0" w:color="auto"/>
              <w:right w:val="none" w:sz="0" w:space="0" w:color="auto"/>
            </w:tcBorders>
            <w:shd w:val="clear" w:color="auto" w:fill="CCCCCC"/>
            <w:vAlign w:val="center"/>
          </w:tcPr>
          <w:p w14:paraId="38ED8AA0" w14:textId="77777777" w:rsidR="00794942" w:rsidRPr="006B17BE" w:rsidRDefault="00794942" w:rsidP="002F3590">
            <w:pPr>
              <w:pStyle w:val="OWSTabletext"/>
            </w:pPr>
            <w:r w:rsidRPr="006B17BE">
              <w:t>Parameter</w:t>
            </w:r>
          </w:p>
        </w:tc>
        <w:tc>
          <w:tcPr>
            <w:tcW w:w="1134" w:type="dxa"/>
            <w:shd w:val="clear" w:color="auto" w:fill="CCCCCC"/>
            <w:vAlign w:val="center"/>
          </w:tcPr>
          <w:p w14:paraId="0BEBFF7C" w14:textId="77777777" w:rsidR="00794942" w:rsidRPr="006B17BE" w:rsidRDefault="00794942" w:rsidP="002F3590">
            <w:pPr>
              <w:pStyle w:val="OWSTabletext"/>
              <w:cnfStyle w:val="100000000000" w:firstRow="1" w:lastRow="0" w:firstColumn="0" w:lastColumn="0" w:oddVBand="0" w:evenVBand="0" w:oddHBand="0" w:evenHBand="0" w:firstRowFirstColumn="0" w:firstRowLastColumn="0" w:lastRowFirstColumn="0" w:lastRowLastColumn="0"/>
            </w:pPr>
            <w:r w:rsidRPr="006B17BE">
              <w:t>Layer 1</w:t>
            </w:r>
          </w:p>
        </w:tc>
        <w:tc>
          <w:tcPr>
            <w:tcW w:w="992" w:type="dxa"/>
            <w:shd w:val="clear" w:color="auto" w:fill="CCCCCC"/>
            <w:vAlign w:val="center"/>
          </w:tcPr>
          <w:p w14:paraId="77B4E5FA" w14:textId="77777777" w:rsidR="00794942" w:rsidRPr="006B17BE" w:rsidRDefault="00794942" w:rsidP="002F3590">
            <w:pPr>
              <w:pStyle w:val="OWSTabletext"/>
              <w:cnfStyle w:val="100000000000" w:firstRow="1" w:lastRow="0" w:firstColumn="0" w:lastColumn="0" w:oddVBand="0" w:evenVBand="0" w:oddHBand="0" w:evenHBand="0" w:firstRowFirstColumn="0" w:firstRowLastColumn="0" w:lastRowFirstColumn="0" w:lastRowLastColumn="0"/>
            </w:pPr>
            <w:r w:rsidRPr="006B17BE">
              <w:t>Layer 2</w:t>
            </w:r>
          </w:p>
        </w:tc>
        <w:tc>
          <w:tcPr>
            <w:tcW w:w="1134" w:type="dxa"/>
            <w:shd w:val="clear" w:color="auto" w:fill="CCCCCC"/>
            <w:vAlign w:val="center"/>
          </w:tcPr>
          <w:p w14:paraId="71E78EEB" w14:textId="77777777" w:rsidR="00794942" w:rsidRPr="006B17BE" w:rsidRDefault="00794942" w:rsidP="002F3590">
            <w:pPr>
              <w:pStyle w:val="OWSTabletext"/>
              <w:cnfStyle w:val="100000000000" w:firstRow="1" w:lastRow="0" w:firstColumn="0" w:lastColumn="0" w:oddVBand="0" w:evenVBand="0" w:oddHBand="0" w:evenHBand="0" w:firstRowFirstColumn="0" w:firstRowLastColumn="0" w:lastRowFirstColumn="0" w:lastRowLastColumn="0"/>
            </w:pPr>
            <w:r w:rsidRPr="006B17BE">
              <w:t>Layer 3</w:t>
            </w:r>
          </w:p>
        </w:tc>
        <w:tc>
          <w:tcPr>
            <w:tcW w:w="993" w:type="dxa"/>
            <w:shd w:val="clear" w:color="auto" w:fill="CCCCCC"/>
            <w:vAlign w:val="center"/>
          </w:tcPr>
          <w:p w14:paraId="5B62CB2D" w14:textId="77777777" w:rsidR="00794942" w:rsidRPr="006B17BE" w:rsidRDefault="00794942" w:rsidP="002F3590">
            <w:pPr>
              <w:pStyle w:val="OWSTabletext"/>
              <w:cnfStyle w:val="100000000000" w:firstRow="1" w:lastRow="0" w:firstColumn="0" w:lastColumn="0" w:oddVBand="0" w:evenVBand="0" w:oddHBand="0" w:evenHBand="0" w:firstRowFirstColumn="0" w:firstRowLastColumn="0" w:lastRowFirstColumn="0" w:lastRowLastColumn="0"/>
            </w:pPr>
            <w:r w:rsidRPr="006B17BE">
              <w:t>Layer 4</w:t>
            </w:r>
          </w:p>
        </w:tc>
        <w:tc>
          <w:tcPr>
            <w:tcW w:w="992" w:type="dxa"/>
            <w:shd w:val="clear" w:color="auto" w:fill="CCCCCC"/>
            <w:vAlign w:val="center"/>
          </w:tcPr>
          <w:p w14:paraId="78195649" w14:textId="77777777" w:rsidR="00794942" w:rsidRPr="006B17BE" w:rsidRDefault="00794942" w:rsidP="002F3590">
            <w:pPr>
              <w:pStyle w:val="OWSTabletext"/>
              <w:cnfStyle w:val="100000000000" w:firstRow="1" w:lastRow="0" w:firstColumn="0" w:lastColumn="0" w:oddVBand="0" w:evenVBand="0" w:oddHBand="0" w:evenHBand="0" w:firstRowFirstColumn="0" w:firstRowLastColumn="0" w:lastRowFirstColumn="0" w:lastRowLastColumn="0"/>
            </w:pPr>
            <w:r w:rsidRPr="006B17BE">
              <w:t>Layer 5</w:t>
            </w:r>
          </w:p>
        </w:tc>
      </w:tr>
      <w:tr w:rsidR="00794942" w:rsidRPr="006B17BE" w14:paraId="1808B7A9" w14:textId="77777777" w:rsidTr="00F60987">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vAlign w:val="center"/>
          </w:tcPr>
          <w:p w14:paraId="289B7B06" w14:textId="77777777" w:rsidR="00794942" w:rsidRPr="006B17BE" w:rsidRDefault="00794942" w:rsidP="002F3590">
            <w:pPr>
              <w:pStyle w:val="OWSTabletext"/>
              <w:rPr>
                <w:b w:val="0"/>
              </w:rPr>
            </w:pPr>
            <w:r w:rsidRPr="006B17BE">
              <w:t>Thickness (m)</w:t>
            </w:r>
          </w:p>
        </w:tc>
        <w:tc>
          <w:tcPr>
            <w:tcW w:w="1134" w:type="dxa"/>
            <w:tcBorders>
              <w:top w:val="none" w:sz="0" w:space="0" w:color="auto"/>
              <w:bottom w:val="none" w:sz="0" w:space="0" w:color="auto"/>
            </w:tcBorders>
            <w:vAlign w:val="center"/>
          </w:tcPr>
          <w:p w14:paraId="6FCB6CEB"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111.41</w:t>
            </w:r>
          </w:p>
        </w:tc>
        <w:tc>
          <w:tcPr>
            <w:tcW w:w="992" w:type="dxa"/>
            <w:tcBorders>
              <w:top w:val="none" w:sz="0" w:space="0" w:color="auto"/>
              <w:bottom w:val="none" w:sz="0" w:space="0" w:color="auto"/>
            </w:tcBorders>
            <w:vAlign w:val="center"/>
          </w:tcPr>
          <w:p w14:paraId="6A1E681B"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229.41</w:t>
            </w:r>
          </w:p>
        </w:tc>
        <w:tc>
          <w:tcPr>
            <w:tcW w:w="1134" w:type="dxa"/>
            <w:tcBorders>
              <w:top w:val="none" w:sz="0" w:space="0" w:color="auto"/>
              <w:bottom w:val="none" w:sz="0" w:space="0" w:color="auto"/>
            </w:tcBorders>
            <w:vAlign w:val="center"/>
          </w:tcPr>
          <w:p w14:paraId="2B8CD403"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17.8</w:t>
            </w:r>
          </w:p>
        </w:tc>
        <w:tc>
          <w:tcPr>
            <w:tcW w:w="993" w:type="dxa"/>
            <w:tcBorders>
              <w:top w:val="none" w:sz="0" w:space="0" w:color="auto"/>
              <w:bottom w:val="none" w:sz="0" w:space="0" w:color="auto"/>
            </w:tcBorders>
            <w:vAlign w:val="center"/>
          </w:tcPr>
          <w:p w14:paraId="54AE48C3"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113.21</w:t>
            </w:r>
          </w:p>
        </w:tc>
        <w:tc>
          <w:tcPr>
            <w:tcW w:w="992" w:type="dxa"/>
            <w:tcBorders>
              <w:top w:val="none" w:sz="0" w:space="0" w:color="auto"/>
              <w:bottom w:val="none" w:sz="0" w:space="0" w:color="auto"/>
            </w:tcBorders>
            <w:vAlign w:val="center"/>
          </w:tcPr>
          <w:p w14:paraId="3D2A3A3B"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7.11</w:t>
            </w:r>
          </w:p>
        </w:tc>
      </w:tr>
      <w:tr w:rsidR="00794942" w:rsidRPr="006B17BE" w14:paraId="70B96944" w14:textId="77777777" w:rsidTr="00F60987">
        <w:trPr>
          <w:trHeight w:val="524"/>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vAlign w:val="center"/>
          </w:tcPr>
          <w:p w14:paraId="217A9A26" w14:textId="77777777" w:rsidR="00794942" w:rsidRPr="006B17BE" w:rsidRDefault="00794942" w:rsidP="002F3590">
            <w:pPr>
              <w:pStyle w:val="OWSTabletext"/>
              <w:rPr>
                <w:b w:val="0"/>
              </w:rPr>
            </w:pPr>
            <w:r w:rsidRPr="006B17BE">
              <w:t>Top elevation (m AHD)</w:t>
            </w:r>
          </w:p>
        </w:tc>
        <w:tc>
          <w:tcPr>
            <w:tcW w:w="1134" w:type="dxa"/>
            <w:vAlign w:val="center"/>
          </w:tcPr>
          <w:p w14:paraId="77786FC7"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200.28</w:t>
            </w:r>
          </w:p>
        </w:tc>
        <w:tc>
          <w:tcPr>
            <w:tcW w:w="992" w:type="dxa"/>
            <w:vAlign w:val="center"/>
          </w:tcPr>
          <w:p w14:paraId="62652C89"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88.87</w:t>
            </w:r>
          </w:p>
        </w:tc>
        <w:tc>
          <w:tcPr>
            <w:tcW w:w="1134" w:type="dxa"/>
            <w:vAlign w:val="center"/>
          </w:tcPr>
          <w:p w14:paraId="5E6A7EBA"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-140.54</w:t>
            </w:r>
          </w:p>
        </w:tc>
        <w:tc>
          <w:tcPr>
            <w:tcW w:w="993" w:type="dxa"/>
            <w:vAlign w:val="center"/>
          </w:tcPr>
          <w:p w14:paraId="368C822F"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-158.36</w:t>
            </w:r>
          </w:p>
        </w:tc>
        <w:tc>
          <w:tcPr>
            <w:tcW w:w="992" w:type="dxa"/>
            <w:vAlign w:val="center"/>
          </w:tcPr>
          <w:p w14:paraId="476B0C08"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-271.56</w:t>
            </w:r>
          </w:p>
        </w:tc>
      </w:tr>
      <w:tr w:rsidR="00794942" w:rsidRPr="006B17BE" w14:paraId="1CCCB372" w14:textId="77777777" w:rsidTr="00F60987">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vAlign w:val="center"/>
          </w:tcPr>
          <w:p w14:paraId="14085828" w14:textId="77777777" w:rsidR="00794942" w:rsidRPr="006B17BE" w:rsidRDefault="00794942" w:rsidP="002F3590">
            <w:pPr>
              <w:pStyle w:val="OWSTabletext"/>
              <w:rPr>
                <w:b w:val="0"/>
              </w:rPr>
            </w:pPr>
            <w:r w:rsidRPr="006B17BE">
              <w:t>Base elevation (m AHD)</w:t>
            </w:r>
          </w:p>
        </w:tc>
        <w:tc>
          <w:tcPr>
            <w:tcW w:w="1134" w:type="dxa"/>
            <w:tcBorders>
              <w:top w:val="none" w:sz="0" w:space="0" w:color="auto"/>
              <w:bottom w:val="none" w:sz="0" w:space="0" w:color="auto"/>
            </w:tcBorders>
            <w:vAlign w:val="center"/>
          </w:tcPr>
          <w:p w14:paraId="1F2AB327"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88.87</w:t>
            </w:r>
          </w:p>
        </w:tc>
        <w:tc>
          <w:tcPr>
            <w:tcW w:w="992" w:type="dxa"/>
            <w:tcBorders>
              <w:top w:val="none" w:sz="0" w:space="0" w:color="auto"/>
              <w:bottom w:val="none" w:sz="0" w:space="0" w:color="auto"/>
            </w:tcBorders>
            <w:vAlign w:val="center"/>
          </w:tcPr>
          <w:p w14:paraId="4427909F"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-140.54</w:t>
            </w:r>
          </w:p>
        </w:tc>
        <w:tc>
          <w:tcPr>
            <w:tcW w:w="1134" w:type="dxa"/>
            <w:tcBorders>
              <w:top w:val="none" w:sz="0" w:space="0" w:color="auto"/>
              <w:bottom w:val="none" w:sz="0" w:space="0" w:color="auto"/>
            </w:tcBorders>
            <w:vAlign w:val="center"/>
          </w:tcPr>
          <w:p w14:paraId="3CE3F91B"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-158.36</w:t>
            </w:r>
          </w:p>
        </w:tc>
        <w:tc>
          <w:tcPr>
            <w:tcW w:w="993" w:type="dxa"/>
            <w:tcBorders>
              <w:top w:val="none" w:sz="0" w:space="0" w:color="auto"/>
              <w:bottom w:val="none" w:sz="0" w:space="0" w:color="auto"/>
            </w:tcBorders>
            <w:vAlign w:val="center"/>
          </w:tcPr>
          <w:p w14:paraId="10D85661"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-271.56</w:t>
            </w:r>
          </w:p>
        </w:tc>
        <w:tc>
          <w:tcPr>
            <w:tcW w:w="992" w:type="dxa"/>
            <w:tcBorders>
              <w:top w:val="none" w:sz="0" w:space="0" w:color="auto"/>
              <w:bottom w:val="none" w:sz="0" w:space="0" w:color="auto"/>
            </w:tcBorders>
            <w:vAlign w:val="center"/>
          </w:tcPr>
          <w:p w14:paraId="56768B59"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-278.68</w:t>
            </w:r>
          </w:p>
        </w:tc>
      </w:tr>
      <w:tr w:rsidR="00794942" w:rsidRPr="006B17BE" w14:paraId="23152327" w14:textId="77777777" w:rsidTr="00F60987">
        <w:trPr>
          <w:trHeight w:val="322"/>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vAlign w:val="center"/>
          </w:tcPr>
          <w:p w14:paraId="740CD548" w14:textId="6C694B89" w:rsidR="00794942" w:rsidRPr="006B17BE" w:rsidRDefault="009C69AA" w:rsidP="009C69AA">
            <w:pPr>
              <w:pStyle w:val="OWSTabletext"/>
              <w:rPr>
                <w:b w:val="0"/>
              </w:rPr>
            </w:pPr>
            <w:r>
              <w:t>L</w:t>
            </w:r>
            <w:r w:rsidR="00FC586D">
              <w:t xml:space="preserve">ateral </w:t>
            </w:r>
            <w:r w:rsidR="00794942" w:rsidRPr="006B17BE">
              <w:t>Boundary</w:t>
            </w:r>
          </w:p>
        </w:tc>
        <w:tc>
          <w:tcPr>
            <w:tcW w:w="1134" w:type="dxa"/>
            <w:vAlign w:val="center"/>
          </w:tcPr>
          <w:p w14:paraId="2B5F2631"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CHB</w:t>
            </w:r>
          </w:p>
        </w:tc>
        <w:tc>
          <w:tcPr>
            <w:tcW w:w="992" w:type="dxa"/>
            <w:vAlign w:val="center"/>
          </w:tcPr>
          <w:p w14:paraId="7C48E32A"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NFB</w:t>
            </w:r>
          </w:p>
        </w:tc>
        <w:tc>
          <w:tcPr>
            <w:tcW w:w="1134" w:type="dxa"/>
            <w:vAlign w:val="center"/>
          </w:tcPr>
          <w:p w14:paraId="133FB966"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NFB</w:t>
            </w:r>
          </w:p>
        </w:tc>
        <w:tc>
          <w:tcPr>
            <w:tcW w:w="993" w:type="dxa"/>
            <w:vAlign w:val="center"/>
          </w:tcPr>
          <w:p w14:paraId="0EB82A57"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NFB</w:t>
            </w:r>
          </w:p>
        </w:tc>
        <w:tc>
          <w:tcPr>
            <w:tcW w:w="992" w:type="dxa"/>
            <w:vAlign w:val="center"/>
          </w:tcPr>
          <w:p w14:paraId="4A3D0C7E"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NFB</w:t>
            </w:r>
          </w:p>
        </w:tc>
      </w:tr>
      <w:tr w:rsidR="00794942" w:rsidRPr="006B17BE" w14:paraId="61CFBE03" w14:textId="77777777" w:rsidTr="00F60987">
        <w:trPr>
          <w:cnfStyle w:val="000000100000" w:firstRow="0" w:lastRow="0" w:firstColumn="0" w:lastColumn="0" w:oddVBand="0" w:evenVBand="0" w:oddHBand="1" w:evenHBand="0" w:firstRowFirstColumn="0" w:firstRowLastColumn="0" w:lastRowFirstColumn="0" w:lastRowLastColumn="0"/>
          <w:trHeight w:val="524"/>
          <w:jc w:val="center"/>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vAlign w:val="center"/>
          </w:tcPr>
          <w:p w14:paraId="7CF25FCA" w14:textId="61785041" w:rsidR="00794942" w:rsidRPr="006B17BE" w:rsidRDefault="00794942" w:rsidP="002F3590">
            <w:pPr>
              <w:pStyle w:val="OWSTabletext"/>
              <w:rPr>
                <w:b w:val="0"/>
              </w:rPr>
            </w:pPr>
            <w:r w:rsidRPr="006B17BE">
              <w:t xml:space="preserve">Horizontal hydraulic conductivity </w:t>
            </w:r>
            <w:r w:rsidRPr="00265E96">
              <w:rPr>
                <w:i/>
              </w:rPr>
              <w:t>K</w:t>
            </w:r>
            <w:r w:rsidRPr="006B17BE">
              <w:rPr>
                <w:vertAlign w:val="subscript"/>
              </w:rPr>
              <w:t>h</w:t>
            </w:r>
            <w:r w:rsidRPr="006B17BE">
              <w:t xml:space="preserve"> (m/d)</w:t>
            </w:r>
          </w:p>
        </w:tc>
        <w:tc>
          <w:tcPr>
            <w:tcW w:w="1134" w:type="dxa"/>
            <w:tcBorders>
              <w:top w:val="none" w:sz="0" w:space="0" w:color="auto"/>
              <w:bottom w:val="none" w:sz="0" w:space="0" w:color="auto"/>
            </w:tcBorders>
            <w:vAlign w:val="center"/>
          </w:tcPr>
          <w:p w14:paraId="7951B34D"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10</w:t>
            </w:r>
            <w:r w:rsidRPr="006B17BE">
              <w:rPr>
                <w:vertAlign w:val="superscript"/>
              </w:rPr>
              <w:t>-1</w:t>
            </w:r>
          </w:p>
        </w:tc>
        <w:tc>
          <w:tcPr>
            <w:tcW w:w="992" w:type="dxa"/>
            <w:tcBorders>
              <w:top w:val="none" w:sz="0" w:space="0" w:color="auto"/>
              <w:bottom w:val="none" w:sz="0" w:space="0" w:color="auto"/>
            </w:tcBorders>
            <w:vAlign w:val="center"/>
          </w:tcPr>
          <w:p w14:paraId="4E5898F8"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10</w:t>
            </w:r>
            <w:r w:rsidRPr="006B17BE">
              <w:rPr>
                <w:vertAlign w:val="superscript"/>
              </w:rPr>
              <w:t>-3</w:t>
            </w:r>
          </w:p>
        </w:tc>
        <w:tc>
          <w:tcPr>
            <w:tcW w:w="1134" w:type="dxa"/>
            <w:tcBorders>
              <w:top w:val="none" w:sz="0" w:space="0" w:color="auto"/>
              <w:bottom w:val="none" w:sz="0" w:space="0" w:color="auto"/>
            </w:tcBorders>
            <w:vAlign w:val="center"/>
          </w:tcPr>
          <w:p w14:paraId="37F12FA5"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10</w:t>
            </w:r>
            <w:r w:rsidRPr="006B17BE">
              <w:rPr>
                <w:vertAlign w:val="superscript"/>
              </w:rPr>
              <w:t>-1</w:t>
            </w:r>
          </w:p>
        </w:tc>
        <w:tc>
          <w:tcPr>
            <w:tcW w:w="993" w:type="dxa"/>
            <w:tcBorders>
              <w:top w:val="none" w:sz="0" w:space="0" w:color="auto"/>
              <w:bottom w:val="none" w:sz="0" w:space="0" w:color="auto"/>
            </w:tcBorders>
            <w:vAlign w:val="center"/>
          </w:tcPr>
          <w:p w14:paraId="3ABDA6B5"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10</w:t>
            </w:r>
            <w:r w:rsidRPr="006B17BE">
              <w:rPr>
                <w:vertAlign w:val="superscript"/>
              </w:rPr>
              <w:t>-3</w:t>
            </w:r>
          </w:p>
        </w:tc>
        <w:tc>
          <w:tcPr>
            <w:tcW w:w="992" w:type="dxa"/>
            <w:tcBorders>
              <w:top w:val="none" w:sz="0" w:space="0" w:color="auto"/>
              <w:bottom w:val="none" w:sz="0" w:space="0" w:color="auto"/>
            </w:tcBorders>
            <w:vAlign w:val="center"/>
          </w:tcPr>
          <w:p w14:paraId="18B13876"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10</w:t>
            </w:r>
            <w:r w:rsidRPr="006B17BE">
              <w:rPr>
                <w:vertAlign w:val="superscript"/>
              </w:rPr>
              <w:t>-1</w:t>
            </w:r>
          </w:p>
        </w:tc>
      </w:tr>
      <w:tr w:rsidR="00794942" w:rsidRPr="006B17BE" w14:paraId="29BD6699" w14:textId="77777777" w:rsidTr="00F60987">
        <w:trPr>
          <w:trHeight w:val="524"/>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vAlign w:val="center"/>
          </w:tcPr>
          <w:p w14:paraId="79B96D4D" w14:textId="24A3B02B" w:rsidR="00794942" w:rsidRPr="006B17BE" w:rsidRDefault="004B4C9B" w:rsidP="002F3590">
            <w:pPr>
              <w:pStyle w:val="OWSTabletext"/>
              <w:rPr>
                <w:b w:val="0"/>
              </w:rPr>
            </w:pPr>
            <w:r w:rsidRPr="006B17BE">
              <w:t xml:space="preserve">Vertical </w:t>
            </w:r>
            <w:r w:rsidR="00794942" w:rsidRPr="006B17BE">
              <w:t xml:space="preserve">hydraulic conductivity </w:t>
            </w:r>
            <w:r w:rsidR="00794942" w:rsidRPr="00265E96">
              <w:rPr>
                <w:i/>
              </w:rPr>
              <w:t>K</w:t>
            </w:r>
            <w:r w:rsidR="00794942" w:rsidRPr="006B17BE">
              <w:rPr>
                <w:vertAlign w:val="subscript"/>
              </w:rPr>
              <w:t>v</w:t>
            </w:r>
            <w:r w:rsidR="00794942" w:rsidRPr="006B17BE">
              <w:t xml:space="preserve"> (m/d)</w:t>
            </w:r>
          </w:p>
        </w:tc>
        <w:tc>
          <w:tcPr>
            <w:tcW w:w="1134" w:type="dxa"/>
            <w:vAlign w:val="center"/>
          </w:tcPr>
          <w:p w14:paraId="59A3189C"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-3</w:t>
            </w:r>
          </w:p>
        </w:tc>
        <w:tc>
          <w:tcPr>
            <w:tcW w:w="992" w:type="dxa"/>
            <w:vAlign w:val="center"/>
          </w:tcPr>
          <w:p w14:paraId="60F3F967" w14:textId="24F14512"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-5</w:t>
            </w:r>
            <w:r w:rsidR="00265E96">
              <w:rPr>
                <w:vertAlign w:val="superscript"/>
              </w:rPr>
              <w:t xml:space="preserve">   </w:t>
            </w:r>
            <w:r w:rsidR="00265E96" w:rsidRPr="00265E96">
              <w:t>[</w:t>
            </w:r>
            <w:r w:rsidR="00265E96">
              <w:t>4×10</w:t>
            </w:r>
            <w:r w:rsidR="00265E96" w:rsidRPr="00265E96">
              <w:rPr>
                <w:vertAlign w:val="superscript"/>
              </w:rPr>
              <w:t>-6</w:t>
            </w:r>
            <w:r w:rsidR="00265E96" w:rsidRPr="00265E96">
              <w:t>]</w:t>
            </w:r>
          </w:p>
        </w:tc>
        <w:tc>
          <w:tcPr>
            <w:tcW w:w="1134" w:type="dxa"/>
            <w:vAlign w:val="center"/>
          </w:tcPr>
          <w:p w14:paraId="0AB3D15E"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-3</w:t>
            </w:r>
          </w:p>
        </w:tc>
        <w:tc>
          <w:tcPr>
            <w:tcW w:w="993" w:type="dxa"/>
            <w:vAlign w:val="center"/>
          </w:tcPr>
          <w:p w14:paraId="2F73BAAC" w14:textId="1AA772F1"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-5</w:t>
            </w:r>
            <w:r w:rsidR="00265E96">
              <w:rPr>
                <w:vertAlign w:val="superscript"/>
              </w:rPr>
              <w:t xml:space="preserve"> </w:t>
            </w:r>
            <w:r w:rsidR="00265E96" w:rsidRPr="00554B31">
              <w:t>[</w:t>
            </w:r>
            <w:r w:rsidR="00265E96">
              <w:t>2.5×10</w:t>
            </w:r>
            <w:r w:rsidR="00265E96" w:rsidRPr="00265E96">
              <w:rPr>
                <w:vertAlign w:val="superscript"/>
              </w:rPr>
              <w:t>-5</w:t>
            </w:r>
            <w:r w:rsidR="00265E96" w:rsidRPr="00554B31">
              <w:t>]</w:t>
            </w:r>
          </w:p>
        </w:tc>
        <w:tc>
          <w:tcPr>
            <w:tcW w:w="992" w:type="dxa"/>
            <w:vAlign w:val="center"/>
          </w:tcPr>
          <w:p w14:paraId="05CD22D1"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-3</w:t>
            </w:r>
          </w:p>
        </w:tc>
      </w:tr>
      <w:tr w:rsidR="00794942" w:rsidRPr="006B17BE" w14:paraId="0F4AA27A" w14:textId="77777777" w:rsidTr="00F60987">
        <w:trPr>
          <w:cnfStyle w:val="000000100000" w:firstRow="0" w:lastRow="0" w:firstColumn="0" w:lastColumn="0" w:oddVBand="0" w:evenVBand="0" w:oddHBand="1" w:evenHBand="0" w:firstRowFirstColumn="0" w:firstRowLastColumn="0" w:lastRowFirstColumn="0" w:lastRowLastColumn="0"/>
          <w:trHeight w:val="322"/>
          <w:jc w:val="center"/>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vAlign w:val="center"/>
          </w:tcPr>
          <w:p w14:paraId="6215B7AC" w14:textId="77777777" w:rsidR="00794942" w:rsidRPr="006B17BE" w:rsidRDefault="00794942" w:rsidP="002F3590">
            <w:pPr>
              <w:pStyle w:val="OWSTabletext"/>
              <w:rPr>
                <w:b w:val="0"/>
              </w:rPr>
            </w:pPr>
            <w:r w:rsidRPr="006B17BE">
              <w:t xml:space="preserve">Specific yield </w:t>
            </w:r>
            <w:r w:rsidRPr="00265E96">
              <w:rPr>
                <w:i/>
              </w:rPr>
              <w:t>S</w:t>
            </w:r>
            <w:r w:rsidRPr="006B17BE">
              <w:rPr>
                <w:vertAlign w:val="subscript"/>
              </w:rPr>
              <w:t>y</w:t>
            </w:r>
            <w:r w:rsidRPr="006B17BE">
              <w:t xml:space="preserve"> (-)</w:t>
            </w:r>
          </w:p>
        </w:tc>
        <w:tc>
          <w:tcPr>
            <w:tcW w:w="1134" w:type="dxa"/>
            <w:tcBorders>
              <w:top w:val="none" w:sz="0" w:space="0" w:color="auto"/>
              <w:bottom w:val="none" w:sz="0" w:space="0" w:color="auto"/>
            </w:tcBorders>
            <w:vAlign w:val="center"/>
          </w:tcPr>
          <w:p w14:paraId="7634353F"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0.01</w:t>
            </w:r>
          </w:p>
        </w:tc>
        <w:tc>
          <w:tcPr>
            <w:tcW w:w="992" w:type="dxa"/>
            <w:tcBorders>
              <w:top w:val="none" w:sz="0" w:space="0" w:color="auto"/>
              <w:bottom w:val="none" w:sz="0" w:space="0" w:color="auto"/>
            </w:tcBorders>
            <w:vAlign w:val="center"/>
          </w:tcPr>
          <w:p w14:paraId="4BEBA414" w14:textId="5801189C" w:rsidR="00794942" w:rsidRPr="006B17BE" w:rsidRDefault="003343B3" w:rsidP="002F3590">
            <w:pPr>
              <w:pStyle w:val="OWSTabletext"/>
              <w:cnfStyle w:val="000000100000" w:firstRow="0" w:lastRow="0" w:firstColumn="0" w:lastColumn="0" w:oddVBand="0" w:evenVBand="0" w:oddHBand="1" w:evenHBand="0" w:firstRowFirstColumn="0" w:firstRowLastColumn="0" w:lastRowFirstColumn="0" w:lastRowLastColumn="0"/>
            </w:pPr>
            <w:r w:rsidRPr="006B17BE">
              <w:t>0.01</w:t>
            </w:r>
          </w:p>
        </w:tc>
        <w:tc>
          <w:tcPr>
            <w:tcW w:w="1134" w:type="dxa"/>
            <w:tcBorders>
              <w:top w:val="none" w:sz="0" w:space="0" w:color="auto"/>
              <w:bottom w:val="none" w:sz="0" w:space="0" w:color="auto"/>
            </w:tcBorders>
            <w:vAlign w:val="center"/>
          </w:tcPr>
          <w:p w14:paraId="2A026637" w14:textId="3D1A088A" w:rsidR="00794942" w:rsidRPr="006B17BE" w:rsidRDefault="003343B3" w:rsidP="002F3590">
            <w:pPr>
              <w:pStyle w:val="OWSTabletext"/>
              <w:cnfStyle w:val="000000100000" w:firstRow="0" w:lastRow="0" w:firstColumn="0" w:lastColumn="0" w:oddVBand="0" w:evenVBand="0" w:oddHBand="1" w:evenHBand="0" w:firstRowFirstColumn="0" w:firstRowLastColumn="0" w:lastRowFirstColumn="0" w:lastRowLastColumn="0"/>
            </w:pPr>
            <w:r w:rsidRPr="006B17BE">
              <w:t>0.01</w:t>
            </w:r>
          </w:p>
        </w:tc>
        <w:tc>
          <w:tcPr>
            <w:tcW w:w="993" w:type="dxa"/>
            <w:tcBorders>
              <w:top w:val="none" w:sz="0" w:space="0" w:color="auto"/>
              <w:bottom w:val="none" w:sz="0" w:space="0" w:color="auto"/>
            </w:tcBorders>
            <w:vAlign w:val="center"/>
          </w:tcPr>
          <w:p w14:paraId="39180261" w14:textId="2AC6773E" w:rsidR="00794942" w:rsidRPr="006B17BE" w:rsidRDefault="003343B3" w:rsidP="002F3590">
            <w:pPr>
              <w:pStyle w:val="OWSTabletext"/>
              <w:cnfStyle w:val="000000100000" w:firstRow="0" w:lastRow="0" w:firstColumn="0" w:lastColumn="0" w:oddVBand="0" w:evenVBand="0" w:oddHBand="1" w:evenHBand="0" w:firstRowFirstColumn="0" w:firstRowLastColumn="0" w:lastRowFirstColumn="0" w:lastRowLastColumn="0"/>
            </w:pPr>
            <w:r w:rsidRPr="006B17BE">
              <w:t>0.01</w:t>
            </w:r>
          </w:p>
        </w:tc>
        <w:tc>
          <w:tcPr>
            <w:tcW w:w="992" w:type="dxa"/>
            <w:tcBorders>
              <w:top w:val="none" w:sz="0" w:space="0" w:color="auto"/>
              <w:bottom w:val="none" w:sz="0" w:space="0" w:color="auto"/>
            </w:tcBorders>
            <w:vAlign w:val="center"/>
          </w:tcPr>
          <w:p w14:paraId="69201821" w14:textId="1AD94896" w:rsidR="00794942" w:rsidRPr="006B17BE" w:rsidRDefault="003343B3" w:rsidP="002F3590">
            <w:pPr>
              <w:pStyle w:val="OWSTabletext"/>
              <w:cnfStyle w:val="000000100000" w:firstRow="0" w:lastRow="0" w:firstColumn="0" w:lastColumn="0" w:oddVBand="0" w:evenVBand="0" w:oddHBand="1" w:evenHBand="0" w:firstRowFirstColumn="0" w:firstRowLastColumn="0" w:lastRowFirstColumn="0" w:lastRowLastColumn="0"/>
            </w:pPr>
            <w:r w:rsidRPr="006B17BE">
              <w:t>0.01</w:t>
            </w:r>
          </w:p>
        </w:tc>
      </w:tr>
      <w:tr w:rsidR="00794942" w:rsidRPr="006B17BE" w14:paraId="63C98F37" w14:textId="77777777" w:rsidTr="00F60987">
        <w:trPr>
          <w:trHeight w:val="308"/>
          <w:jc w:val="center"/>
        </w:trPr>
        <w:tc>
          <w:tcPr>
            <w:cnfStyle w:val="001000000000" w:firstRow="0" w:lastRow="0" w:firstColumn="1" w:lastColumn="0" w:oddVBand="0" w:evenVBand="0" w:oddHBand="0" w:evenHBand="0" w:firstRowFirstColumn="0" w:firstRowLastColumn="0" w:lastRowFirstColumn="0" w:lastRowLastColumn="0"/>
            <w:tcW w:w="3686" w:type="dxa"/>
            <w:tcBorders>
              <w:right w:val="none" w:sz="0" w:space="0" w:color="auto"/>
            </w:tcBorders>
            <w:vAlign w:val="center"/>
          </w:tcPr>
          <w:p w14:paraId="3D47D8CB" w14:textId="4BCF57D4" w:rsidR="00794942" w:rsidRPr="006B17BE" w:rsidRDefault="00FC586D" w:rsidP="002F3590">
            <w:pPr>
              <w:pStyle w:val="OWSTabletext"/>
              <w:rPr>
                <w:b w:val="0"/>
              </w:rPr>
            </w:pPr>
            <w:r>
              <w:t>Specific storage</w:t>
            </w:r>
            <w:r w:rsidRPr="006B17BE">
              <w:t xml:space="preserve"> </w:t>
            </w:r>
            <w:r w:rsidR="00794942" w:rsidRPr="00265E96">
              <w:rPr>
                <w:i/>
              </w:rPr>
              <w:t>S</w:t>
            </w:r>
            <w:r w:rsidR="00794942" w:rsidRPr="006B17BE">
              <w:rPr>
                <w:vertAlign w:val="subscript"/>
              </w:rPr>
              <w:t>s</w:t>
            </w:r>
            <w:r w:rsidR="00794942" w:rsidRPr="006B17BE">
              <w:t xml:space="preserve"> (1/m)</w:t>
            </w:r>
          </w:p>
        </w:tc>
        <w:tc>
          <w:tcPr>
            <w:tcW w:w="1134" w:type="dxa"/>
            <w:vAlign w:val="center"/>
          </w:tcPr>
          <w:p w14:paraId="0854BF9D"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-5</w:t>
            </w:r>
          </w:p>
        </w:tc>
        <w:tc>
          <w:tcPr>
            <w:tcW w:w="992" w:type="dxa"/>
            <w:vAlign w:val="center"/>
          </w:tcPr>
          <w:p w14:paraId="364791AC"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-5</w:t>
            </w:r>
          </w:p>
        </w:tc>
        <w:tc>
          <w:tcPr>
            <w:tcW w:w="1134" w:type="dxa"/>
            <w:vAlign w:val="center"/>
          </w:tcPr>
          <w:p w14:paraId="72AC50B1"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-5</w:t>
            </w:r>
          </w:p>
        </w:tc>
        <w:tc>
          <w:tcPr>
            <w:tcW w:w="993" w:type="dxa"/>
            <w:vAlign w:val="center"/>
          </w:tcPr>
          <w:p w14:paraId="57A09501"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-5</w:t>
            </w:r>
          </w:p>
        </w:tc>
        <w:tc>
          <w:tcPr>
            <w:tcW w:w="992" w:type="dxa"/>
            <w:vAlign w:val="center"/>
          </w:tcPr>
          <w:p w14:paraId="46812732" w14:textId="77777777" w:rsidR="00794942" w:rsidRPr="006B17BE" w:rsidRDefault="00794942" w:rsidP="002F3590">
            <w:pPr>
              <w:pStyle w:val="OWSTabletext"/>
              <w:cnfStyle w:val="000000000000" w:firstRow="0" w:lastRow="0" w:firstColumn="0" w:lastColumn="0" w:oddVBand="0" w:evenVBand="0" w:oddHBand="0" w:evenHBand="0" w:firstRowFirstColumn="0" w:firstRowLastColumn="0" w:lastRowFirstColumn="0" w:lastRowLastColumn="0"/>
            </w:pPr>
            <w:r w:rsidRPr="006B17BE">
              <w:t>10</w:t>
            </w:r>
            <w:r w:rsidRPr="006B17BE">
              <w:rPr>
                <w:vertAlign w:val="superscript"/>
              </w:rPr>
              <w:t>-5</w:t>
            </w:r>
          </w:p>
        </w:tc>
      </w:tr>
      <w:tr w:rsidR="00794942" w:rsidRPr="006B17BE" w14:paraId="30ACA628" w14:textId="77777777" w:rsidTr="00F60987">
        <w:trPr>
          <w:cnfStyle w:val="000000100000" w:firstRow="0" w:lastRow="0" w:firstColumn="0" w:lastColumn="0" w:oddVBand="0" w:evenVBand="0" w:oddHBand="1" w:evenHBand="0" w:firstRowFirstColumn="0" w:firstRowLastColumn="0" w:lastRowFirstColumn="0" w:lastRowLastColumn="0"/>
          <w:trHeight w:val="308"/>
          <w:jc w:val="center"/>
        </w:trPr>
        <w:tc>
          <w:tcPr>
            <w:cnfStyle w:val="001000000000" w:firstRow="0" w:lastRow="0" w:firstColumn="1" w:lastColumn="0" w:oddVBand="0" w:evenVBand="0" w:oddHBand="0" w:evenHBand="0" w:firstRowFirstColumn="0" w:firstRowLastColumn="0" w:lastRowFirstColumn="0" w:lastRowLastColumn="0"/>
            <w:tcW w:w="3686" w:type="dxa"/>
            <w:tcBorders>
              <w:top w:val="none" w:sz="0" w:space="0" w:color="auto"/>
              <w:bottom w:val="none" w:sz="0" w:space="0" w:color="auto"/>
              <w:right w:val="none" w:sz="0" w:space="0" w:color="auto"/>
            </w:tcBorders>
            <w:vAlign w:val="center"/>
          </w:tcPr>
          <w:p w14:paraId="468819F4" w14:textId="77777777" w:rsidR="00794942" w:rsidRPr="006B17BE" w:rsidRDefault="00794942" w:rsidP="002F3590">
            <w:pPr>
              <w:pStyle w:val="OWSTabletext"/>
              <w:rPr>
                <w:b w:val="0"/>
              </w:rPr>
            </w:pPr>
            <w:r w:rsidRPr="006B17BE">
              <w:t>Initial head (m AHD)</w:t>
            </w:r>
          </w:p>
        </w:tc>
        <w:tc>
          <w:tcPr>
            <w:tcW w:w="1134" w:type="dxa"/>
            <w:tcBorders>
              <w:top w:val="none" w:sz="0" w:space="0" w:color="auto"/>
              <w:bottom w:val="none" w:sz="0" w:space="0" w:color="auto"/>
            </w:tcBorders>
            <w:vAlign w:val="center"/>
          </w:tcPr>
          <w:p w14:paraId="6E5891D6"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variable</w:t>
            </w:r>
          </w:p>
        </w:tc>
        <w:tc>
          <w:tcPr>
            <w:tcW w:w="992" w:type="dxa"/>
            <w:tcBorders>
              <w:top w:val="none" w:sz="0" w:space="0" w:color="auto"/>
              <w:bottom w:val="none" w:sz="0" w:space="0" w:color="auto"/>
            </w:tcBorders>
            <w:vAlign w:val="center"/>
          </w:tcPr>
          <w:p w14:paraId="56DFA3AB"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265.74</w:t>
            </w:r>
          </w:p>
        </w:tc>
        <w:tc>
          <w:tcPr>
            <w:tcW w:w="1134" w:type="dxa"/>
            <w:tcBorders>
              <w:top w:val="none" w:sz="0" w:space="0" w:color="auto"/>
              <w:bottom w:val="none" w:sz="0" w:space="0" w:color="auto"/>
            </w:tcBorders>
            <w:vAlign w:val="center"/>
          </w:tcPr>
          <w:p w14:paraId="5C96CABC"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264.27</w:t>
            </w:r>
          </w:p>
        </w:tc>
        <w:tc>
          <w:tcPr>
            <w:tcW w:w="993" w:type="dxa"/>
            <w:tcBorders>
              <w:top w:val="none" w:sz="0" w:space="0" w:color="auto"/>
              <w:bottom w:val="none" w:sz="0" w:space="0" w:color="auto"/>
            </w:tcBorders>
            <w:vAlign w:val="center"/>
          </w:tcPr>
          <w:p w14:paraId="1FEC728E"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263.9</w:t>
            </w:r>
          </w:p>
        </w:tc>
        <w:tc>
          <w:tcPr>
            <w:tcW w:w="992" w:type="dxa"/>
            <w:tcBorders>
              <w:top w:val="none" w:sz="0" w:space="0" w:color="auto"/>
              <w:bottom w:val="none" w:sz="0" w:space="0" w:color="auto"/>
            </w:tcBorders>
            <w:vAlign w:val="center"/>
          </w:tcPr>
          <w:p w14:paraId="4CF36669" w14:textId="77777777" w:rsidR="00794942" w:rsidRPr="006B17BE" w:rsidRDefault="00794942" w:rsidP="002F3590">
            <w:pPr>
              <w:pStyle w:val="OWSTabletext"/>
              <w:cnfStyle w:val="000000100000" w:firstRow="0" w:lastRow="0" w:firstColumn="0" w:lastColumn="0" w:oddVBand="0" w:evenVBand="0" w:oddHBand="1" w:evenHBand="0" w:firstRowFirstColumn="0" w:firstRowLastColumn="0" w:lastRowFirstColumn="0" w:lastRowLastColumn="0"/>
            </w:pPr>
            <w:r w:rsidRPr="006B17BE">
              <w:t>263.65</w:t>
            </w:r>
          </w:p>
        </w:tc>
      </w:tr>
    </w:tbl>
    <w:p w14:paraId="729D5CE8" w14:textId="77777777" w:rsidR="0092151B" w:rsidRPr="006B17BE" w:rsidRDefault="0092151B" w:rsidP="0092151B">
      <w:pPr>
        <w:spacing w:line="360" w:lineRule="auto"/>
        <w:jc w:val="center"/>
        <w:rPr>
          <w:rFonts w:asciiTheme="minorHAnsi" w:hAnsiTheme="minorHAnsi" w:cstheme="minorHAnsi"/>
          <w:sz w:val="24"/>
          <w:szCs w:val="24"/>
        </w:rPr>
      </w:pPr>
      <w:r w:rsidRPr="006B17BE">
        <w:rPr>
          <w:rFonts w:asciiTheme="minorHAnsi" w:hAnsiTheme="minorHAnsi" w:cstheme="minorHAnsi"/>
          <w:noProof/>
          <w:sz w:val="24"/>
          <w:szCs w:val="24"/>
        </w:rPr>
        <w:drawing>
          <wp:inline distT="0" distB="0" distL="0" distR="0" wp14:anchorId="4ACD2C54" wp14:editId="745BAF75">
            <wp:extent cx="2300990" cy="3747455"/>
            <wp:effectExtent l="0" t="0" r="0" b="5715"/>
            <wp:docPr id="28" name="Picture 28" descr="\\usermn\n\noor0021\Pictures\Fig_Failure_model_sch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mn\n\noor0021\Pictures\Fig_Failure_model_sche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24085" cy="3785068"/>
                    </a:xfrm>
                    <a:prstGeom prst="rect">
                      <a:avLst/>
                    </a:prstGeom>
                    <a:noFill/>
                    <a:ln>
                      <a:noFill/>
                    </a:ln>
                  </pic:spPr>
                </pic:pic>
              </a:graphicData>
            </a:graphic>
          </wp:inline>
        </w:drawing>
      </w:r>
    </w:p>
    <w:p w14:paraId="5FC6057B" w14:textId="16B83AA2" w:rsidR="0092151B" w:rsidRPr="006B17BE" w:rsidRDefault="0092151B" w:rsidP="0092151B">
      <w:pPr>
        <w:pStyle w:val="Caption"/>
      </w:pPr>
      <w:bookmarkStart w:id="505" w:name="_Ref478663645"/>
      <w:bookmarkStart w:id="506" w:name="_Toc508267269"/>
      <w:r w:rsidRPr="006B17BE">
        <w:t xml:space="preserve">Figure </w:t>
      </w:r>
      <w:r w:rsidR="00296C49">
        <w:fldChar w:fldCharType="begin"/>
      </w:r>
      <w:r w:rsidR="00296C49">
        <w:instrText xml:space="preserve"> STYLEREF 1 \s </w:instrText>
      </w:r>
      <w:r w:rsidR="00296C49">
        <w:fldChar w:fldCharType="separate"/>
      </w:r>
      <w:r w:rsidR="00086147">
        <w:rPr>
          <w:noProof/>
        </w:rPr>
        <w:t>3</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2</w:t>
      </w:r>
      <w:r w:rsidR="00296C49">
        <w:rPr>
          <w:noProof/>
        </w:rPr>
        <w:fldChar w:fldCharType="end"/>
      </w:r>
      <w:bookmarkEnd w:id="505"/>
      <w:r w:rsidRPr="006B17BE">
        <w:t xml:space="preserve"> </w:t>
      </w:r>
      <w:r w:rsidR="00C47FA6" w:rsidRPr="006B17BE">
        <w:t>Cross-section with m</w:t>
      </w:r>
      <w:r w:rsidRPr="006B17BE">
        <w:t>odel boundary conditions</w:t>
      </w:r>
      <w:r w:rsidR="00C47FA6" w:rsidRPr="006B17BE">
        <w:t xml:space="preserve"> applied to the five model layers (layer 1 = Pilliga Sandstone aquifer; layers 2, 4 = aquitard; layers 3, 5 = </w:t>
      </w:r>
      <w:r w:rsidR="00AE07E8" w:rsidRPr="006B17BE">
        <w:t>coal seam gas</w:t>
      </w:r>
      <w:r w:rsidR="00C47FA6" w:rsidRPr="006B17BE">
        <w:t xml:space="preserve"> reservoir)</w:t>
      </w:r>
      <w:r w:rsidRPr="006B17BE">
        <w:t>: NFB = no flow boundary, CHB = constant head boundary.</w:t>
      </w:r>
      <w:bookmarkEnd w:id="506"/>
    </w:p>
    <w:p w14:paraId="0F40FDAC" w14:textId="77777777" w:rsidR="004B4C9B" w:rsidRPr="006B17BE" w:rsidRDefault="004B4C9B" w:rsidP="002F3590">
      <w:pPr>
        <w:pStyle w:val="BodyText"/>
      </w:pPr>
    </w:p>
    <w:p w14:paraId="12A9E361" w14:textId="77777777" w:rsidR="00AA16BE" w:rsidRPr="006B17BE" w:rsidRDefault="00AA16BE" w:rsidP="00AA16BE">
      <w:pPr>
        <w:keepNext/>
        <w:spacing w:line="360" w:lineRule="auto"/>
        <w:jc w:val="both"/>
        <w:rPr>
          <w:rFonts w:asciiTheme="minorHAnsi" w:hAnsiTheme="minorHAnsi" w:cstheme="minorHAnsi"/>
          <w:sz w:val="24"/>
          <w:szCs w:val="24"/>
        </w:rPr>
      </w:pPr>
      <w:r w:rsidRPr="006B17BE">
        <w:rPr>
          <w:rFonts w:asciiTheme="minorHAnsi" w:hAnsiTheme="minorHAnsi" w:cstheme="minorHAnsi"/>
          <w:noProof/>
          <w:sz w:val="24"/>
          <w:szCs w:val="24"/>
        </w:rPr>
        <w:drawing>
          <wp:inline distT="0" distB="0" distL="0" distR="0" wp14:anchorId="741396D9" wp14:editId="5075AE03">
            <wp:extent cx="5818843" cy="2352070"/>
            <wp:effectExtent l="0" t="0" r="0" b="0"/>
            <wp:docPr id="24" name="Picture 24" descr="D:\workspace\noor0021\CSG\leaky_well\Gunnedah_model\tr\tr_cln_rand_largemodel\variable_corr_length_again!\figures\fig_ini_hds_cl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orkspace\noor0021\CSG\leaky_well\Gunnedah_model\tr\tr_cln_rand_largemodel\variable_corr_length_again!\figures\fig_ini_hds_cln.pn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248" r="11460"/>
                    <a:stretch/>
                  </pic:blipFill>
                  <pic:spPr bwMode="auto">
                    <a:xfrm>
                      <a:off x="0" y="0"/>
                      <a:ext cx="5867084" cy="2371570"/>
                    </a:xfrm>
                    <a:prstGeom prst="rect">
                      <a:avLst/>
                    </a:prstGeom>
                    <a:noFill/>
                    <a:ln>
                      <a:noFill/>
                    </a:ln>
                    <a:extLst>
                      <a:ext uri="{53640926-AAD7-44D8-BBD7-CCE9431645EC}">
                        <a14:shadowObscured xmlns:a14="http://schemas.microsoft.com/office/drawing/2010/main"/>
                      </a:ext>
                    </a:extLst>
                  </pic:spPr>
                </pic:pic>
              </a:graphicData>
            </a:graphic>
          </wp:inline>
        </w:drawing>
      </w:r>
    </w:p>
    <w:p w14:paraId="1A84BB49" w14:textId="2A10CAE4" w:rsidR="00AA16BE" w:rsidRPr="006B17BE" w:rsidRDefault="00AA16BE" w:rsidP="00AA16BE">
      <w:pPr>
        <w:pStyle w:val="Caption"/>
        <w:rPr>
          <w:rFonts w:asciiTheme="minorHAnsi" w:hAnsiTheme="minorHAnsi" w:cstheme="minorHAnsi"/>
          <w:szCs w:val="24"/>
        </w:rPr>
      </w:pPr>
      <w:bookmarkStart w:id="507" w:name="_Ref476035621"/>
      <w:bookmarkStart w:id="508" w:name="_Toc508267270"/>
      <w:r w:rsidRPr="006B17BE">
        <w:rPr>
          <w:rFonts w:asciiTheme="minorHAnsi" w:hAnsiTheme="minorHAnsi" w:cstheme="minorHAnsi"/>
          <w:szCs w:val="24"/>
        </w:rPr>
        <w:t xml:space="preserve">Figure </w:t>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STYLEREF 1 \s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3</w:t>
      </w:r>
      <w:r w:rsidR="0014612E">
        <w:rPr>
          <w:rFonts w:asciiTheme="minorHAnsi" w:hAnsiTheme="minorHAnsi" w:cstheme="minorHAnsi"/>
          <w:szCs w:val="24"/>
        </w:rPr>
        <w:fldChar w:fldCharType="end"/>
      </w:r>
      <w:r w:rsidR="0014612E">
        <w:rPr>
          <w:rFonts w:asciiTheme="minorHAnsi" w:hAnsiTheme="minorHAnsi" w:cstheme="minorHAnsi"/>
          <w:szCs w:val="24"/>
        </w:rPr>
        <w:noBreakHyphen/>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SEQ Figure \* ARABIC \s 1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3</w:t>
      </w:r>
      <w:r w:rsidR="0014612E">
        <w:rPr>
          <w:rFonts w:asciiTheme="minorHAnsi" w:hAnsiTheme="minorHAnsi" w:cstheme="minorHAnsi"/>
          <w:szCs w:val="24"/>
        </w:rPr>
        <w:fldChar w:fldCharType="end"/>
      </w:r>
      <w:bookmarkEnd w:id="507"/>
      <w:r w:rsidRPr="006B17BE">
        <w:rPr>
          <w:rFonts w:asciiTheme="minorHAnsi" w:hAnsiTheme="minorHAnsi" w:cstheme="minorHAnsi"/>
          <w:szCs w:val="24"/>
        </w:rPr>
        <w:t xml:space="preserve"> Simplified model </w:t>
      </w:r>
      <w:r w:rsidR="009D6FBB" w:rsidRPr="006B17BE">
        <w:rPr>
          <w:rFonts w:asciiTheme="minorHAnsi" w:hAnsiTheme="minorHAnsi" w:cstheme="minorHAnsi"/>
          <w:szCs w:val="24"/>
        </w:rPr>
        <w:t>steady-state</w:t>
      </w:r>
      <w:r w:rsidRPr="006B17BE">
        <w:rPr>
          <w:rFonts w:asciiTheme="minorHAnsi" w:hAnsiTheme="minorHAnsi" w:cstheme="minorHAnsi"/>
          <w:szCs w:val="24"/>
        </w:rPr>
        <w:t xml:space="preserve"> groundwater heads </w:t>
      </w:r>
      <w:r w:rsidR="009D6FBB" w:rsidRPr="006B17BE">
        <w:rPr>
          <w:rFonts w:asciiTheme="minorHAnsi" w:hAnsiTheme="minorHAnsi" w:cstheme="minorHAnsi"/>
          <w:szCs w:val="24"/>
        </w:rPr>
        <w:t xml:space="preserve">prior to gas extraction </w:t>
      </w:r>
      <w:r w:rsidRPr="006B17BE">
        <w:rPr>
          <w:rFonts w:asciiTheme="minorHAnsi" w:hAnsiTheme="minorHAnsi" w:cstheme="minorHAnsi"/>
          <w:szCs w:val="24"/>
        </w:rPr>
        <w:t xml:space="preserve">in water bearing aquifer layers 1, 3 and 5. Black dots indicate the location of the </w:t>
      </w:r>
      <w:r w:rsidR="00595AA1" w:rsidRPr="006B17BE">
        <w:rPr>
          <w:rFonts w:asciiTheme="minorHAnsi" w:hAnsiTheme="minorHAnsi" w:cstheme="minorHAnsi"/>
          <w:szCs w:val="24"/>
        </w:rPr>
        <w:t xml:space="preserve">gas extraction </w:t>
      </w:r>
      <w:r w:rsidRPr="006B17BE">
        <w:rPr>
          <w:rFonts w:asciiTheme="minorHAnsi" w:hAnsiTheme="minorHAnsi" w:cstheme="minorHAnsi"/>
          <w:szCs w:val="24"/>
        </w:rPr>
        <w:t>area.</w:t>
      </w:r>
      <w:bookmarkEnd w:id="508"/>
    </w:p>
    <w:p w14:paraId="71119816" w14:textId="77777777" w:rsidR="00AA16BE" w:rsidRPr="006B17BE" w:rsidRDefault="00AA16BE" w:rsidP="00AA16BE">
      <w:pPr>
        <w:spacing w:line="360" w:lineRule="auto"/>
        <w:jc w:val="both"/>
        <w:rPr>
          <w:rFonts w:asciiTheme="minorHAnsi" w:hAnsiTheme="minorHAnsi" w:cstheme="minorHAnsi"/>
          <w:sz w:val="24"/>
          <w:szCs w:val="24"/>
        </w:rPr>
      </w:pPr>
    </w:p>
    <w:p w14:paraId="39114EA0" w14:textId="5C24E903" w:rsidR="00F52605" w:rsidRPr="00F52605" w:rsidRDefault="00AA16BE" w:rsidP="00F52605">
      <w:pPr>
        <w:pStyle w:val="Body"/>
      </w:pPr>
      <w:r w:rsidRPr="006B17BE">
        <w:t xml:space="preserve">The </w:t>
      </w:r>
      <w:r w:rsidR="00595AA1" w:rsidRPr="006B17BE">
        <w:t xml:space="preserve">gas extraction </w:t>
      </w:r>
      <w:r w:rsidRPr="006B17BE">
        <w:t>area covers 425 km</w:t>
      </w:r>
      <w:r w:rsidRPr="006B17BE">
        <w:rPr>
          <w:vertAlign w:val="superscript"/>
        </w:rPr>
        <w:t>2</w:t>
      </w:r>
      <w:r w:rsidRPr="006B17BE">
        <w:t>; within this area, 425 coal seam ga</w:t>
      </w:r>
      <w:r w:rsidR="00535331" w:rsidRPr="006B17BE">
        <w:t>s well pairs (total of 850 well screens</w:t>
      </w:r>
      <w:r w:rsidRPr="006B17BE">
        <w:t>) were considered as part of the field development plan (</w:t>
      </w:r>
      <w:r w:rsidRPr="006B17BE">
        <w:fldChar w:fldCharType="begin"/>
      </w:r>
      <w:r w:rsidRPr="006B17BE">
        <w:instrText xml:space="preserve"> REF _Ref476035480 \h  \* MERGEFORMAT </w:instrText>
      </w:r>
      <w:r w:rsidRPr="006B17BE">
        <w:fldChar w:fldCharType="separate"/>
      </w:r>
      <w:r w:rsidR="00086147" w:rsidRPr="00086147">
        <w:t xml:space="preserve">Figure </w:t>
      </w:r>
      <w:r w:rsidR="00086147" w:rsidRPr="00086147">
        <w:rPr>
          <w:noProof/>
        </w:rPr>
        <w:t>3</w:t>
      </w:r>
      <w:r w:rsidR="00086147" w:rsidRPr="00086147">
        <w:rPr>
          <w:noProof/>
        </w:rPr>
        <w:noBreakHyphen/>
        <w:t>1</w:t>
      </w:r>
      <w:r w:rsidRPr="006B17BE">
        <w:fldChar w:fldCharType="end"/>
      </w:r>
      <w:r w:rsidR="00535331" w:rsidRPr="006B17BE">
        <w:t xml:space="preserve"> and </w:t>
      </w:r>
      <w:r w:rsidR="00535331" w:rsidRPr="006B17BE">
        <w:fldChar w:fldCharType="begin"/>
      </w:r>
      <w:r w:rsidR="00535331" w:rsidRPr="006B17BE">
        <w:instrText xml:space="preserve"> REF _Ref476035621 \h </w:instrText>
      </w:r>
      <w:r w:rsidR="006B17BE">
        <w:instrText xml:space="preserve"> \* MERGEFORMAT </w:instrText>
      </w:r>
      <w:r w:rsidR="00535331" w:rsidRPr="006B17BE">
        <w:fldChar w:fldCharType="separate"/>
      </w:r>
      <w:r w:rsidR="00086147" w:rsidRPr="006B17BE">
        <w:rPr>
          <w:rFonts w:asciiTheme="minorHAnsi" w:hAnsiTheme="minorHAnsi" w:cstheme="minorHAnsi"/>
          <w:szCs w:val="24"/>
        </w:rPr>
        <w:t xml:space="preserve">Figure </w:t>
      </w:r>
      <w:r w:rsidR="00086147">
        <w:rPr>
          <w:rFonts w:asciiTheme="minorHAnsi" w:hAnsiTheme="minorHAnsi" w:cstheme="minorHAnsi"/>
          <w:noProof/>
          <w:szCs w:val="24"/>
        </w:rPr>
        <w:t>3</w:t>
      </w:r>
      <w:r w:rsidR="00086147">
        <w:rPr>
          <w:rFonts w:asciiTheme="minorHAnsi" w:hAnsiTheme="minorHAnsi" w:cstheme="minorHAnsi"/>
          <w:noProof/>
          <w:szCs w:val="24"/>
        </w:rPr>
        <w:noBreakHyphen/>
        <w:t>3</w:t>
      </w:r>
      <w:r w:rsidR="00535331" w:rsidRPr="006B17BE">
        <w:fldChar w:fldCharType="end"/>
      </w:r>
      <w:r w:rsidRPr="006B17BE">
        <w:t>). A 1</w:t>
      </w:r>
      <w:r w:rsidR="00AF5890" w:rsidRPr="006B17BE">
        <w:t xml:space="preserve"> </w:t>
      </w:r>
      <w:r w:rsidRPr="006B17BE">
        <w:t xml:space="preserve">km spacing was assumed for each well pair, with each pair targeting the primary (Early Permian, layer 5) and secondary (Hoskissons, Late Permian, layer 3) coal seams. These wells are grouped into 18 water extraction areas, each with a different total extraction volume and rate over the proposed 25 year production period of the gas field. The simplified model used the base case scenario extraction rate and volumes from </w:t>
      </w:r>
      <w:r w:rsidR="00535331" w:rsidRPr="006B17BE">
        <w:t xml:space="preserve">CDM Smith (2014) </w:t>
      </w:r>
      <w:r w:rsidRPr="006B17BE">
        <w:t>model (</w:t>
      </w:r>
      <w:r w:rsidR="00535331" w:rsidRPr="006B17BE">
        <w:fldChar w:fldCharType="begin"/>
      </w:r>
      <w:r w:rsidR="00535331" w:rsidRPr="006B17BE">
        <w:instrText xml:space="preserve"> REF _Ref478663930 \h </w:instrText>
      </w:r>
      <w:r w:rsidR="006B17BE">
        <w:instrText xml:space="preserve"> \* MERGEFORMAT </w:instrText>
      </w:r>
      <w:r w:rsidR="00535331" w:rsidRPr="006B17BE">
        <w:fldChar w:fldCharType="separate"/>
      </w:r>
      <w:r w:rsidR="00086147" w:rsidRPr="006B17BE">
        <w:rPr>
          <w:rFonts w:asciiTheme="minorHAnsi" w:hAnsiTheme="minorHAnsi" w:cstheme="minorHAnsi"/>
          <w:szCs w:val="24"/>
        </w:rPr>
        <w:t xml:space="preserve">Figure </w:t>
      </w:r>
      <w:r w:rsidR="00086147">
        <w:rPr>
          <w:rFonts w:asciiTheme="minorHAnsi" w:hAnsiTheme="minorHAnsi" w:cstheme="minorHAnsi"/>
          <w:noProof/>
          <w:szCs w:val="24"/>
        </w:rPr>
        <w:t>3</w:t>
      </w:r>
      <w:r w:rsidR="00086147">
        <w:rPr>
          <w:rFonts w:asciiTheme="minorHAnsi" w:hAnsiTheme="minorHAnsi" w:cstheme="minorHAnsi"/>
          <w:noProof/>
          <w:szCs w:val="24"/>
        </w:rPr>
        <w:noBreakHyphen/>
        <w:t>4</w:t>
      </w:r>
      <w:r w:rsidR="00535331" w:rsidRPr="006B17BE">
        <w:fldChar w:fldCharType="end"/>
      </w:r>
      <w:r w:rsidRPr="006B17BE">
        <w:t xml:space="preserve">). It </w:t>
      </w:r>
      <w:r w:rsidR="00535331" w:rsidRPr="006B17BE">
        <w:t>can be inferred</w:t>
      </w:r>
      <w:r w:rsidRPr="006B17BE">
        <w:t xml:space="preserve"> from </w:t>
      </w:r>
      <w:r w:rsidR="00535331" w:rsidRPr="006B17BE">
        <w:fldChar w:fldCharType="begin"/>
      </w:r>
      <w:r w:rsidR="00535331" w:rsidRPr="006B17BE">
        <w:instrText xml:space="preserve"> REF _Ref478663930 \h </w:instrText>
      </w:r>
      <w:r w:rsidR="006B17BE">
        <w:instrText xml:space="preserve"> \* MERGEFORMAT </w:instrText>
      </w:r>
      <w:r w:rsidR="00535331" w:rsidRPr="006B17BE">
        <w:fldChar w:fldCharType="separate"/>
      </w:r>
      <w:r w:rsidR="00086147" w:rsidRPr="006B17BE">
        <w:rPr>
          <w:rFonts w:asciiTheme="minorHAnsi" w:hAnsiTheme="minorHAnsi" w:cstheme="minorHAnsi"/>
          <w:szCs w:val="24"/>
        </w:rPr>
        <w:t xml:space="preserve">Figure </w:t>
      </w:r>
      <w:r w:rsidR="00086147">
        <w:rPr>
          <w:rFonts w:asciiTheme="minorHAnsi" w:hAnsiTheme="minorHAnsi" w:cstheme="minorHAnsi"/>
          <w:noProof/>
          <w:szCs w:val="24"/>
        </w:rPr>
        <w:t>3</w:t>
      </w:r>
      <w:r w:rsidR="00086147">
        <w:rPr>
          <w:rFonts w:asciiTheme="minorHAnsi" w:hAnsiTheme="minorHAnsi" w:cstheme="minorHAnsi"/>
          <w:noProof/>
          <w:szCs w:val="24"/>
        </w:rPr>
        <w:noBreakHyphen/>
        <w:t>4</w:t>
      </w:r>
      <w:r w:rsidR="00535331" w:rsidRPr="006B17BE">
        <w:fldChar w:fldCharType="end"/>
      </w:r>
      <w:r w:rsidR="00535331" w:rsidRPr="006B17BE">
        <w:t xml:space="preserve"> </w:t>
      </w:r>
      <w:r w:rsidRPr="006B17BE">
        <w:t xml:space="preserve">that the </w:t>
      </w:r>
      <w:r w:rsidR="00535331" w:rsidRPr="006B17BE">
        <w:t xml:space="preserve">deeper </w:t>
      </w:r>
      <w:r w:rsidRPr="006B17BE">
        <w:t xml:space="preserve">Early Permian coal seam will undergo </w:t>
      </w:r>
      <w:r w:rsidR="00AF5890" w:rsidRPr="006B17BE">
        <w:t xml:space="preserve">a more </w:t>
      </w:r>
      <w:r w:rsidRPr="006B17BE">
        <w:t xml:space="preserve">considerable depressurisation relative to the </w:t>
      </w:r>
      <w:r w:rsidR="00535331" w:rsidRPr="006B17BE">
        <w:t xml:space="preserve">shallower </w:t>
      </w:r>
      <w:r w:rsidRPr="006B17BE">
        <w:t>Late Permian coal seam.</w:t>
      </w:r>
      <w:r w:rsidR="00455CE4">
        <w:t xml:space="preserve"> Modflow-USG does not account for geomechanical compaction as a result of reservoir pressure reduction during extraction. </w:t>
      </w:r>
      <w:r w:rsidR="00455CE4" w:rsidRPr="00F52605">
        <w:t xml:space="preserve">This will change the net effective stress leading to a certain amount of compaction, which, in turn, </w:t>
      </w:r>
      <w:r w:rsidR="00F52605">
        <w:t>may</w:t>
      </w:r>
      <w:r w:rsidR="00455CE4" w:rsidRPr="00F52605">
        <w:t xml:space="preserve"> reduce the pressure depletion propagation (i.e., the groundwater head decline w</w:t>
      </w:r>
      <w:r w:rsidR="00F52605">
        <w:t>ould</w:t>
      </w:r>
      <w:r w:rsidR="00455CE4" w:rsidRPr="00F52605">
        <w:t xml:space="preserve"> become smaller).</w:t>
      </w:r>
      <w:r w:rsidR="00F52605">
        <w:t xml:space="preserve"> Indeed, a</w:t>
      </w:r>
      <w:r w:rsidR="00F52605" w:rsidRPr="00F52605">
        <w:t>s gas is produced from a CSG reservoir, two distinct and opposing phenomena occur that can affect the absolute permeability of the cleat system (Morad et al. 2008):</w:t>
      </w:r>
    </w:p>
    <w:p w14:paraId="3E4DFE1B" w14:textId="2D919C2E" w:rsidR="00F52605" w:rsidRPr="00F52605" w:rsidRDefault="00F52605" w:rsidP="00F52605">
      <w:pPr>
        <w:pStyle w:val="Body"/>
        <w:numPr>
          <w:ilvl w:val="0"/>
          <w:numId w:val="41"/>
        </w:numPr>
      </w:pPr>
      <w:r w:rsidRPr="00F52605">
        <w:t>The decrease in reservoir pressure reduces the pressure in the cleats. Cleat net effective stress (which is the</w:t>
      </w:r>
      <w:r>
        <w:t xml:space="preserve"> </w:t>
      </w:r>
      <w:r w:rsidRPr="00F52605">
        <w:t>difference between overburden stress and pore pressure) can cause changes in cleat permeability. Depending</w:t>
      </w:r>
      <w:r>
        <w:t xml:space="preserve"> </w:t>
      </w:r>
      <w:r w:rsidRPr="00F52605">
        <w:t>upon the orientation of cleats relative to the in‐situ stress orientation, cleat compression or dilation may result in</w:t>
      </w:r>
      <w:r>
        <w:t xml:space="preserve"> </w:t>
      </w:r>
      <w:r w:rsidRPr="00F52605">
        <w:t>either the reduction or enhancement of cleat permeability, respectively.</w:t>
      </w:r>
    </w:p>
    <w:p w14:paraId="4888D57E" w14:textId="0AF5F56A" w:rsidR="00F52605" w:rsidRPr="006B17BE" w:rsidRDefault="00F52605" w:rsidP="00F52605">
      <w:pPr>
        <w:pStyle w:val="Body"/>
        <w:numPr>
          <w:ilvl w:val="0"/>
          <w:numId w:val="41"/>
        </w:numPr>
      </w:pPr>
      <w:r w:rsidRPr="00F52605">
        <w:t>Desorption of gas from the coal matrix results in shrinkage of the matrix. Shrinkage causes the space within the cleats to widen and the permeability of the cleats increases.</w:t>
      </w:r>
    </w:p>
    <w:p w14:paraId="33B74C5D" w14:textId="37F6827B" w:rsidR="00AF5890" w:rsidRPr="006B17BE" w:rsidRDefault="005F6090" w:rsidP="00AF5890">
      <w:pPr>
        <w:keepNext/>
        <w:keepLines/>
        <w:jc w:val="center"/>
        <w:rPr>
          <w:rFonts w:asciiTheme="minorHAnsi" w:hAnsiTheme="minorHAnsi" w:cstheme="minorHAnsi"/>
          <w:sz w:val="24"/>
          <w:szCs w:val="24"/>
        </w:rPr>
      </w:pPr>
      <w:r w:rsidRPr="006B17BE">
        <w:rPr>
          <w:rFonts w:asciiTheme="minorHAnsi" w:hAnsiTheme="minorHAnsi" w:cstheme="minorHAnsi"/>
          <w:noProof/>
          <w:sz w:val="24"/>
          <w:szCs w:val="24"/>
        </w:rPr>
        <w:drawing>
          <wp:inline distT="0" distB="0" distL="0" distR="0" wp14:anchorId="53F49E3F" wp14:editId="64AB92EE">
            <wp:extent cx="4043445" cy="3032584"/>
            <wp:effectExtent l="0" t="0" r="0" b="0"/>
            <wp:docPr id="25" name="Picture 25" descr="D:\workspace\noor0021\CSG\leaky_well\Gunnedah_model\Fig_Water_Prod_NG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orkspace\noor0021\CSG\leaky_well\Gunnedah_model\Fig_Water_Prod_NGP.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048364" cy="3036274"/>
                    </a:xfrm>
                    <a:prstGeom prst="rect">
                      <a:avLst/>
                    </a:prstGeom>
                    <a:noFill/>
                    <a:ln>
                      <a:noFill/>
                    </a:ln>
                  </pic:spPr>
                </pic:pic>
              </a:graphicData>
            </a:graphic>
          </wp:inline>
        </w:drawing>
      </w:r>
    </w:p>
    <w:p w14:paraId="19F96A92" w14:textId="739B7FB6" w:rsidR="00AF5890" w:rsidRPr="006B17BE" w:rsidRDefault="00AF5890" w:rsidP="00AF5890">
      <w:pPr>
        <w:pStyle w:val="Caption"/>
        <w:rPr>
          <w:rFonts w:asciiTheme="minorHAnsi" w:hAnsiTheme="minorHAnsi" w:cstheme="minorHAnsi"/>
          <w:szCs w:val="24"/>
        </w:rPr>
      </w:pPr>
      <w:bookmarkStart w:id="509" w:name="_Ref478663930"/>
      <w:bookmarkStart w:id="510" w:name="_Toc508267271"/>
      <w:r w:rsidRPr="006B17BE">
        <w:rPr>
          <w:rFonts w:asciiTheme="minorHAnsi" w:hAnsiTheme="minorHAnsi" w:cstheme="minorHAnsi"/>
          <w:szCs w:val="24"/>
        </w:rPr>
        <w:t xml:space="preserve">Figure </w:t>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STYLEREF 1 \s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3</w:t>
      </w:r>
      <w:r w:rsidR="0014612E">
        <w:rPr>
          <w:rFonts w:asciiTheme="minorHAnsi" w:hAnsiTheme="minorHAnsi" w:cstheme="minorHAnsi"/>
          <w:szCs w:val="24"/>
        </w:rPr>
        <w:fldChar w:fldCharType="end"/>
      </w:r>
      <w:r w:rsidR="0014612E">
        <w:rPr>
          <w:rFonts w:asciiTheme="minorHAnsi" w:hAnsiTheme="minorHAnsi" w:cstheme="minorHAnsi"/>
          <w:szCs w:val="24"/>
        </w:rPr>
        <w:noBreakHyphen/>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SEQ Figure \* ARABIC \s 1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4</w:t>
      </w:r>
      <w:r w:rsidR="0014612E">
        <w:rPr>
          <w:rFonts w:asciiTheme="minorHAnsi" w:hAnsiTheme="minorHAnsi" w:cstheme="minorHAnsi"/>
          <w:szCs w:val="24"/>
        </w:rPr>
        <w:fldChar w:fldCharType="end"/>
      </w:r>
      <w:bookmarkEnd w:id="509"/>
      <w:r w:rsidRPr="006B17BE">
        <w:rPr>
          <w:rFonts w:asciiTheme="minorHAnsi" w:hAnsiTheme="minorHAnsi" w:cstheme="minorHAnsi"/>
          <w:szCs w:val="24"/>
        </w:rPr>
        <w:t xml:space="preserve"> Water Production estimates for the Narrabri Gas Project area, for the Early Permian </w:t>
      </w:r>
      <w:r w:rsidR="009B3FA1" w:rsidRPr="006B17BE">
        <w:rPr>
          <w:rFonts w:asciiTheme="minorHAnsi" w:hAnsiTheme="minorHAnsi" w:cstheme="minorHAnsi"/>
          <w:szCs w:val="24"/>
        </w:rPr>
        <w:t>(</w:t>
      </w:r>
      <w:r w:rsidRPr="006B17BE">
        <w:rPr>
          <w:rFonts w:asciiTheme="minorHAnsi" w:hAnsiTheme="minorHAnsi" w:cstheme="minorHAnsi"/>
          <w:szCs w:val="24"/>
        </w:rPr>
        <w:t>Maules Creek</w:t>
      </w:r>
      <w:r w:rsidR="009B3FA1" w:rsidRPr="006B17BE">
        <w:rPr>
          <w:rFonts w:asciiTheme="minorHAnsi" w:hAnsiTheme="minorHAnsi" w:cstheme="minorHAnsi"/>
          <w:szCs w:val="24"/>
        </w:rPr>
        <w:t>)</w:t>
      </w:r>
      <w:r w:rsidRPr="006B17BE">
        <w:rPr>
          <w:rFonts w:asciiTheme="minorHAnsi" w:hAnsiTheme="minorHAnsi" w:cstheme="minorHAnsi"/>
          <w:szCs w:val="24"/>
        </w:rPr>
        <w:t xml:space="preserve"> primary </w:t>
      </w:r>
      <w:r w:rsidR="00443CD7" w:rsidRPr="006B17BE">
        <w:rPr>
          <w:rFonts w:asciiTheme="minorHAnsi" w:hAnsiTheme="minorHAnsi" w:cstheme="minorHAnsi"/>
          <w:szCs w:val="24"/>
        </w:rPr>
        <w:t>coal seam gas</w:t>
      </w:r>
      <w:r w:rsidRPr="006B17BE">
        <w:rPr>
          <w:rFonts w:asciiTheme="minorHAnsi" w:hAnsiTheme="minorHAnsi" w:cstheme="minorHAnsi"/>
          <w:szCs w:val="24"/>
        </w:rPr>
        <w:t xml:space="preserve"> target formation (blue) and Late Permian </w:t>
      </w:r>
      <w:r w:rsidR="009B3FA1" w:rsidRPr="006B17BE">
        <w:rPr>
          <w:rFonts w:asciiTheme="minorHAnsi" w:hAnsiTheme="minorHAnsi" w:cstheme="minorHAnsi"/>
          <w:szCs w:val="24"/>
        </w:rPr>
        <w:t>(</w:t>
      </w:r>
      <w:r w:rsidRPr="006B17BE">
        <w:rPr>
          <w:rFonts w:asciiTheme="minorHAnsi" w:hAnsiTheme="minorHAnsi" w:cstheme="minorHAnsi"/>
          <w:szCs w:val="24"/>
        </w:rPr>
        <w:t>Hoskissons</w:t>
      </w:r>
      <w:r w:rsidR="009B3FA1" w:rsidRPr="006B17BE">
        <w:rPr>
          <w:rFonts w:asciiTheme="minorHAnsi" w:hAnsiTheme="minorHAnsi" w:cstheme="minorHAnsi"/>
          <w:szCs w:val="24"/>
        </w:rPr>
        <w:t>)</w:t>
      </w:r>
      <w:r w:rsidRPr="006B17BE">
        <w:rPr>
          <w:rFonts w:asciiTheme="minorHAnsi" w:hAnsiTheme="minorHAnsi" w:cstheme="minorHAnsi"/>
          <w:szCs w:val="24"/>
        </w:rPr>
        <w:t xml:space="preserve"> secondary </w:t>
      </w:r>
      <w:r w:rsidR="00443CD7" w:rsidRPr="006B17BE">
        <w:rPr>
          <w:rFonts w:asciiTheme="minorHAnsi" w:hAnsiTheme="minorHAnsi" w:cstheme="minorHAnsi"/>
          <w:szCs w:val="24"/>
        </w:rPr>
        <w:t>coal seam gas</w:t>
      </w:r>
      <w:r w:rsidRPr="006B17BE">
        <w:rPr>
          <w:rFonts w:asciiTheme="minorHAnsi" w:hAnsiTheme="minorHAnsi" w:cstheme="minorHAnsi"/>
          <w:szCs w:val="24"/>
        </w:rPr>
        <w:t xml:space="preserve"> target formation (green)</w:t>
      </w:r>
      <w:r w:rsidR="003649B4">
        <w:rPr>
          <w:rFonts w:asciiTheme="minorHAnsi" w:hAnsiTheme="minorHAnsi" w:cstheme="minorHAnsi"/>
          <w:szCs w:val="24"/>
        </w:rPr>
        <w:t xml:space="preserve"> (CDM Smith, 2014)</w:t>
      </w:r>
      <w:r w:rsidRPr="006B17BE">
        <w:rPr>
          <w:rFonts w:asciiTheme="minorHAnsi" w:hAnsiTheme="minorHAnsi" w:cstheme="minorHAnsi"/>
          <w:szCs w:val="24"/>
        </w:rPr>
        <w:t>.</w:t>
      </w:r>
      <w:bookmarkEnd w:id="510"/>
      <w:r w:rsidRPr="006B17BE">
        <w:rPr>
          <w:rFonts w:asciiTheme="minorHAnsi" w:hAnsiTheme="minorHAnsi" w:cstheme="minorHAnsi"/>
          <w:szCs w:val="24"/>
        </w:rPr>
        <w:t xml:space="preserve"> </w:t>
      </w:r>
    </w:p>
    <w:p w14:paraId="31C580F9" w14:textId="58D4230E" w:rsidR="00AA16BE" w:rsidRPr="006B17BE" w:rsidRDefault="00AA16BE" w:rsidP="00946CE6">
      <w:pPr>
        <w:pStyle w:val="Body"/>
      </w:pPr>
      <w:r w:rsidRPr="006B17BE">
        <w:t xml:space="preserve">The simplified model was first </w:t>
      </w:r>
      <w:r w:rsidR="003F7BCE">
        <w:t>simulated</w:t>
      </w:r>
      <w:r w:rsidR="003F7BCE" w:rsidRPr="006B17BE">
        <w:t xml:space="preserve"> </w:t>
      </w:r>
      <w:r w:rsidRPr="006B17BE">
        <w:t>in steady</w:t>
      </w:r>
      <w:r w:rsidR="00036CD0" w:rsidRPr="006B17BE">
        <w:t>-</w:t>
      </w:r>
      <w:r w:rsidRPr="006B17BE">
        <w:t xml:space="preserve">state to allow the system to reach a pre-production equilibrium. </w:t>
      </w:r>
      <w:r w:rsidRPr="006B17BE">
        <w:fldChar w:fldCharType="begin"/>
      </w:r>
      <w:r w:rsidRPr="006B17BE">
        <w:instrText xml:space="preserve"> REF _Ref476035621 \h  \* MERGEFORMAT </w:instrText>
      </w:r>
      <w:r w:rsidRPr="006B17BE">
        <w:fldChar w:fldCharType="separate"/>
      </w:r>
      <w:r w:rsidR="00086147" w:rsidRPr="00086147">
        <w:t xml:space="preserve">Figure </w:t>
      </w:r>
      <w:r w:rsidR="00086147" w:rsidRPr="00086147">
        <w:rPr>
          <w:noProof/>
        </w:rPr>
        <w:t>3</w:t>
      </w:r>
      <w:r w:rsidR="00086147" w:rsidRPr="00086147">
        <w:rPr>
          <w:noProof/>
        </w:rPr>
        <w:noBreakHyphen/>
        <w:t>3</w:t>
      </w:r>
      <w:r w:rsidRPr="006B17BE">
        <w:fldChar w:fldCharType="end"/>
      </w:r>
      <w:r w:rsidRPr="006B17BE">
        <w:t xml:space="preserve"> shows the </w:t>
      </w:r>
      <w:r w:rsidR="00036CD0" w:rsidRPr="006B17BE">
        <w:t xml:space="preserve">calculated </w:t>
      </w:r>
      <w:r w:rsidRPr="006B17BE">
        <w:t>steady</w:t>
      </w:r>
      <w:r w:rsidR="00036CD0" w:rsidRPr="006B17BE">
        <w:t>-</w:t>
      </w:r>
      <w:r w:rsidRPr="006B17BE">
        <w:t>state head distribution in layers 1</w:t>
      </w:r>
      <w:r w:rsidR="00535331" w:rsidRPr="006B17BE">
        <w:t xml:space="preserve"> (aquifer)</w:t>
      </w:r>
      <w:r w:rsidRPr="006B17BE">
        <w:t>, 3</w:t>
      </w:r>
      <w:r w:rsidR="00535331" w:rsidRPr="006B17BE">
        <w:t xml:space="preserve"> (c</w:t>
      </w:r>
      <w:r w:rsidR="00595AA1" w:rsidRPr="006B17BE">
        <w:t xml:space="preserve">oal </w:t>
      </w:r>
      <w:r w:rsidR="00535331" w:rsidRPr="006B17BE">
        <w:t>s</w:t>
      </w:r>
      <w:r w:rsidR="00595AA1" w:rsidRPr="006B17BE">
        <w:t xml:space="preserve">eam </w:t>
      </w:r>
      <w:r w:rsidR="00535331" w:rsidRPr="006B17BE">
        <w:t>g</w:t>
      </w:r>
      <w:r w:rsidR="00595AA1" w:rsidRPr="006B17BE">
        <w:t>as</w:t>
      </w:r>
      <w:r w:rsidR="00535331" w:rsidRPr="006B17BE">
        <w:t xml:space="preserve"> reservoir)</w:t>
      </w:r>
      <w:r w:rsidRPr="006B17BE">
        <w:t>, and 5</w:t>
      </w:r>
      <w:r w:rsidR="00535331" w:rsidRPr="006B17BE">
        <w:t xml:space="preserve"> (c</w:t>
      </w:r>
      <w:r w:rsidR="00595AA1" w:rsidRPr="006B17BE">
        <w:t xml:space="preserve">oal </w:t>
      </w:r>
      <w:r w:rsidR="00535331" w:rsidRPr="006B17BE">
        <w:t>s</w:t>
      </w:r>
      <w:r w:rsidR="00595AA1" w:rsidRPr="006B17BE">
        <w:t xml:space="preserve">eam </w:t>
      </w:r>
      <w:r w:rsidR="00535331" w:rsidRPr="006B17BE">
        <w:t>g</w:t>
      </w:r>
      <w:r w:rsidR="00595AA1" w:rsidRPr="006B17BE">
        <w:t>as</w:t>
      </w:r>
      <w:r w:rsidR="00535331" w:rsidRPr="006B17BE">
        <w:t xml:space="preserve"> reservoir)</w:t>
      </w:r>
      <w:r w:rsidRPr="006B17BE">
        <w:t xml:space="preserve">. The regional flow induced by the spatially variable constant head boundary in layer 1 results in a head difference ranging between -89 m (upward gradient) and 276 m (downward gradient) between layer 1 and layer 3 and </w:t>
      </w:r>
      <w:r w:rsidR="004867A7" w:rsidRPr="006B17BE">
        <w:t xml:space="preserve">between layer 1 and </w:t>
      </w:r>
      <w:r w:rsidRPr="006B17BE">
        <w:t>5</w:t>
      </w:r>
      <w:r w:rsidR="004867A7" w:rsidRPr="006B17BE">
        <w:t>, respectively</w:t>
      </w:r>
      <w:r w:rsidRPr="006B17BE">
        <w:t>. These large differences are located along the edge of the model driven by the boundary condition in layer</w:t>
      </w:r>
      <w:r w:rsidR="00E87215" w:rsidRPr="006B17BE">
        <w:t xml:space="preserve"> </w:t>
      </w:r>
      <w:r w:rsidRPr="006B17BE">
        <w:t>1 and all other layers</w:t>
      </w:r>
      <w:r w:rsidR="00E87215" w:rsidRPr="006B17BE">
        <w:t xml:space="preserve">. </w:t>
      </w:r>
      <w:r w:rsidR="004B4C9B" w:rsidRPr="006B17BE">
        <w:t>T</w:t>
      </w:r>
      <w:r w:rsidRPr="006B17BE">
        <w:t>he average head</w:t>
      </w:r>
      <w:r w:rsidR="00D04D3D" w:rsidRPr="006B17BE">
        <w:t>s</w:t>
      </w:r>
      <w:r w:rsidRPr="006B17BE">
        <w:t xml:space="preserve"> </w:t>
      </w:r>
      <w:r w:rsidR="00D04D3D" w:rsidRPr="006B17BE">
        <w:t xml:space="preserve">in layer 1, 3, and 5 are </w:t>
      </w:r>
      <w:r w:rsidR="00872EA4" w:rsidRPr="006B17BE">
        <w:t>317.9</w:t>
      </w:r>
      <w:r w:rsidR="00D04D3D" w:rsidRPr="006B17BE">
        <w:t xml:space="preserve"> m, </w:t>
      </w:r>
      <w:r w:rsidR="00872EA4" w:rsidRPr="006B17BE">
        <w:t>318.26</w:t>
      </w:r>
      <w:r w:rsidR="00D04D3D" w:rsidRPr="006B17BE">
        <w:t xml:space="preserve"> m, </w:t>
      </w:r>
      <w:r w:rsidR="00872EA4" w:rsidRPr="006B17BE">
        <w:t>318.305</w:t>
      </w:r>
      <w:r w:rsidR="00D04D3D" w:rsidRPr="006B17BE">
        <w:t xml:space="preserve"> m, respectively. The</w:t>
      </w:r>
      <w:r w:rsidR="00917690">
        <w:t xml:space="preserve"> average</w:t>
      </w:r>
      <w:r w:rsidR="00D04D3D" w:rsidRPr="006B17BE">
        <w:t xml:space="preserve"> head </w:t>
      </w:r>
      <w:r w:rsidRPr="006B17BE">
        <w:t>difference between layer 1 and 3</w:t>
      </w:r>
      <w:r w:rsidR="00D04D3D" w:rsidRPr="006B17BE">
        <w:t xml:space="preserve"> is therefore </w:t>
      </w:r>
      <w:r w:rsidR="00872EA4" w:rsidRPr="006B17BE">
        <w:t>-0.33</w:t>
      </w:r>
      <w:r w:rsidR="00A3444D" w:rsidRPr="006B17BE">
        <w:t xml:space="preserve"> </w:t>
      </w:r>
      <w:r w:rsidR="00D04D3D" w:rsidRPr="006B17BE">
        <w:t xml:space="preserve">m </w:t>
      </w:r>
      <w:r w:rsidR="00872EA4" w:rsidRPr="006B17BE">
        <w:t xml:space="preserve">and </w:t>
      </w:r>
      <w:r w:rsidR="00D04D3D" w:rsidRPr="006B17BE">
        <w:t xml:space="preserve">the </w:t>
      </w:r>
      <w:r w:rsidR="00917690">
        <w:t xml:space="preserve">average </w:t>
      </w:r>
      <w:r w:rsidR="00D04D3D" w:rsidRPr="006B17BE">
        <w:t xml:space="preserve">head difference between layer 3 and 5 is </w:t>
      </w:r>
      <w:r w:rsidR="00872EA4" w:rsidRPr="006B17BE">
        <w:t>-0.4</w:t>
      </w:r>
      <w:r w:rsidRPr="006B17BE">
        <w:t xml:space="preserve"> m (upward gradient</w:t>
      </w:r>
      <w:r w:rsidR="00A3444D" w:rsidRPr="006B17BE">
        <w:t xml:space="preserve"> across the entire vertical profile</w:t>
      </w:r>
      <w:r w:rsidRPr="006B17BE">
        <w:t>).</w:t>
      </w:r>
      <w:r w:rsidR="00535331" w:rsidRPr="006B17BE">
        <w:t xml:space="preserve"> This represents unperturbed flow conditions.</w:t>
      </w:r>
    </w:p>
    <w:p w14:paraId="00F193F9" w14:textId="20979EC8" w:rsidR="00AA16BE" w:rsidRPr="006B17BE" w:rsidRDefault="00AA16BE" w:rsidP="00946CE6">
      <w:pPr>
        <w:pStyle w:val="Body"/>
      </w:pPr>
      <w:r w:rsidRPr="006B17BE">
        <w:t>The gas production period was simulated using the estimated water production volumes over a transient 25 year period (</w:t>
      </w:r>
      <w:r w:rsidR="00535331" w:rsidRPr="006B17BE">
        <w:fldChar w:fldCharType="begin"/>
      </w:r>
      <w:r w:rsidR="00535331" w:rsidRPr="006B17BE">
        <w:instrText xml:space="preserve"> REF _Ref478663930 \h </w:instrText>
      </w:r>
      <w:r w:rsidR="006B17BE">
        <w:instrText xml:space="preserve"> \* MERGEFORMAT </w:instrText>
      </w:r>
      <w:r w:rsidR="00535331" w:rsidRPr="006B17BE">
        <w:fldChar w:fldCharType="separate"/>
      </w:r>
      <w:r w:rsidR="00086147" w:rsidRPr="006B17BE">
        <w:rPr>
          <w:rFonts w:asciiTheme="minorHAnsi" w:hAnsiTheme="minorHAnsi" w:cstheme="minorHAnsi"/>
          <w:szCs w:val="24"/>
        </w:rPr>
        <w:t xml:space="preserve">Figure </w:t>
      </w:r>
      <w:r w:rsidR="00086147">
        <w:rPr>
          <w:rFonts w:asciiTheme="minorHAnsi" w:hAnsiTheme="minorHAnsi" w:cstheme="minorHAnsi"/>
          <w:noProof/>
          <w:szCs w:val="24"/>
        </w:rPr>
        <w:t>3</w:t>
      </w:r>
      <w:r w:rsidR="00086147">
        <w:rPr>
          <w:rFonts w:asciiTheme="minorHAnsi" w:hAnsiTheme="minorHAnsi" w:cstheme="minorHAnsi"/>
          <w:noProof/>
          <w:szCs w:val="24"/>
        </w:rPr>
        <w:noBreakHyphen/>
        <w:t>4</w:t>
      </w:r>
      <w:r w:rsidR="00535331" w:rsidRPr="006B17BE">
        <w:fldChar w:fldCharType="end"/>
      </w:r>
      <w:r w:rsidRPr="006B17BE">
        <w:t>). Subsequent water level recovery was modelled for a period of 2</w:t>
      </w:r>
      <w:r w:rsidR="00DF3695" w:rsidRPr="006B17BE">
        <w:t>,</w:t>
      </w:r>
      <w:r w:rsidRPr="006B17BE">
        <w:t>500 years in all layers.</w:t>
      </w:r>
    </w:p>
    <w:p w14:paraId="4EC65DD2" w14:textId="2F7F5AC9" w:rsidR="00AA16BE" w:rsidRPr="00684F4E" w:rsidRDefault="00AA16BE" w:rsidP="00684F4E">
      <w:pPr>
        <w:pStyle w:val="Caption"/>
      </w:pPr>
      <w:bookmarkStart w:id="511" w:name="_Ref476035680"/>
      <w:bookmarkStart w:id="512" w:name="_Ref477504740"/>
      <w:bookmarkStart w:id="513" w:name="_Toc508267201"/>
      <w:r w:rsidRPr="00684F4E">
        <w:t xml:space="preserve">Table </w:t>
      </w:r>
      <w:r w:rsidR="00296C49">
        <w:fldChar w:fldCharType="begin"/>
      </w:r>
      <w:r w:rsidR="00296C49">
        <w:instrText xml:space="preserve"> STYLEREF 1 \s </w:instrText>
      </w:r>
      <w:r w:rsidR="00296C49">
        <w:fldChar w:fldCharType="separate"/>
      </w:r>
      <w:r w:rsidR="00086147">
        <w:rPr>
          <w:noProof/>
        </w:rPr>
        <w:t>3</w:t>
      </w:r>
      <w:r w:rsidR="00296C49">
        <w:rPr>
          <w:noProof/>
        </w:rPr>
        <w:fldChar w:fldCharType="end"/>
      </w:r>
      <w:r w:rsidR="0014612E">
        <w:noBreakHyphen/>
      </w:r>
      <w:r w:rsidR="00296C49">
        <w:fldChar w:fldCharType="begin"/>
      </w:r>
      <w:r w:rsidR="00296C49">
        <w:instrText xml:space="preserve"> SEQ Table \* ARABIC \s 1 </w:instrText>
      </w:r>
      <w:r w:rsidR="00296C49">
        <w:fldChar w:fldCharType="separate"/>
      </w:r>
      <w:r w:rsidR="00086147">
        <w:rPr>
          <w:noProof/>
        </w:rPr>
        <w:t>3</w:t>
      </w:r>
      <w:r w:rsidR="00296C49">
        <w:rPr>
          <w:noProof/>
        </w:rPr>
        <w:fldChar w:fldCharType="end"/>
      </w:r>
      <w:bookmarkEnd w:id="511"/>
      <w:r w:rsidRPr="00684F4E">
        <w:t xml:space="preserve"> Simplified groundwater model well</w:t>
      </w:r>
      <w:r w:rsidR="00535331" w:rsidRPr="00684F4E">
        <w:t>/bore</w:t>
      </w:r>
      <w:r w:rsidRPr="00684F4E">
        <w:t xml:space="preserve"> </w:t>
      </w:r>
      <w:r w:rsidR="00535331" w:rsidRPr="00684F4E">
        <w:t>flow</w:t>
      </w:r>
      <w:r w:rsidRPr="00684F4E">
        <w:t xml:space="preserve"> parameters.</w:t>
      </w:r>
      <w:bookmarkEnd w:id="512"/>
      <w:bookmarkEnd w:id="513"/>
    </w:p>
    <w:tbl>
      <w:tblPr>
        <w:tblStyle w:val="ListTable3-Accent1"/>
        <w:tblW w:w="0" w:type="auto"/>
        <w:tblLook w:val="04A0" w:firstRow="1" w:lastRow="0" w:firstColumn="1" w:lastColumn="0" w:noHBand="0" w:noVBand="1"/>
      </w:tblPr>
      <w:tblGrid>
        <w:gridCol w:w="3401"/>
        <w:gridCol w:w="1272"/>
        <w:gridCol w:w="567"/>
        <w:gridCol w:w="1134"/>
        <w:gridCol w:w="284"/>
        <w:gridCol w:w="1559"/>
      </w:tblGrid>
      <w:tr w:rsidR="00A62DEA" w:rsidRPr="006B17BE" w14:paraId="62D9D484" w14:textId="2B52F844" w:rsidTr="00F60987">
        <w:trPr>
          <w:cnfStyle w:val="100000000000" w:firstRow="1" w:lastRow="0" w:firstColumn="0" w:lastColumn="0" w:oddVBand="0" w:evenVBand="0" w:oddHBand="0" w:evenHBand="0" w:firstRowFirstColumn="0" w:firstRowLastColumn="0" w:lastRowFirstColumn="0" w:lastRowLastColumn="0"/>
          <w:trHeight w:val="524"/>
        </w:trPr>
        <w:tc>
          <w:tcPr>
            <w:cnfStyle w:val="001000000100" w:firstRow="0" w:lastRow="0" w:firstColumn="1" w:lastColumn="0" w:oddVBand="0" w:evenVBand="0" w:oddHBand="0" w:evenHBand="0" w:firstRowFirstColumn="1" w:firstRowLastColumn="0" w:lastRowFirstColumn="0" w:lastRowLastColumn="0"/>
            <w:tcW w:w="3401" w:type="dxa"/>
            <w:tcBorders>
              <w:top w:val="single" w:sz="4" w:space="0" w:color="CCCCCC"/>
              <w:left w:val="single" w:sz="4" w:space="0" w:color="CCCCCC"/>
            </w:tcBorders>
            <w:shd w:val="clear" w:color="auto" w:fill="CCCCCC"/>
            <w:vAlign w:val="center"/>
          </w:tcPr>
          <w:p w14:paraId="2B0A1B21" w14:textId="77777777" w:rsidR="00A62DEA" w:rsidRPr="006B17BE" w:rsidRDefault="00A62DEA" w:rsidP="0092151B">
            <w:pPr>
              <w:jc w:val="left"/>
              <w:rPr>
                <w:rFonts w:asciiTheme="minorHAnsi" w:hAnsiTheme="minorHAnsi" w:cstheme="minorHAnsi"/>
                <w:color w:val="FFFFFF" w:themeColor="background1"/>
                <w:sz w:val="20"/>
                <w:szCs w:val="24"/>
              </w:rPr>
            </w:pPr>
            <w:r w:rsidRPr="006B17BE">
              <w:rPr>
                <w:rFonts w:asciiTheme="minorHAnsi" w:hAnsiTheme="minorHAnsi" w:cstheme="minorHAnsi"/>
                <w:color w:val="FFFFFF" w:themeColor="background1"/>
                <w:sz w:val="20"/>
                <w:szCs w:val="24"/>
              </w:rPr>
              <w:t>Parameter</w:t>
            </w:r>
          </w:p>
        </w:tc>
        <w:tc>
          <w:tcPr>
            <w:tcW w:w="1839" w:type="dxa"/>
            <w:gridSpan w:val="2"/>
            <w:tcBorders>
              <w:top w:val="single" w:sz="4" w:space="0" w:color="CCCCCC"/>
              <w:bottom w:val="nil"/>
            </w:tcBorders>
            <w:shd w:val="clear" w:color="auto" w:fill="CCCCCC"/>
          </w:tcPr>
          <w:p w14:paraId="3DBF9E20" w14:textId="77777777" w:rsidR="00A62DEA" w:rsidRPr="006B17BE" w:rsidRDefault="00A62DEA" w:rsidP="00E354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4"/>
              </w:rPr>
            </w:pPr>
          </w:p>
        </w:tc>
        <w:tc>
          <w:tcPr>
            <w:tcW w:w="1134" w:type="dxa"/>
            <w:tcBorders>
              <w:top w:val="single" w:sz="4" w:space="0" w:color="CCCCCC"/>
              <w:bottom w:val="nil"/>
            </w:tcBorders>
            <w:shd w:val="clear" w:color="auto" w:fill="CCCCCC"/>
            <w:vAlign w:val="center"/>
          </w:tcPr>
          <w:p w14:paraId="7B2202FE" w14:textId="77777777" w:rsidR="00A62DEA" w:rsidRPr="006B17BE" w:rsidRDefault="00A62DEA" w:rsidP="00535331">
            <w:pPr>
              <w:jc w:val="left"/>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FFFFFF" w:themeColor="background1"/>
                <w:sz w:val="20"/>
                <w:szCs w:val="24"/>
              </w:rPr>
            </w:pPr>
            <w:r w:rsidRPr="006B17BE">
              <w:rPr>
                <w:rFonts w:asciiTheme="minorHAnsi" w:hAnsiTheme="minorHAnsi" w:cstheme="minorHAnsi"/>
                <w:color w:val="FFFFFF" w:themeColor="background1"/>
                <w:sz w:val="20"/>
                <w:szCs w:val="24"/>
              </w:rPr>
              <w:t>Leaky well</w:t>
            </w:r>
          </w:p>
        </w:tc>
        <w:tc>
          <w:tcPr>
            <w:tcW w:w="1843" w:type="dxa"/>
            <w:gridSpan w:val="2"/>
            <w:tcBorders>
              <w:top w:val="single" w:sz="4" w:space="0" w:color="CCCCCC"/>
              <w:bottom w:val="nil"/>
              <w:right w:val="single" w:sz="4" w:space="0" w:color="CCCCCC"/>
            </w:tcBorders>
            <w:shd w:val="clear" w:color="auto" w:fill="CCCCCC"/>
            <w:vAlign w:val="center"/>
          </w:tcPr>
          <w:p w14:paraId="290B0B51" w14:textId="5B00F549" w:rsidR="00A62DEA" w:rsidRPr="006B17BE" w:rsidRDefault="00A62DEA">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i/>
                <w:color w:val="FFFFFF" w:themeColor="background1"/>
                <w:sz w:val="20"/>
                <w:szCs w:val="24"/>
              </w:rPr>
            </w:pPr>
            <w:r w:rsidRPr="006B17BE">
              <w:rPr>
                <w:rFonts w:asciiTheme="minorHAnsi" w:hAnsiTheme="minorHAnsi" w:cstheme="minorHAnsi"/>
                <w:i/>
                <w:color w:val="FFFFFF" w:themeColor="background1"/>
                <w:sz w:val="20"/>
                <w:szCs w:val="24"/>
              </w:rPr>
              <w:t>Open well</w:t>
            </w:r>
          </w:p>
        </w:tc>
      </w:tr>
      <w:tr w:rsidR="00A62DEA" w:rsidRPr="006B17BE" w14:paraId="6C56BDF2" w14:textId="27BDE843" w:rsidTr="00F6098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01" w:type="dxa"/>
            <w:vMerge w:val="restart"/>
            <w:tcBorders>
              <w:top w:val="nil"/>
              <w:left w:val="single" w:sz="4" w:space="0" w:color="CCCCCC"/>
              <w:bottom w:val="single" w:sz="4" w:space="0" w:color="CCCCCC"/>
            </w:tcBorders>
            <w:vAlign w:val="center"/>
          </w:tcPr>
          <w:p w14:paraId="59BAAABC" w14:textId="77777777" w:rsidR="00A62DEA" w:rsidRPr="006B17BE" w:rsidRDefault="00A62DEA" w:rsidP="0092151B">
            <w:pPr>
              <w:jc w:val="left"/>
              <w:rPr>
                <w:rFonts w:asciiTheme="minorHAnsi" w:hAnsiTheme="minorHAnsi" w:cstheme="minorHAnsi"/>
                <w:b w:val="0"/>
                <w:sz w:val="20"/>
                <w:szCs w:val="24"/>
              </w:rPr>
            </w:pPr>
            <w:r w:rsidRPr="006B17BE">
              <w:rPr>
                <w:rFonts w:asciiTheme="minorHAnsi" w:hAnsiTheme="minorHAnsi" w:cstheme="minorHAnsi"/>
                <w:sz w:val="20"/>
                <w:szCs w:val="24"/>
              </w:rPr>
              <w:t>Length of well (m)</w:t>
            </w:r>
          </w:p>
        </w:tc>
        <w:tc>
          <w:tcPr>
            <w:tcW w:w="1272" w:type="dxa"/>
            <w:tcBorders>
              <w:top w:val="nil"/>
              <w:bottom w:val="single" w:sz="4" w:space="0" w:color="CCCCCC"/>
            </w:tcBorders>
            <w:vAlign w:val="center"/>
          </w:tcPr>
          <w:p w14:paraId="6934E5E1" w14:textId="77777777"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r w:rsidRPr="006B17BE">
              <w:rPr>
                <w:rFonts w:asciiTheme="minorHAnsi" w:hAnsiTheme="minorHAnsi" w:cstheme="minorHAnsi"/>
                <w:sz w:val="20"/>
                <w:szCs w:val="24"/>
              </w:rPr>
              <w:t>partial</w:t>
            </w:r>
          </w:p>
        </w:tc>
        <w:tc>
          <w:tcPr>
            <w:tcW w:w="1985" w:type="dxa"/>
            <w:gridSpan w:val="3"/>
            <w:tcBorders>
              <w:top w:val="nil"/>
              <w:bottom w:val="single" w:sz="4" w:space="0" w:color="CCCCCC"/>
            </w:tcBorders>
            <w:vAlign w:val="center"/>
          </w:tcPr>
          <w:p w14:paraId="2D63E50C" w14:textId="77777777"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r w:rsidRPr="006B17BE">
              <w:rPr>
                <w:rFonts w:asciiTheme="minorHAnsi" w:hAnsiTheme="minorHAnsi" w:cstheme="minorHAnsi"/>
                <w:sz w:val="20"/>
                <w:szCs w:val="24"/>
              </w:rPr>
              <w:t>358.64</w:t>
            </w:r>
          </w:p>
        </w:tc>
        <w:tc>
          <w:tcPr>
            <w:tcW w:w="1559" w:type="dxa"/>
            <w:tcBorders>
              <w:top w:val="nil"/>
              <w:bottom w:val="single" w:sz="4" w:space="0" w:color="CCCCCC"/>
              <w:right w:val="single" w:sz="4" w:space="0" w:color="CCCCCC"/>
            </w:tcBorders>
            <w:vAlign w:val="center"/>
          </w:tcPr>
          <w:p w14:paraId="3B8410E8" w14:textId="6B6E952D"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4"/>
              </w:rPr>
            </w:pPr>
            <w:r w:rsidRPr="006B17BE">
              <w:rPr>
                <w:rFonts w:asciiTheme="minorHAnsi" w:hAnsiTheme="minorHAnsi" w:cstheme="minorHAnsi"/>
                <w:i/>
                <w:sz w:val="20"/>
                <w:szCs w:val="24"/>
              </w:rPr>
              <w:t>358.64</w:t>
            </w:r>
          </w:p>
        </w:tc>
      </w:tr>
      <w:tr w:rsidR="00A62DEA" w:rsidRPr="006B17BE" w14:paraId="003A6AE1" w14:textId="54896175" w:rsidTr="00F60987">
        <w:trPr>
          <w:trHeight w:val="322"/>
        </w:trPr>
        <w:tc>
          <w:tcPr>
            <w:cnfStyle w:val="001000000000" w:firstRow="0" w:lastRow="0" w:firstColumn="1" w:lastColumn="0" w:oddVBand="0" w:evenVBand="0" w:oddHBand="0" w:evenHBand="0" w:firstRowFirstColumn="0" w:firstRowLastColumn="0" w:lastRowFirstColumn="0" w:lastRowLastColumn="0"/>
            <w:tcW w:w="3401" w:type="dxa"/>
            <w:vMerge/>
            <w:tcBorders>
              <w:top w:val="single" w:sz="4" w:space="0" w:color="CCCCCC"/>
              <w:left w:val="single" w:sz="4" w:space="0" w:color="CCCCCC"/>
              <w:bottom w:val="single" w:sz="4" w:space="0" w:color="CCCCCC"/>
            </w:tcBorders>
            <w:vAlign w:val="center"/>
          </w:tcPr>
          <w:p w14:paraId="56C1DCC8" w14:textId="77777777" w:rsidR="00A62DEA" w:rsidRPr="006B17BE" w:rsidRDefault="00A62DEA" w:rsidP="00A86DC3">
            <w:pPr>
              <w:jc w:val="left"/>
              <w:rPr>
                <w:rFonts w:asciiTheme="minorHAnsi" w:hAnsiTheme="minorHAnsi" w:cstheme="minorHAnsi"/>
                <w:b w:val="0"/>
                <w:sz w:val="20"/>
                <w:szCs w:val="24"/>
              </w:rPr>
            </w:pPr>
          </w:p>
        </w:tc>
        <w:tc>
          <w:tcPr>
            <w:tcW w:w="1272" w:type="dxa"/>
            <w:tcBorders>
              <w:top w:val="single" w:sz="4" w:space="0" w:color="CCCCCC"/>
              <w:bottom w:val="single" w:sz="4" w:space="0" w:color="CCCCCC"/>
            </w:tcBorders>
            <w:vAlign w:val="center"/>
          </w:tcPr>
          <w:p w14:paraId="663FC5D6" w14:textId="77777777" w:rsidR="00A62DEA" w:rsidRPr="006B17BE" w:rsidRDefault="00A62DEA" w:rsidP="00A62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r w:rsidRPr="006B17BE">
              <w:rPr>
                <w:rFonts w:asciiTheme="minorHAnsi" w:hAnsiTheme="minorHAnsi" w:cstheme="minorHAnsi"/>
                <w:sz w:val="20"/>
                <w:szCs w:val="24"/>
              </w:rPr>
              <w:t>full</w:t>
            </w:r>
          </w:p>
        </w:tc>
        <w:tc>
          <w:tcPr>
            <w:tcW w:w="1985" w:type="dxa"/>
            <w:gridSpan w:val="3"/>
            <w:tcBorders>
              <w:top w:val="single" w:sz="4" w:space="0" w:color="CCCCCC"/>
              <w:bottom w:val="single" w:sz="4" w:space="0" w:color="CCCCCC"/>
            </w:tcBorders>
            <w:vAlign w:val="center"/>
          </w:tcPr>
          <w:p w14:paraId="37959323" w14:textId="77777777" w:rsidR="00A62DEA" w:rsidRPr="006B17BE" w:rsidRDefault="00A62DEA" w:rsidP="00A62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r w:rsidRPr="006B17BE">
              <w:rPr>
                <w:rFonts w:asciiTheme="minorHAnsi" w:hAnsiTheme="minorHAnsi" w:cstheme="minorHAnsi"/>
                <w:sz w:val="20"/>
                <w:szCs w:val="24"/>
              </w:rPr>
              <w:t>478.96</w:t>
            </w:r>
          </w:p>
        </w:tc>
        <w:tc>
          <w:tcPr>
            <w:tcW w:w="1559" w:type="dxa"/>
            <w:tcBorders>
              <w:top w:val="single" w:sz="4" w:space="0" w:color="CCCCCC"/>
              <w:bottom w:val="single" w:sz="4" w:space="0" w:color="CCCCCC"/>
              <w:right w:val="single" w:sz="4" w:space="0" w:color="CCCCCC"/>
            </w:tcBorders>
            <w:vAlign w:val="center"/>
          </w:tcPr>
          <w:p w14:paraId="356CA2CA" w14:textId="0C5DDE0E" w:rsidR="00A62DEA" w:rsidRPr="006B17BE" w:rsidRDefault="00A62DEA" w:rsidP="00A62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4"/>
              </w:rPr>
            </w:pPr>
            <w:r w:rsidRPr="006B17BE">
              <w:rPr>
                <w:rFonts w:asciiTheme="minorHAnsi" w:hAnsiTheme="minorHAnsi" w:cstheme="minorHAnsi"/>
                <w:i/>
                <w:sz w:val="20"/>
                <w:szCs w:val="24"/>
              </w:rPr>
              <w:t>478.96</w:t>
            </w:r>
          </w:p>
        </w:tc>
      </w:tr>
      <w:tr w:rsidR="00A62DEA" w:rsidRPr="006B17BE" w14:paraId="3EE848F4" w14:textId="23ADFEB2" w:rsidTr="00F60987">
        <w:trPr>
          <w:cnfStyle w:val="000000100000" w:firstRow="0" w:lastRow="0" w:firstColumn="0" w:lastColumn="0" w:oddVBand="0" w:evenVBand="0" w:oddHBand="1" w:evenHBand="0" w:firstRowFirstColumn="0" w:firstRowLastColumn="0" w:lastRowFirstColumn="0" w:lastRowLastColumn="0"/>
          <w:trHeight w:val="524"/>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CCCCCC"/>
              <w:left w:val="single" w:sz="4" w:space="0" w:color="CCCCCC"/>
              <w:bottom w:val="single" w:sz="4" w:space="0" w:color="CCCCCC"/>
            </w:tcBorders>
            <w:vAlign w:val="center"/>
          </w:tcPr>
          <w:p w14:paraId="5C22DFF3" w14:textId="77777777" w:rsidR="00A62DEA" w:rsidRPr="006B17BE" w:rsidRDefault="00A62DEA" w:rsidP="0092151B">
            <w:pPr>
              <w:jc w:val="left"/>
              <w:rPr>
                <w:rFonts w:asciiTheme="minorHAnsi" w:hAnsiTheme="minorHAnsi" w:cstheme="minorHAnsi"/>
                <w:b w:val="0"/>
                <w:sz w:val="20"/>
                <w:szCs w:val="24"/>
              </w:rPr>
            </w:pPr>
            <w:r w:rsidRPr="006B17BE">
              <w:rPr>
                <w:rFonts w:asciiTheme="minorHAnsi" w:hAnsiTheme="minorHAnsi" w:cstheme="minorHAnsi"/>
                <w:sz w:val="20"/>
                <w:szCs w:val="24"/>
              </w:rPr>
              <w:t>Well radius (m)</w:t>
            </w:r>
          </w:p>
        </w:tc>
        <w:tc>
          <w:tcPr>
            <w:tcW w:w="1272" w:type="dxa"/>
            <w:tcBorders>
              <w:top w:val="single" w:sz="4" w:space="0" w:color="CCCCCC"/>
              <w:bottom w:val="single" w:sz="4" w:space="0" w:color="CCCCCC"/>
            </w:tcBorders>
            <w:vAlign w:val="center"/>
          </w:tcPr>
          <w:p w14:paraId="40F65F8B" w14:textId="77777777"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p>
        </w:tc>
        <w:tc>
          <w:tcPr>
            <w:tcW w:w="1985" w:type="dxa"/>
            <w:gridSpan w:val="3"/>
            <w:tcBorders>
              <w:top w:val="single" w:sz="4" w:space="0" w:color="CCCCCC"/>
              <w:bottom w:val="single" w:sz="4" w:space="0" w:color="CCCCCC"/>
            </w:tcBorders>
            <w:vAlign w:val="center"/>
          </w:tcPr>
          <w:p w14:paraId="46BC3FCC" w14:textId="77777777"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r w:rsidRPr="006B17BE">
              <w:rPr>
                <w:rFonts w:asciiTheme="minorHAnsi" w:hAnsiTheme="minorHAnsi" w:cstheme="minorHAnsi"/>
                <w:sz w:val="20"/>
                <w:szCs w:val="24"/>
              </w:rPr>
              <w:t>0.25</w:t>
            </w:r>
          </w:p>
        </w:tc>
        <w:tc>
          <w:tcPr>
            <w:tcW w:w="1559" w:type="dxa"/>
            <w:tcBorders>
              <w:top w:val="single" w:sz="4" w:space="0" w:color="CCCCCC"/>
              <w:bottom w:val="single" w:sz="4" w:space="0" w:color="CCCCCC"/>
              <w:right w:val="single" w:sz="4" w:space="0" w:color="CCCCCC"/>
            </w:tcBorders>
          </w:tcPr>
          <w:p w14:paraId="6510A7F0" w14:textId="0A271777"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4"/>
              </w:rPr>
            </w:pPr>
            <w:r w:rsidRPr="006B17BE">
              <w:rPr>
                <w:rFonts w:asciiTheme="minorHAnsi" w:hAnsiTheme="minorHAnsi" w:cstheme="minorHAnsi"/>
                <w:i/>
                <w:sz w:val="20"/>
                <w:szCs w:val="24"/>
              </w:rPr>
              <w:t>0.25</w:t>
            </w:r>
          </w:p>
        </w:tc>
      </w:tr>
      <w:tr w:rsidR="00A62DEA" w:rsidRPr="006B17BE" w14:paraId="01601A84" w14:textId="4B0781A5" w:rsidTr="00F60987">
        <w:trPr>
          <w:trHeight w:val="524"/>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CCCCCC"/>
              <w:left w:val="single" w:sz="4" w:space="0" w:color="CCCCCC"/>
              <w:bottom w:val="single" w:sz="4" w:space="0" w:color="CCCCCC"/>
            </w:tcBorders>
            <w:vAlign w:val="center"/>
          </w:tcPr>
          <w:p w14:paraId="70439C4B" w14:textId="77777777" w:rsidR="00A62DEA" w:rsidRPr="006B17BE" w:rsidRDefault="00A62DEA" w:rsidP="0092151B">
            <w:pPr>
              <w:jc w:val="left"/>
              <w:rPr>
                <w:rFonts w:asciiTheme="minorHAnsi" w:hAnsiTheme="minorHAnsi" w:cstheme="minorHAnsi"/>
                <w:b w:val="0"/>
                <w:sz w:val="20"/>
                <w:szCs w:val="24"/>
              </w:rPr>
            </w:pPr>
            <w:r w:rsidRPr="006B17BE">
              <w:rPr>
                <w:rFonts w:asciiTheme="minorHAnsi" w:hAnsiTheme="minorHAnsi" w:cstheme="minorHAnsi"/>
                <w:sz w:val="20"/>
                <w:szCs w:val="24"/>
              </w:rPr>
              <w:t>Effective well conductivity (m/d)</w:t>
            </w:r>
          </w:p>
        </w:tc>
        <w:tc>
          <w:tcPr>
            <w:tcW w:w="1272" w:type="dxa"/>
            <w:tcBorders>
              <w:top w:val="single" w:sz="4" w:space="0" w:color="CCCCCC"/>
              <w:bottom w:val="single" w:sz="4" w:space="0" w:color="CCCCCC"/>
            </w:tcBorders>
            <w:vAlign w:val="center"/>
          </w:tcPr>
          <w:p w14:paraId="6CCFD969" w14:textId="77777777" w:rsidR="00A62DEA" w:rsidRPr="006B17BE" w:rsidRDefault="00A62DEA" w:rsidP="00A62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p>
        </w:tc>
        <w:tc>
          <w:tcPr>
            <w:tcW w:w="1985" w:type="dxa"/>
            <w:gridSpan w:val="3"/>
            <w:tcBorders>
              <w:top w:val="single" w:sz="4" w:space="0" w:color="CCCCCC"/>
              <w:bottom w:val="single" w:sz="4" w:space="0" w:color="CCCCCC"/>
            </w:tcBorders>
            <w:vAlign w:val="center"/>
          </w:tcPr>
          <w:p w14:paraId="7CD48E32" w14:textId="77777777" w:rsidR="00A62DEA" w:rsidRPr="006B17BE" w:rsidRDefault="00A62DEA" w:rsidP="00A62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4"/>
              </w:rPr>
            </w:pPr>
            <w:r w:rsidRPr="006B17BE">
              <w:rPr>
                <w:rFonts w:asciiTheme="minorHAnsi" w:hAnsiTheme="minorHAnsi" w:cstheme="minorHAnsi"/>
                <w:sz w:val="20"/>
                <w:szCs w:val="24"/>
              </w:rPr>
              <w:t>0.813</w:t>
            </w:r>
          </w:p>
        </w:tc>
        <w:tc>
          <w:tcPr>
            <w:tcW w:w="1559" w:type="dxa"/>
            <w:tcBorders>
              <w:top w:val="single" w:sz="4" w:space="0" w:color="CCCCCC"/>
              <w:bottom w:val="single" w:sz="4" w:space="0" w:color="CCCCCC"/>
              <w:right w:val="single" w:sz="4" w:space="0" w:color="CCCCCC"/>
            </w:tcBorders>
          </w:tcPr>
          <w:p w14:paraId="7A058083" w14:textId="2A0A11AC" w:rsidR="00A62DEA" w:rsidRPr="006B17BE" w:rsidRDefault="00A62DEA" w:rsidP="00A62DEA">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sz w:val="20"/>
                <w:szCs w:val="24"/>
              </w:rPr>
            </w:pPr>
            <w:r w:rsidRPr="006B17BE">
              <w:rPr>
                <w:rFonts w:asciiTheme="minorHAnsi" w:hAnsiTheme="minorHAnsi" w:cstheme="minorHAnsi"/>
                <w:i/>
                <w:sz w:val="20"/>
                <w:szCs w:val="24"/>
              </w:rPr>
              <w:t>6.25x10</w:t>
            </w:r>
            <w:r w:rsidRPr="006B17BE">
              <w:rPr>
                <w:rFonts w:asciiTheme="minorHAnsi" w:hAnsiTheme="minorHAnsi" w:cstheme="minorHAnsi"/>
                <w:i/>
                <w:sz w:val="20"/>
                <w:szCs w:val="24"/>
                <w:vertAlign w:val="superscript"/>
              </w:rPr>
              <w:t>8</w:t>
            </w:r>
          </w:p>
        </w:tc>
      </w:tr>
      <w:tr w:rsidR="00A62DEA" w:rsidRPr="006B17BE" w14:paraId="173FDA1E" w14:textId="40201F2C" w:rsidTr="00F60987">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3401" w:type="dxa"/>
            <w:tcBorders>
              <w:top w:val="single" w:sz="4" w:space="0" w:color="CCCCCC"/>
              <w:left w:val="single" w:sz="4" w:space="0" w:color="CCCCCC"/>
              <w:bottom w:val="single" w:sz="4" w:space="0" w:color="CCCCCC"/>
            </w:tcBorders>
            <w:vAlign w:val="center"/>
          </w:tcPr>
          <w:p w14:paraId="5EE5E14A" w14:textId="77777777" w:rsidR="00A62DEA" w:rsidRPr="006B17BE" w:rsidRDefault="00A62DEA" w:rsidP="0092151B">
            <w:pPr>
              <w:jc w:val="left"/>
              <w:rPr>
                <w:rFonts w:asciiTheme="minorHAnsi" w:hAnsiTheme="minorHAnsi" w:cstheme="minorHAnsi"/>
                <w:b w:val="0"/>
                <w:sz w:val="20"/>
                <w:szCs w:val="24"/>
              </w:rPr>
            </w:pPr>
            <w:r w:rsidRPr="006B17BE">
              <w:rPr>
                <w:rFonts w:asciiTheme="minorHAnsi" w:hAnsiTheme="minorHAnsi" w:cstheme="minorHAnsi"/>
                <w:sz w:val="20"/>
                <w:szCs w:val="24"/>
              </w:rPr>
              <w:t>Well skin factor (-)</w:t>
            </w:r>
          </w:p>
        </w:tc>
        <w:tc>
          <w:tcPr>
            <w:tcW w:w="1272" w:type="dxa"/>
            <w:tcBorders>
              <w:top w:val="single" w:sz="4" w:space="0" w:color="CCCCCC"/>
              <w:bottom w:val="single" w:sz="4" w:space="0" w:color="CCCCCC"/>
            </w:tcBorders>
            <w:vAlign w:val="center"/>
          </w:tcPr>
          <w:p w14:paraId="3400BB96" w14:textId="77777777"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p>
        </w:tc>
        <w:tc>
          <w:tcPr>
            <w:tcW w:w="1985" w:type="dxa"/>
            <w:gridSpan w:val="3"/>
            <w:tcBorders>
              <w:top w:val="single" w:sz="4" w:space="0" w:color="CCCCCC"/>
              <w:bottom w:val="single" w:sz="4" w:space="0" w:color="CCCCCC"/>
            </w:tcBorders>
            <w:vAlign w:val="center"/>
          </w:tcPr>
          <w:p w14:paraId="1B29376C" w14:textId="77777777"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4"/>
              </w:rPr>
            </w:pPr>
            <w:r w:rsidRPr="006B17BE">
              <w:rPr>
                <w:rFonts w:asciiTheme="minorHAnsi" w:hAnsiTheme="minorHAnsi" w:cstheme="minorHAnsi"/>
                <w:sz w:val="20"/>
                <w:szCs w:val="24"/>
              </w:rPr>
              <w:t>-</w:t>
            </w:r>
          </w:p>
        </w:tc>
        <w:tc>
          <w:tcPr>
            <w:tcW w:w="1559" w:type="dxa"/>
            <w:tcBorders>
              <w:top w:val="single" w:sz="4" w:space="0" w:color="CCCCCC"/>
              <w:bottom w:val="single" w:sz="4" w:space="0" w:color="CCCCCC"/>
              <w:right w:val="single" w:sz="4" w:space="0" w:color="CCCCCC"/>
            </w:tcBorders>
          </w:tcPr>
          <w:p w14:paraId="2B589EF2" w14:textId="3846202A" w:rsidR="00A62DEA" w:rsidRPr="006B17BE" w:rsidRDefault="00A62DEA" w:rsidP="00A62DEA">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sz w:val="20"/>
                <w:szCs w:val="24"/>
              </w:rPr>
            </w:pPr>
            <w:r w:rsidRPr="006B17BE">
              <w:rPr>
                <w:rFonts w:asciiTheme="minorHAnsi" w:hAnsiTheme="minorHAnsi" w:cstheme="minorHAnsi"/>
                <w:i/>
                <w:sz w:val="20"/>
                <w:szCs w:val="24"/>
              </w:rPr>
              <w:t>10</w:t>
            </w:r>
          </w:p>
        </w:tc>
      </w:tr>
    </w:tbl>
    <w:p w14:paraId="336EC416" w14:textId="53E0D631" w:rsidR="00D40860" w:rsidRPr="006B17BE" w:rsidRDefault="00D40860" w:rsidP="00D40860">
      <w:pPr>
        <w:pStyle w:val="Heading2"/>
      </w:pPr>
      <w:bookmarkStart w:id="514" w:name="_Toc483567946"/>
      <w:r w:rsidRPr="006B17BE">
        <w:t>Model implementation of leakage pathways</w:t>
      </w:r>
      <w:bookmarkEnd w:id="514"/>
    </w:p>
    <w:p w14:paraId="350C3CCC" w14:textId="6412F61B" w:rsidR="00692074" w:rsidRPr="006B17BE" w:rsidRDefault="00AA16BE" w:rsidP="00E2736B">
      <w:pPr>
        <w:pStyle w:val="Body"/>
      </w:pPr>
      <w:r w:rsidRPr="006B17BE">
        <w:t xml:space="preserve">Well integrity failure was conceptualised using the Connect Linear Network (CLN) package from MODFLOW-USG </w:t>
      </w:r>
      <w:r w:rsidRPr="006B17BE">
        <w:fldChar w:fldCharType="begin" w:fldLock="1"/>
      </w:r>
      <w:r w:rsidRPr="006B17BE">
        <w:instrText>ADDIN CSL_CITATION { "citationItems" : [ { "id" : "ITEM-1", "itemData" : { "author" : [ { "dropping-particle" : "", "family" : "Panday", "given" : "Sorab", "non-dropping-particle" : "", "parse-names" : false, "suffix" : "" }, { "dropping-particle" : "", "family" : "Langevin", "given" : "C.D.", "non-dropping-particle" : "", "parse-names" : false, "suffix" : "" }, { "dropping-particle" : "", "family" : "Niswonger", "given" : "Richard G.", "non-dropping-particle" : "", "parse-names" : false, "suffix" : "" }, { "dropping-particle" : "", "family" : "Ibaraki", "given" : "Motomu", "non-dropping-particle" : "", "parse-names" : false, "suffix" : "" }, { "dropping-particle" : "", "family" : "Hughes", "given" : "J.D.", "non-dropping-particle" : "", "parse-names" : false, "suffix" : "" } ], "edition" : "book 6", "id" : "ITEM-1", "issue" : "December", "issued" : { "date-parts" : [ [ "2015" ] ] }, "number-of-pages" : "66", "publisher" : "U.S. Geological Survey Techniques and Methods", "title" : "MODFLOW-USG Version 1: An unstructured grid version of MODFLOW for simulating groundwater flow and tightly coupled processes using a control volume finite-difference formulation: U.S. Geological Survey Techniques and Methods", "type" : "book" }, "uris" : [ "http://www.mendeley.com/documents/?uuid=f68a3b6d-744c-44ce-aa82-1de1aab0c9d2" ] } ], "mendeley" : { "formattedCitation" : "(Panday &lt;i&gt;et al.&lt;/i&gt;, 2015)", "plainTextFormattedCitation" : "(Panday et al., 2015)", "previouslyFormattedCitation" : "(Panday &lt;i&gt;et al.&lt;/i&gt;, 2015)" }, "properties" : { "noteIndex" : 0 }, "schema" : "https://github.com/citation-style-language/schema/raw/master/csl-citation.json" }</w:instrText>
      </w:r>
      <w:r w:rsidRPr="006B17BE">
        <w:fldChar w:fldCharType="separate"/>
      </w:r>
      <w:r w:rsidRPr="006B17BE">
        <w:t>(Panday et al. 2015)</w:t>
      </w:r>
      <w:r w:rsidRPr="006B17BE">
        <w:fldChar w:fldCharType="end"/>
      </w:r>
      <w:r w:rsidRPr="006B17BE">
        <w:t xml:space="preserve">. The CLN package enables simulation of flow through conduits whose size is smaller than </w:t>
      </w:r>
      <w:r w:rsidR="003205D1" w:rsidRPr="006B17BE">
        <w:t xml:space="preserve">a </w:t>
      </w:r>
      <w:r w:rsidRPr="006B17BE">
        <w:t>model grid cell without requiring further grid refinement. A string of connected CLN nodes (such as those representing a well) will allow passive flow between model layers</w:t>
      </w:r>
      <w:r w:rsidR="00535331" w:rsidRPr="006B17BE">
        <w:t xml:space="preserve"> in absence of active pumping</w:t>
      </w:r>
      <w:r w:rsidRPr="006B17BE">
        <w:t xml:space="preserve">, controlled by the head gradient along the conduit, and the resistance to flow through the conduit, between the conduit and aquifer matrix, and through the aquifer matrix </w:t>
      </w:r>
      <w:r w:rsidRPr="006B17BE">
        <w:fldChar w:fldCharType="begin" w:fldLock="1"/>
      </w:r>
      <w:r w:rsidRPr="006B17BE">
        <w:instrText>ADDIN CSL_CITATION { "citationItems" : [ { "id" : "ITEM-1", "itemData" : { "author" : [ { "dropping-particle" : "", "family" : "Doble", "given" : "Rebecca", "non-dropping-particle" : "", "parse-names" : false, "suffix" : "" }, { "dropping-particle" : "", "family" : "Mccallum", "given" : "Jim", "non-dropping-particle" : "", "parse-names" : false, "suffix" : "" }, { "dropping-particle" : "", "family" : "Turnadge", "given" : "Chris", "non-dropping-particle" : "", "parse-names" : false, "suffix" : "" }, { "dropping-particle" : "", "family" : "Peeters", "given" : "Luk", "non-dropping-particle" : "", "parse-names" : false, "suffix" : "" }, { "dropping-particle" : "", "family" : "Wu", "given" : "Bailin", "non-dropping-particle" : "", "parse-names" : false, "suffix" : "" }, { "dropping-particle" : "", "family" : "Mallants", "given" : "Dirk", "non-dropping-particle" : "", "parse-names" : false, "suffix" : "" } ], "id" : "ITEM-1", "issued" : { "date-parts" : [ [ "2016" ] ] }, "number-of-pages" : "36", "publisher-place" : "Canberra, ACT", "title" : "Modelling inter-aquifer leakage associated with well integrity failure", "type" : "report" }, "uris" : [ "http://www.mendeley.com/documents/?uuid=465a006c-104b-463c-aa31-beda12ad2510" ] }, { "id" : "ITEM-2", "itemData" : { "author" : [ { "dropping-particle" : "", "family" : "Panday", "given" : "Sorab", "non-dropping-particle" : "", "parse-names" : false, "suffix" : "" }, { "dropping-particle" : "", "family" : "Langevin", "given" : "C.D.", "non-dropping-particle" : "", "parse-names" : false, "suffix" : "" }, { "dropping-particle" : "", "family" : "Niswonger", "given" : "Richard G.", "non-dropping-particle" : "", "parse-names" : false, "suffix" : "" }, { "dropping-particle" : "", "family" : "Ibaraki", "given" : "Motomu", "non-dropping-particle" : "", "parse-names" : false, "suffix" : "" }, { "dropping-particle" : "", "family" : "Hughes", "given" : "J.D.", "non-dropping-particle" : "", "parse-names" : false, "suffix" : "" } ], "edition" : "book 6", "id" : "ITEM-2", "issue" : "December", "issued" : { "date-parts" : [ [ "2015" ] ] }, "number-of-pages" : "66", "publisher" : "U.S. Geological Survey Techniques and Methods", "title" : "MODFLOW-USG Version 1: An unstructured grid version of MODFLOW for simulating groundwater flow and tightly coupled processes using a control volume finite-difference formulation: U.S. Geological Survey Techniques and Methods", "type" : "book" }, "uris" : [ "http://www.mendeley.com/documents/?uuid=f68a3b6d-744c-44ce-aa82-1de1aab0c9d2" ] } ], "mendeley" : { "formattedCitation" : "(Panday &lt;i&gt;et al.&lt;/i&gt;, 2015; Doble &lt;i&gt;et al.&lt;/i&gt;, 2016)", "plainTextFormattedCitation" : "(Panday et al., 2015; Doble et al., 2016)", "previouslyFormattedCitation" : "(Panday &lt;i&gt;et al.&lt;/i&gt;, 2015; Doble &lt;i&gt;et al.&lt;/i&gt;, 2016)" }, "properties" : { "noteIndex" : 0 }, "schema" : "https://github.com/citation-style-language/schema/raw/master/csl-citation.json" }</w:instrText>
      </w:r>
      <w:r w:rsidRPr="006B17BE">
        <w:fldChar w:fldCharType="separate"/>
      </w:r>
      <w:r w:rsidRPr="006B17BE">
        <w:t>(Panday et al. 2015; Doble et al. 201</w:t>
      </w:r>
      <w:r w:rsidR="00F250ED">
        <w:t>8</w:t>
      </w:r>
      <w:r w:rsidRPr="006B17BE">
        <w:t>)</w:t>
      </w:r>
      <w:r w:rsidRPr="006B17BE">
        <w:fldChar w:fldCharType="end"/>
      </w:r>
      <w:r w:rsidRPr="006B17BE">
        <w:t>. Flow th</w:t>
      </w:r>
      <w:r w:rsidR="00535331" w:rsidRPr="006B17BE">
        <w:t>r</w:t>
      </w:r>
      <w:r w:rsidRPr="006B17BE">
        <w:t xml:space="preserve">ough a CLN well is limited by a specified effective well </w:t>
      </w:r>
      <w:r w:rsidR="000F5AA6" w:rsidRPr="006B17BE">
        <w:t xml:space="preserve">hydraulic </w:t>
      </w:r>
      <w:r w:rsidRPr="006B17BE">
        <w:t xml:space="preserve">conductivity, </w:t>
      </w:r>
      <w:r w:rsidR="00535331" w:rsidRPr="006B17BE">
        <w:rPr>
          <w:i/>
        </w:rPr>
        <w:t>K</w:t>
      </w:r>
      <w:r w:rsidR="00535331" w:rsidRPr="006B17BE">
        <w:rPr>
          <w:vertAlign w:val="subscript"/>
        </w:rPr>
        <w:t>eff</w:t>
      </w:r>
      <w:r w:rsidR="00535331" w:rsidRPr="006B17BE">
        <w:t xml:space="preserve">, </w:t>
      </w:r>
      <w:r w:rsidRPr="006B17BE">
        <w:t xml:space="preserve">for example an open well </w:t>
      </w:r>
      <w:r w:rsidR="003205D1" w:rsidRPr="006B17BE">
        <w:t xml:space="preserve">or bore hole </w:t>
      </w:r>
      <w:r w:rsidRPr="006B17BE">
        <w:t xml:space="preserve">will have a high conductivity relative to the aquifer, whereas a </w:t>
      </w:r>
      <w:r w:rsidR="003205D1" w:rsidRPr="006B17BE">
        <w:t>leaky</w:t>
      </w:r>
      <w:r w:rsidRPr="006B17BE">
        <w:t xml:space="preserve"> well with </w:t>
      </w:r>
      <w:r w:rsidR="003205D1" w:rsidRPr="006B17BE">
        <w:t xml:space="preserve">flow along the pathways through the well annulus </w:t>
      </w:r>
      <w:r w:rsidRPr="006B17BE">
        <w:t xml:space="preserve">will have a </w:t>
      </w:r>
      <w:r w:rsidR="003205D1" w:rsidRPr="006B17BE">
        <w:t xml:space="preserve">relatively low </w:t>
      </w:r>
      <w:r w:rsidR="00535331" w:rsidRPr="006B17BE">
        <w:t xml:space="preserve">hydraulic </w:t>
      </w:r>
      <w:r w:rsidRPr="006B17BE">
        <w:t xml:space="preserve">conductivity (see </w:t>
      </w:r>
      <w:r w:rsidRPr="006B17BE">
        <w:fldChar w:fldCharType="begin"/>
      </w:r>
      <w:r w:rsidRPr="006B17BE">
        <w:instrText xml:space="preserve"> REF _Ref476035680 \h  \* MERGEFORMAT </w:instrText>
      </w:r>
      <w:r w:rsidRPr="006B17BE">
        <w:fldChar w:fldCharType="separate"/>
      </w:r>
      <w:r w:rsidR="00086147" w:rsidRPr="00684F4E">
        <w:t xml:space="preserve">Table </w:t>
      </w:r>
      <w:r w:rsidR="00086147">
        <w:t>3</w:t>
      </w:r>
      <w:r w:rsidR="00086147">
        <w:noBreakHyphen/>
        <w:t>3</w:t>
      </w:r>
      <w:r w:rsidRPr="006B17BE">
        <w:fldChar w:fldCharType="end"/>
      </w:r>
      <w:r w:rsidRPr="006B17BE">
        <w:t xml:space="preserve">). </w:t>
      </w:r>
      <w:r w:rsidR="003205D1" w:rsidRPr="006B17BE">
        <w:t xml:space="preserve">The </w:t>
      </w:r>
      <w:r w:rsidR="003205D1" w:rsidRPr="006B17BE">
        <w:rPr>
          <w:rFonts w:eastAsia="Calibri"/>
          <w:lang w:eastAsia="en-AU"/>
        </w:rPr>
        <w:t>effective</w:t>
      </w:r>
      <w:r w:rsidR="003205D1" w:rsidRPr="006B17BE">
        <w:t xml:space="preserve"> </w:t>
      </w:r>
      <w:r w:rsidR="003205D1" w:rsidRPr="006B17BE">
        <w:rPr>
          <w:rFonts w:eastAsia="Calibri"/>
          <w:lang w:eastAsia="en-AU"/>
        </w:rPr>
        <w:t>well conductivity of 8.13x10</w:t>
      </w:r>
      <w:r w:rsidR="003205D1" w:rsidRPr="006B17BE">
        <w:rPr>
          <w:rFonts w:eastAsia="Calibri"/>
          <w:vertAlign w:val="superscript"/>
          <w:lang w:eastAsia="en-AU"/>
        </w:rPr>
        <w:t>‐1</w:t>
      </w:r>
      <w:r w:rsidR="003205D1" w:rsidRPr="006B17BE">
        <w:rPr>
          <w:rFonts w:eastAsia="Calibri"/>
          <w:lang w:eastAsia="en-AU"/>
        </w:rPr>
        <w:t xml:space="preserve"> m/d, or 1100 mD</w:t>
      </w:r>
      <w:r w:rsidR="003205D1" w:rsidRPr="006B17BE">
        <w:t xml:space="preserve"> </w:t>
      </w:r>
      <w:r w:rsidR="003205D1" w:rsidRPr="006B17BE">
        <w:rPr>
          <w:rFonts w:eastAsia="Calibri"/>
          <w:lang w:eastAsia="en-AU"/>
        </w:rPr>
        <w:t>was chosen to be conservatively one</w:t>
      </w:r>
      <w:r w:rsidR="003205D1" w:rsidRPr="006B17BE">
        <w:t xml:space="preserve"> </w:t>
      </w:r>
      <w:r w:rsidR="003205D1" w:rsidRPr="006B17BE">
        <w:rPr>
          <w:rFonts w:eastAsia="Calibri"/>
          <w:lang w:eastAsia="en-AU"/>
        </w:rPr>
        <w:t>order of magnitude greater than that used by No</w:t>
      </w:r>
      <w:r w:rsidR="003205D1" w:rsidRPr="006B17BE">
        <w:t>rdbotten et al. (2009).</w:t>
      </w:r>
      <w:r w:rsidR="00A62DEA" w:rsidRPr="006B17BE">
        <w:t xml:space="preserve"> </w:t>
      </w:r>
    </w:p>
    <w:p w14:paraId="4DA7E0B9" w14:textId="5F0E74DC" w:rsidR="003205D1" w:rsidRPr="006B17BE" w:rsidRDefault="00692074" w:rsidP="00E2736B">
      <w:pPr>
        <w:pStyle w:val="Body"/>
      </w:pPr>
      <w:r w:rsidRPr="006B17BE">
        <w:t>R</w:t>
      </w:r>
      <w:r w:rsidR="00A62DEA" w:rsidRPr="006B17BE">
        <w:t xml:space="preserve">esults for open well scenarios are provided in the context of open/unsealed water </w:t>
      </w:r>
      <w:r w:rsidRPr="006B17BE">
        <w:t>bores and exploration bores</w:t>
      </w:r>
      <w:r w:rsidR="00A62DEA" w:rsidRPr="006B17BE">
        <w:t xml:space="preserve"> rather than </w:t>
      </w:r>
      <w:r w:rsidR="006552DB">
        <w:t>coal seam gas</w:t>
      </w:r>
      <w:r w:rsidR="00A62DEA" w:rsidRPr="006B17BE">
        <w:t xml:space="preserve"> wells. </w:t>
      </w:r>
      <w:r w:rsidR="00B919C3" w:rsidRPr="006B17BE">
        <w:t>Therefore,</w:t>
      </w:r>
      <w:r w:rsidR="00A62DEA" w:rsidRPr="006B17BE">
        <w:t xml:space="preserve"> the parameters for open </w:t>
      </w:r>
      <w:r w:rsidRPr="006B17BE">
        <w:t>bores</w:t>
      </w:r>
      <w:r w:rsidR="00A62DEA" w:rsidRPr="006B17BE">
        <w:t xml:space="preserve"> are also provided </w:t>
      </w:r>
      <w:r w:rsidR="00B919C3" w:rsidRPr="006B17BE">
        <w:t xml:space="preserve">in </w:t>
      </w:r>
      <w:r w:rsidR="00B919C3" w:rsidRPr="006B17BE">
        <w:fldChar w:fldCharType="begin"/>
      </w:r>
      <w:r w:rsidR="00B919C3" w:rsidRPr="006B17BE">
        <w:instrText xml:space="preserve"> REF _Ref476035680 \h  \* MERGEFORMAT </w:instrText>
      </w:r>
      <w:r w:rsidR="00B919C3" w:rsidRPr="006B17BE">
        <w:fldChar w:fldCharType="separate"/>
      </w:r>
      <w:r w:rsidR="00086147" w:rsidRPr="00684F4E">
        <w:t xml:space="preserve">Table </w:t>
      </w:r>
      <w:r w:rsidR="00086147">
        <w:rPr>
          <w:noProof/>
        </w:rPr>
        <w:t>3</w:t>
      </w:r>
      <w:r w:rsidR="00086147">
        <w:rPr>
          <w:noProof/>
        </w:rPr>
        <w:noBreakHyphen/>
        <w:t>3</w:t>
      </w:r>
      <w:r w:rsidR="00B919C3" w:rsidRPr="006B17BE">
        <w:fldChar w:fldCharType="end"/>
      </w:r>
      <w:r w:rsidR="00B919C3" w:rsidRPr="006B17BE">
        <w:t xml:space="preserve"> </w:t>
      </w:r>
      <w:r w:rsidR="00A62DEA" w:rsidRPr="006B17BE">
        <w:t xml:space="preserve">based on those of </w:t>
      </w:r>
      <w:r w:rsidR="00B919C3" w:rsidRPr="006B17BE">
        <w:t>Doble et al. (20</w:t>
      </w:r>
      <w:r w:rsidR="00F250ED">
        <w:t>18</w:t>
      </w:r>
      <w:r w:rsidR="00B919C3" w:rsidRPr="006B17BE">
        <w:t>).</w:t>
      </w:r>
    </w:p>
    <w:p w14:paraId="276DC5D0" w14:textId="77777777" w:rsidR="0024235C" w:rsidRDefault="00AA16BE" w:rsidP="0024235C">
      <w:pPr>
        <w:pStyle w:val="Body"/>
      </w:pPr>
      <w:r w:rsidRPr="006B17BE">
        <w:t xml:space="preserve">Well integrity failure was only simulated after the </w:t>
      </w:r>
      <w:r w:rsidR="000F5AA6" w:rsidRPr="006B17BE">
        <w:t>2</w:t>
      </w:r>
      <w:r w:rsidR="00872EA4" w:rsidRPr="006B17BE">
        <w:t>5</w:t>
      </w:r>
      <w:r w:rsidR="000F5AA6" w:rsidRPr="006B17BE">
        <w:t xml:space="preserve">-year </w:t>
      </w:r>
      <w:r w:rsidRPr="006B17BE">
        <w:t xml:space="preserve">gas production period, based on the assumption that failed </w:t>
      </w:r>
      <w:r w:rsidR="009E554A" w:rsidRPr="006B17BE">
        <w:t>coal seam gas</w:t>
      </w:r>
      <w:r w:rsidR="000F5AA6" w:rsidRPr="006B17BE">
        <w:t xml:space="preserve"> </w:t>
      </w:r>
      <w:r w:rsidRPr="006B17BE">
        <w:t>wells would be repaired or decommissioned during the pumping/production phase.</w:t>
      </w:r>
      <w:r w:rsidR="000F5AA6" w:rsidRPr="006B17BE">
        <w:t xml:space="preserve"> </w:t>
      </w:r>
    </w:p>
    <w:p w14:paraId="2FACA213" w14:textId="0CF9A070" w:rsidR="00C10EE9" w:rsidRDefault="0024235C" w:rsidP="0024235C">
      <w:pPr>
        <w:pStyle w:val="Body"/>
      </w:pPr>
      <w:r w:rsidRPr="006B17BE">
        <w:t xml:space="preserve">Each coal seam gas well pair was simulated using a single string of CLN nodes, with the nodes in layers 3 and 5 acting as pumping nodes during the production period (see </w:t>
      </w:r>
      <w:r w:rsidRPr="006B17BE">
        <w:fldChar w:fldCharType="begin"/>
      </w:r>
      <w:r w:rsidRPr="006B17BE">
        <w:instrText xml:space="preserve"> REF _Ref476035697 \h  \* MERGEFORMAT </w:instrText>
      </w:r>
      <w:r w:rsidRPr="006B17BE">
        <w:fldChar w:fldCharType="separate"/>
      </w:r>
      <w:r w:rsidR="00086147" w:rsidRPr="00086147">
        <w:t xml:space="preserve">Figure </w:t>
      </w:r>
      <w:r w:rsidR="00086147" w:rsidRPr="00086147">
        <w:rPr>
          <w:noProof/>
        </w:rPr>
        <w:t>3</w:t>
      </w:r>
      <w:r w:rsidR="00086147" w:rsidRPr="00086147">
        <w:rPr>
          <w:noProof/>
        </w:rPr>
        <w:noBreakHyphen/>
        <w:t>5</w:t>
      </w:r>
      <w:r w:rsidRPr="006B17BE">
        <w:fldChar w:fldCharType="end"/>
      </w:r>
      <w:r w:rsidRPr="006B17BE">
        <w:t xml:space="preserve">). After the </w:t>
      </w:r>
      <w:r w:rsidR="00543FF6">
        <w:t xml:space="preserve">gas and water </w:t>
      </w:r>
      <w:r w:rsidRPr="006B17BE">
        <w:t>production period, these pumping nodes became inactive but still allowed passive water flow through the well screen</w:t>
      </w:r>
      <w:r w:rsidR="00543FF6">
        <w:t xml:space="preserve"> with the hydraulic gradient across the nodes as the only driving force</w:t>
      </w:r>
      <w:r w:rsidRPr="006B17BE">
        <w:t xml:space="preserve">. </w:t>
      </w:r>
      <w:r w:rsidR="00543FF6">
        <w:t xml:space="preserve">To spatially distribute the leaky wells across the gas production area, </w:t>
      </w:r>
      <w:r w:rsidR="00101FFA">
        <w:t xml:space="preserve">an approach was taken that would maximise the impact. This conservative approach provides assurance that impacts are not underestimated. </w:t>
      </w:r>
      <w:r w:rsidR="00C10EE9">
        <w:t>Note that t</w:t>
      </w:r>
      <w:r w:rsidR="00C10EE9">
        <w:rPr>
          <w:lang w:val="en-US"/>
        </w:rPr>
        <w:t xml:space="preserve">here is no physical process that would cause spatially correlated well failure. Rather this approach may reflect potential errors in installation practices or material failure which are likely to be spatially correlated as the well field is established. </w:t>
      </w:r>
      <w:r w:rsidR="00C10EE9">
        <w:rPr>
          <w:noProof/>
        </w:rPr>
        <w:t>This approach represents a worst case scenario and thus results in biased predictions results.</w:t>
      </w:r>
    </w:p>
    <w:p w14:paraId="4E5B80EC" w14:textId="124B3DB2" w:rsidR="0024235C" w:rsidRDefault="0024235C" w:rsidP="0024235C">
      <w:pPr>
        <w:pStyle w:val="Body"/>
        <w:rPr>
          <w:lang w:val="en-US"/>
        </w:rPr>
      </w:pPr>
      <w:r w:rsidRPr="006B17BE">
        <w:t xml:space="preserve">A spatially correlated random failure approach was used </w:t>
      </w:r>
      <w:r w:rsidR="007F5C39">
        <w:t xml:space="preserve">for this purpose </w:t>
      </w:r>
      <w:r w:rsidRPr="006B17BE">
        <w:t>to spatially distribute a given percentage of all the leaky production wells (i.e., 850 well screens) (</w:t>
      </w:r>
      <w:r w:rsidRPr="006B17BE">
        <w:fldChar w:fldCharType="begin"/>
      </w:r>
      <w:r w:rsidRPr="006B17BE">
        <w:instrText xml:space="preserve"> REF _Ref476035716 \h  \* MERGEFORMAT </w:instrText>
      </w:r>
      <w:r w:rsidRPr="006B17BE">
        <w:fldChar w:fldCharType="separate"/>
      </w:r>
      <w:r w:rsidR="00086147" w:rsidRPr="006B17BE">
        <w:t xml:space="preserve">Figure </w:t>
      </w:r>
      <w:r w:rsidR="00086147">
        <w:rPr>
          <w:noProof/>
        </w:rPr>
        <w:t>3</w:t>
      </w:r>
      <w:r w:rsidR="00086147">
        <w:rPr>
          <w:noProof/>
        </w:rPr>
        <w:noBreakHyphen/>
        <w:t>7</w:t>
      </w:r>
      <w:r w:rsidRPr="006B17BE">
        <w:fldChar w:fldCharType="end"/>
      </w:r>
      <w:r w:rsidRPr="006B17BE">
        <w:t xml:space="preserve">). </w:t>
      </w:r>
      <w:r w:rsidRPr="006B17BE">
        <w:rPr>
          <w:lang w:val="en-US"/>
        </w:rPr>
        <w:t>Simulation of bore failure was undertaken using an indicator kriging algorithm. Kriging assumes that there is a spatial dependence in the failure rate of two wells or bores. The failure is assumed to be dependent on the neighboring boreholes (</w:t>
      </w:r>
      <w:r w:rsidRPr="006B17BE">
        <w:rPr>
          <w:lang w:val="en-US"/>
        </w:rPr>
        <w:fldChar w:fldCharType="begin"/>
      </w:r>
      <w:r w:rsidRPr="006B17BE">
        <w:rPr>
          <w:lang w:val="en-US"/>
        </w:rPr>
        <w:instrText xml:space="preserve"> REF _Ref476902765 \h </w:instrText>
      </w:r>
      <w:r>
        <w:rPr>
          <w:lang w:val="en-US"/>
        </w:rPr>
        <w:instrText xml:space="preserve"> \* MERGEFORMAT </w:instrText>
      </w:r>
      <w:r w:rsidRPr="006B17BE">
        <w:rPr>
          <w:lang w:val="en-US"/>
        </w:rPr>
      </w:r>
      <w:r w:rsidRPr="006B17BE">
        <w:rPr>
          <w:lang w:val="en-US"/>
        </w:rPr>
        <w:fldChar w:fldCharType="separate"/>
      </w:r>
      <w:r w:rsidR="00086147" w:rsidRPr="006B17BE">
        <w:t xml:space="preserve">Figure </w:t>
      </w:r>
      <w:r w:rsidR="00086147">
        <w:rPr>
          <w:noProof/>
        </w:rPr>
        <w:t>3</w:t>
      </w:r>
      <w:r w:rsidR="00086147">
        <w:rPr>
          <w:noProof/>
        </w:rPr>
        <w:noBreakHyphen/>
        <w:t>6</w:t>
      </w:r>
      <w:r w:rsidRPr="006B17BE">
        <w:rPr>
          <w:lang w:val="en-US"/>
        </w:rPr>
        <w:fldChar w:fldCharType="end"/>
      </w:r>
      <w:r w:rsidRPr="006B17BE">
        <w:rPr>
          <w:lang w:val="en-US"/>
        </w:rPr>
        <w:t xml:space="preserve">). </w:t>
      </w:r>
      <w:r w:rsidR="007F5C39">
        <w:rPr>
          <w:lang w:val="en-US"/>
        </w:rPr>
        <w:t xml:space="preserve">This generates clustering of failed wells which by their cumulative effect, will yield higher impacts then when wells are spread out more uniformly. </w:t>
      </w:r>
      <w:r w:rsidRPr="006B17BE">
        <w:rPr>
          <w:lang w:val="en-US"/>
        </w:rPr>
        <w:t>The level of clustering can be determined by setting a maximum correlation distance beyond which correlation becomes zero. Failed bores within the maximum distance are given a value of 1 and intact bores a value of 0.  The individual bores are then given a weighting based on their distance to the well with an unknown status (i.e. the well being simulated), and the weighting of the failure values of surrounding bores returns a probability of failure. A random number can then be generated to determine if a bore fails. The failure rate can be initiated by “seed wells”, where a number of bores are simulated with just the failure rate. The level of clustering can be increased by increasing the maximum correlation length: in which case more wells will have a similar behaviour, also those further apart. A scenario of zero correlation can be achieved by setting the maximum correlation distance to a value smaller than the bore spacing.</w:t>
      </w:r>
      <w:r w:rsidR="007F5C39">
        <w:rPr>
          <w:lang w:val="en-US"/>
        </w:rPr>
        <w:t xml:space="preserve"> The effect of clustering will gradually decrease as the well failure rate increases: the closer the well failure rate is to its maximum (100%), the more similar the distribution of leaky wells becomes to other ways of spatially distributing leaky wells, such as a random approach. </w:t>
      </w:r>
    </w:p>
    <w:p w14:paraId="03E220CC" w14:textId="28376941" w:rsidR="00271860" w:rsidRPr="004F63F0" w:rsidRDefault="00271860" w:rsidP="00271860">
      <w:pPr>
        <w:spacing w:after="0"/>
        <w:rPr>
          <w:rFonts w:eastAsia="Times New Roman"/>
        </w:rPr>
      </w:pPr>
      <w:r>
        <w:rPr>
          <w:noProof/>
        </w:rPr>
        <w:t>Because the generated patterns have no physical basis, the probability of the generated patterns was calculated under the hypothesis that there is no spatial correlation. As an example, without correlation the probability of five wells within a 1000m radius to fail simultaneously if the failure rate is 5% is 0.05</w:t>
      </w:r>
      <w:r w:rsidRPr="00CF2655">
        <w:rPr>
          <w:noProof/>
          <w:vertAlign w:val="superscript"/>
        </w:rPr>
        <w:t>5</w:t>
      </w:r>
      <w:r>
        <w:rPr>
          <w:noProof/>
        </w:rPr>
        <w:t xml:space="preserve"> = </w:t>
      </w:r>
      <w:r w:rsidRPr="004F63F0">
        <w:rPr>
          <w:rFonts w:eastAsia="Times New Roman"/>
        </w:rPr>
        <w:t>3</w:t>
      </w:r>
      <w:r>
        <w:rPr>
          <w:rFonts w:eastAsia="Times New Roman"/>
        </w:rPr>
        <w:t>×10</w:t>
      </w:r>
      <w:r w:rsidRPr="00271860">
        <w:rPr>
          <w:rFonts w:eastAsia="Times New Roman"/>
          <w:vertAlign w:val="superscript"/>
        </w:rPr>
        <w:t>-7</w:t>
      </w:r>
      <w:r>
        <w:rPr>
          <w:rFonts w:eastAsia="Times New Roman"/>
        </w:rPr>
        <w:t>. For a 1% failure rate the probability is 10</w:t>
      </w:r>
      <w:r w:rsidRPr="00271860">
        <w:rPr>
          <w:rFonts w:eastAsia="Times New Roman"/>
          <w:vertAlign w:val="superscript"/>
        </w:rPr>
        <w:t>-10</w:t>
      </w:r>
      <w:r>
        <w:rPr>
          <w:rFonts w:eastAsia="Times New Roman"/>
        </w:rPr>
        <w:t>, while for a 50% failure rate the probability if 3×10</w:t>
      </w:r>
      <w:r w:rsidRPr="00271860">
        <w:rPr>
          <w:rFonts w:eastAsia="Times New Roman"/>
          <w:vertAlign w:val="superscript"/>
        </w:rPr>
        <w:t>-2</w:t>
      </w:r>
      <w:r>
        <w:rPr>
          <w:rFonts w:eastAsia="Times New Roman"/>
        </w:rPr>
        <w:t>. In other words, for the more likely small failure rates, the probability of clustering is extremely small. Therefore, the risk (likelihood×consequence) calculated for any impact associated with such small failure rates will be small.</w:t>
      </w:r>
    </w:p>
    <w:p w14:paraId="4E8AE7F9" w14:textId="77777777" w:rsidR="00271860" w:rsidRPr="006B17BE" w:rsidRDefault="00271860" w:rsidP="0024235C">
      <w:pPr>
        <w:pStyle w:val="Body"/>
        <w:rPr>
          <w:rFonts w:eastAsiaTheme="minorHAnsi"/>
          <w:color w:val="auto"/>
          <w:lang w:val="en-US"/>
        </w:rPr>
      </w:pPr>
    </w:p>
    <w:p w14:paraId="093F2406" w14:textId="10264A66" w:rsidR="00AA16BE" w:rsidRPr="006B17BE" w:rsidRDefault="00AA16BE" w:rsidP="00E2736B">
      <w:pPr>
        <w:pStyle w:val="Body"/>
      </w:pPr>
    </w:p>
    <w:p w14:paraId="5655B66C" w14:textId="797477D1" w:rsidR="00AA16BE" w:rsidRPr="006B17BE" w:rsidRDefault="00692074" w:rsidP="00692074">
      <w:pPr>
        <w:keepNext/>
        <w:tabs>
          <w:tab w:val="left" w:pos="1565"/>
        </w:tabs>
        <w:spacing w:line="360" w:lineRule="auto"/>
        <w:jc w:val="center"/>
        <w:rPr>
          <w:rFonts w:asciiTheme="minorHAnsi" w:hAnsiTheme="minorHAnsi" w:cstheme="minorHAnsi"/>
          <w:sz w:val="24"/>
          <w:szCs w:val="24"/>
        </w:rPr>
      </w:pPr>
      <w:r w:rsidRPr="006B17BE">
        <w:rPr>
          <w:noProof/>
        </w:rPr>
        <w:drawing>
          <wp:inline distT="0" distB="0" distL="0" distR="0" wp14:anchorId="28FDBEA1" wp14:editId="27D0C51B">
            <wp:extent cx="3405364" cy="4000804"/>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18035" cy="4015690"/>
                    </a:xfrm>
                    <a:prstGeom prst="rect">
                      <a:avLst/>
                    </a:prstGeom>
                    <a:noFill/>
                    <a:ln>
                      <a:noFill/>
                    </a:ln>
                  </pic:spPr>
                </pic:pic>
              </a:graphicData>
            </a:graphic>
          </wp:inline>
        </w:drawing>
      </w:r>
      <w:r w:rsidRPr="006B17BE">
        <w:rPr>
          <w:rFonts w:asciiTheme="minorHAnsi" w:hAnsiTheme="minorHAnsi" w:cstheme="minorHAnsi"/>
          <w:sz w:val="24"/>
          <w:szCs w:val="24"/>
        </w:rPr>
        <w:br w:type="textWrapping" w:clear="all"/>
      </w:r>
    </w:p>
    <w:p w14:paraId="31442893" w14:textId="06B3DA2D" w:rsidR="00AA16BE" w:rsidRDefault="00AA16BE" w:rsidP="00AA16BE">
      <w:pPr>
        <w:pStyle w:val="Caption"/>
        <w:rPr>
          <w:rFonts w:asciiTheme="minorHAnsi" w:hAnsiTheme="minorHAnsi" w:cstheme="minorHAnsi"/>
          <w:szCs w:val="24"/>
        </w:rPr>
      </w:pPr>
      <w:bookmarkStart w:id="515" w:name="_Ref476035697"/>
      <w:bookmarkStart w:id="516" w:name="_Toc508267272"/>
      <w:r w:rsidRPr="006B17BE">
        <w:rPr>
          <w:rFonts w:asciiTheme="minorHAnsi" w:hAnsiTheme="minorHAnsi" w:cstheme="minorHAnsi"/>
          <w:szCs w:val="24"/>
        </w:rPr>
        <w:t xml:space="preserve">Figure </w:t>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STYLEREF 1 \s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3</w:t>
      </w:r>
      <w:r w:rsidR="0014612E">
        <w:rPr>
          <w:rFonts w:asciiTheme="minorHAnsi" w:hAnsiTheme="minorHAnsi" w:cstheme="minorHAnsi"/>
          <w:szCs w:val="24"/>
        </w:rPr>
        <w:fldChar w:fldCharType="end"/>
      </w:r>
      <w:r w:rsidR="0014612E">
        <w:rPr>
          <w:rFonts w:asciiTheme="minorHAnsi" w:hAnsiTheme="minorHAnsi" w:cstheme="minorHAnsi"/>
          <w:szCs w:val="24"/>
        </w:rPr>
        <w:noBreakHyphen/>
      </w:r>
      <w:r w:rsidR="0014612E">
        <w:rPr>
          <w:rFonts w:asciiTheme="minorHAnsi" w:hAnsiTheme="minorHAnsi" w:cstheme="minorHAnsi"/>
          <w:szCs w:val="24"/>
        </w:rPr>
        <w:fldChar w:fldCharType="begin"/>
      </w:r>
      <w:r w:rsidR="0014612E">
        <w:rPr>
          <w:rFonts w:asciiTheme="minorHAnsi" w:hAnsiTheme="minorHAnsi" w:cstheme="minorHAnsi"/>
          <w:szCs w:val="24"/>
        </w:rPr>
        <w:instrText xml:space="preserve"> SEQ Figure \* ARABIC \s 1 </w:instrText>
      </w:r>
      <w:r w:rsidR="0014612E">
        <w:rPr>
          <w:rFonts w:asciiTheme="minorHAnsi" w:hAnsiTheme="minorHAnsi" w:cstheme="minorHAnsi"/>
          <w:szCs w:val="24"/>
        </w:rPr>
        <w:fldChar w:fldCharType="separate"/>
      </w:r>
      <w:r w:rsidR="00086147">
        <w:rPr>
          <w:rFonts w:asciiTheme="minorHAnsi" w:hAnsiTheme="minorHAnsi" w:cstheme="minorHAnsi"/>
          <w:noProof/>
          <w:szCs w:val="24"/>
        </w:rPr>
        <w:t>5</w:t>
      </w:r>
      <w:r w:rsidR="0014612E">
        <w:rPr>
          <w:rFonts w:asciiTheme="minorHAnsi" w:hAnsiTheme="minorHAnsi" w:cstheme="minorHAnsi"/>
          <w:szCs w:val="24"/>
        </w:rPr>
        <w:fldChar w:fldCharType="end"/>
      </w:r>
      <w:bookmarkEnd w:id="515"/>
      <w:r w:rsidRPr="006B17BE">
        <w:rPr>
          <w:rFonts w:asciiTheme="minorHAnsi" w:hAnsiTheme="minorHAnsi" w:cstheme="minorHAnsi"/>
          <w:szCs w:val="24"/>
        </w:rPr>
        <w:t xml:space="preserve"> Schematic set up of a CLN well in the simplified model. Black dots represent the CLN nodes, and red dots represent CLN nodes used as pumps</w:t>
      </w:r>
      <w:r w:rsidR="00692074" w:rsidRPr="006B17BE">
        <w:rPr>
          <w:rFonts w:asciiTheme="minorHAnsi" w:hAnsiTheme="minorHAnsi" w:cstheme="minorHAnsi"/>
          <w:szCs w:val="24"/>
        </w:rPr>
        <w:t xml:space="preserve"> during the 25-year pumping period, after which they become well screens allowing for passive water flow</w:t>
      </w:r>
      <w:r w:rsidRPr="006B17BE">
        <w:rPr>
          <w:rFonts w:asciiTheme="minorHAnsi" w:hAnsiTheme="minorHAnsi" w:cstheme="minorHAnsi"/>
          <w:szCs w:val="24"/>
        </w:rPr>
        <w:t xml:space="preserve">. The CLN nodes included in a </w:t>
      </w:r>
      <w:r w:rsidRPr="006B17BE">
        <w:rPr>
          <w:rFonts w:asciiTheme="minorHAnsi" w:hAnsiTheme="minorHAnsi" w:cstheme="minorHAnsi"/>
          <w:i/>
          <w:szCs w:val="24"/>
        </w:rPr>
        <w:t>partial well failure</w:t>
      </w:r>
      <w:r w:rsidRPr="006B17BE">
        <w:rPr>
          <w:rFonts w:asciiTheme="minorHAnsi" w:hAnsiTheme="minorHAnsi" w:cstheme="minorHAnsi"/>
          <w:szCs w:val="24"/>
        </w:rPr>
        <w:t xml:space="preserve"> </w:t>
      </w:r>
      <w:r w:rsidR="00692074" w:rsidRPr="006B17BE">
        <w:rPr>
          <w:rFonts w:asciiTheme="minorHAnsi" w:hAnsiTheme="minorHAnsi" w:cstheme="minorHAnsi"/>
          <w:szCs w:val="24"/>
        </w:rPr>
        <w:t xml:space="preserve">(only upper </w:t>
      </w:r>
      <w:r w:rsidR="00AE07E8" w:rsidRPr="006B17BE">
        <w:rPr>
          <w:rFonts w:asciiTheme="minorHAnsi" w:hAnsiTheme="minorHAnsi" w:cstheme="minorHAnsi"/>
          <w:szCs w:val="24"/>
        </w:rPr>
        <w:t>coal seam gas</w:t>
      </w:r>
      <w:r w:rsidR="00692074" w:rsidRPr="006B17BE">
        <w:rPr>
          <w:rFonts w:asciiTheme="minorHAnsi" w:hAnsiTheme="minorHAnsi" w:cstheme="minorHAnsi"/>
          <w:szCs w:val="24"/>
        </w:rPr>
        <w:t xml:space="preserve"> reservoir) </w:t>
      </w:r>
      <w:r w:rsidRPr="006B17BE">
        <w:rPr>
          <w:rFonts w:asciiTheme="minorHAnsi" w:hAnsiTheme="minorHAnsi" w:cstheme="minorHAnsi"/>
          <w:szCs w:val="24"/>
        </w:rPr>
        <w:t xml:space="preserve">and a </w:t>
      </w:r>
      <w:r w:rsidRPr="006B17BE">
        <w:rPr>
          <w:rFonts w:asciiTheme="minorHAnsi" w:hAnsiTheme="minorHAnsi" w:cstheme="minorHAnsi"/>
          <w:i/>
          <w:szCs w:val="24"/>
        </w:rPr>
        <w:t>full well failure</w:t>
      </w:r>
      <w:r w:rsidRPr="006B17BE">
        <w:rPr>
          <w:rFonts w:asciiTheme="minorHAnsi" w:hAnsiTheme="minorHAnsi" w:cstheme="minorHAnsi"/>
          <w:szCs w:val="24"/>
        </w:rPr>
        <w:t xml:space="preserve"> </w:t>
      </w:r>
      <w:r w:rsidR="00692074" w:rsidRPr="006B17BE">
        <w:rPr>
          <w:rFonts w:asciiTheme="minorHAnsi" w:hAnsiTheme="minorHAnsi" w:cstheme="minorHAnsi"/>
          <w:szCs w:val="24"/>
        </w:rPr>
        <w:t xml:space="preserve">(both </w:t>
      </w:r>
      <w:r w:rsidR="00AE07E8" w:rsidRPr="006B17BE">
        <w:rPr>
          <w:rFonts w:asciiTheme="minorHAnsi" w:hAnsiTheme="minorHAnsi" w:cstheme="minorHAnsi"/>
          <w:szCs w:val="24"/>
        </w:rPr>
        <w:t>coal seam gas</w:t>
      </w:r>
      <w:r w:rsidR="00692074" w:rsidRPr="006B17BE">
        <w:rPr>
          <w:rFonts w:asciiTheme="minorHAnsi" w:hAnsiTheme="minorHAnsi" w:cstheme="minorHAnsi"/>
          <w:szCs w:val="24"/>
        </w:rPr>
        <w:t xml:space="preserve"> reservoirs) </w:t>
      </w:r>
      <w:r w:rsidRPr="006B17BE">
        <w:rPr>
          <w:rFonts w:asciiTheme="minorHAnsi" w:hAnsiTheme="minorHAnsi" w:cstheme="minorHAnsi"/>
          <w:szCs w:val="24"/>
        </w:rPr>
        <w:t>are also indicated.</w:t>
      </w:r>
      <w:r w:rsidR="00692074" w:rsidRPr="006B17BE">
        <w:rPr>
          <w:rFonts w:asciiTheme="minorHAnsi" w:hAnsiTheme="minorHAnsi" w:cstheme="minorHAnsi"/>
          <w:szCs w:val="24"/>
        </w:rPr>
        <w:t xml:space="preserve"> During and after production period water flow is from top to bottom.</w:t>
      </w:r>
      <w:bookmarkEnd w:id="516"/>
    </w:p>
    <w:p w14:paraId="63A49C67" w14:textId="77777777" w:rsidR="007F5C39" w:rsidRPr="00405065" w:rsidRDefault="007F5C39" w:rsidP="00405065">
      <w:pPr>
        <w:pStyle w:val="BodyText"/>
      </w:pPr>
    </w:p>
    <w:p w14:paraId="0E0708F4" w14:textId="0293D69C" w:rsidR="001A333E" w:rsidRPr="006B17BE" w:rsidRDefault="006E1BEE" w:rsidP="0092151B">
      <w:pPr>
        <w:pStyle w:val="Body"/>
        <w:keepNext/>
        <w:jc w:val="center"/>
      </w:pPr>
      <w:r w:rsidRPr="006B17BE">
        <w:rPr>
          <w:noProof/>
          <w:lang w:val="en-AU" w:eastAsia="en-AU"/>
        </w:rPr>
        <w:drawing>
          <wp:inline distT="0" distB="0" distL="0" distR="0" wp14:anchorId="14FE46C7" wp14:editId="3FFA92EC">
            <wp:extent cx="4718760" cy="3585882"/>
            <wp:effectExtent l="0" t="0" r="0" b="0"/>
            <wp:docPr id="92" name="Picture 92" descr="\\usermn\n\noor0021\Pictures\Fig_Failure_appro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mn\n\noor0021\Pictures\Fig_Failure_approach.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97537" cy="3645746"/>
                    </a:xfrm>
                    <a:prstGeom prst="rect">
                      <a:avLst/>
                    </a:prstGeom>
                    <a:noFill/>
                    <a:ln>
                      <a:noFill/>
                    </a:ln>
                  </pic:spPr>
                </pic:pic>
              </a:graphicData>
            </a:graphic>
          </wp:inline>
        </w:drawing>
      </w:r>
    </w:p>
    <w:p w14:paraId="3EACD21A" w14:textId="3C0D1A63" w:rsidR="00E2736B" w:rsidRDefault="001A333E" w:rsidP="0092151B">
      <w:pPr>
        <w:pStyle w:val="Caption"/>
      </w:pPr>
      <w:bookmarkStart w:id="517" w:name="_Ref476902765"/>
      <w:bookmarkStart w:id="518" w:name="_Toc508267273"/>
      <w:r w:rsidRPr="006B17BE">
        <w:t xml:space="preserve">Figure </w:t>
      </w:r>
      <w:r w:rsidR="00296C49">
        <w:fldChar w:fldCharType="begin"/>
      </w:r>
      <w:r w:rsidR="00296C49">
        <w:instrText xml:space="preserve"> STYLEREF 1 \s </w:instrText>
      </w:r>
      <w:r w:rsidR="00296C49">
        <w:fldChar w:fldCharType="separate"/>
      </w:r>
      <w:r w:rsidR="00086147">
        <w:rPr>
          <w:noProof/>
        </w:rPr>
        <w:t>3</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6</w:t>
      </w:r>
      <w:r w:rsidR="00296C49">
        <w:rPr>
          <w:noProof/>
        </w:rPr>
        <w:fldChar w:fldCharType="end"/>
      </w:r>
      <w:bookmarkEnd w:id="517"/>
      <w:r w:rsidRPr="006B17BE">
        <w:t xml:space="preserve"> Schematic image of the spatially correlated random well failure approach. The white circle represents the seed well, green and red dots represent intact and failed wells respectively.</w:t>
      </w:r>
      <w:bookmarkEnd w:id="518"/>
    </w:p>
    <w:p w14:paraId="036481B6" w14:textId="77777777" w:rsidR="0024235C" w:rsidRPr="0024235C" w:rsidRDefault="0024235C" w:rsidP="0024235C">
      <w:pPr>
        <w:pStyle w:val="BodyText"/>
      </w:pPr>
    </w:p>
    <w:p w14:paraId="61E5D4CB" w14:textId="4EC37E6F" w:rsidR="00AD6CCF" w:rsidRPr="006B17BE" w:rsidRDefault="00AA16BE" w:rsidP="00E2736B">
      <w:pPr>
        <w:pStyle w:val="Body"/>
      </w:pPr>
      <w:r w:rsidRPr="006B17BE">
        <w:t xml:space="preserve">This approach </w:t>
      </w:r>
      <w:r w:rsidR="00795897" w:rsidRPr="006B17BE">
        <w:t xml:space="preserve">further </w:t>
      </w:r>
      <w:r w:rsidRPr="006B17BE">
        <w:t>results in two types of well integrity failure; partial and full well integrity failure</w:t>
      </w:r>
      <w:r w:rsidR="00AD6CCF" w:rsidRPr="006B17BE">
        <w:t xml:space="preserve"> based on the location at which the well is completed</w:t>
      </w:r>
      <w:r w:rsidRPr="006B17BE">
        <w:t xml:space="preserve">. Partial well integrity failure occurs when the production well completed in the Late Permian coal seam (layer 3) fails. Full well integrity failure occurs when, either, the well completed in the Early Permian coal seam (layer 5) fails or when both the well in the Late and Early Permian coal seams (layers 3 and 5) fail. </w:t>
      </w:r>
      <w:r w:rsidR="00AD6CCF" w:rsidRPr="006B17BE">
        <w:t>All well failure simulations consist of a combination of full and partial failure types</w:t>
      </w:r>
      <w:r w:rsidR="001A333E" w:rsidRPr="006B17BE">
        <w:t xml:space="preserve"> because the selection approach is applied to wells in layer 3 and 5</w:t>
      </w:r>
      <w:r w:rsidR="00AD6CCF" w:rsidRPr="006B17BE">
        <w:t xml:space="preserve">. </w:t>
      </w:r>
    </w:p>
    <w:p w14:paraId="1ED552FD" w14:textId="5856CB65" w:rsidR="00AA16BE" w:rsidRPr="006B17BE" w:rsidRDefault="00AA16BE" w:rsidP="00E2736B">
      <w:pPr>
        <w:pStyle w:val="Body"/>
      </w:pPr>
      <w:r w:rsidRPr="006B17BE">
        <w:t>All wells were assumed to have the same construction and installation, therefore the properties of all failed wells was kept constant.</w:t>
      </w:r>
      <w:r w:rsidR="00F578C8" w:rsidRPr="006B17BE">
        <w:t xml:space="preserve"> Note that the full well failure condition is still different from the open borehole condition </w:t>
      </w:r>
      <w:r w:rsidR="00795897" w:rsidRPr="006B17BE">
        <w:t>(6.2</w:t>
      </w:r>
      <w:r w:rsidR="00F31DC3" w:rsidRPr="006B17BE">
        <w:t>5</w:t>
      </w:r>
      <w:r w:rsidR="00795897" w:rsidRPr="006B17BE">
        <w:t>×10</w:t>
      </w:r>
      <w:r w:rsidR="00795897" w:rsidRPr="006B17BE">
        <w:rPr>
          <w:vertAlign w:val="superscript"/>
        </w:rPr>
        <w:t>8</w:t>
      </w:r>
      <w:r w:rsidR="00795897" w:rsidRPr="006B17BE">
        <w:t xml:space="preserve"> m/d) </w:t>
      </w:r>
      <w:r w:rsidR="00F578C8" w:rsidRPr="006B17BE">
        <w:t>assessed by Doble et al. (201</w:t>
      </w:r>
      <w:r w:rsidR="00F250ED">
        <w:t>8</w:t>
      </w:r>
      <w:r w:rsidR="00F578C8" w:rsidRPr="006B17BE">
        <w:t xml:space="preserve">), i.e. the full well failure </w:t>
      </w:r>
      <w:r w:rsidR="00F31DC3" w:rsidRPr="006B17BE">
        <w:t xml:space="preserve">in this study </w:t>
      </w:r>
      <w:r w:rsidR="00F578C8" w:rsidRPr="006B17BE">
        <w:t>still assumes that flow is only through some degraded cement, usually within the annulus (for details of pathways, see Wu et al. 201</w:t>
      </w:r>
      <w:r w:rsidR="00AC3BD2">
        <w:t>8</w:t>
      </w:r>
      <w:r w:rsidR="00F578C8" w:rsidRPr="006B17BE">
        <w:t xml:space="preserve">). </w:t>
      </w:r>
    </w:p>
    <w:p w14:paraId="78DD879A" w14:textId="54F4E3A1" w:rsidR="00AA16BE" w:rsidRPr="006B17BE" w:rsidRDefault="00AA16BE" w:rsidP="00E2736B">
      <w:pPr>
        <w:pStyle w:val="Body"/>
      </w:pPr>
      <w:r w:rsidRPr="006B17BE">
        <w:t xml:space="preserve">Parameters associated with the well failure were based on the leaky well scenario from Doble et al. </w:t>
      </w:r>
      <w:r w:rsidRPr="006B17BE">
        <w:fldChar w:fldCharType="begin" w:fldLock="1"/>
      </w:r>
      <w:r w:rsidRPr="006B17BE">
        <w:instrText>ADDIN CSL_CITATION { "citationItems" : [ { "id" : "ITEM-1", "itemData" : { "author" : [ { "dropping-particle" : "", "family" : "Doble", "given" : "Rebecca", "non-dropping-particle" : "", "parse-names" : false, "suffix" : "" }, { "dropping-particle" : "", "family" : "Mccallum", "given" : "Jim", "non-dropping-particle" : "", "parse-names" : false, "suffix" : "" }, { "dropping-particle" : "", "family" : "Turnadge", "given" : "Chris", "non-dropping-particle" : "", "parse-names" : false, "suffix" : "" }, { "dropping-particle" : "", "family" : "Peeters", "given" : "Luk", "non-dropping-particle" : "", "parse-names" : false, "suffix" : "" }, { "dropping-particle" : "", "family" : "Wu", "given" : "Bailin", "non-dropping-particle" : "", "parse-names" : false, "suffix" : "" }, { "dropping-particle" : "", "family" : "Mallants", "given" : "Dirk", "non-dropping-particle" : "", "parse-names" : false, "suffix" : "" } ], "id" : "ITEM-1", "issued" : { "date-parts" : [ [ "2016" ] ] }, "number-of-pages" : "36", "publisher-place" : "Canberra, ACT", "title" : "Modelling inter-aquifer leakage associated with well integrity failure", "type" : "report" }, "uris" : [ "http://www.mendeley.com/documents/?uuid=465a006c-104b-463c-aa31-beda12ad2510" ] } ], "mendeley" : { "formattedCitation" : "(Doble &lt;i&gt;et al.&lt;/i&gt;, 2016)", "manualFormatting" : "(2016)", "plainTextFormattedCitation" : "(Doble et al., 2016)", "previouslyFormattedCitation" : "(Doble &lt;i&gt;et al.&lt;/i&gt;, 2016)" }, "properties" : { "noteIndex" : 0 }, "schema" : "https://github.com/citation-style-language/schema/raw/master/csl-citation.json" }</w:instrText>
      </w:r>
      <w:r w:rsidRPr="006B17BE">
        <w:fldChar w:fldCharType="separate"/>
      </w:r>
      <w:r w:rsidRPr="006B17BE">
        <w:rPr>
          <w:noProof/>
        </w:rPr>
        <w:t>(201</w:t>
      </w:r>
      <w:r w:rsidR="00F250ED">
        <w:rPr>
          <w:noProof/>
        </w:rPr>
        <w:t>8</w:t>
      </w:r>
      <w:r w:rsidRPr="006B17BE">
        <w:rPr>
          <w:noProof/>
        </w:rPr>
        <w:t>)</w:t>
      </w:r>
      <w:r w:rsidRPr="006B17BE">
        <w:fldChar w:fldCharType="end"/>
      </w:r>
      <w:r w:rsidRPr="006B17BE">
        <w:t xml:space="preserve"> and are shown in </w:t>
      </w:r>
      <w:r w:rsidRPr="006B17BE">
        <w:fldChar w:fldCharType="begin"/>
      </w:r>
      <w:r w:rsidRPr="006B17BE">
        <w:instrText xml:space="preserve"> REF _Ref476035680 \h  \* MERGEFORMAT </w:instrText>
      </w:r>
      <w:r w:rsidRPr="006B17BE">
        <w:fldChar w:fldCharType="separate"/>
      </w:r>
      <w:r w:rsidR="00086147" w:rsidRPr="00684F4E">
        <w:t xml:space="preserve">Table </w:t>
      </w:r>
      <w:r w:rsidR="00086147">
        <w:rPr>
          <w:noProof/>
        </w:rPr>
        <w:t>3</w:t>
      </w:r>
      <w:r w:rsidR="00086147">
        <w:rPr>
          <w:noProof/>
        </w:rPr>
        <w:noBreakHyphen/>
        <w:t>3</w:t>
      </w:r>
      <w:r w:rsidRPr="006B17BE">
        <w:fldChar w:fldCharType="end"/>
      </w:r>
      <w:r w:rsidRPr="006B17BE">
        <w:t xml:space="preserve">. The spatially correlated random failure approach uses a </w:t>
      </w:r>
      <w:r w:rsidR="00F31DC3" w:rsidRPr="006B17BE">
        <w:t xml:space="preserve">fixed </w:t>
      </w:r>
      <w:r w:rsidRPr="006B17BE">
        <w:t xml:space="preserve">correlation length to determine the likelihood of failure within a given radius, beyond this radius well failure potential is assumed to be negligible. </w:t>
      </w:r>
      <w:r w:rsidR="00F31DC3" w:rsidRPr="006B17BE">
        <w:t xml:space="preserve">The effect of using two different correlation lengths 2 and 10 km on the clustering of wells is illustrated in </w:t>
      </w:r>
      <w:r w:rsidR="00F31DC3" w:rsidRPr="006B17BE">
        <w:fldChar w:fldCharType="begin"/>
      </w:r>
      <w:r w:rsidR="00F31DC3" w:rsidRPr="006B17BE">
        <w:instrText xml:space="preserve"> REF _Ref476035716 \h </w:instrText>
      </w:r>
      <w:r w:rsidR="006B17BE">
        <w:instrText xml:space="preserve"> \* MERGEFORMAT </w:instrText>
      </w:r>
      <w:r w:rsidR="00F31DC3" w:rsidRPr="006B17BE">
        <w:fldChar w:fldCharType="separate"/>
      </w:r>
      <w:r w:rsidR="00086147" w:rsidRPr="006B17BE">
        <w:t xml:space="preserve">Figure </w:t>
      </w:r>
      <w:r w:rsidR="00086147">
        <w:rPr>
          <w:noProof/>
        </w:rPr>
        <w:t>3</w:t>
      </w:r>
      <w:r w:rsidR="00086147">
        <w:rPr>
          <w:noProof/>
        </w:rPr>
        <w:noBreakHyphen/>
        <w:t>7</w:t>
      </w:r>
      <w:r w:rsidR="00F31DC3" w:rsidRPr="006B17BE">
        <w:fldChar w:fldCharType="end"/>
      </w:r>
      <w:r w:rsidR="00F31DC3" w:rsidRPr="006B17BE">
        <w:t xml:space="preserve">. </w:t>
      </w:r>
      <w:r w:rsidRPr="006B17BE">
        <w:t>A correlation length of 10 km was used in th</w:t>
      </w:r>
      <w:r w:rsidR="00F31DC3" w:rsidRPr="006B17BE">
        <w:t>e remainder of th</w:t>
      </w:r>
      <w:r w:rsidRPr="006B17BE">
        <w:t>is study.</w:t>
      </w:r>
    </w:p>
    <w:p w14:paraId="35B307F5" w14:textId="77777777" w:rsidR="00F31DC3" w:rsidRPr="006B17BE" w:rsidRDefault="00F31DC3" w:rsidP="00E2736B">
      <w:pPr>
        <w:pStyle w:val="Body"/>
      </w:pPr>
    </w:p>
    <w:p w14:paraId="65A81B06" w14:textId="77777777" w:rsidR="00AA16BE" w:rsidRPr="006B17BE" w:rsidRDefault="00AA16BE" w:rsidP="00AA16BE">
      <w:pPr>
        <w:keepNext/>
        <w:spacing w:line="360" w:lineRule="auto"/>
        <w:jc w:val="both"/>
        <w:rPr>
          <w:rFonts w:asciiTheme="minorHAnsi" w:hAnsiTheme="minorHAnsi" w:cstheme="minorHAnsi"/>
          <w:sz w:val="24"/>
          <w:szCs w:val="24"/>
        </w:rPr>
      </w:pPr>
      <w:r w:rsidRPr="006B17BE">
        <w:rPr>
          <w:rFonts w:asciiTheme="minorHAnsi" w:hAnsiTheme="minorHAnsi" w:cstheme="minorHAnsi"/>
          <w:noProof/>
          <w:sz w:val="24"/>
          <w:szCs w:val="24"/>
        </w:rPr>
        <w:drawing>
          <wp:inline distT="0" distB="0" distL="0" distR="0" wp14:anchorId="15BDFB9B" wp14:editId="346A35E3">
            <wp:extent cx="5731510" cy="3154719"/>
            <wp:effectExtent l="0" t="0" r="2540" b="7620"/>
            <wp:docPr id="22" name="Picture 22" descr="D:\workspace\noor0021\CSG\leaky_well\Gunnedah_model\fig_well_failure_pa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workspace\noor0021\CSG\leaky_well\Gunnedah_model\fig_well_failure_patter.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31510" cy="3154719"/>
                    </a:xfrm>
                    <a:prstGeom prst="rect">
                      <a:avLst/>
                    </a:prstGeom>
                    <a:noFill/>
                    <a:ln>
                      <a:noFill/>
                    </a:ln>
                  </pic:spPr>
                </pic:pic>
              </a:graphicData>
            </a:graphic>
          </wp:inline>
        </w:drawing>
      </w:r>
    </w:p>
    <w:p w14:paraId="7D21AD96" w14:textId="2620498C" w:rsidR="00AA16BE" w:rsidRDefault="00AA16BE" w:rsidP="00DE2EAF">
      <w:pPr>
        <w:pStyle w:val="Caption"/>
      </w:pPr>
      <w:bookmarkStart w:id="519" w:name="_Ref476035716"/>
      <w:bookmarkStart w:id="520" w:name="_Toc508267274"/>
      <w:r w:rsidRPr="006B17BE">
        <w:t xml:space="preserve">Figure </w:t>
      </w:r>
      <w:r w:rsidR="00296C49">
        <w:fldChar w:fldCharType="begin"/>
      </w:r>
      <w:r w:rsidR="00296C49">
        <w:instrText xml:space="preserve"> STYLEREF 1 \s </w:instrText>
      </w:r>
      <w:r w:rsidR="00296C49">
        <w:fldChar w:fldCharType="separate"/>
      </w:r>
      <w:r w:rsidR="00086147">
        <w:rPr>
          <w:noProof/>
        </w:rPr>
        <w:t>3</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7</w:t>
      </w:r>
      <w:r w:rsidR="00296C49">
        <w:rPr>
          <w:noProof/>
        </w:rPr>
        <w:fldChar w:fldCharType="end"/>
      </w:r>
      <w:bookmarkEnd w:id="519"/>
      <w:r w:rsidRPr="006B17BE">
        <w:t xml:space="preserve"> Well failure patterns based on the spatially correlated random well failure approach for a spatial correlation length of 2 km ((a) – (e)) and 10 km ((f) – (j)). </w:t>
      </w:r>
      <w:r w:rsidR="002059E4" w:rsidRPr="006B17BE">
        <w:t xml:space="preserve">The percentage of wells that have failed is indicated at the top of each graph (from 1 – 50%). </w:t>
      </w:r>
      <w:r w:rsidRPr="006B17BE">
        <w:t xml:space="preserve">Black points indicate </w:t>
      </w:r>
      <w:r w:rsidR="002059E4" w:rsidRPr="006B17BE">
        <w:t xml:space="preserve">intact </w:t>
      </w:r>
      <w:r w:rsidRPr="006B17BE">
        <w:t xml:space="preserve">wells, green indicates a well which has partially failed and red indicates full failure (See </w:t>
      </w:r>
      <w:r w:rsidRPr="006B17BE">
        <w:fldChar w:fldCharType="begin"/>
      </w:r>
      <w:r w:rsidRPr="006B17BE">
        <w:instrText xml:space="preserve"> REF _Ref476035697 \h  \* MERGEFORMAT </w:instrText>
      </w:r>
      <w:r w:rsidRPr="006B17BE">
        <w:fldChar w:fldCharType="separate"/>
      </w:r>
      <w:r w:rsidR="00086147" w:rsidRPr="00086147">
        <w:t xml:space="preserve">Figure </w:t>
      </w:r>
      <w:r w:rsidR="00086147" w:rsidRPr="00086147">
        <w:rPr>
          <w:noProof/>
        </w:rPr>
        <w:t>3</w:t>
      </w:r>
      <w:r w:rsidR="00086147" w:rsidRPr="00086147">
        <w:rPr>
          <w:noProof/>
        </w:rPr>
        <w:noBreakHyphen/>
        <w:t>5</w:t>
      </w:r>
      <w:r w:rsidRPr="006B17BE">
        <w:fldChar w:fldCharType="end"/>
      </w:r>
      <w:r w:rsidRPr="006B17BE">
        <w:t xml:space="preserve"> for further description of well failure type).</w:t>
      </w:r>
      <w:bookmarkEnd w:id="520"/>
    </w:p>
    <w:p w14:paraId="0D473970" w14:textId="77777777" w:rsidR="0024235C" w:rsidRDefault="0024235C" w:rsidP="0024235C">
      <w:pPr>
        <w:pStyle w:val="Body"/>
      </w:pPr>
    </w:p>
    <w:p w14:paraId="47AE8593" w14:textId="77777777" w:rsidR="0024235C" w:rsidRPr="006B17BE" w:rsidRDefault="0024235C" w:rsidP="0024235C">
      <w:pPr>
        <w:pStyle w:val="Body"/>
      </w:pPr>
      <w:r w:rsidRPr="006B17BE">
        <w:t xml:space="preserve">A baseline simulation of the impact of the 25-year gas (and water) production period on the groundwater balance and heads with 0% well failures was used to compare simulations where well failure enhanced inter-aquifer leakage had occurred. The baseline scenario represents aquifer recovery through seepage from the aquitards and contribution from the constant head boundary in layer 1. No recharge contributions from rainfall or rivers were considered in this study; this is a conservative assumptions that will ensure impacts are not underestimated. The impact of enhanced inter-aquifer leakage was investigated for progressive well failure scenarios where the proportion of well failures ranged from 0 - 100% (1, 2, 3, 4, 5, 6, 7, 8, 9, 10, 20, 30, 40, 50, 60, 70, 80, 90 and 100%). </w:t>
      </w:r>
    </w:p>
    <w:p w14:paraId="181C4C26" w14:textId="5C737C31" w:rsidR="00D40860" w:rsidRPr="006B17BE" w:rsidRDefault="00D40860" w:rsidP="00D40860">
      <w:pPr>
        <w:pStyle w:val="Heading2"/>
      </w:pPr>
      <w:bookmarkStart w:id="521" w:name="_Toc483567947"/>
      <w:r w:rsidRPr="006B17BE">
        <w:t>Groundwater impact metrics</w:t>
      </w:r>
      <w:bookmarkEnd w:id="521"/>
    </w:p>
    <w:p w14:paraId="287F3CD6" w14:textId="5DEB098B" w:rsidR="000C7139" w:rsidRPr="006B17BE" w:rsidRDefault="001E1C03" w:rsidP="002059E4">
      <w:pPr>
        <w:pStyle w:val="Body"/>
      </w:pPr>
      <w:r w:rsidRPr="006B17BE">
        <w:t xml:space="preserve">Of particular interest in this modelling exercise is the impact of the post production phase on layer 1, the </w:t>
      </w:r>
      <w:r w:rsidR="0009623F" w:rsidRPr="006B17BE">
        <w:t>Pilliga</w:t>
      </w:r>
      <w:r w:rsidRPr="006B17BE">
        <w:t xml:space="preserve"> Sandstone. The </w:t>
      </w:r>
      <w:r w:rsidR="0009623F" w:rsidRPr="006B17BE">
        <w:t>Pilliga</w:t>
      </w:r>
      <w:r w:rsidRPr="006B17BE">
        <w:t xml:space="preserve"> Sandstone represents the main water bearing aquifer in the area and determining how the </w:t>
      </w:r>
      <w:r w:rsidR="00F31DC3" w:rsidRPr="006B17BE">
        <w:t xml:space="preserve">gas (and water) </w:t>
      </w:r>
      <w:r w:rsidRPr="006B17BE">
        <w:t xml:space="preserve">extraction will </w:t>
      </w:r>
      <w:r w:rsidR="006E1BEE" w:rsidRPr="006B17BE">
        <w:t>affect</w:t>
      </w:r>
      <w:r w:rsidRPr="006B17BE">
        <w:t xml:space="preserve"> the aquifer is important. </w:t>
      </w:r>
      <w:r w:rsidR="006E1BEE" w:rsidRPr="006B17BE">
        <w:t>Therefore,</w:t>
      </w:r>
      <w:r w:rsidRPr="006B17BE">
        <w:t xml:space="preserve"> t</w:t>
      </w:r>
      <w:r w:rsidR="00AA16BE" w:rsidRPr="006B17BE">
        <w:t>o determine the impact of well failure on regional scale groundwater flow</w:t>
      </w:r>
      <w:r w:rsidR="009B3252" w:rsidRPr="006B17BE">
        <w:t xml:space="preserve"> and levels</w:t>
      </w:r>
      <w:r w:rsidR="00AA16BE" w:rsidRPr="006B17BE">
        <w:t xml:space="preserve">, the model was set up to generate the following simulation metrics: </w:t>
      </w:r>
    </w:p>
    <w:p w14:paraId="53899A7C" w14:textId="3F43FBFE" w:rsidR="000C7139" w:rsidRPr="006B17BE" w:rsidRDefault="003D296D" w:rsidP="00D67169">
      <w:pPr>
        <w:pStyle w:val="Body"/>
        <w:numPr>
          <w:ilvl w:val="0"/>
          <w:numId w:val="19"/>
        </w:numPr>
      </w:pPr>
      <w:r>
        <w:t>t</w:t>
      </w:r>
      <w:r w:rsidR="00F31DC3" w:rsidRPr="006B17BE">
        <w:t xml:space="preserve">imeseries of </w:t>
      </w:r>
      <w:r w:rsidR="000C7139" w:rsidRPr="006B17BE">
        <w:t xml:space="preserve">the change in </w:t>
      </w:r>
      <w:r w:rsidR="00F31DC3" w:rsidRPr="006B17BE">
        <w:t xml:space="preserve">Pilliga Sandstone aquifer </w:t>
      </w:r>
      <w:r w:rsidR="000C7139" w:rsidRPr="006B17BE">
        <w:t xml:space="preserve">groundwater level induced by the production period and </w:t>
      </w:r>
      <w:r w:rsidR="009B3252" w:rsidRPr="006B17BE">
        <w:t>the subsequent groundwater level recovery,</w:t>
      </w:r>
    </w:p>
    <w:p w14:paraId="5E55812B" w14:textId="54D36810" w:rsidR="00AA16BE" w:rsidRPr="006B17BE" w:rsidRDefault="00AA16BE" w:rsidP="00D67169">
      <w:pPr>
        <w:pStyle w:val="Body"/>
        <w:numPr>
          <w:ilvl w:val="0"/>
          <w:numId w:val="19"/>
        </w:numPr>
      </w:pPr>
      <w:r w:rsidRPr="006B17BE">
        <w:t xml:space="preserve">the contribution of </w:t>
      </w:r>
      <w:r w:rsidR="00F31DC3" w:rsidRPr="006B17BE">
        <w:t xml:space="preserve">failed wells to </w:t>
      </w:r>
      <w:r w:rsidRPr="006B17BE">
        <w:t xml:space="preserve">inter-aquifer groundwater exchange </w:t>
      </w:r>
      <w:r w:rsidR="00F31DC3" w:rsidRPr="006B17BE">
        <w:t xml:space="preserve">relative to the </w:t>
      </w:r>
      <w:r w:rsidRPr="006B17BE">
        <w:t xml:space="preserve">flux through the </w:t>
      </w:r>
      <w:r w:rsidR="00F31DC3" w:rsidRPr="006B17BE">
        <w:t xml:space="preserve">bulk of the </w:t>
      </w:r>
      <w:r w:rsidRPr="006B17BE">
        <w:t>aquitard</w:t>
      </w:r>
      <w:r w:rsidR="00F31DC3" w:rsidRPr="006B17BE">
        <w:t xml:space="preserve"> (i.e. the matrix)</w:t>
      </w:r>
      <w:r w:rsidRPr="006B17BE">
        <w:t>,</w:t>
      </w:r>
    </w:p>
    <w:p w14:paraId="1149271D" w14:textId="3440EEA9" w:rsidR="00AA16BE" w:rsidRPr="006B17BE" w:rsidRDefault="00AA16BE" w:rsidP="00D67169">
      <w:pPr>
        <w:pStyle w:val="Body"/>
        <w:numPr>
          <w:ilvl w:val="0"/>
          <w:numId w:val="19"/>
        </w:numPr>
        <w:rPr>
          <w:rFonts w:asciiTheme="minorHAnsi" w:hAnsiTheme="minorHAnsi" w:cstheme="minorHAnsi"/>
        </w:rPr>
      </w:pPr>
      <w:r w:rsidRPr="006B17BE">
        <w:rPr>
          <w:rFonts w:asciiTheme="minorHAnsi" w:hAnsiTheme="minorHAnsi" w:cstheme="minorHAnsi"/>
        </w:rPr>
        <w:t xml:space="preserve">maximum drawdown and </w:t>
      </w:r>
      <w:r w:rsidR="00424D3D" w:rsidRPr="006B17BE">
        <w:rPr>
          <w:rFonts w:asciiTheme="minorHAnsi" w:hAnsiTheme="minorHAnsi" w:cstheme="minorHAnsi"/>
        </w:rPr>
        <w:t xml:space="preserve">time at which </w:t>
      </w:r>
      <w:r w:rsidRPr="006B17BE">
        <w:rPr>
          <w:rFonts w:asciiTheme="minorHAnsi" w:hAnsiTheme="minorHAnsi" w:cstheme="minorHAnsi"/>
        </w:rPr>
        <w:t xml:space="preserve">maximum drawdown </w:t>
      </w:r>
      <w:r w:rsidR="00424D3D" w:rsidRPr="006B17BE">
        <w:rPr>
          <w:rFonts w:asciiTheme="minorHAnsi" w:hAnsiTheme="minorHAnsi" w:cstheme="minorHAnsi"/>
        </w:rPr>
        <w:t>occurs</w:t>
      </w:r>
      <w:r w:rsidRPr="006B17BE">
        <w:rPr>
          <w:rFonts w:asciiTheme="minorHAnsi" w:hAnsiTheme="minorHAnsi" w:cstheme="minorHAnsi"/>
        </w:rPr>
        <w:t xml:space="preserve">, </w:t>
      </w:r>
    </w:p>
    <w:p w14:paraId="3E6E4ADE" w14:textId="0A9B0F38" w:rsidR="00AA16BE" w:rsidRPr="006B17BE" w:rsidRDefault="00AA16BE" w:rsidP="00D67169">
      <w:pPr>
        <w:pStyle w:val="Body"/>
        <w:numPr>
          <w:ilvl w:val="0"/>
          <w:numId w:val="19"/>
        </w:numPr>
        <w:rPr>
          <w:rFonts w:asciiTheme="minorHAnsi" w:hAnsiTheme="minorHAnsi" w:cstheme="minorHAnsi"/>
        </w:rPr>
      </w:pPr>
      <w:r w:rsidRPr="006B17BE">
        <w:rPr>
          <w:rFonts w:asciiTheme="minorHAnsi" w:hAnsiTheme="minorHAnsi" w:cstheme="minorHAnsi"/>
        </w:rPr>
        <w:t xml:space="preserve">changes to the time required to </w:t>
      </w:r>
      <w:r w:rsidR="00F31DC3" w:rsidRPr="006B17BE">
        <w:rPr>
          <w:rFonts w:asciiTheme="minorHAnsi" w:hAnsiTheme="minorHAnsi" w:cstheme="minorHAnsi"/>
        </w:rPr>
        <w:t>re-</w:t>
      </w:r>
      <w:r w:rsidRPr="006B17BE">
        <w:rPr>
          <w:rFonts w:asciiTheme="minorHAnsi" w:hAnsiTheme="minorHAnsi" w:cstheme="minorHAnsi"/>
        </w:rPr>
        <w:t xml:space="preserve">equilibrate the aquifer </w:t>
      </w:r>
      <w:r w:rsidR="00437176" w:rsidRPr="006B17BE">
        <w:rPr>
          <w:rFonts w:asciiTheme="minorHAnsi" w:hAnsiTheme="minorHAnsi" w:cstheme="minorHAnsi"/>
        </w:rPr>
        <w:t xml:space="preserve">(layer 1) </w:t>
      </w:r>
      <w:r w:rsidRPr="006B17BE">
        <w:rPr>
          <w:rFonts w:asciiTheme="minorHAnsi" w:hAnsiTheme="minorHAnsi" w:cstheme="minorHAnsi"/>
        </w:rPr>
        <w:t xml:space="preserve">to </w:t>
      </w:r>
      <w:r w:rsidR="00424D3D" w:rsidRPr="006B17BE">
        <w:rPr>
          <w:rFonts w:asciiTheme="minorHAnsi" w:hAnsiTheme="minorHAnsi" w:cstheme="minorHAnsi"/>
        </w:rPr>
        <w:t>a (potentially new) steady-state</w:t>
      </w:r>
      <w:r w:rsidRPr="006B17BE">
        <w:rPr>
          <w:rFonts w:asciiTheme="minorHAnsi" w:hAnsiTheme="minorHAnsi" w:cstheme="minorHAnsi"/>
        </w:rPr>
        <w:t xml:space="preserve"> condition,</w:t>
      </w:r>
      <w:r w:rsidR="00D40860" w:rsidRPr="006B17BE">
        <w:rPr>
          <w:rFonts w:asciiTheme="minorHAnsi" w:hAnsiTheme="minorHAnsi" w:cstheme="minorHAnsi"/>
        </w:rPr>
        <w:t xml:space="preserve"> and</w:t>
      </w:r>
    </w:p>
    <w:p w14:paraId="283AFD7E" w14:textId="314E544E" w:rsidR="00AA16BE" w:rsidRPr="006B17BE" w:rsidRDefault="00AA16BE" w:rsidP="00D67169">
      <w:pPr>
        <w:pStyle w:val="Body"/>
        <w:numPr>
          <w:ilvl w:val="0"/>
          <w:numId w:val="19"/>
        </w:numPr>
        <w:rPr>
          <w:rFonts w:asciiTheme="minorHAnsi" w:hAnsiTheme="minorHAnsi" w:cstheme="minorHAnsi"/>
        </w:rPr>
      </w:pPr>
      <w:r w:rsidRPr="006B17BE">
        <w:rPr>
          <w:rFonts w:asciiTheme="minorHAnsi" w:hAnsiTheme="minorHAnsi" w:cstheme="minorHAnsi"/>
        </w:rPr>
        <w:t xml:space="preserve">changes to the effective </w:t>
      </w:r>
      <w:r w:rsidR="00F31DC3" w:rsidRPr="006B17BE">
        <w:rPr>
          <w:rFonts w:asciiTheme="minorHAnsi" w:hAnsiTheme="minorHAnsi" w:cstheme="minorHAnsi"/>
        </w:rPr>
        <w:t>flux across</w:t>
      </w:r>
      <w:r w:rsidRPr="006B17BE">
        <w:rPr>
          <w:rFonts w:asciiTheme="minorHAnsi" w:hAnsiTheme="minorHAnsi" w:cstheme="minorHAnsi"/>
        </w:rPr>
        <w:t xml:space="preserve"> the aquitard</w:t>
      </w:r>
      <w:r w:rsidR="002234EC">
        <w:rPr>
          <w:rFonts w:asciiTheme="minorHAnsi" w:hAnsiTheme="minorHAnsi" w:cstheme="minorHAnsi"/>
        </w:rPr>
        <w:t>:</w:t>
      </w:r>
    </w:p>
    <w:p w14:paraId="2942767C" w14:textId="6275955B" w:rsidR="00B31F0D" w:rsidRPr="006B17BE" w:rsidRDefault="0001015B" w:rsidP="0001015B">
      <w:pPr>
        <w:pStyle w:val="Body"/>
        <w:tabs>
          <w:tab w:val="center" w:pos="3969"/>
          <w:tab w:val="right" w:pos="8222"/>
        </w:tabs>
      </w:pPr>
      <w:r>
        <w:rPr>
          <w:rFonts w:cstheme="minorHAnsi"/>
          <w:szCs w:val="20"/>
        </w:rPr>
        <w:tab/>
      </w:r>
      <m:oMath>
        <m:sSub>
          <m:sSubPr>
            <m:ctrlPr>
              <w:rPr>
                <w:rFonts w:ascii="Cambria Math" w:hAnsi="Cambria Math" w:cstheme="minorHAnsi"/>
                <w:i/>
                <w:szCs w:val="20"/>
              </w:rPr>
            </m:ctrlPr>
          </m:sSubPr>
          <m:e>
            <m:r>
              <w:rPr>
                <w:rFonts w:ascii="Cambria Math" w:hAnsi="Cambria Math" w:cstheme="minorHAnsi"/>
                <w:szCs w:val="20"/>
              </w:rPr>
              <m:t>Q</m:t>
            </m:r>
          </m:e>
          <m:sub>
            <m:r>
              <w:rPr>
                <w:rFonts w:ascii="Cambria Math" w:hAnsi="Cambria Math" w:cstheme="minorHAnsi"/>
                <w:szCs w:val="20"/>
              </w:rPr>
              <m:t>eff</m:t>
            </m:r>
          </m:sub>
        </m:sSub>
        <m:r>
          <w:rPr>
            <w:rFonts w:ascii="Cambria Math" w:hAnsi="Cambria Math" w:cstheme="minorHAnsi"/>
            <w:szCs w:val="20"/>
          </w:rPr>
          <m:t>=  =</m:t>
        </m:r>
        <m:d>
          <m:dPr>
            <m:ctrlPr>
              <w:rPr>
                <w:rFonts w:ascii="Cambria Math" w:hAnsi="Cambria Math" w:cstheme="minorHAnsi"/>
                <w:i/>
                <w:szCs w:val="20"/>
              </w:rPr>
            </m:ctrlPr>
          </m:dPr>
          <m:e>
            <m:f>
              <m:fPr>
                <m:ctrlPr>
                  <w:rPr>
                    <w:rFonts w:ascii="Cambria Math" w:hAnsi="Cambria Math" w:cstheme="minorHAnsi"/>
                    <w:i/>
                    <w:szCs w:val="20"/>
                  </w:rPr>
                </m:ctrlPr>
              </m:fPr>
              <m:num>
                <m:sSub>
                  <m:sSubPr>
                    <m:ctrlPr>
                      <w:rPr>
                        <w:rFonts w:ascii="Cambria Math" w:hAnsi="Cambria Math" w:cstheme="minorHAnsi"/>
                        <w:i/>
                        <w:szCs w:val="20"/>
                      </w:rPr>
                    </m:ctrlPr>
                  </m:sSubPr>
                  <m:e>
                    <m:r>
                      <w:rPr>
                        <w:rFonts w:ascii="Cambria Math" w:hAnsi="Cambria Math" w:cstheme="minorHAnsi"/>
                        <w:szCs w:val="20"/>
                      </w:rPr>
                      <m:t>Q</m:t>
                    </m:r>
                  </m:e>
                  <m:sub>
                    <m:r>
                      <w:rPr>
                        <w:rFonts w:ascii="Cambria Math" w:hAnsi="Cambria Math" w:cstheme="minorHAnsi"/>
                        <w:szCs w:val="20"/>
                      </w:rPr>
                      <m:t>aq</m:t>
                    </m:r>
                  </m:sub>
                </m:sSub>
                <m:r>
                  <w:rPr>
                    <w:rFonts w:ascii="Cambria Math" w:hAnsi="Cambria Math" w:cstheme="minorHAnsi"/>
                    <w:szCs w:val="20"/>
                  </w:rPr>
                  <m:t>+</m:t>
                </m:r>
                <m:sSub>
                  <m:sSubPr>
                    <m:ctrlPr>
                      <w:rPr>
                        <w:rFonts w:ascii="Cambria Math" w:hAnsi="Cambria Math" w:cstheme="minorHAnsi"/>
                        <w:i/>
                        <w:szCs w:val="20"/>
                      </w:rPr>
                    </m:ctrlPr>
                  </m:sSubPr>
                  <m:e>
                    <m:r>
                      <w:rPr>
                        <w:rFonts w:ascii="Cambria Math" w:hAnsi="Cambria Math" w:cstheme="minorHAnsi"/>
                        <w:szCs w:val="20"/>
                      </w:rPr>
                      <m:t>Q</m:t>
                    </m:r>
                  </m:e>
                  <m:sub>
                    <m:r>
                      <w:rPr>
                        <w:rFonts w:ascii="Cambria Math" w:hAnsi="Cambria Math" w:cstheme="minorHAnsi"/>
                        <w:szCs w:val="20"/>
                      </w:rPr>
                      <m:t>well</m:t>
                    </m:r>
                  </m:sub>
                </m:sSub>
              </m:num>
              <m:den>
                <m:r>
                  <w:rPr>
                    <w:rFonts w:ascii="Cambria Math" w:hAnsi="Cambria Math" w:cstheme="minorHAnsi"/>
                    <w:szCs w:val="20"/>
                  </w:rPr>
                  <m:t>A</m:t>
                </m:r>
              </m:den>
            </m:f>
          </m:e>
        </m:d>
        <m:f>
          <m:fPr>
            <m:ctrlPr>
              <w:rPr>
                <w:rFonts w:ascii="Cambria Math" w:hAnsi="Cambria Math" w:cstheme="minorHAnsi"/>
                <w:i/>
                <w:szCs w:val="20"/>
              </w:rPr>
            </m:ctrlPr>
          </m:fPr>
          <m:num>
            <m:r>
              <w:rPr>
                <w:rFonts w:ascii="Cambria Math" w:hAnsi="Cambria Math" w:cstheme="minorHAnsi"/>
                <w:szCs w:val="20"/>
              </w:rPr>
              <m:t>∂z</m:t>
            </m:r>
          </m:num>
          <m:den>
            <m:r>
              <w:rPr>
                <w:rFonts w:ascii="Cambria Math" w:hAnsi="Cambria Math" w:cstheme="minorHAnsi"/>
                <w:szCs w:val="20"/>
              </w:rPr>
              <m:t>∂h</m:t>
            </m:r>
          </m:den>
        </m:f>
      </m:oMath>
      <w:r>
        <w:rPr>
          <w:rFonts w:cstheme="minorHAnsi"/>
          <w:szCs w:val="20"/>
        </w:rPr>
        <w:tab/>
        <w:t>(1)</w:t>
      </w:r>
    </w:p>
    <w:p w14:paraId="75C82A0B" w14:textId="371D79F8" w:rsidR="00B31F0D" w:rsidRPr="00F60D3A" w:rsidRDefault="00B31F0D" w:rsidP="00B31F0D">
      <w:pPr>
        <w:pStyle w:val="ListParagraph"/>
        <w:rPr>
          <w:rFonts w:asciiTheme="minorHAnsi" w:hAnsiTheme="minorHAnsi"/>
          <w:sz w:val="22"/>
          <w:szCs w:val="22"/>
        </w:rPr>
      </w:pPr>
      <w:r w:rsidRPr="00F60D3A">
        <w:rPr>
          <w:rFonts w:asciiTheme="minorHAnsi" w:hAnsiTheme="minorHAnsi"/>
          <w:sz w:val="22"/>
          <w:szCs w:val="22"/>
        </w:rPr>
        <w:t xml:space="preserve">where </w:t>
      </w:r>
      <w:r w:rsidRPr="00F60D3A">
        <w:rPr>
          <w:rFonts w:asciiTheme="minorHAnsi" w:hAnsiTheme="minorHAnsi"/>
          <w:i/>
          <w:sz w:val="22"/>
          <w:szCs w:val="22"/>
        </w:rPr>
        <w:t>Q</w:t>
      </w:r>
      <w:r w:rsidRPr="00F60D3A">
        <w:rPr>
          <w:rFonts w:asciiTheme="minorHAnsi" w:hAnsiTheme="minorHAnsi"/>
          <w:sz w:val="22"/>
          <w:szCs w:val="22"/>
          <w:vertAlign w:val="subscript"/>
        </w:rPr>
        <w:t>eff</w:t>
      </w:r>
      <w:r w:rsidRPr="00F60D3A">
        <w:rPr>
          <w:rFonts w:asciiTheme="minorHAnsi" w:hAnsiTheme="minorHAnsi"/>
          <w:sz w:val="22"/>
          <w:szCs w:val="22"/>
        </w:rPr>
        <w:t xml:space="preserve"> is the effective flux density (m/d), </w:t>
      </w:r>
      <w:r w:rsidRPr="00F60D3A">
        <w:rPr>
          <w:rFonts w:asciiTheme="minorHAnsi" w:hAnsiTheme="minorHAnsi"/>
          <w:i/>
          <w:sz w:val="22"/>
          <w:szCs w:val="22"/>
        </w:rPr>
        <w:t>Q</w:t>
      </w:r>
      <w:r w:rsidRPr="00F60D3A">
        <w:rPr>
          <w:rFonts w:asciiTheme="minorHAnsi" w:hAnsiTheme="minorHAnsi"/>
          <w:sz w:val="22"/>
          <w:szCs w:val="22"/>
          <w:vertAlign w:val="subscript"/>
        </w:rPr>
        <w:t>aq</w:t>
      </w:r>
      <w:r w:rsidRPr="00F60D3A">
        <w:rPr>
          <w:rFonts w:asciiTheme="minorHAnsi" w:hAnsiTheme="minorHAnsi"/>
          <w:sz w:val="22"/>
          <w:szCs w:val="22"/>
        </w:rPr>
        <w:t xml:space="preserve"> and </w:t>
      </w:r>
      <w:r w:rsidRPr="00F60D3A">
        <w:rPr>
          <w:rFonts w:asciiTheme="minorHAnsi" w:hAnsiTheme="minorHAnsi"/>
          <w:i/>
          <w:sz w:val="22"/>
          <w:szCs w:val="22"/>
        </w:rPr>
        <w:t>Q</w:t>
      </w:r>
      <w:r w:rsidRPr="00F60D3A">
        <w:rPr>
          <w:rFonts w:asciiTheme="minorHAnsi" w:hAnsiTheme="minorHAnsi"/>
          <w:sz w:val="22"/>
          <w:szCs w:val="22"/>
          <w:vertAlign w:val="subscript"/>
        </w:rPr>
        <w:t>well</w:t>
      </w:r>
      <w:r w:rsidRPr="00F60D3A">
        <w:rPr>
          <w:rFonts w:asciiTheme="minorHAnsi" w:hAnsiTheme="minorHAnsi"/>
          <w:sz w:val="22"/>
          <w:szCs w:val="22"/>
        </w:rPr>
        <w:t xml:space="preserve"> are the flow into the aquitard (layer 2) and flow through the wells</w:t>
      </w:r>
      <w:r w:rsidR="002234EC" w:rsidRPr="00F60D3A">
        <w:rPr>
          <w:rFonts w:asciiTheme="minorHAnsi" w:hAnsiTheme="minorHAnsi"/>
          <w:sz w:val="22"/>
          <w:szCs w:val="22"/>
        </w:rPr>
        <w:t>,</w:t>
      </w:r>
      <w:r w:rsidRPr="00F60D3A">
        <w:rPr>
          <w:rFonts w:asciiTheme="minorHAnsi" w:hAnsiTheme="minorHAnsi"/>
          <w:sz w:val="22"/>
          <w:szCs w:val="22"/>
        </w:rPr>
        <w:t xml:space="preserve"> respectively (m</w:t>
      </w:r>
      <w:r w:rsidRPr="00F60D3A">
        <w:rPr>
          <w:rFonts w:asciiTheme="minorHAnsi" w:hAnsiTheme="minorHAnsi"/>
          <w:sz w:val="22"/>
          <w:szCs w:val="22"/>
          <w:vertAlign w:val="superscript"/>
        </w:rPr>
        <w:t>3</w:t>
      </w:r>
      <w:r w:rsidRPr="00F60D3A">
        <w:rPr>
          <w:rFonts w:asciiTheme="minorHAnsi" w:hAnsiTheme="minorHAnsi"/>
          <w:sz w:val="22"/>
          <w:szCs w:val="22"/>
        </w:rPr>
        <w:t xml:space="preserve">/d), </w:t>
      </w:r>
      <w:r w:rsidRPr="00F60D3A">
        <w:rPr>
          <w:rFonts w:asciiTheme="minorHAnsi" w:hAnsiTheme="minorHAnsi"/>
          <w:i/>
          <w:sz w:val="22"/>
          <w:szCs w:val="22"/>
        </w:rPr>
        <w:t>A</w:t>
      </w:r>
      <w:r w:rsidRPr="00F60D3A">
        <w:rPr>
          <w:rFonts w:asciiTheme="minorHAnsi" w:hAnsiTheme="minorHAnsi"/>
          <w:sz w:val="22"/>
          <w:szCs w:val="22"/>
        </w:rPr>
        <w:t xml:space="preserve"> is the </w:t>
      </w:r>
      <w:r w:rsidR="002234EC" w:rsidRPr="00F60D3A">
        <w:rPr>
          <w:rFonts w:asciiTheme="minorHAnsi" w:hAnsiTheme="minorHAnsi"/>
          <w:sz w:val="22"/>
          <w:szCs w:val="22"/>
        </w:rPr>
        <w:t xml:space="preserve">flow </w:t>
      </w:r>
      <w:r w:rsidRPr="00F60D3A">
        <w:rPr>
          <w:rFonts w:asciiTheme="minorHAnsi" w:hAnsiTheme="minorHAnsi"/>
          <w:sz w:val="22"/>
          <w:szCs w:val="22"/>
        </w:rPr>
        <w:t>area (m</w:t>
      </w:r>
      <w:r w:rsidRPr="00F60D3A">
        <w:rPr>
          <w:rFonts w:asciiTheme="minorHAnsi" w:hAnsiTheme="minorHAnsi"/>
          <w:sz w:val="22"/>
          <w:szCs w:val="22"/>
          <w:vertAlign w:val="superscript"/>
        </w:rPr>
        <w:t>2</w:t>
      </w:r>
      <w:r w:rsidRPr="00F60D3A">
        <w:rPr>
          <w:rFonts w:asciiTheme="minorHAnsi" w:hAnsiTheme="minorHAnsi"/>
          <w:sz w:val="22"/>
          <w:szCs w:val="22"/>
        </w:rPr>
        <w:t xml:space="preserve">) e.g. </w:t>
      </w:r>
      <w:r w:rsidR="002234EC" w:rsidRPr="00F60D3A">
        <w:rPr>
          <w:rFonts w:asciiTheme="minorHAnsi" w:hAnsiTheme="minorHAnsi"/>
          <w:sz w:val="22"/>
          <w:szCs w:val="22"/>
        </w:rPr>
        <w:t>(the well field [</w:t>
      </w:r>
      <w:r w:rsidRPr="00F60D3A">
        <w:rPr>
          <w:rFonts w:asciiTheme="minorHAnsi" w:hAnsiTheme="minorHAnsi"/>
          <w:sz w:val="22"/>
          <w:szCs w:val="22"/>
        </w:rPr>
        <w:t>local</w:t>
      </w:r>
      <w:r w:rsidR="002234EC" w:rsidRPr="00F60D3A">
        <w:rPr>
          <w:rFonts w:asciiTheme="minorHAnsi" w:hAnsiTheme="minorHAnsi"/>
          <w:sz w:val="22"/>
          <w:szCs w:val="22"/>
        </w:rPr>
        <w:t xml:space="preserve">] </w:t>
      </w:r>
      <w:r w:rsidRPr="00F60D3A">
        <w:rPr>
          <w:rFonts w:asciiTheme="minorHAnsi" w:hAnsiTheme="minorHAnsi"/>
          <w:sz w:val="22"/>
          <w:szCs w:val="22"/>
        </w:rPr>
        <w:t xml:space="preserve">or </w:t>
      </w:r>
      <w:r w:rsidR="002234EC" w:rsidRPr="00F60D3A">
        <w:rPr>
          <w:rFonts w:asciiTheme="minorHAnsi" w:hAnsiTheme="minorHAnsi"/>
          <w:sz w:val="22"/>
          <w:szCs w:val="22"/>
        </w:rPr>
        <w:t xml:space="preserve">the </w:t>
      </w:r>
      <w:r w:rsidRPr="00F60D3A">
        <w:rPr>
          <w:rFonts w:asciiTheme="minorHAnsi" w:hAnsiTheme="minorHAnsi"/>
          <w:sz w:val="22"/>
          <w:szCs w:val="22"/>
        </w:rPr>
        <w:t>entire model</w:t>
      </w:r>
      <w:r w:rsidR="002234EC" w:rsidRPr="00F60D3A">
        <w:rPr>
          <w:rFonts w:asciiTheme="minorHAnsi" w:hAnsiTheme="minorHAnsi"/>
          <w:sz w:val="22"/>
          <w:szCs w:val="22"/>
        </w:rPr>
        <w:t xml:space="preserve"> domain</w:t>
      </w:r>
      <w:r w:rsidRPr="00F60D3A">
        <w:rPr>
          <w:rFonts w:asciiTheme="minorHAnsi" w:hAnsiTheme="minorHAnsi"/>
          <w:sz w:val="22"/>
          <w:szCs w:val="22"/>
        </w:rPr>
        <w:t>), ∂z is the vertical discretization between layers 1 and 2 (m), and ∂h is the difference in groundwater head between layer 1 and 2 (m).</w:t>
      </w:r>
    </w:p>
    <w:p w14:paraId="0CC1DD2E" w14:textId="3F919A90" w:rsidR="009B3252" w:rsidRDefault="009B3252" w:rsidP="00E31599">
      <w:pPr>
        <w:pStyle w:val="Body"/>
      </w:pPr>
      <w:r w:rsidRPr="006B17BE">
        <w:t>Metric (1) illustrates the impact of the production period and recovery on the groundwater levels at the point of maximum drawdown, and at distances of 10</w:t>
      </w:r>
      <w:r w:rsidR="00F31DC3" w:rsidRPr="006B17BE">
        <w:t xml:space="preserve"> </w:t>
      </w:r>
      <w:r w:rsidRPr="006B17BE">
        <w:t>km to the north, south, east and west of the well field for layers 1,</w:t>
      </w:r>
      <w:r w:rsidR="00F31DC3" w:rsidRPr="006B17BE">
        <w:t xml:space="preserve"> </w:t>
      </w:r>
      <w:r w:rsidRPr="006B17BE">
        <w:t>3, and 5</w:t>
      </w:r>
      <w:r w:rsidR="00D40860" w:rsidRPr="006B17BE">
        <w:t xml:space="preserve"> (for location of points see </w:t>
      </w:r>
      <w:r w:rsidR="00D40860" w:rsidRPr="006B17BE">
        <w:fldChar w:fldCharType="begin"/>
      </w:r>
      <w:r w:rsidR="00D40860" w:rsidRPr="006B17BE">
        <w:instrText xml:space="preserve"> REF _Ref478742626 \h </w:instrText>
      </w:r>
      <w:r w:rsidR="006B17BE">
        <w:instrText xml:space="preserve"> \* MERGEFORMAT </w:instrText>
      </w:r>
      <w:r w:rsidR="00D40860" w:rsidRPr="006B17BE">
        <w:fldChar w:fldCharType="separate"/>
      </w:r>
      <w:r w:rsidR="00086147" w:rsidRPr="006B17BE">
        <w:t xml:space="preserve">Figure </w:t>
      </w:r>
      <w:r w:rsidR="00086147">
        <w:rPr>
          <w:noProof/>
        </w:rPr>
        <w:t>3</w:t>
      </w:r>
      <w:r w:rsidR="00086147">
        <w:rPr>
          <w:noProof/>
        </w:rPr>
        <w:noBreakHyphen/>
        <w:t>8</w:t>
      </w:r>
      <w:r w:rsidR="00D40860" w:rsidRPr="006B17BE">
        <w:fldChar w:fldCharType="end"/>
      </w:r>
      <w:r w:rsidR="00D40860" w:rsidRPr="006B17BE">
        <w:t>)</w:t>
      </w:r>
      <w:r w:rsidRPr="006B17BE">
        <w:t>.</w:t>
      </w:r>
    </w:p>
    <w:p w14:paraId="01587C69" w14:textId="77777777" w:rsidR="007C4FBE" w:rsidRPr="006B17BE" w:rsidRDefault="007C4FBE" w:rsidP="0085057F">
      <w:pPr>
        <w:rPr>
          <w:rFonts w:asciiTheme="minorHAnsi" w:hAnsiTheme="minorHAnsi"/>
          <w:sz w:val="24"/>
          <w:szCs w:val="24"/>
        </w:rPr>
      </w:pPr>
    </w:p>
    <w:p w14:paraId="5EC8BE89" w14:textId="77777777" w:rsidR="00D40860" w:rsidRPr="006B17BE" w:rsidRDefault="00D40860" w:rsidP="00D40860">
      <w:pPr>
        <w:pStyle w:val="Caption"/>
        <w:jc w:val="center"/>
      </w:pPr>
      <w:r w:rsidRPr="006B17BE">
        <w:rPr>
          <w:noProof/>
        </w:rPr>
        <w:drawing>
          <wp:inline distT="0" distB="0" distL="0" distR="0" wp14:anchorId="50A10E66" wp14:editId="7DAEA908">
            <wp:extent cx="2357718" cy="2387520"/>
            <wp:effectExtent l="0" t="0" r="5080" b="0"/>
            <wp:docPr id="118" name="Picture 118" descr="\\usermn\n\noor0021\Pictures\Fig_LeakyWell_hds_loc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usermn\n\noor0021\Pictures\Fig_LeakyWell_hds_locations.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8135" cy="2438574"/>
                    </a:xfrm>
                    <a:prstGeom prst="rect">
                      <a:avLst/>
                    </a:prstGeom>
                    <a:noFill/>
                    <a:ln>
                      <a:noFill/>
                    </a:ln>
                  </pic:spPr>
                </pic:pic>
              </a:graphicData>
            </a:graphic>
          </wp:inline>
        </w:drawing>
      </w:r>
    </w:p>
    <w:p w14:paraId="4934DB40" w14:textId="77777777" w:rsidR="00D40860" w:rsidRPr="006B17BE" w:rsidRDefault="00D40860" w:rsidP="00D40860">
      <w:pPr>
        <w:pStyle w:val="Caption"/>
      </w:pPr>
    </w:p>
    <w:p w14:paraId="564282CE" w14:textId="389BFA5A" w:rsidR="00D40860" w:rsidRPr="006B17BE" w:rsidRDefault="00D40860" w:rsidP="00D40860">
      <w:pPr>
        <w:pStyle w:val="Caption"/>
      </w:pPr>
      <w:bookmarkStart w:id="522" w:name="_Ref478742626"/>
      <w:bookmarkStart w:id="523" w:name="_Toc508267275"/>
      <w:r w:rsidRPr="006B17BE">
        <w:t xml:space="preserve">Figure </w:t>
      </w:r>
      <w:r w:rsidR="00296C49">
        <w:fldChar w:fldCharType="begin"/>
      </w:r>
      <w:r w:rsidR="00296C49">
        <w:instrText xml:space="preserve"> STYLEREF 1 \s </w:instrText>
      </w:r>
      <w:r w:rsidR="00296C49">
        <w:fldChar w:fldCharType="separate"/>
      </w:r>
      <w:r w:rsidR="00086147">
        <w:rPr>
          <w:noProof/>
        </w:rPr>
        <w:t>3</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8</w:t>
      </w:r>
      <w:r w:rsidR="00296C49">
        <w:rPr>
          <w:noProof/>
        </w:rPr>
        <w:fldChar w:fldCharType="end"/>
      </w:r>
      <w:bookmarkEnd w:id="522"/>
      <w:r w:rsidRPr="006B17BE">
        <w:t xml:space="preserve"> Diagram with the locations (yellow dots) at which the groundwater levels (metric 1) are shown in </w:t>
      </w:r>
      <w:r w:rsidRPr="006B17BE">
        <w:fldChar w:fldCharType="begin"/>
      </w:r>
      <w:r w:rsidRPr="006B17BE">
        <w:instrText xml:space="preserve"> REF _Ref477424816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1</w:t>
      </w:r>
      <w:r w:rsidRPr="006B17BE">
        <w:fldChar w:fldCharType="end"/>
      </w:r>
      <w:r w:rsidRPr="006B17BE">
        <w:t xml:space="preserve"> (within the well field), </w:t>
      </w:r>
      <w:r w:rsidRPr="006B17BE">
        <w:fldChar w:fldCharType="begin"/>
      </w:r>
      <w:r w:rsidRPr="006B17BE">
        <w:instrText xml:space="preserve"> REF _Ref477424819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2</w:t>
      </w:r>
      <w:r w:rsidRPr="006B17BE">
        <w:fldChar w:fldCharType="end"/>
      </w:r>
      <w:r w:rsidRPr="006B17BE">
        <w:t xml:space="preserve"> (north and south of the well field), and </w:t>
      </w:r>
      <w:r w:rsidRPr="006B17BE">
        <w:fldChar w:fldCharType="begin"/>
      </w:r>
      <w:r w:rsidRPr="006B17BE">
        <w:instrText xml:space="preserve"> REF _Ref477424821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3</w:t>
      </w:r>
      <w:r w:rsidRPr="006B17BE">
        <w:fldChar w:fldCharType="end"/>
      </w:r>
      <w:r w:rsidRPr="006B17BE">
        <w:t xml:space="preserve"> (east and west of the well field). Wells are shown as white dots.</w:t>
      </w:r>
      <w:bookmarkEnd w:id="523"/>
    </w:p>
    <w:p w14:paraId="22596FB9" w14:textId="77777777" w:rsidR="00684F4E" w:rsidRPr="006B17BE" w:rsidRDefault="00684F4E" w:rsidP="00684F4E">
      <w:pPr>
        <w:pStyle w:val="Body"/>
      </w:pPr>
      <w:r w:rsidRPr="006B17BE">
        <w:t>Metric (2) is concerned with the flux of water through the failed wells between the top aquifer (layer 1) and the underlying production intervals (layers 3 and 5), in comparison with the flux through the bulk of the top aquitard (layer 2). This will identify the impact of leaky wells on the model water balance.</w:t>
      </w:r>
    </w:p>
    <w:p w14:paraId="5C1FC3CD" w14:textId="77777777" w:rsidR="00684F4E" w:rsidRPr="006B17BE" w:rsidRDefault="00684F4E" w:rsidP="00684F4E">
      <w:pPr>
        <w:pStyle w:val="Body"/>
      </w:pPr>
      <w:r w:rsidRPr="006B17BE">
        <w:t>Metric (3) addresses the impact of well failure on the head response in the top aquifer (layer 1) during the recovery phase, relative to the pre-production steady-state heads. This will give an indication of maximum impacts of well failure.</w:t>
      </w:r>
    </w:p>
    <w:p w14:paraId="49A78722" w14:textId="77777777" w:rsidR="00684F4E" w:rsidRPr="006B17BE" w:rsidRDefault="00684F4E" w:rsidP="00684F4E">
      <w:pPr>
        <w:pStyle w:val="Body"/>
      </w:pPr>
      <w:r w:rsidRPr="006B17BE">
        <w:t>Metric (4) investigates the time required for the system (in particular layer 1) to reach a new quasi-equilibrium. This is determined as the time at which the combined flow through the aquitard (layer 2) and failed wells equals 1% of the maximum flux.</w:t>
      </w:r>
    </w:p>
    <w:p w14:paraId="1305C0F9" w14:textId="5A31AD3A" w:rsidR="00D40860" w:rsidRPr="006B17BE" w:rsidRDefault="00684F4E" w:rsidP="00E50573">
      <w:pPr>
        <w:pStyle w:val="Body"/>
        <w:rPr>
          <w:rFonts w:asciiTheme="minorHAnsi" w:hAnsiTheme="minorHAnsi"/>
          <w:sz w:val="24"/>
          <w:szCs w:val="24"/>
        </w:rPr>
      </w:pPr>
      <w:r w:rsidRPr="006B17BE">
        <w:t>Metric (5) determines the impact of well-induced inter-aquifer leakage on the effective flux density (</w:t>
      </w:r>
      <w:r w:rsidRPr="006B17BE">
        <w:rPr>
          <w:i/>
        </w:rPr>
        <w:t>Q</w:t>
      </w:r>
      <w:r w:rsidRPr="006B17BE">
        <w:rPr>
          <w:vertAlign w:val="subscript"/>
        </w:rPr>
        <w:t>eff</w:t>
      </w:r>
      <w:r w:rsidRPr="006B17BE">
        <w:t>) across the top aquitard (layer 2), defined as the total flux divided by the flow area.</w:t>
      </w:r>
    </w:p>
    <w:p w14:paraId="0A8EB0A0" w14:textId="4746D435" w:rsidR="00BC2FAD" w:rsidRPr="006B17BE" w:rsidRDefault="006A4B53">
      <w:pPr>
        <w:pStyle w:val="Heading1"/>
      </w:pPr>
      <w:bookmarkStart w:id="524" w:name="_Toc483567948"/>
      <w:r w:rsidRPr="006B17BE">
        <w:t xml:space="preserve">Regional-scale groundwater </w:t>
      </w:r>
      <w:r w:rsidR="00F21221" w:rsidRPr="006B17BE">
        <w:t xml:space="preserve">impact </w:t>
      </w:r>
      <w:r w:rsidRPr="006B17BE">
        <w:t>modelling</w:t>
      </w:r>
      <w:bookmarkEnd w:id="524"/>
    </w:p>
    <w:p w14:paraId="6B5C73B7" w14:textId="2F3A54E5" w:rsidR="0004685D" w:rsidRPr="006B17BE" w:rsidRDefault="00D40860" w:rsidP="00C65320">
      <w:pPr>
        <w:pStyle w:val="Heading2"/>
      </w:pPr>
      <w:bookmarkStart w:id="525" w:name="_Toc483567949"/>
      <w:r w:rsidRPr="006B17BE">
        <w:t xml:space="preserve">Metric 1: </w:t>
      </w:r>
      <w:r w:rsidR="00172765" w:rsidRPr="006B17BE">
        <w:t>Groundwater level response</w:t>
      </w:r>
      <w:bookmarkEnd w:id="525"/>
    </w:p>
    <w:p w14:paraId="682AEBB7" w14:textId="6AD6B4A1" w:rsidR="001B0231" w:rsidRDefault="00D40860" w:rsidP="00983CF8">
      <w:pPr>
        <w:pStyle w:val="Body"/>
      </w:pPr>
      <w:r w:rsidRPr="006B17BE">
        <w:t>The groundwater level response in layers 1, 3, and 5 have been derived for a series of failure rates ranging from 0 to 1</w:t>
      </w:r>
      <w:r w:rsidR="00137DFF">
        <w:t>00</w:t>
      </w:r>
      <w:r w:rsidRPr="006B17BE">
        <w:t xml:space="preserve"> %. Time series of head variations will be discussed for the five locations shown in </w:t>
      </w:r>
      <w:r w:rsidRPr="006B17BE">
        <w:fldChar w:fldCharType="begin"/>
      </w:r>
      <w:r w:rsidRPr="006B17BE">
        <w:instrText xml:space="preserve"> REF _Ref478742626 \h </w:instrText>
      </w:r>
      <w:r w:rsidR="006B17BE">
        <w:instrText xml:space="preserve"> \* MERGEFORMAT </w:instrText>
      </w:r>
      <w:r w:rsidRPr="006B17BE">
        <w:fldChar w:fldCharType="separate"/>
      </w:r>
      <w:r w:rsidR="00086147" w:rsidRPr="006B17BE">
        <w:t xml:space="preserve">Figure </w:t>
      </w:r>
      <w:r w:rsidR="00086147">
        <w:rPr>
          <w:noProof/>
        </w:rPr>
        <w:t>3</w:t>
      </w:r>
      <w:r w:rsidR="00086147">
        <w:rPr>
          <w:noProof/>
        </w:rPr>
        <w:noBreakHyphen/>
        <w:t>8</w:t>
      </w:r>
      <w:r w:rsidRPr="006B17BE">
        <w:fldChar w:fldCharType="end"/>
      </w:r>
      <w:r w:rsidRPr="006B17BE">
        <w:t xml:space="preserve">. </w:t>
      </w:r>
      <w:r w:rsidR="00EC11D7" w:rsidRPr="006B17BE">
        <w:t xml:space="preserve">The maximum drawdowns induced by the production period, in model layers 3 and 5, are </w:t>
      </w:r>
      <w:r w:rsidR="00044580" w:rsidRPr="006B17BE">
        <w:t xml:space="preserve">approximately </w:t>
      </w:r>
      <w:r w:rsidR="00DC6B01" w:rsidRPr="006B17BE">
        <w:t xml:space="preserve">60 </w:t>
      </w:r>
      <w:r w:rsidR="00DC6B01">
        <w:t xml:space="preserve">and </w:t>
      </w:r>
      <w:r w:rsidR="00EC11D7" w:rsidRPr="006B17BE">
        <w:t>500 m</w:t>
      </w:r>
      <w:r w:rsidR="00044580" w:rsidRPr="006B17BE">
        <w:t>,</w:t>
      </w:r>
      <w:r w:rsidR="00EC11D7" w:rsidRPr="006B17BE">
        <w:t xml:space="preserve"> respectively</w:t>
      </w:r>
      <w:r w:rsidR="00044580" w:rsidRPr="006B17BE">
        <w:t>,</w:t>
      </w:r>
      <w:r w:rsidR="00EC11D7" w:rsidRPr="006B17BE">
        <w:t xml:space="preserve"> which occurs during the production period (</w:t>
      </w:r>
      <w:r w:rsidR="00EC11D7" w:rsidRPr="006B17BE">
        <w:fldChar w:fldCharType="begin"/>
      </w:r>
      <w:r w:rsidR="00EC11D7" w:rsidRPr="006B17BE">
        <w:instrText xml:space="preserve"> REF _Ref477424816 \h </w:instrText>
      </w:r>
      <w:r w:rsidR="006B17BE">
        <w:instrText xml:space="preserve"> \* MERGEFORMAT </w:instrText>
      </w:r>
      <w:r w:rsidR="00EC11D7" w:rsidRPr="006B17BE">
        <w:fldChar w:fldCharType="separate"/>
      </w:r>
      <w:r w:rsidR="00086147" w:rsidRPr="006B17BE">
        <w:t xml:space="preserve">Figure </w:t>
      </w:r>
      <w:r w:rsidR="00086147">
        <w:rPr>
          <w:noProof/>
        </w:rPr>
        <w:t>4</w:t>
      </w:r>
      <w:r w:rsidR="00086147">
        <w:rPr>
          <w:noProof/>
        </w:rPr>
        <w:noBreakHyphen/>
        <w:t>1</w:t>
      </w:r>
      <w:r w:rsidR="00EC11D7" w:rsidRPr="006B17BE">
        <w:fldChar w:fldCharType="end"/>
      </w:r>
      <w:r w:rsidR="00EC11D7" w:rsidRPr="006B17BE">
        <w:t xml:space="preserve">). </w:t>
      </w:r>
      <w:r w:rsidR="00DC6B01">
        <w:t xml:space="preserve">The simulated drawdown in layer 5 is higher than required for optimizing desorption of gas whilst maintaining sufficient well head pressure for surface operations. This overestimation can be attributed to the use of a single layer aquitard (Frind, 1979). </w:t>
      </w:r>
      <w:r w:rsidR="00EC11D7" w:rsidRPr="006B17BE">
        <w:t xml:space="preserve">The maximum drawdown in layer 1 is </w:t>
      </w:r>
      <w:r w:rsidR="00137DFF">
        <w:t>7</w:t>
      </w:r>
      <w:r w:rsidR="00EC11D7" w:rsidRPr="006B17BE">
        <w:t>.5 m and occurs, approx</w:t>
      </w:r>
      <w:r w:rsidR="006E233A" w:rsidRPr="006B17BE">
        <w:t>imately</w:t>
      </w:r>
      <w:r w:rsidR="00EC11D7" w:rsidRPr="006B17BE">
        <w:t xml:space="preserve"> 75 years after the production ceases. The lagged response in layer 1 is a result of the delay in vertical pressure propagation of the depressurisation in layer 3 and 5 from the production period. The groundwater level response is unaffected by the number of well failures, replenishment of the underlying layers is controlled by leakage through the aquitards.</w:t>
      </w:r>
    </w:p>
    <w:p w14:paraId="3A0CEE5E" w14:textId="55603B50" w:rsidR="003D296D" w:rsidRPr="003D296D" w:rsidRDefault="00D3621B" w:rsidP="003D296D">
      <w:pPr>
        <w:pStyle w:val="Body"/>
      </w:pPr>
      <w:r>
        <w:t xml:space="preserve">The more complex model used by CDM Smith (2016) (the upper aquitard sequence had 6 numerical layers while the lower aquitard sequence had 7 numerical layers) simulated maximum drawdown in the Pilliga Sandstone, Later Permian and early Permian of &lt; 0.5 m, 10 m, and 100 m, respectively. </w:t>
      </w:r>
      <w:r w:rsidR="003D296D" w:rsidRPr="003D296D">
        <w:t>CDM Smith (</w:t>
      </w:r>
      <w:r w:rsidR="003D296D">
        <w:t>2014</w:t>
      </w:r>
      <w:r w:rsidR="003D296D" w:rsidRPr="003D296D">
        <w:t>) explained the effect of discretisation on drawdown as follows. The sudden decrease of</w:t>
      </w:r>
      <w:r w:rsidR="003D296D">
        <w:t xml:space="preserve"> </w:t>
      </w:r>
      <w:r w:rsidR="003D296D" w:rsidRPr="003D296D">
        <w:t>hydraulic heads in the CSG reservoir due to water extraction leads to non</w:t>
      </w:r>
      <w:r w:rsidR="003D296D">
        <w:t>-</w:t>
      </w:r>
      <w:r w:rsidR="003D296D" w:rsidRPr="003D296D">
        <w:t>linear hydraulic gradients in aquitards adjacent to</w:t>
      </w:r>
      <w:r w:rsidR="003D296D">
        <w:t xml:space="preserve"> </w:t>
      </w:r>
      <w:r w:rsidR="003D296D" w:rsidRPr="003D296D">
        <w:t>the CSG reservoir, particularly near the interfaces of both units. Therefore, the representation of non</w:t>
      </w:r>
      <w:r w:rsidR="003D296D">
        <w:t>-</w:t>
      </w:r>
      <w:r w:rsidR="003D296D" w:rsidRPr="003D296D">
        <w:t>linear aquitard</w:t>
      </w:r>
      <w:r w:rsidR="003D296D">
        <w:t xml:space="preserve"> </w:t>
      </w:r>
      <w:r w:rsidR="003D296D" w:rsidRPr="003D296D">
        <w:t>gradients in groundwater flow models and the associated releases of water from aquitards requires appropriate vertical</w:t>
      </w:r>
      <w:r w:rsidR="003D296D">
        <w:t xml:space="preserve"> </w:t>
      </w:r>
      <w:r w:rsidR="003D296D" w:rsidRPr="003D296D">
        <w:t>discretisation. The use of a single model layer per aquitard unit would impl</w:t>
      </w:r>
      <w:r w:rsidR="003D296D">
        <w:t>y</w:t>
      </w:r>
      <w:r w:rsidR="003D296D" w:rsidRPr="003D296D">
        <w:t xml:space="preserve"> a linear hydraulic</w:t>
      </w:r>
      <w:r w:rsidR="003D296D">
        <w:t xml:space="preserve"> </w:t>
      </w:r>
      <w:r w:rsidR="003D296D" w:rsidRPr="003D296D">
        <w:t>gradient across the aquitard and a near‐instantaneous release of water from storage throughout the entire thickness of</w:t>
      </w:r>
      <w:r w:rsidR="003D296D">
        <w:t xml:space="preserve"> </w:t>
      </w:r>
      <w:r w:rsidR="003D296D" w:rsidRPr="003D296D">
        <w:t>the aquitard in response to water extraction.</w:t>
      </w:r>
      <w:r w:rsidR="003D296D">
        <w:t xml:space="preserve"> However, because the main interest is to obtain an estimate of the change in drawdown or flux relative to a base case, the overestimation will likely be cancelled out when the change is calculated.</w:t>
      </w:r>
    </w:p>
    <w:p w14:paraId="2A60B81B" w14:textId="3E5C7D48" w:rsidR="00EC11D7" w:rsidRPr="006B17BE" w:rsidRDefault="00EC11D7" w:rsidP="00983CF8">
      <w:pPr>
        <w:pStyle w:val="Body"/>
      </w:pPr>
      <w:r w:rsidRPr="006B17BE">
        <w:t xml:space="preserve">The recovery period is markedly different in the three layers; layer 5 exhibits the fastest (relative to layer 1 and 3) recovery of </w:t>
      </w:r>
      <w:r w:rsidR="003F7967" w:rsidRPr="006B17BE">
        <w:t>ground</w:t>
      </w:r>
      <w:r w:rsidRPr="006B17BE">
        <w:t xml:space="preserve">water </w:t>
      </w:r>
      <w:r w:rsidR="003F7967" w:rsidRPr="006B17BE">
        <w:t>heads</w:t>
      </w:r>
      <w:r w:rsidRPr="006B17BE">
        <w:t xml:space="preserve"> to pre-production levels of approx</w:t>
      </w:r>
      <w:r w:rsidR="003F7967" w:rsidRPr="006B17BE">
        <w:t>imately</w:t>
      </w:r>
      <w:r w:rsidRPr="006B17BE">
        <w:t xml:space="preserve"> 400 years. </w:t>
      </w:r>
      <w:r w:rsidR="003F7967" w:rsidRPr="006B17BE">
        <w:t xml:space="preserve">The reason for the faster recovery in layer 5 can be attributed to </w:t>
      </w:r>
      <w:r w:rsidR="00595AA1" w:rsidRPr="006B17BE">
        <w:t xml:space="preserve">the much larger depressurisation of layer 5 generating a larger gradient with the overlying aquitard; this will generate a larger flux compared to layer 1 and 3 where the vertical gradients will be much smaller. </w:t>
      </w:r>
      <w:r w:rsidRPr="006B17BE">
        <w:t>Groundwater levels in layer 3 reach pre-production levels approx</w:t>
      </w:r>
      <w:r w:rsidR="003F7967" w:rsidRPr="006B17BE">
        <w:t xml:space="preserve">imately </w:t>
      </w:r>
      <w:r w:rsidRPr="006B17BE">
        <w:t>1</w:t>
      </w:r>
      <w:r w:rsidR="003F7967" w:rsidRPr="006B17BE">
        <w:t>,</w:t>
      </w:r>
      <w:r w:rsidRPr="006B17BE">
        <w:t>500 years post production, and layer 1 is still less than the pre-production levels 2</w:t>
      </w:r>
      <w:r w:rsidR="003F7967" w:rsidRPr="006B17BE">
        <w:t>,</w:t>
      </w:r>
      <w:r w:rsidRPr="006B17BE">
        <w:t xml:space="preserve">500 years (modelled time period) post production. This model does not include recharge, therefore the time to groundwater level recovery may differ where this </w:t>
      </w:r>
      <w:r w:rsidR="003F7967" w:rsidRPr="006B17BE">
        <w:t>process is important (e.g. in the Pilliga Sandstone aquifer). This assumption is conservative, as it overestimates the impact.</w:t>
      </w:r>
    </w:p>
    <w:p w14:paraId="5B83BA6D" w14:textId="74F6F7BC" w:rsidR="00EC11D7" w:rsidRPr="006B17BE" w:rsidRDefault="00EC11D7" w:rsidP="00983CF8">
      <w:pPr>
        <w:pStyle w:val="Body"/>
      </w:pPr>
      <w:r w:rsidRPr="006B17BE">
        <w:t xml:space="preserve">The lateral propagation of drawdown at multiple points is shown in </w:t>
      </w:r>
      <w:r w:rsidRPr="006B17BE">
        <w:fldChar w:fldCharType="begin"/>
      </w:r>
      <w:r w:rsidRPr="006B17BE">
        <w:instrText xml:space="preserve"> REF _Ref477424819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2</w:t>
      </w:r>
      <w:r w:rsidRPr="006B17BE">
        <w:fldChar w:fldCharType="end"/>
      </w:r>
      <w:r w:rsidRPr="006B17BE">
        <w:t xml:space="preserve"> and </w:t>
      </w:r>
      <w:r w:rsidRPr="006B17BE">
        <w:fldChar w:fldCharType="begin"/>
      </w:r>
      <w:r w:rsidRPr="006B17BE">
        <w:instrText xml:space="preserve"> REF _Ref477424821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3</w:t>
      </w:r>
      <w:r w:rsidRPr="006B17BE">
        <w:fldChar w:fldCharType="end"/>
      </w:r>
      <w:r w:rsidRPr="006B17BE">
        <w:t xml:space="preserve"> (see </w:t>
      </w:r>
      <w:r w:rsidR="003F7967" w:rsidRPr="006B17BE">
        <w:fldChar w:fldCharType="begin"/>
      </w:r>
      <w:r w:rsidR="003F7967" w:rsidRPr="006B17BE">
        <w:instrText xml:space="preserve"> REF _Ref478742626 \h </w:instrText>
      </w:r>
      <w:r w:rsidR="006B17BE">
        <w:instrText xml:space="preserve"> \* MERGEFORMAT </w:instrText>
      </w:r>
      <w:r w:rsidR="003F7967" w:rsidRPr="006B17BE">
        <w:fldChar w:fldCharType="separate"/>
      </w:r>
      <w:r w:rsidR="00086147" w:rsidRPr="006B17BE">
        <w:t xml:space="preserve">Figure </w:t>
      </w:r>
      <w:r w:rsidR="00086147">
        <w:rPr>
          <w:noProof/>
        </w:rPr>
        <w:t>3</w:t>
      </w:r>
      <w:r w:rsidR="00086147">
        <w:rPr>
          <w:noProof/>
        </w:rPr>
        <w:noBreakHyphen/>
        <w:t>8</w:t>
      </w:r>
      <w:r w:rsidR="003F7967" w:rsidRPr="006B17BE">
        <w:fldChar w:fldCharType="end"/>
      </w:r>
      <w:r w:rsidR="003F7967" w:rsidRPr="006B17BE">
        <w:t xml:space="preserve"> </w:t>
      </w:r>
      <w:r w:rsidRPr="006B17BE">
        <w:t>for point locations</w:t>
      </w:r>
      <w:r w:rsidR="003F7967" w:rsidRPr="006B17BE">
        <w:t xml:space="preserve"> at 10 km</w:t>
      </w:r>
      <w:r w:rsidRPr="006B17BE">
        <w:t xml:space="preserve">). </w:t>
      </w:r>
      <w:r w:rsidR="004B0061" w:rsidRPr="006B17BE">
        <w:t xml:space="preserve">The maximum drawdown for all locations ranges between 2-4 m, which is reached approx. 100 years after pumping has ceased. See section </w:t>
      </w:r>
      <w:r w:rsidR="004B0061" w:rsidRPr="006B17BE">
        <w:fldChar w:fldCharType="begin"/>
      </w:r>
      <w:r w:rsidR="004B0061" w:rsidRPr="006B17BE">
        <w:instrText xml:space="preserve"> REF _Ref477437039 \n \h </w:instrText>
      </w:r>
      <w:r w:rsidR="006B17BE">
        <w:instrText xml:space="preserve"> \* MERGEFORMAT </w:instrText>
      </w:r>
      <w:r w:rsidR="004B0061" w:rsidRPr="006B17BE">
        <w:fldChar w:fldCharType="separate"/>
      </w:r>
      <w:r w:rsidR="00086147">
        <w:t>4.3</w:t>
      </w:r>
      <w:r w:rsidR="004B0061" w:rsidRPr="006B17BE">
        <w:fldChar w:fldCharType="end"/>
      </w:r>
      <w:r w:rsidR="004B0061" w:rsidRPr="006B17BE">
        <w:t xml:space="preserve"> for further discussion. For all locations, groundwater levels (in all layers) take almost 2</w:t>
      </w:r>
      <w:r w:rsidR="003F7967" w:rsidRPr="006B17BE">
        <w:t>,</w:t>
      </w:r>
      <w:r w:rsidR="004B0061" w:rsidRPr="006B17BE">
        <w:t>500 years to fully recover to pre-production levels.</w:t>
      </w:r>
    </w:p>
    <w:p w14:paraId="76A27F13" w14:textId="0626068C" w:rsidR="0004685D" w:rsidRPr="006B17BE" w:rsidRDefault="009B3252" w:rsidP="00003BF5">
      <w:pPr>
        <w:pStyle w:val="BodyText"/>
        <w:jc w:val="center"/>
      </w:pPr>
      <w:r w:rsidRPr="006B17BE">
        <w:rPr>
          <w:noProof/>
        </w:rPr>
        <w:drawing>
          <wp:inline distT="0" distB="0" distL="0" distR="0" wp14:anchorId="07EB04C4" wp14:editId="7C6A2CDA">
            <wp:extent cx="5443396" cy="6532075"/>
            <wp:effectExtent l="0" t="0" r="5080" b="2540"/>
            <wp:docPr id="107" name="Picture 107" descr="D:\workspace\noor0021\CSG\leaky_well\Gunnedah_model\tr\tr_cln_rand_largemodel\variable_corr_length_again!\leaky_well_corr_length_10_km\Fig_GWlevel_loc_max_d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workspace\noor0021\CSG\leaky_well\Gunnedah_model\tr\tr_cln_rand_largemodel\variable_corr_length_again!\leaky_well_corr_length_10_km\Fig_GWlevel_loc_max_ddn.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55629" cy="6546755"/>
                    </a:xfrm>
                    <a:prstGeom prst="rect">
                      <a:avLst/>
                    </a:prstGeom>
                    <a:noFill/>
                    <a:ln>
                      <a:noFill/>
                    </a:ln>
                  </pic:spPr>
                </pic:pic>
              </a:graphicData>
            </a:graphic>
          </wp:inline>
        </w:drawing>
      </w:r>
    </w:p>
    <w:p w14:paraId="35CAA3CE" w14:textId="20F97AC1" w:rsidR="009B3252" w:rsidRPr="006B17BE" w:rsidRDefault="00172765" w:rsidP="00172765">
      <w:pPr>
        <w:pStyle w:val="Caption"/>
        <w:rPr>
          <w:rFonts w:asciiTheme="minorHAnsi" w:hAnsiTheme="minorHAnsi" w:cstheme="minorHAnsi"/>
          <w:szCs w:val="20"/>
        </w:rPr>
      </w:pPr>
      <w:bookmarkStart w:id="526" w:name="_Ref477424816"/>
      <w:bookmarkStart w:id="527" w:name="_Toc508267276"/>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w:t>
      </w:r>
      <w:r w:rsidR="00296C49">
        <w:rPr>
          <w:noProof/>
        </w:rPr>
        <w:fldChar w:fldCharType="end"/>
      </w:r>
      <w:bookmarkEnd w:id="526"/>
      <w:r w:rsidRPr="006B17BE">
        <w:t xml:space="preserve"> </w:t>
      </w:r>
      <w:r w:rsidR="009B3252" w:rsidRPr="006B17BE">
        <w:rPr>
          <w:rFonts w:asciiTheme="minorHAnsi" w:hAnsiTheme="minorHAnsi" w:cstheme="minorHAnsi"/>
          <w:szCs w:val="20"/>
        </w:rPr>
        <w:t xml:space="preserve">Time series (production to recovery) of groundwater levels at the point of maximum drawdown in the well field </w:t>
      </w:r>
      <w:r w:rsidR="00003BF5" w:rsidRPr="006B17BE">
        <w:rPr>
          <w:rFonts w:asciiTheme="minorHAnsi" w:hAnsiTheme="minorHAnsi" w:cstheme="minorHAnsi"/>
          <w:szCs w:val="20"/>
        </w:rPr>
        <w:t>for</w:t>
      </w:r>
      <w:r w:rsidR="009B3252" w:rsidRPr="006B17BE">
        <w:rPr>
          <w:rFonts w:asciiTheme="minorHAnsi" w:hAnsiTheme="minorHAnsi" w:cstheme="minorHAnsi"/>
          <w:szCs w:val="20"/>
        </w:rPr>
        <w:t xml:space="preserve"> different well failure </w:t>
      </w:r>
      <w:r w:rsidR="00003BF5" w:rsidRPr="006B17BE">
        <w:rPr>
          <w:rFonts w:asciiTheme="minorHAnsi" w:hAnsiTheme="minorHAnsi" w:cstheme="minorHAnsi"/>
          <w:szCs w:val="20"/>
        </w:rPr>
        <w:t>rates</w:t>
      </w:r>
      <w:r w:rsidR="009B3252" w:rsidRPr="006B17BE">
        <w:rPr>
          <w:rFonts w:asciiTheme="minorHAnsi" w:hAnsiTheme="minorHAnsi" w:cstheme="minorHAnsi"/>
          <w:szCs w:val="20"/>
        </w:rPr>
        <w:t xml:space="preserve"> in (a) </w:t>
      </w:r>
      <w:r w:rsidR="0009623F" w:rsidRPr="006B17BE">
        <w:rPr>
          <w:rFonts w:asciiTheme="minorHAnsi" w:hAnsiTheme="minorHAnsi" w:cstheme="minorHAnsi"/>
          <w:szCs w:val="20"/>
        </w:rPr>
        <w:t>Pilliga</w:t>
      </w:r>
      <w:r w:rsidR="009B3252" w:rsidRPr="006B17BE">
        <w:rPr>
          <w:rFonts w:asciiTheme="minorHAnsi" w:hAnsiTheme="minorHAnsi" w:cstheme="minorHAnsi"/>
          <w:szCs w:val="20"/>
        </w:rPr>
        <w:t xml:space="preserve"> </w:t>
      </w:r>
      <w:r w:rsidR="00595AA1" w:rsidRPr="006B17BE">
        <w:rPr>
          <w:rFonts w:asciiTheme="minorHAnsi" w:hAnsiTheme="minorHAnsi" w:cstheme="minorHAnsi"/>
          <w:szCs w:val="20"/>
        </w:rPr>
        <w:t xml:space="preserve">Sandstone </w:t>
      </w:r>
      <w:r w:rsidR="009B3252" w:rsidRPr="006B17BE">
        <w:rPr>
          <w:rFonts w:asciiTheme="minorHAnsi" w:hAnsiTheme="minorHAnsi" w:cstheme="minorHAnsi"/>
          <w:szCs w:val="20"/>
        </w:rPr>
        <w:t>Aquifer (layer 1), (b) Late Permian coal seam (layer 3), and (c) Early Permian coal sea</w:t>
      </w:r>
      <w:r w:rsidR="00551047">
        <w:rPr>
          <w:rFonts w:asciiTheme="minorHAnsi" w:hAnsiTheme="minorHAnsi" w:cstheme="minorHAnsi"/>
          <w:szCs w:val="20"/>
        </w:rPr>
        <w:t>m</w:t>
      </w:r>
      <w:r w:rsidR="009B3252" w:rsidRPr="006B17BE">
        <w:rPr>
          <w:rFonts w:asciiTheme="minorHAnsi" w:hAnsiTheme="minorHAnsi" w:cstheme="minorHAnsi"/>
          <w:szCs w:val="20"/>
        </w:rPr>
        <w:t xml:space="preserve"> (layer 5). All simulations generate </w:t>
      </w:r>
      <w:r w:rsidR="00003BF5" w:rsidRPr="006B17BE">
        <w:rPr>
          <w:rFonts w:asciiTheme="minorHAnsi" w:hAnsiTheme="minorHAnsi" w:cstheme="minorHAnsi"/>
          <w:szCs w:val="20"/>
        </w:rPr>
        <w:t>identical</w:t>
      </w:r>
      <w:r w:rsidR="009B3252" w:rsidRPr="006B17BE">
        <w:rPr>
          <w:rFonts w:asciiTheme="minorHAnsi" w:hAnsiTheme="minorHAnsi" w:cstheme="minorHAnsi"/>
          <w:szCs w:val="20"/>
        </w:rPr>
        <w:t xml:space="preserve"> groundwater levels and therefore plot on top of each other. The </w:t>
      </w:r>
      <w:r w:rsidR="00003BF5" w:rsidRPr="006B17BE">
        <w:rPr>
          <w:rFonts w:asciiTheme="minorHAnsi" w:hAnsiTheme="minorHAnsi" w:cstheme="minorHAnsi"/>
          <w:szCs w:val="20"/>
        </w:rPr>
        <w:t>blue</w:t>
      </w:r>
      <w:r w:rsidR="009B3252" w:rsidRPr="006B17BE">
        <w:rPr>
          <w:rFonts w:asciiTheme="minorHAnsi" w:hAnsiTheme="minorHAnsi" w:cstheme="minorHAnsi"/>
          <w:szCs w:val="20"/>
        </w:rPr>
        <w:t xml:space="preserve"> bar indicates the </w:t>
      </w:r>
      <w:r w:rsidR="009E554A" w:rsidRPr="006B17BE">
        <w:rPr>
          <w:rFonts w:asciiTheme="minorHAnsi" w:hAnsiTheme="minorHAnsi" w:cstheme="minorHAnsi"/>
          <w:szCs w:val="20"/>
        </w:rPr>
        <w:t>coal seam gas</w:t>
      </w:r>
      <w:r w:rsidR="009B3252" w:rsidRPr="006B17BE">
        <w:rPr>
          <w:rFonts w:asciiTheme="minorHAnsi" w:hAnsiTheme="minorHAnsi" w:cstheme="minorHAnsi"/>
          <w:szCs w:val="20"/>
        </w:rPr>
        <w:t xml:space="preserve"> (and water) production period (25 y</w:t>
      </w:r>
      <w:r w:rsidR="00595AA1" w:rsidRPr="006B17BE">
        <w:rPr>
          <w:rFonts w:asciiTheme="minorHAnsi" w:hAnsiTheme="minorHAnsi" w:cstheme="minorHAnsi"/>
          <w:szCs w:val="20"/>
        </w:rPr>
        <w:t>ea</w:t>
      </w:r>
      <w:r w:rsidR="009B3252" w:rsidRPr="006B17BE">
        <w:rPr>
          <w:rFonts w:asciiTheme="minorHAnsi" w:hAnsiTheme="minorHAnsi" w:cstheme="minorHAnsi"/>
          <w:szCs w:val="20"/>
        </w:rPr>
        <w:t>rs).</w:t>
      </w:r>
      <w:r w:rsidR="009B2B68" w:rsidRPr="006B17BE">
        <w:rPr>
          <w:rFonts w:asciiTheme="minorHAnsi" w:hAnsiTheme="minorHAnsi" w:cstheme="minorHAnsi"/>
          <w:szCs w:val="20"/>
        </w:rPr>
        <w:t xml:space="preserve"> The dotted line represents the pre-production groundwater level (m AHD).</w:t>
      </w:r>
      <w:bookmarkEnd w:id="527"/>
    </w:p>
    <w:p w14:paraId="1EF62AFC" w14:textId="77777777" w:rsidR="00003BF5" w:rsidRPr="006B17BE" w:rsidRDefault="00003BF5" w:rsidP="00003BF5">
      <w:pPr>
        <w:pStyle w:val="BodyText"/>
      </w:pPr>
    </w:p>
    <w:p w14:paraId="5D2CAC20" w14:textId="2A4B10B7" w:rsidR="009B3252" w:rsidRPr="006B17BE" w:rsidRDefault="00595AA1" w:rsidP="00003BF5">
      <w:pPr>
        <w:pStyle w:val="BodyText"/>
        <w:jc w:val="center"/>
      </w:pPr>
      <w:r w:rsidRPr="006B17BE">
        <w:rPr>
          <w:noProof/>
        </w:rPr>
        <w:drawing>
          <wp:inline distT="0" distB="0" distL="0" distR="0" wp14:anchorId="1CCD052A" wp14:editId="020EA440">
            <wp:extent cx="5585324" cy="6702388"/>
            <wp:effectExtent l="0" t="0" r="0" b="381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ig_18_GWlevel_10km_NS.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00890" cy="6721068"/>
                    </a:xfrm>
                    <a:prstGeom prst="rect">
                      <a:avLst/>
                    </a:prstGeom>
                  </pic:spPr>
                </pic:pic>
              </a:graphicData>
            </a:graphic>
          </wp:inline>
        </w:drawing>
      </w:r>
    </w:p>
    <w:p w14:paraId="60C5F8F8" w14:textId="52685092" w:rsidR="003E2ED7" w:rsidRPr="006B17BE" w:rsidRDefault="00172765" w:rsidP="00172765">
      <w:pPr>
        <w:pStyle w:val="Caption"/>
        <w:rPr>
          <w:rFonts w:asciiTheme="minorHAnsi" w:hAnsiTheme="minorHAnsi" w:cstheme="minorHAnsi"/>
          <w:szCs w:val="20"/>
        </w:rPr>
      </w:pPr>
      <w:bookmarkStart w:id="528" w:name="_Ref477424819"/>
      <w:bookmarkStart w:id="529" w:name="_Toc508267277"/>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2</w:t>
      </w:r>
      <w:r w:rsidR="00296C49">
        <w:rPr>
          <w:noProof/>
        </w:rPr>
        <w:fldChar w:fldCharType="end"/>
      </w:r>
      <w:bookmarkEnd w:id="528"/>
      <w:r w:rsidRPr="006B17BE">
        <w:t xml:space="preserve"> </w:t>
      </w:r>
      <w:r w:rsidR="003E2ED7" w:rsidRPr="006B17BE">
        <w:rPr>
          <w:rFonts w:asciiTheme="minorHAnsi" w:hAnsiTheme="minorHAnsi" w:cstheme="minorHAnsi"/>
          <w:szCs w:val="20"/>
        </w:rPr>
        <w:t xml:space="preserve">Time series (production to recovery) of groundwater levels at a distance of 10 km to the north (solid line) and south (dashed line) of the well field for the different well failure </w:t>
      </w:r>
      <w:r w:rsidR="00003BF5" w:rsidRPr="006B17BE">
        <w:rPr>
          <w:rFonts w:asciiTheme="minorHAnsi" w:hAnsiTheme="minorHAnsi" w:cstheme="minorHAnsi"/>
          <w:szCs w:val="20"/>
        </w:rPr>
        <w:t>rates</w:t>
      </w:r>
      <w:r w:rsidR="003E2ED7" w:rsidRPr="006B17BE">
        <w:rPr>
          <w:rFonts w:asciiTheme="minorHAnsi" w:hAnsiTheme="minorHAnsi" w:cstheme="minorHAnsi"/>
          <w:szCs w:val="20"/>
        </w:rPr>
        <w:t xml:space="preserve"> in (a) </w:t>
      </w:r>
      <w:r w:rsidR="0009623F" w:rsidRPr="006B17BE">
        <w:rPr>
          <w:rFonts w:asciiTheme="minorHAnsi" w:hAnsiTheme="minorHAnsi" w:cstheme="minorHAnsi"/>
          <w:szCs w:val="20"/>
        </w:rPr>
        <w:t>Pilliga</w:t>
      </w:r>
      <w:r w:rsidR="003E2ED7" w:rsidRPr="006B17BE">
        <w:rPr>
          <w:rFonts w:asciiTheme="minorHAnsi" w:hAnsiTheme="minorHAnsi" w:cstheme="minorHAnsi"/>
          <w:szCs w:val="20"/>
        </w:rPr>
        <w:t xml:space="preserve"> </w:t>
      </w:r>
      <w:r w:rsidR="00595AA1" w:rsidRPr="006B17BE">
        <w:rPr>
          <w:rFonts w:asciiTheme="minorHAnsi" w:hAnsiTheme="minorHAnsi" w:cstheme="minorHAnsi"/>
          <w:szCs w:val="20"/>
        </w:rPr>
        <w:t xml:space="preserve">Sandstone </w:t>
      </w:r>
      <w:r w:rsidR="003E2ED7" w:rsidRPr="006B17BE">
        <w:rPr>
          <w:rFonts w:asciiTheme="minorHAnsi" w:hAnsiTheme="minorHAnsi" w:cstheme="minorHAnsi"/>
          <w:szCs w:val="20"/>
        </w:rPr>
        <w:t>Aquifer (layer 1), (b) Late Permian coal seam (layer 3), and (c) Early Permian coal sea</w:t>
      </w:r>
      <w:r w:rsidR="005A1BB7">
        <w:rPr>
          <w:rFonts w:asciiTheme="minorHAnsi" w:hAnsiTheme="minorHAnsi" w:cstheme="minorHAnsi"/>
          <w:szCs w:val="20"/>
        </w:rPr>
        <w:t>m</w:t>
      </w:r>
      <w:r w:rsidR="003E2ED7" w:rsidRPr="006B17BE">
        <w:rPr>
          <w:rFonts w:asciiTheme="minorHAnsi" w:hAnsiTheme="minorHAnsi" w:cstheme="minorHAnsi"/>
          <w:szCs w:val="20"/>
        </w:rPr>
        <w:t xml:space="preserve"> (layer 5). All simulations generate </w:t>
      </w:r>
      <w:r w:rsidR="00B57C0A" w:rsidRPr="006B17BE">
        <w:rPr>
          <w:rFonts w:asciiTheme="minorHAnsi" w:hAnsiTheme="minorHAnsi" w:cstheme="minorHAnsi"/>
          <w:szCs w:val="20"/>
        </w:rPr>
        <w:t xml:space="preserve">identical </w:t>
      </w:r>
      <w:r w:rsidR="003E2ED7" w:rsidRPr="006B17BE">
        <w:rPr>
          <w:rFonts w:asciiTheme="minorHAnsi" w:hAnsiTheme="minorHAnsi" w:cstheme="minorHAnsi"/>
          <w:szCs w:val="20"/>
        </w:rPr>
        <w:t xml:space="preserve">groundwater levels and therefore plot on top of each other. The </w:t>
      </w:r>
      <w:r w:rsidR="00003BF5" w:rsidRPr="006B17BE">
        <w:rPr>
          <w:rFonts w:asciiTheme="minorHAnsi" w:hAnsiTheme="minorHAnsi" w:cstheme="minorHAnsi"/>
          <w:szCs w:val="20"/>
        </w:rPr>
        <w:t>blue</w:t>
      </w:r>
      <w:r w:rsidR="003E2ED7" w:rsidRPr="006B17BE">
        <w:rPr>
          <w:rFonts w:asciiTheme="minorHAnsi" w:hAnsiTheme="minorHAnsi" w:cstheme="minorHAnsi"/>
          <w:szCs w:val="20"/>
        </w:rPr>
        <w:t xml:space="preserve"> bar indicates the </w:t>
      </w:r>
      <w:r w:rsidR="009E554A" w:rsidRPr="006B17BE">
        <w:rPr>
          <w:rFonts w:asciiTheme="minorHAnsi" w:hAnsiTheme="minorHAnsi" w:cstheme="minorHAnsi"/>
          <w:szCs w:val="20"/>
        </w:rPr>
        <w:t>coal seam gas</w:t>
      </w:r>
      <w:r w:rsidR="003E2ED7" w:rsidRPr="006B17BE">
        <w:rPr>
          <w:rFonts w:asciiTheme="minorHAnsi" w:hAnsiTheme="minorHAnsi" w:cstheme="minorHAnsi"/>
          <w:szCs w:val="20"/>
        </w:rPr>
        <w:t xml:space="preserve"> (and water) production period (25 y</w:t>
      </w:r>
      <w:r w:rsidR="00595AA1" w:rsidRPr="006B17BE">
        <w:rPr>
          <w:rFonts w:asciiTheme="minorHAnsi" w:hAnsiTheme="minorHAnsi" w:cstheme="minorHAnsi"/>
          <w:szCs w:val="20"/>
        </w:rPr>
        <w:t>ea</w:t>
      </w:r>
      <w:r w:rsidR="003E2ED7" w:rsidRPr="006B17BE">
        <w:rPr>
          <w:rFonts w:asciiTheme="minorHAnsi" w:hAnsiTheme="minorHAnsi" w:cstheme="minorHAnsi"/>
          <w:szCs w:val="20"/>
        </w:rPr>
        <w:t>rs).</w:t>
      </w:r>
      <w:r w:rsidR="009B2B68" w:rsidRPr="006B17BE">
        <w:rPr>
          <w:rFonts w:asciiTheme="minorHAnsi" w:hAnsiTheme="minorHAnsi" w:cstheme="minorHAnsi"/>
          <w:szCs w:val="20"/>
        </w:rPr>
        <w:t xml:space="preserve"> The dotted line represents the pre-production groundwater level (m AHD).</w:t>
      </w:r>
      <w:bookmarkEnd w:id="529"/>
    </w:p>
    <w:p w14:paraId="4E79E222" w14:textId="77777777" w:rsidR="00003BF5" w:rsidRPr="006B17BE" w:rsidRDefault="00003BF5" w:rsidP="00003BF5">
      <w:pPr>
        <w:pStyle w:val="BodyText"/>
      </w:pPr>
    </w:p>
    <w:p w14:paraId="2B5EFD2F" w14:textId="1908A04E" w:rsidR="003E2ED7" w:rsidRPr="006B17BE" w:rsidRDefault="009B2B68" w:rsidP="00B57C0A">
      <w:pPr>
        <w:pStyle w:val="BodyText"/>
        <w:jc w:val="center"/>
      </w:pPr>
      <w:r w:rsidRPr="006B17BE">
        <w:rPr>
          <w:noProof/>
        </w:rPr>
        <w:drawing>
          <wp:inline distT="0" distB="0" distL="0" distR="0" wp14:anchorId="5245A4F2" wp14:editId="144CDCBB">
            <wp:extent cx="5621914" cy="6746297"/>
            <wp:effectExtent l="0" t="0" r="0" b="0"/>
            <wp:docPr id="111" name="Picture 111" descr="D:\workspace\noor0021\CSG\leaky_well\Gunnedah_model\tr\tr_cln_rand_largemodel\variable_corr_length_again!\leaky_well_corr_length_10_km\Fig_GWlevel_10km_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workspace\noor0021\CSG\leaky_well\Gunnedah_model\tr\tr_cln_rand_largemodel\variable_corr_length_again!\leaky_well_corr_length_10_km\Fig_GWlevel_10km_EW.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43408" cy="6772090"/>
                    </a:xfrm>
                    <a:prstGeom prst="rect">
                      <a:avLst/>
                    </a:prstGeom>
                    <a:noFill/>
                    <a:ln>
                      <a:noFill/>
                    </a:ln>
                  </pic:spPr>
                </pic:pic>
              </a:graphicData>
            </a:graphic>
          </wp:inline>
        </w:drawing>
      </w:r>
    </w:p>
    <w:p w14:paraId="265D639D" w14:textId="1F007BDE" w:rsidR="003E2ED7" w:rsidRPr="006B17BE" w:rsidRDefault="00172765" w:rsidP="00172765">
      <w:pPr>
        <w:pStyle w:val="Caption"/>
        <w:rPr>
          <w:rFonts w:asciiTheme="minorHAnsi" w:hAnsiTheme="minorHAnsi" w:cstheme="minorHAnsi"/>
          <w:szCs w:val="20"/>
        </w:rPr>
      </w:pPr>
      <w:bookmarkStart w:id="530" w:name="_Ref477424821"/>
      <w:bookmarkStart w:id="531" w:name="_Toc508267278"/>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3</w:t>
      </w:r>
      <w:r w:rsidR="00296C49">
        <w:rPr>
          <w:noProof/>
        </w:rPr>
        <w:fldChar w:fldCharType="end"/>
      </w:r>
      <w:bookmarkEnd w:id="530"/>
      <w:r w:rsidR="003E2ED7" w:rsidRPr="006B17BE">
        <w:rPr>
          <w:rFonts w:asciiTheme="minorHAnsi" w:hAnsiTheme="minorHAnsi" w:cstheme="minorHAnsi"/>
          <w:szCs w:val="20"/>
        </w:rPr>
        <w:t xml:space="preserve"> Time series (production to recovery) of groundwater levels at a distance of 10 km to the east (solid line) and west (dashed line) of the well field for the different well failure </w:t>
      </w:r>
      <w:r w:rsidR="00B57C0A" w:rsidRPr="006B17BE">
        <w:rPr>
          <w:rFonts w:asciiTheme="minorHAnsi" w:hAnsiTheme="minorHAnsi" w:cstheme="minorHAnsi"/>
          <w:szCs w:val="20"/>
        </w:rPr>
        <w:t>rates</w:t>
      </w:r>
      <w:r w:rsidR="003E2ED7" w:rsidRPr="006B17BE">
        <w:rPr>
          <w:rFonts w:asciiTheme="minorHAnsi" w:hAnsiTheme="minorHAnsi" w:cstheme="minorHAnsi"/>
          <w:szCs w:val="20"/>
        </w:rPr>
        <w:t xml:space="preserve"> in (a) </w:t>
      </w:r>
      <w:r w:rsidR="0009623F" w:rsidRPr="006B17BE">
        <w:rPr>
          <w:rFonts w:asciiTheme="minorHAnsi" w:hAnsiTheme="minorHAnsi" w:cstheme="minorHAnsi"/>
          <w:szCs w:val="20"/>
        </w:rPr>
        <w:t>Pilliga</w:t>
      </w:r>
      <w:r w:rsidR="003E2ED7" w:rsidRPr="006B17BE">
        <w:rPr>
          <w:rFonts w:asciiTheme="minorHAnsi" w:hAnsiTheme="minorHAnsi" w:cstheme="minorHAnsi"/>
          <w:szCs w:val="20"/>
        </w:rPr>
        <w:t xml:space="preserve"> </w:t>
      </w:r>
      <w:r w:rsidR="00595AA1" w:rsidRPr="006B17BE">
        <w:rPr>
          <w:rFonts w:asciiTheme="minorHAnsi" w:hAnsiTheme="minorHAnsi" w:cstheme="minorHAnsi"/>
          <w:szCs w:val="20"/>
        </w:rPr>
        <w:t xml:space="preserve">Sandstone </w:t>
      </w:r>
      <w:r w:rsidR="003E2ED7" w:rsidRPr="006B17BE">
        <w:rPr>
          <w:rFonts w:asciiTheme="minorHAnsi" w:hAnsiTheme="minorHAnsi" w:cstheme="minorHAnsi"/>
          <w:szCs w:val="20"/>
        </w:rPr>
        <w:t xml:space="preserve">Aquifer (layer 1), (b) Late Permian coal seam (layer 3), and (c) Early Permian coal seal (layer 5). All simulations generate </w:t>
      </w:r>
      <w:r w:rsidR="00B57C0A" w:rsidRPr="006B17BE">
        <w:rPr>
          <w:rFonts w:asciiTheme="minorHAnsi" w:hAnsiTheme="minorHAnsi" w:cstheme="minorHAnsi"/>
          <w:szCs w:val="20"/>
        </w:rPr>
        <w:t>identical</w:t>
      </w:r>
      <w:r w:rsidR="003E2ED7" w:rsidRPr="006B17BE">
        <w:rPr>
          <w:rFonts w:asciiTheme="minorHAnsi" w:hAnsiTheme="minorHAnsi" w:cstheme="minorHAnsi"/>
          <w:szCs w:val="20"/>
        </w:rPr>
        <w:t xml:space="preserve"> groundwater levels and therefore plot on top of each other. The </w:t>
      </w:r>
      <w:r w:rsidR="00B57C0A" w:rsidRPr="006B17BE">
        <w:rPr>
          <w:rFonts w:asciiTheme="minorHAnsi" w:hAnsiTheme="minorHAnsi" w:cstheme="minorHAnsi"/>
          <w:szCs w:val="20"/>
        </w:rPr>
        <w:t>blue</w:t>
      </w:r>
      <w:r w:rsidR="003E2ED7" w:rsidRPr="006B17BE">
        <w:rPr>
          <w:rFonts w:asciiTheme="minorHAnsi" w:hAnsiTheme="minorHAnsi" w:cstheme="minorHAnsi"/>
          <w:szCs w:val="20"/>
        </w:rPr>
        <w:t xml:space="preserve"> bar indicates the </w:t>
      </w:r>
      <w:r w:rsidR="009E554A" w:rsidRPr="006B17BE">
        <w:rPr>
          <w:rFonts w:asciiTheme="minorHAnsi" w:hAnsiTheme="minorHAnsi" w:cstheme="minorHAnsi"/>
          <w:szCs w:val="20"/>
        </w:rPr>
        <w:t>coal seam gas</w:t>
      </w:r>
      <w:r w:rsidR="003E2ED7" w:rsidRPr="006B17BE">
        <w:rPr>
          <w:rFonts w:asciiTheme="minorHAnsi" w:hAnsiTheme="minorHAnsi" w:cstheme="minorHAnsi"/>
          <w:szCs w:val="20"/>
        </w:rPr>
        <w:t xml:space="preserve"> (and water) production period (25 y</w:t>
      </w:r>
      <w:r w:rsidR="00595AA1" w:rsidRPr="006B17BE">
        <w:rPr>
          <w:rFonts w:asciiTheme="minorHAnsi" w:hAnsiTheme="minorHAnsi" w:cstheme="minorHAnsi"/>
          <w:szCs w:val="20"/>
        </w:rPr>
        <w:t>ea</w:t>
      </w:r>
      <w:r w:rsidR="003E2ED7" w:rsidRPr="006B17BE">
        <w:rPr>
          <w:rFonts w:asciiTheme="minorHAnsi" w:hAnsiTheme="minorHAnsi" w:cstheme="minorHAnsi"/>
          <w:szCs w:val="20"/>
        </w:rPr>
        <w:t>rs).</w:t>
      </w:r>
      <w:r w:rsidR="009B2B68" w:rsidRPr="006B17BE">
        <w:rPr>
          <w:rFonts w:asciiTheme="minorHAnsi" w:hAnsiTheme="minorHAnsi" w:cstheme="minorHAnsi"/>
          <w:szCs w:val="20"/>
        </w:rPr>
        <w:t xml:space="preserve"> The dotted line represents the pre-production groundwater level (m AHD).</w:t>
      </w:r>
      <w:bookmarkEnd w:id="531"/>
    </w:p>
    <w:p w14:paraId="1F7D32F3" w14:textId="77777777" w:rsidR="00595AA1" w:rsidRPr="006B17BE" w:rsidRDefault="00595AA1" w:rsidP="00595AA1">
      <w:pPr>
        <w:pStyle w:val="BodyText"/>
      </w:pPr>
    </w:p>
    <w:p w14:paraId="279A32AF" w14:textId="57F7353F" w:rsidR="00AA16BE" w:rsidRPr="006B17BE" w:rsidRDefault="00595AA1" w:rsidP="00C65320">
      <w:pPr>
        <w:pStyle w:val="Heading2"/>
      </w:pPr>
      <w:bookmarkStart w:id="532" w:name="_Toc477438030"/>
      <w:bookmarkStart w:id="533" w:name="_Toc483567950"/>
      <w:bookmarkEnd w:id="532"/>
      <w:r w:rsidRPr="006B17BE">
        <w:t xml:space="preserve">Metric 2: </w:t>
      </w:r>
      <w:r w:rsidR="00AA16BE" w:rsidRPr="006B17BE">
        <w:t xml:space="preserve">Contribution of </w:t>
      </w:r>
      <w:r w:rsidRPr="006B17BE">
        <w:t xml:space="preserve">well failure to overall </w:t>
      </w:r>
      <w:r w:rsidR="00AA16BE" w:rsidRPr="006B17BE">
        <w:t>inter-aquifer groundwater exchange</w:t>
      </w:r>
      <w:bookmarkEnd w:id="533"/>
    </w:p>
    <w:p w14:paraId="2E946A12" w14:textId="54AA86F9" w:rsidR="00E563C4" w:rsidRDefault="00104C29" w:rsidP="00104C29">
      <w:pPr>
        <w:pStyle w:val="Body"/>
      </w:pPr>
      <w:r w:rsidRPr="006B17BE">
        <w:t xml:space="preserve">The contribution of flow through leaky wells to inter-aquifer leakage, through time, </w:t>
      </w:r>
      <w:r w:rsidR="001E507E">
        <w:t>will be presented in two ways, first as a flux density (total flux rescaled to the flow area in km</w:t>
      </w:r>
      <w:r w:rsidR="001E507E" w:rsidRPr="001E507E">
        <w:rPr>
          <w:vertAlign w:val="superscript"/>
        </w:rPr>
        <w:t>2</w:t>
      </w:r>
      <w:r w:rsidR="001E507E">
        <w:t>) and subsequently as total flux across the relevant flow area. Flux densities and total fluxes will be shown for the leakage pathway through wells and through the aquitard as diffusive flux (across the total flow domain and across the flow area of the gas project area). The flux densities for the leakage through wells are</w:t>
      </w:r>
      <w:r w:rsidRPr="006B17BE">
        <w:t xml:space="preserve"> shown in </w:t>
      </w:r>
      <w:r w:rsidRPr="006B17BE">
        <w:fldChar w:fldCharType="begin"/>
      </w:r>
      <w:r w:rsidRPr="006B17BE">
        <w:instrText xml:space="preserve"> REF _Ref476035773 \h  \* MERGEFORMAT </w:instrText>
      </w:r>
      <w:r w:rsidRPr="006B17BE">
        <w:fldChar w:fldCharType="separate"/>
      </w:r>
      <w:r w:rsidR="00086147" w:rsidRPr="00086147">
        <w:t xml:space="preserve">Figure </w:t>
      </w:r>
      <w:r w:rsidR="00086147" w:rsidRPr="00086147">
        <w:rPr>
          <w:noProof/>
        </w:rPr>
        <w:t>4</w:t>
      </w:r>
      <w:r w:rsidR="00086147" w:rsidRPr="00086147">
        <w:rPr>
          <w:noProof/>
        </w:rPr>
        <w:noBreakHyphen/>
        <w:t>4</w:t>
      </w:r>
      <w:r w:rsidRPr="006B17BE">
        <w:fldChar w:fldCharType="end"/>
      </w:r>
      <w:r w:rsidRPr="006B17BE">
        <w:t xml:space="preserve">(a), </w:t>
      </w:r>
      <w:r w:rsidR="004B126A" w:rsidRPr="006B17BE">
        <w:t xml:space="preserve">while </w:t>
      </w:r>
      <w:r w:rsidRPr="006B17BE">
        <w:t xml:space="preserve">the corresponding regional </w:t>
      </w:r>
      <w:r w:rsidR="00595AA1" w:rsidRPr="006B17BE">
        <w:t>(based on the full model</w:t>
      </w:r>
      <w:r w:rsidR="00405065">
        <w:t xml:space="preserve"> </w:t>
      </w:r>
      <w:r w:rsidR="00405065" w:rsidRPr="006B17BE">
        <w:t>area of 29,445 km</w:t>
      </w:r>
      <w:r w:rsidR="00405065" w:rsidRPr="006B17BE">
        <w:rPr>
          <w:vertAlign w:val="superscript"/>
        </w:rPr>
        <w:t>2</w:t>
      </w:r>
      <w:r w:rsidR="00595AA1" w:rsidRPr="006B17BE">
        <w:t xml:space="preserve">) </w:t>
      </w:r>
      <w:r w:rsidR="00FA5440" w:rsidRPr="006B17BE">
        <w:t xml:space="preserve">and local </w:t>
      </w:r>
      <w:r w:rsidR="00595AA1" w:rsidRPr="006B17BE">
        <w:t>(based on the 425 km</w:t>
      </w:r>
      <w:r w:rsidR="00595AA1" w:rsidRPr="006B17BE">
        <w:rPr>
          <w:vertAlign w:val="superscript"/>
        </w:rPr>
        <w:t xml:space="preserve">2 </w:t>
      </w:r>
      <w:r w:rsidR="00595AA1" w:rsidRPr="006B17BE">
        <w:t xml:space="preserve">gas production area) </w:t>
      </w:r>
      <w:r w:rsidR="004B126A" w:rsidRPr="006B17BE">
        <w:t xml:space="preserve">downward </w:t>
      </w:r>
      <w:r w:rsidRPr="006B17BE">
        <w:t xml:space="preserve">leakage through the aquitard (layer 2) </w:t>
      </w:r>
      <w:r w:rsidR="001E507E">
        <w:t>are</w:t>
      </w:r>
      <w:r w:rsidRPr="006B17BE">
        <w:t xml:space="preserve"> show in </w:t>
      </w:r>
      <w:r w:rsidRPr="006B17BE">
        <w:fldChar w:fldCharType="begin"/>
      </w:r>
      <w:r w:rsidRPr="006B17BE">
        <w:instrText xml:space="preserve"> REF _Ref476035773 \h  \* MERGEFORMAT </w:instrText>
      </w:r>
      <w:r w:rsidRPr="006B17BE">
        <w:fldChar w:fldCharType="separate"/>
      </w:r>
      <w:r w:rsidR="00086147" w:rsidRPr="00086147">
        <w:t xml:space="preserve">Figure </w:t>
      </w:r>
      <w:r w:rsidR="00086147" w:rsidRPr="00086147">
        <w:rPr>
          <w:noProof/>
        </w:rPr>
        <w:t>4</w:t>
      </w:r>
      <w:r w:rsidR="00086147" w:rsidRPr="00086147">
        <w:rPr>
          <w:noProof/>
        </w:rPr>
        <w:noBreakHyphen/>
        <w:t>4</w:t>
      </w:r>
      <w:r w:rsidRPr="006B17BE">
        <w:fldChar w:fldCharType="end"/>
      </w:r>
      <w:r w:rsidRPr="006B17BE">
        <w:t>(b)</w:t>
      </w:r>
      <w:r w:rsidR="00FA5440" w:rsidRPr="006B17BE">
        <w:t xml:space="preserve"> and </w:t>
      </w:r>
      <w:r w:rsidR="00FA5440" w:rsidRPr="006B17BE">
        <w:fldChar w:fldCharType="begin"/>
      </w:r>
      <w:r w:rsidR="00FA5440" w:rsidRPr="006B17BE">
        <w:instrText xml:space="preserve"> REF _Ref477437841 \h </w:instrText>
      </w:r>
      <w:r w:rsidR="006B17BE">
        <w:instrText xml:space="preserve"> \* MERGEFORMAT </w:instrText>
      </w:r>
      <w:r w:rsidR="00FA5440"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4</w:t>
      </w:r>
      <w:r w:rsidR="00086147">
        <w:rPr>
          <w:rFonts w:asciiTheme="minorHAnsi" w:hAnsiTheme="minorHAnsi" w:cstheme="minorHAnsi"/>
          <w:noProof/>
          <w:szCs w:val="20"/>
        </w:rPr>
        <w:noBreakHyphen/>
        <w:t>4</w:t>
      </w:r>
      <w:r w:rsidR="00FA5440" w:rsidRPr="006B17BE">
        <w:fldChar w:fldCharType="end"/>
      </w:r>
      <w:r w:rsidR="00FA5440" w:rsidRPr="006B17BE">
        <w:t>(c)</w:t>
      </w:r>
      <w:r w:rsidRPr="006B17BE">
        <w:t xml:space="preserve">. </w:t>
      </w:r>
    </w:p>
    <w:p w14:paraId="61973279" w14:textId="37CEF4D6" w:rsidR="00AA16BE" w:rsidRPr="006B17BE" w:rsidRDefault="005721D9" w:rsidP="004C57F1">
      <w:pPr>
        <w:keepNext/>
        <w:jc w:val="center"/>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3377998D" wp14:editId="344A1B12">
            <wp:extent cx="4858870" cy="4858870"/>
            <wp:effectExtent l="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fig_14_flux_per_km2_1.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63123" cy="4863123"/>
                    </a:xfrm>
                    <a:prstGeom prst="rect">
                      <a:avLst/>
                    </a:prstGeom>
                  </pic:spPr>
                </pic:pic>
              </a:graphicData>
            </a:graphic>
          </wp:inline>
        </w:drawing>
      </w:r>
    </w:p>
    <w:p w14:paraId="00783011" w14:textId="576B0AE4" w:rsidR="00AA16BE" w:rsidRDefault="00AA16BE" w:rsidP="00AA16BE">
      <w:pPr>
        <w:pStyle w:val="Caption"/>
        <w:rPr>
          <w:rFonts w:asciiTheme="minorHAnsi" w:hAnsiTheme="minorHAnsi" w:cstheme="minorHAnsi"/>
          <w:szCs w:val="20"/>
        </w:rPr>
      </w:pPr>
      <w:bookmarkStart w:id="534" w:name="_Ref477437841"/>
      <w:bookmarkStart w:id="535" w:name="_Ref476035773"/>
      <w:bookmarkStart w:id="536" w:name="_Toc508267279"/>
      <w:r w:rsidRPr="006B17BE">
        <w:rPr>
          <w:rFonts w:asciiTheme="minorHAnsi" w:hAnsiTheme="minorHAnsi" w:cstheme="minorHAnsi"/>
          <w:szCs w:val="20"/>
        </w:rPr>
        <w:t xml:space="preserve">Figure </w:t>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STYLEREF 1 \s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4</w:t>
      </w:r>
      <w:r w:rsidR="0014612E">
        <w:rPr>
          <w:rFonts w:asciiTheme="minorHAnsi" w:hAnsiTheme="minorHAnsi" w:cstheme="minorHAnsi"/>
          <w:szCs w:val="20"/>
        </w:rPr>
        <w:fldChar w:fldCharType="end"/>
      </w:r>
      <w:r w:rsidR="0014612E">
        <w:rPr>
          <w:rFonts w:asciiTheme="minorHAnsi" w:hAnsiTheme="minorHAnsi" w:cstheme="minorHAnsi"/>
          <w:szCs w:val="20"/>
        </w:rPr>
        <w:noBreakHyphen/>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SEQ Figure \* ARABIC \s 1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4</w:t>
      </w:r>
      <w:r w:rsidR="0014612E">
        <w:rPr>
          <w:rFonts w:asciiTheme="minorHAnsi" w:hAnsiTheme="minorHAnsi" w:cstheme="minorHAnsi"/>
          <w:szCs w:val="20"/>
        </w:rPr>
        <w:fldChar w:fldCharType="end"/>
      </w:r>
      <w:bookmarkEnd w:id="534"/>
      <w:bookmarkEnd w:id="535"/>
      <w:r w:rsidRPr="006B17BE">
        <w:rPr>
          <w:rFonts w:asciiTheme="minorHAnsi" w:hAnsiTheme="minorHAnsi" w:cstheme="minorHAnsi"/>
          <w:szCs w:val="20"/>
        </w:rPr>
        <w:t xml:space="preserve"> Impact of different well failure </w:t>
      </w:r>
      <w:r w:rsidR="00B57C0A" w:rsidRPr="006B17BE">
        <w:rPr>
          <w:rFonts w:asciiTheme="minorHAnsi" w:hAnsiTheme="minorHAnsi" w:cstheme="minorHAnsi"/>
          <w:szCs w:val="20"/>
        </w:rPr>
        <w:t>rates</w:t>
      </w:r>
      <w:r w:rsidRPr="006B17BE">
        <w:rPr>
          <w:rFonts w:asciiTheme="minorHAnsi" w:hAnsiTheme="minorHAnsi" w:cstheme="minorHAnsi"/>
          <w:szCs w:val="20"/>
        </w:rPr>
        <w:t xml:space="preserve"> on (a) the</w:t>
      </w:r>
      <w:r w:rsidR="002B4DBF" w:rsidRPr="006B17BE">
        <w:rPr>
          <w:rFonts w:asciiTheme="minorHAnsi" w:hAnsiTheme="minorHAnsi" w:cstheme="minorHAnsi"/>
          <w:szCs w:val="20"/>
        </w:rPr>
        <w:t xml:space="preserve"> total</w:t>
      </w:r>
      <w:r w:rsidRPr="006B17BE">
        <w:rPr>
          <w:rFonts w:asciiTheme="minorHAnsi" w:hAnsiTheme="minorHAnsi" w:cstheme="minorHAnsi"/>
          <w:szCs w:val="20"/>
        </w:rPr>
        <w:t xml:space="preserve"> groundwater flow </w:t>
      </w:r>
      <w:r w:rsidR="00A65B58">
        <w:rPr>
          <w:rFonts w:asciiTheme="minorHAnsi" w:hAnsiTheme="minorHAnsi" w:cstheme="minorHAnsi"/>
          <w:szCs w:val="20"/>
        </w:rPr>
        <w:t xml:space="preserve">density </w:t>
      </w:r>
      <w:r w:rsidRPr="006B17BE">
        <w:rPr>
          <w:rFonts w:asciiTheme="minorHAnsi" w:hAnsiTheme="minorHAnsi" w:cstheme="minorHAnsi"/>
          <w:szCs w:val="20"/>
        </w:rPr>
        <w:t>(GWF) in layer 1 to the wells</w:t>
      </w:r>
      <w:r w:rsidR="00D04DAF">
        <w:rPr>
          <w:rFonts w:asciiTheme="minorHAnsi" w:hAnsiTheme="minorHAnsi" w:cstheme="minorHAnsi"/>
          <w:szCs w:val="20"/>
        </w:rPr>
        <w:t xml:space="preserve"> (m</w:t>
      </w:r>
      <w:r w:rsidR="00D04DAF" w:rsidRPr="00F70FD6">
        <w:rPr>
          <w:rFonts w:asciiTheme="minorHAnsi" w:hAnsiTheme="minorHAnsi" w:cstheme="minorHAnsi"/>
          <w:szCs w:val="20"/>
          <w:vertAlign w:val="superscript"/>
        </w:rPr>
        <w:t>3</w:t>
      </w:r>
      <w:r w:rsidR="00D04DAF">
        <w:rPr>
          <w:rFonts w:asciiTheme="minorHAnsi" w:hAnsiTheme="minorHAnsi" w:cstheme="minorHAnsi"/>
          <w:szCs w:val="20"/>
        </w:rPr>
        <w:t>/day/km</w:t>
      </w:r>
      <w:r w:rsidR="00D04DAF" w:rsidRPr="00F70FD6">
        <w:rPr>
          <w:rFonts w:asciiTheme="minorHAnsi" w:hAnsiTheme="minorHAnsi" w:cstheme="minorHAnsi"/>
          <w:szCs w:val="20"/>
          <w:vertAlign w:val="superscript"/>
        </w:rPr>
        <w:t>2</w:t>
      </w:r>
      <w:r w:rsidR="00D04DAF">
        <w:rPr>
          <w:rFonts w:asciiTheme="minorHAnsi" w:hAnsiTheme="minorHAnsi" w:cstheme="minorHAnsi"/>
          <w:szCs w:val="20"/>
        </w:rPr>
        <w:t>)</w:t>
      </w:r>
      <w:r w:rsidRPr="006B17BE">
        <w:rPr>
          <w:rFonts w:asciiTheme="minorHAnsi" w:hAnsiTheme="minorHAnsi" w:cstheme="minorHAnsi"/>
          <w:szCs w:val="20"/>
        </w:rPr>
        <w:t xml:space="preserve">, (b) </w:t>
      </w:r>
      <w:r w:rsidR="002B4DBF" w:rsidRPr="006B17BE">
        <w:rPr>
          <w:rFonts w:asciiTheme="minorHAnsi" w:hAnsiTheme="minorHAnsi" w:cstheme="minorHAnsi"/>
          <w:szCs w:val="20"/>
        </w:rPr>
        <w:t xml:space="preserve">total </w:t>
      </w:r>
      <w:r w:rsidRPr="006B17BE">
        <w:rPr>
          <w:rFonts w:asciiTheme="minorHAnsi" w:hAnsiTheme="minorHAnsi" w:cstheme="minorHAnsi"/>
          <w:szCs w:val="20"/>
        </w:rPr>
        <w:t xml:space="preserve">regional leakage </w:t>
      </w:r>
      <w:r w:rsidR="00A65B58">
        <w:rPr>
          <w:rFonts w:asciiTheme="minorHAnsi" w:hAnsiTheme="minorHAnsi" w:cstheme="minorHAnsi"/>
          <w:szCs w:val="20"/>
        </w:rPr>
        <w:t xml:space="preserve">density </w:t>
      </w:r>
      <w:r w:rsidR="00EB7F94" w:rsidRPr="006B17BE">
        <w:rPr>
          <w:rFonts w:asciiTheme="minorHAnsi" w:hAnsiTheme="minorHAnsi" w:cstheme="minorHAnsi"/>
          <w:szCs w:val="20"/>
        </w:rPr>
        <w:t xml:space="preserve">(full model domain) </w:t>
      </w:r>
      <w:r w:rsidR="00AF0D10" w:rsidRPr="006B17BE">
        <w:rPr>
          <w:rFonts w:asciiTheme="minorHAnsi" w:hAnsiTheme="minorHAnsi" w:cstheme="minorHAnsi"/>
          <w:szCs w:val="20"/>
        </w:rPr>
        <w:t xml:space="preserve">across the upper aquitard </w:t>
      </w:r>
      <w:r w:rsidR="00D04DAF">
        <w:rPr>
          <w:rFonts w:asciiTheme="minorHAnsi" w:hAnsiTheme="minorHAnsi" w:cstheme="minorHAnsi"/>
          <w:szCs w:val="20"/>
        </w:rPr>
        <w:t>(m</w:t>
      </w:r>
      <w:r w:rsidR="00D04DAF" w:rsidRPr="00F70FD6">
        <w:rPr>
          <w:rFonts w:asciiTheme="minorHAnsi" w:hAnsiTheme="minorHAnsi" w:cstheme="minorHAnsi"/>
          <w:szCs w:val="20"/>
          <w:vertAlign w:val="superscript"/>
        </w:rPr>
        <w:t>3</w:t>
      </w:r>
      <w:r w:rsidR="00D04DAF">
        <w:rPr>
          <w:rFonts w:asciiTheme="minorHAnsi" w:hAnsiTheme="minorHAnsi" w:cstheme="minorHAnsi"/>
          <w:szCs w:val="20"/>
        </w:rPr>
        <w:t>/day/km</w:t>
      </w:r>
      <w:r w:rsidR="00D04DAF" w:rsidRPr="00F70FD6">
        <w:rPr>
          <w:rFonts w:asciiTheme="minorHAnsi" w:hAnsiTheme="minorHAnsi" w:cstheme="minorHAnsi"/>
          <w:szCs w:val="20"/>
          <w:vertAlign w:val="superscript"/>
        </w:rPr>
        <w:t>2</w:t>
      </w:r>
      <w:r w:rsidR="00D04DAF">
        <w:rPr>
          <w:rFonts w:asciiTheme="minorHAnsi" w:hAnsiTheme="minorHAnsi" w:cstheme="minorHAnsi"/>
          <w:szCs w:val="20"/>
        </w:rPr>
        <w:t>)</w:t>
      </w:r>
      <w:r w:rsidR="00D04DAF" w:rsidRPr="006B17BE">
        <w:rPr>
          <w:rFonts w:asciiTheme="minorHAnsi" w:hAnsiTheme="minorHAnsi" w:cstheme="minorHAnsi"/>
          <w:szCs w:val="20"/>
        </w:rPr>
        <w:t xml:space="preserve">, </w:t>
      </w:r>
      <w:r w:rsidR="009E687B" w:rsidRPr="006B17BE">
        <w:rPr>
          <w:rFonts w:asciiTheme="minorHAnsi" w:hAnsiTheme="minorHAnsi" w:cstheme="minorHAnsi"/>
          <w:szCs w:val="20"/>
        </w:rPr>
        <w:t xml:space="preserve">and (c) total leakage </w:t>
      </w:r>
      <w:r w:rsidR="00A65B58">
        <w:rPr>
          <w:rFonts w:asciiTheme="minorHAnsi" w:hAnsiTheme="minorHAnsi" w:cstheme="minorHAnsi"/>
          <w:szCs w:val="20"/>
        </w:rPr>
        <w:t xml:space="preserve">density </w:t>
      </w:r>
      <w:r w:rsidR="009E687B" w:rsidRPr="006B17BE">
        <w:rPr>
          <w:rFonts w:asciiTheme="minorHAnsi" w:hAnsiTheme="minorHAnsi" w:cstheme="minorHAnsi"/>
          <w:szCs w:val="20"/>
        </w:rPr>
        <w:t xml:space="preserve">beneath the </w:t>
      </w:r>
      <w:r w:rsidR="00AF0D10" w:rsidRPr="006B17BE">
        <w:rPr>
          <w:rFonts w:asciiTheme="minorHAnsi" w:hAnsiTheme="minorHAnsi" w:cstheme="minorHAnsi"/>
          <w:szCs w:val="20"/>
        </w:rPr>
        <w:t xml:space="preserve">gas </w:t>
      </w:r>
      <w:r w:rsidR="009E687B" w:rsidRPr="006B17BE">
        <w:rPr>
          <w:rFonts w:asciiTheme="minorHAnsi" w:hAnsiTheme="minorHAnsi" w:cstheme="minorHAnsi"/>
          <w:szCs w:val="20"/>
        </w:rPr>
        <w:t>well field</w:t>
      </w:r>
      <w:r w:rsidR="00AF0D10" w:rsidRPr="006B17BE">
        <w:rPr>
          <w:rFonts w:asciiTheme="minorHAnsi" w:hAnsiTheme="minorHAnsi" w:cstheme="minorHAnsi"/>
          <w:szCs w:val="20"/>
        </w:rPr>
        <w:t xml:space="preserve"> (425 km</w:t>
      </w:r>
      <w:r w:rsidR="00AF0D10" w:rsidRPr="004C57F1">
        <w:rPr>
          <w:rFonts w:asciiTheme="minorHAnsi" w:hAnsiTheme="minorHAnsi" w:cstheme="minorHAnsi"/>
          <w:szCs w:val="20"/>
          <w:vertAlign w:val="superscript"/>
        </w:rPr>
        <w:t>2</w:t>
      </w:r>
      <w:r w:rsidR="00AF0D10" w:rsidRPr="006B17BE">
        <w:rPr>
          <w:rFonts w:asciiTheme="minorHAnsi" w:hAnsiTheme="minorHAnsi" w:cstheme="minorHAnsi"/>
          <w:szCs w:val="20"/>
        </w:rPr>
        <w:t>)</w:t>
      </w:r>
      <w:r w:rsidR="009E687B" w:rsidRPr="006B17BE">
        <w:rPr>
          <w:rFonts w:asciiTheme="minorHAnsi" w:hAnsiTheme="minorHAnsi" w:cstheme="minorHAnsi"/>
          <w:szCs w:val="20"/>
        </w:rPr>
        <w:t xml:space="preserve">, </w:t>
      </w:r>
      <w:r w:rsidRPr="006B17BE">
        <w:rPr>
          <w:rFonts w:asciiTheme="minorHAnsi" w:hAnsiTheme="minorHAnsi" w:cstheme="minorHAnsi"/>
          <w:szCs w:val="20"/>
        </w:rPr>
        <w:t xml:space="preserve">from layer </w:t>
      </w:r>
      <w:r w:rsidR="002B4DBF" w:rsidRPr="006B17BE">
        <w:rPr>
          <w:rFonts w:asciiTheme="minorHAnsi" w:hAnsiTheme="minorHAnsi" w:cstheme="minorHAnsi"/>
          <w:szCs w:val="20"/>
        </w:rPr>
        <w:t xml:space="preserve">2 </w:t>
      </w:r>
      <w:r w:rsidRPr="006B17BE">
        <w:rPr>
          <w:rFonts w:asciiTheme="minorHAnsi" w:hAnsiTheme="minorHAnsi" w:cstheme="minorHAnsi"/>
          <w:szCs w:val="20"/>
        </w:rPr>
        <w:t xml:space="preserve">into the underlying </w:t>
      </w:r>
      <w:r w:rsidR="0017075A" w:rsidRPr="006B17BE">
        <w:rPr>
          <w:rFonts w:asciiTheme="minorHAnsi" w:hAnsiTheme="minorHAnsi" w:cstheme="minorHAnsi"/>
          <w:szCs w:val="20"/>
        </w:rPr>
        <w:t>coal target formation</w:t>
      </w:r>
      <w:r w:rsidRPr="006B17BE">
        <w:rPr>
          <w:rFonts w:asciiTheme="minorHAnsi" w:hAnsiTheme="minorHAnsi" w:cstheme="minorHAnsi"/>
          <w:szCs w:val="20"/>
        </w:rPr>
        <w:t xml:space="preserve"> (layer </w:t>
      </w:r>
      <w:r w:rsidR="001D688A" w:rsidRPr="006B17BE">
        <w:rPr>
          <w:rFonts w:asciiTheme="minorHAnsi" w:hAnsiTheme="minorHAnsi" w:cstheme="minorHAnsi"/>
          <w:szCs w:val="20"/>
        </w:rPr>
        <w:t>3</w:t>
      </w:r>
      <w:r w:rsidRPr="006B17BE">
        <w:rPr>
          <w:rFonts w:asciiTheme="minorHAnsi" w:hAnsiTheme="minorHAnsi" w:cstheme="minorHAnsi"/>
          <w:szCs w:val="20"/>
        </w:rPr>
        <w:t>)</w:t>
      </w:r>
      <w:r w:rsidR="00D04DAF">
        <w:rPr>
          <w:rFonts w:asciiTheme="minorHAnsi" w:hAnsiTheme="minorHAnsi" w:cstheme="minorHAnsi"/>
          <w:szCs w:val="20"/>
        </w:rPr>
        <w:t xml:space="preserve"> (m</w:t>
      </w:r>
      <w:r w:rsidR="00D04DAF" w:rsidRPr="00F70FD6">
        <w:rPr>
          <w:rFonts w:asciiTheme="minorHAnsi" w:hAnsiTheme="minorHAnsi" w:cstheme="minorHAnsi"/>
          <w:szCs w:val="20"/>
          <w:vertAlign w:val="superscript"/>
        </w:rPr>
        <w:t>3</w:t>
      </w:r>
      <w:r w:rsidR="00D04DAF">
        <w:rPr>
          <w:rFonts w:asciiTheme="minorHAnsi" w:hAnsiTheme="minorHAnsi" w:cstheme="minorHAnsi"/>
          <w:szCs w:val="20"/>
        </w:rPr>
        <w:t>/day/km</w:t>
      </w:r>
      <w:r w:rsidR="00D04DAF" w:rsidRPr="00F70FD6">
        <w:rPr>
          <w:rFonts w:asciiTheme="minorHAnsi" w:hAnsiTheme="minorHAnsi" w:cstheme="minorHAnsi"/>
          <w:szCs w:val="20"/>
          <w:vertAlign w:val="superscript"/>
        </w:rPr>
        <w:t>2</w:t>
      </w:r>
      <w:r w:rsidR="00D04DAF">
        <w:rPr>
          <w:rFonts w:asciiTheme="minorHAnsi" w:hAnsiTheme="minorHAnsi" w:cstheme="minorHAnsi"/>
          <w:szCs w:val="20"/>
        </w:rPr>
        <w:t>)</w:t>
      </w:r>
      <w:r w:rsidRPr="006B17BE">
        <w:rPr>
          <w:rFonts w:asciiTheme="minorHAnsi" w:hAnsiTheme="minorHAnsi" w:cstheme="minorHAnsi"/>
          <w:szCs w:val="20"/>
        </w:rPr>
        <w:t xml:space="preserve">. All simulations generate </w:t>
      </w:r>
      <w:r w:rsidR="00B57C0A" w:rsidRPr="006B17BE">
        <w:rPr>
          <w:rFonts w:asciiTheme="minorHAnsi" w:hAnsiTheme="minorHAnsi" w:cstheme="minorHAnsi"/>
          <w:szCs w:val="20"/>
        </w:rPr>
        <w:t>identical</w:t>
      </w:r>
      <w:r w:rsidRPr="006B17BE">
        <w:rPr>
          <w:rFonts w:asciiTheme="minorHAnsi" w:hAnsiTheme="minorHAnsi" w:cstheme="minorHAnsi"/>
          <w:szCs w:val="20"/>
        </w:rPr>
        <w:t xml:space="preserve"> regional leakage response and therefore plot on top of each other. The </w:t>
      </w:r>
      <w:r w:rsidR="00B57C0A" w:rsidRPr="006B17BE">
        <w:rPr>
          <w:rFonts w:asciiTheme="minorHAnsi" w:hAnsiTheme="minorHAnsi" w:cstheme="minorHAnsi"/>
          <w:szCs w:val="20"/>
        </w:rPr>
        <w:t>blue</w:t>
      </w:r>
      <w:r w:rsidRPr="006B17BE">
        <w:rPr>
          <w:rFonts w:asciiTheme="minorHAnsi" w:hAnsiTheme="minorHAnsi" w:cstheme="minorHAnsi"/>
          <w:szCs w:val="20"/>
        </w:rPr>
        <w:t xml:space="preserve"> bar indicates the </w:t>
      </w:r>
      <w:r w:rsidR="009E554A" w:rsidRPr="006B17BE">
        <w:rPr>
          <w:rFonts w:asciiTheme="minorHAnsi" w:hAnsiTheme="minorHAnsi" w:cstheme="minorHAnsi"/>
          <w:szCs w:val="20"/>
        </w:rPr>
        <w:t>coal seam gas</w:t>
      </w:r>
      <w:r w:rsidR="00103A7A" w:rsidRPr="006B17BE">
        <w:rPr>
          <w:rFonts w:asciiTheme="minorHAnsi" w:hAnsiTheme="minorHAnsi" w:cstheme="minorHAnsi"/>
          <w:szCs w:val="20"/>
        </w:rPr>
        <w:t xml:space="preserve"> (and water) </w:t>
      </w:r>
      <w:r w:rsidRPr="006B17BE">
        <w:rPr>
          <w:rFonts w:asciiTheme="minorHAnsi" w:hAnsiTheme="minorHAnsi" w:cstheme="minorHAnsi"/>
          <w:szCs w:val="20"/>
        </w:rPr>
        <w:t>production period (25 y</w:t>
      </w:r>
      <w:r w:rsidR="00EB7F94" w:rsidRPr="006B17BE">
        <w:rPr>
          <w:rFonts w:asciiTheme="minorHAnsi" w:hAnsiTheme="minorHAnsi" w:cstheme="minorHAnsi"/>
          <w:szCs w:val="20"/>
        </w:rPr>
        <w:t>ea</w:t>
      </w:r>
      <w:r w:rsidRPr="006B17BE">
        <w:rPr>
          <w:rFonts w:asciiTheme="minorHAnsi" w:hAnsiTheme="minorHAnsi" w:cstheme="minorHAnsi"/>
          <w:szCs w:val="20"/>
        </w:rPr>
        <w:t>rs).</w:t>
      </w:r>
      <w:bookmarkEnd w:id="536"/>
    </w:p>
    <w:p w14:paraId="5C233892" w14:textId="77777777" w:rsidR="00E563C4" w:rsidRDefault="00E563C4" w:rsidP="00E563C4">
      <w:pPr>
        <w:pStyle w:val="Body"/>
      </w:pPr>
    </w:p>
    <w:p w14:paraId="5834D541" w14:textId="54BA83C8" w:rsidR="006E1B72" w:rsidRPr="006B17BE" w:rsidRDefault="005721D9" w:rsidP="006E1B72">
      <w:pPr>
        <w:pStyle w:val="Body"/>
      </w:pPr>
      <w:r>
        <w:t>The fluxes through the leaky wells and aquitard (local scale and regional scale) are also shown as total flux integrated across the respective flow areas (</w:t>
      </w:r>
      <w:r>
        <w:fldChar w:fldCharType="begin"/>
      </w:r>
      <w:r>
        <w:instrText xml:space="preserve"> REF _Ref479626892 \h </w:instrText>
      </w:r>
      <w:r>
        <w:fldChar w:fldCharType="separate"/>
      </w:r>
      <w:r w:rsidR="00086147" w:rsidRPr="001E507E">
        <w:t xml:space="preserve">Figure </w:t>
      </w:r>
      <w:r w:rsidR="00086147">
        <w:rPr>
          <w:noProof/>
        </w:rPr>
        <w:t>4</w:t>
      </w:r>
      <w:r w:rsidR="00086147">
        <w:noBreakHyphen/>
      </w:r>
      <w:r w:rsidR="00086147">
        <w:rPr>
          <w:noProof/>
        </w:rPr>
        <w:t>5</w:t>
      </w:r>
      <w:r>
        <w:fldChar w:fldCharType="end"/>
      </w:r>
      <w:r>
        <w:t>). The results are for 100% failure rate and 25 years post pumping. The overall largest flux of 600 m</w:t>
      </w:r>
      <w:r w:rsidRPr="00C92E76">
        <w:rPr>
          <w:vertAlign w:val="superscript"/>
        </w:rPr>
        <w:t>3</w:t>
      </w:r>
      <w:r>
        <w:t>/day is across the regional aquitard. The second largest flux of 200 m</w:t>
      </w:r>
      <w:r w:rsidRPr="00C92E76">
        <w:rPr>
          <w:vertAlign w:val="superscript"/>
        </w:rPr>
        <w:t>3</w:t>
      </w:r>
      <w:r>
        <w:t>/day is across the gas project area and is mainly driven by the downward head gradient. Comparison between regional and local flux shows that one third of the regional flux is due to the flux across the gas project area. Finally, the flux through the leaky wells amounts to 0.37 m</w:t>
      </w:r>
      <w:r w:rsidRPr="00C92E76">
        <w:rPr>
          <w:vertAlign w:val="superscript"/>
        </w:rPr>
        <w:t>3</w:t>
      </w:r>
      <w:r>
        <w:t xml:space="preserve">/day, which is about 0.2% of the diffusive flux across the aquitard in the gas project area. This is a very small fraction and also means that the effective hydraulic conductivity of the aquitard has not changed. This illustrates again that even under a very unlikely scenario of 100% well failure, the total flux through the leaky wells is very small. </w:t>
      </w:r>
      <w:r w:rsidR="006E1B72">
        <w:t>The findings are similar to those of Doble et al. (201</w:t>
      </w:r>
      <w:r w:rsidR="00F250ED">
        <w:t>8</w:t>
      </w:r>
      <w:r w:rsidR="006E1B72">
        <w:t>) using heuristics, where the flow through the aquitard did not show any significant influence with 1 leaky well per km</w:t>
      </w:r>
      <w:r w:rsidR="006E1B72" w:rsidRPr="00554B31">
        <w:rPr>
          <w:vertAlign w:val="superscript"/>
        </w:rPr>
        <w:t>2</w:t>
      </w:r>
      <w:r w:rsidR="006E1B72">
        <w:t xml:space="preserve"> (100% failure rate) a well conductivity of 0.1 m/d and a reference conductivity of 10</w:t>
      </w:r>
      <w:r w:rsidR="006E1B72" w:rsidRPr="0089442F">
        <w:rPr>
          <w:vertAlign w:val="superscript"/>
        </w:rPr>
        <w:t>-5</w:t>
      </w:r>
      <w:r w:rsidR="006E1B72">
        <w:t xml:space="preserve"> m/d (Fig 8 Doble et al. 201</w:t>
      </w:r>
      <w:r w:rsidR="00F250ED">
        <w:t>8</w:t>
      </w:r>
      <w:r w:rsidR="006E1B72">
        <w:t>).</w:t>
      </w:r>
    </w:p>
    <w:p w14:paraId="535431BB" w14:textId="59DEA4BA" w:rsidR="00E563C4" w:rsidRPr="006B17BE" w:rsidRDefault="001E507E" w:rsidP="00E563C4">
      <w:pPr>
        <w:pStyle w:val="Body"/>
      </w:pPr>
      <w:r w:rsidRPr="00C92E76">
        <w:rPr>
          <w:noProof/>
          <w:lang w:val="en-AU" w:eastAsia="en-AU"/>
        </w:rPr>
        <w:drawing>
          <wp:inline distT="0" distB="0" distL="0" distR="0" wp14:anchorId="4D625A5F" wp14:editId="0F0C4B56">
            <wp:extent cx="5731510" cy="3069590"/>
            <wp:effectExtent l="0" t="0" r="254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31510" cy="3069590"/>
                    </a:xfrm>
                    <a:prstGeom prst="rect">
                      <a:avLst/>
                    </a:prstGeom>
                    <a:noFill/>
                    <a:ln>
                      <a:noFill/>
                    </a:ln>
                  </pic:spPr>
                </pic:pic>
              </a:graphicData>
            </a:graphic>
          </wp:inline>
        </w:drawing>
      </w:r>
    </w:p>
    <w:p w14:paraId="452A9BF9" w14:textId="65B2D1E5" w:rsidR="000D3AF7" w:rsidRDefault="000D3AF7" w:rsidP="001055AD">
      <w:pPr>
        <w:pStyle w:val="Body"/>
        <w:jc w:val="center"/>
      </w:pPr>
    </w:p>
    <w:p w14:paraId="16DA51F7" w14:textId="7C2C0133" w:rsidR="000D3AF7" w:rsidRDefault="000D3AF7" w:rsidP="004C57F1">
      <w:pPr>
        <w:pStyle w:val="Caption"/>
      </w:pPr>
      <w:bookmarkStart w:id="537" w:name="_Ref479626892"/>
      <w:bookmarkStart w:id="538" w:name="_Toc508267280"/>
      <w:r w:rsidRPr="001E507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5</w:t>
      </w:r>
      <w:r w:rsidR="00296C49">
        <w:rPr>
          <w:noProof/>
        </w:rPr>
        <w:fldChar w:fldCharType="end"/>
      </w:r>
      <w:bookmarkEnd w:id="537"/>
      <w:r w:rsidRPr="001E507E">
        <w:t xml:space="preserve"> </w:t>
      </w:r>
      <w:r w:rsidR="004C57F1" w:rsidRPr="001E507E">
        <w:t>Contributions to daily mass balance of inter-aquifer leakage from diffuse flux across aquitard (full model domain), diffuse flux across aquitard (gas project area), and flux through leaky wells</w:t>
      </w:r>
      <w:r w:rsidR="001055AD" w:rsidRPr="001E507E">
        <w:t xml:space="preserve"> (100 % well failure)</w:t>
      </w:r>
      <w:r w:rsidR="004C57F1" w:rsidRPr="001E507E">
        <w:t>.</w:t>
      </w:r>
      <w:bookmarkEnd w:id="538"/>
      <w:r w:rsidR="004C57F1">
        <w:t xml:space="preserve"> </w:t>
      </w:r>
    </w:p>
    <w:p w14:paraId="1BCA798A" w14:textId="2778DA1A" w:rsidR="00D96951" w:rsidRPr="006B17BE" w:rsidRDefault="00D96951" w:rsidP="00D96951">
      <w:pPr>
        <w:pStyle w:val="Body"/>
      </w:pPr>
      <w:r w:rsidRPr="006B17BE">
        <w:t xml:space="preserve">Regional </w:t>
      </w:r>
      <w:r>
        <w:t xml:space="preserve">diffuse </w:t>
      </w:r>
      <w:r w:rsidRPr="006B17BE">
        <w:t>aquitard leakage appears to be insensitive to the number of well failures (</w:t>
      </w:r>
      <w:r w:rsidRPr="006B17BE">
        <w:fldChar w:fldCharType="begin"/>
      </w:r>
      <w:r w:rsidRPr="006B17BE">
        <w:instrText xml:space="preserve"> REF _Ref476035773 \h  \* MERGEFORMAT </w:instrText>
      </w:r>
      <w:r w:rsidRPr="006B17BE">
        <w:fldChar w:fldCharType="separate"/>
      </w:r>
      <w:r w:rsidR="00086147" w:rsidRPr="00086147">
        <w:t xml:space="preserve">Figure </w:t>
      </w:r>
      <w:r w:rsidR="00086147" w:rsidRPr="00086147">
        <w:rPr>
          <w:noProof/>
        </w:rPr>
        <w:t>4</w:t>
      </w:r>
      <w:r w:rsidR="00086147" w:rsidRPr="00086147">
        <w:rPr>
          <w:noProof/>
        </w:rPr>
        <w:noBreakHyphen/>
        <w:t>4</w:t>
      </w:r>
      <w:r w:rsidRPr="006B17BE">
        <w:fldChar w:fldCharType="end"/>
      </w:r>
      <w:r w:rsidRPr="006B17BE">
        <w:t xml:space="preserve">(b)), such that the simulated responses are identical for all scenarios, from zero well failure through to 100 % well failure. The local </w:t>
      </w:r>
      <w:r>
        <w:t xml:space="preserve">diffuse </w:t>
      </w:r>
      <w:r w:rsidRPr="006B17BE">
        <w:t>aquitard leakage on the other hand is influenced by the well failure rate (</w:t>
      </w:r>
      <w:r w:rsidRPr="006B17BE">
        <w:fldChar w:fldCharType="begin"/>
      </w:r>
      <w:r w:rsidRPr="006B17BE">
        <w:instrText xml:space="preserve"> REF _Ref477437841 \h </w:instrText>
      </w:r>
      <w:r>
        <w:instrText xml:space="preserve"> \* MERGEFORMAT </w:instrText>
      </w:r>
      <w:r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4</w:t>
      </w:r>
      <w:r w:rsidR="00086147">
        <w:rPr>
          <w:rFonts w:asciiTheme="minorHAnsi" w:hAnsiTheme="minorHAnsi" w:cstheme="minorHAnsi"/>
          <w:noProof/>
          <w:szCs w:val="20"/>
        </w:rPr>
        <w:noBreakHyphen/>
        <w:t>4</w:t>
      </w:r>
      <w:r w:rsidRPr="006B17BE">
        <w:fldChar w:fldCharType="end"/>
      </w:r>
      <w:r w:rsidRPr="006B17BE">
        <w:t xml:space="preserve">c); the 0% and 1% well failure rates result in the highest local </w:t>
      </w:r>
      <w:r>
        <w:t xml:space="preserve">diffuse </w:t>
      </w:r>
      <w:r w:rsidRPr="006B17BE">
        <w:t xml:space="preserve">aquitard leakage rate. This is as expected: for a given gradient, little or no flow bypasses the bulk of the aquitard for a 0% and 1% well failure rate, hence the highest </w:t>
      </w:r>
      <w:r>
        <w:t xml:space="preserve">diffusive </w:t>
      </w:r>
      <w:r w:rsidRPr="006B17BE">
        <w:t xml:space="preserve">flux. For well failure rates greater than 1%, </w:t>
      </w:r>
      <w:r>
        <w:t xml:space="preserve">fluxes are lower and </w:t>
      </w:r>
      <w:r w:rsidRPr="006B17BE">
        <w:t xml:space="preserve">there is no clear correlation between </w:t>
      </w:r>
      <w:r>
        <w:t xml:space="preserve">% </w:t>
      </w:r>
      <w:r w:rsidRPr="006B17BE">
        <w:t xml:space="preserve">well failure and the local </w:t>
      </w:r>
      <w:r>
        <w:t xml:space="preserve">diffuse </w:t>
      </w:r>
      <w:r w:rsidRPr="006B17BE">
        <w:t xml:space="preserve">aquitard leakage. </w:t>
      </w:r>
      <w:r>
        <w:t xml:space="preserve">This is likely due to the way the leaky wells are allocated across the area, i.e. by using the spatially correlated random approach, linked to spatially variable water production profiles across the gas project area. In other words, a small increase in well failure rate may result in disproportionally large increase in fluxes when an area with a high water production profile is accessed. </w:t>
      </w:r>
    </w:p>
    <w:p w14:paraId="41A573FB" w14:textId="192EEA90" w:rsidR="00D96951" w:rsidRPr="006B17BE" w:rsidRDefault="00D96951" w:rsidP="00D96951">
      <w:pPr>
        <w:pStyle w:val="Body"/>
      </w:pPr>
      <w:r w:rsidRPr="006B17BE">
        <w:t>The magnitude of flow through leaky wells, as expected, is strongly related to the number of well failures, i.e., the greater the failure rate the higher is the flow through the wells (</w:t>
      </w:r>
      <w:r w:rsidRPr="006B17BE">
        <w:fldChar w:fldCharType="begin"/>
      </w:r>
      <w:r w:rsidRPr="006B17BE">
        <w:instrText xml:space="preserve"> REF _Ref477437841 \h </w:instrText>
      </w:r>
      <w:r>
        <w:instrText xml:space="preserve"> \* MERGEFORMAT </w:instrText>
      </w:r>
      <w:r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4</w:t>
      </w:r>
      <w:r w:rsidR="00086147">
        <w:rPr>
          <w:rFonts w:asciiTheme="minorHAnsi" w:hAnsiTheme="minorHAnsi" w:cstheme="minorHAnsi"/>
          <w:noProof/>
          <w:szCs w:val="20"/>
        </w:rPr>
        <w:noBreakHyphen/>
        <w:t>4</w:t>
      </w:r>
      <w:r w:rsidRPr="006B17BE">
        <w:fldChar w:fldCharType="end"/>
      </w:r>
      <w:r w:rsidRPr="006B17BE">
        <w:t xml:space="preserve">a). In addition to this, the well failure type, partial or full, also strongly influences the flow magnitude. A partial well failure only enhances inter-aquifer leakage between layers 1 and 3, whereas a full well failure connects all layers. Because Layer 5 is subject to significantly more water extraction than layer 3 during the coal seam gas production phase (see </w:t>
      </w:r>
      <w:r w:rsidRPr="006B17BE">
        <w:fldChar w:fldCharType="begin"/>
      </w:r>
      <w:r w:rsidRPr="006B17BE">
        <w:instrText xml:space="preserve"> REF _Ref478663930 \h </w:instrText>
      </w:r>
      <w:r>
        <w:instrText xml:space="preserve"> \* MERGEFORMAT </w:instrText>
      </w:r>
      <w:r w:rsidRPr="006B17BE">
        <w:fldChar w:fldCharType="separate"/>
      </w:r>
      <w:r w:rsidR="00086147" w:rsidRPr="006B17BE">
        <w:rPr>
          <w:rFonts w:asciiTheme="minorHAnsi" w:hAnsiTheme="minorHAnsi" w:cstheme="minorHAnsi"/>
          <w:szCs w:val="24"/>
        </w:rPr>
        <w:t xml:space="preserve">Figure </w:t>
      </w:r>
      <w:r w:rsidR="00086147">
        <w:rPr>
          <w:rFonts w:asciiTheme="minorHAnsi" w:hAnsiTheme="minorHAnsi" w:cstheme="minorHAnsi"/>
          <w:noProof/>
          <w:szCs w:val="24"/>
        </w:rPr>
        <w:t>3</w:t>
      </w:r>
      <w:r w:rsidR="00086147">
        <w:rPr>
          <w:rFonts w:asciiTheme="minorHAnsi" w:hAnsiTheme="minorHAnsi" w:cstheme="minorHAnsi"/>
          <w:noProof/>
          <w:szCs w:val="24"/>
        </w:rPr>
        <w:noBreakHyphen/>
        <w:t>4</w:t>
      </w:r>
      <w:r w:rsidRPr="006B17BE">
        <w:fldChar w:fldCharType="end"/>
      </w:r>
      <w:r w:rsidRPr="006B17BE">
        <w:t xml:space="preserve">), the increase in the hydraulic gradient between the layers 1, 3, and 5 will and therefore increase the potential for inter-aquifer leakage compared to the case where leakage pathways exist only between layer 1 and 3. </w:t>
      </w:r>
    </w:p>
    <w:p w14:paraId="668CCCC7" w14:textId="77777777" w:rsidR="008F550C" w:rsidRDefault="00AA16BE" w:rsidP="003578A4">
      <w:pPr>
        <w:pStyle w:val="Body"/>
      </w:pPr>
      <w:r w:rsidRPr="006B17BE">
        <w:t xml:space="preserve">In all simulations, the maximum flow through leaky wells </w:t>
      </w:r>
      <w:r w:rsidR="0030310B" w:rsidRPr="006B17BE">
        <w:t xml:space="preserve">and local aquitard leakage </w:t>
      </w:r>
      <w:r w:rsidRPr="006B17BE">
        <w:t>is observed approx</w:t>
      </w:r>
      <w:r w:rsidR="00EB7F94" w:rsidRPr="006B17BE">
        <w:t>imately</w:t>
      </w:r>
      <w:r w:rsidRPr="006B17BE">
        <w:t xml:space="preserve"> 25 years after pumping has ceased. This lagged response is a function of the limited flow rate through leaky wells and the ambient gradient in the aquifers.</w:t>
      </w:r>
      <w:r w:rsidR="0030310B" w:rsidRPr="006B17BE">
        <w:t xml:space="preserve"> </w:t>
      </w:r>
    </w:p>
    <w:p w14:paraId="52507D08" w14:textId="619E1276" w:rsidR="005721D9" w:rsidRDefault="005721D9" w:rsidP="003578A4">
      <w:pPr>
        <w:pStyle w:val="Body"/>
      </w:pPr>
      <w:r>
        <w:t>The calculated flux history across the relevant flow areas has also been presented as total flux (opposed to flux densities) (</w:t>
      </w:r>
      <w:r>
        <w:fldChar w:fldCharType="begin"/>
      </w:r>
      <w:r>
        <w:instrText xml:space="preserve"> REF _Ref483557534 \h </w:instrText>
      </w:r>
      <w:r>
        <w:fldChar w:fldCharType="separate"/>
      </w:r>
      <w:r w:rsidR="00086147">
        <w:t xml:space="preserve">Figure </w:t>
      </w:r>
      <w:r w:rsidR="00086147">
        <w:rPr>
          <w:noProof/>
        </w:rPr>
        <w:t>4</w:t>
      </w:r>
      <w:r w:rsidR="00086147">
        <w:noBreakHyphen/>
      </w:r>
      <w:r w:rsidR="00086147">
        <w:rPr>
          <w:noProof/>
        </w:rPr>
        <w:t>6</w:t>
      </w:r>
      <w:r>
        <w:fldChar w:fldCharType="end"/>
      </w:r>
      <w:r>
        <w:t xml:space="preserve">). These results </w:t>
      </w:r>
      <w:r w:rsidR="00B9437A">
        <w:t xml:space="preserve">can be converted into the results shown in </w:t>
      </w:r>
      <w:r w:rsidR="00B9437A">
        <w:fldChar w:fldCharType="begin"/>
      </w:r>
      <w:r w:rsidR="00B9437A">
        <w:instrText xml:space="preserve"> REF _Ref477437841 \h </w:instrText>
      </w:r>
      <w:r w:rsidR="00B9437A">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4</w:t>
      </w:r>
      <w:r w:rsidR="00086147">
        <w:rPr>
          <w:rFonts w:asciiTheme="minorHAnsi" w:hAnsiTheme="minorHAnsi" w:cstheme="minorHAnsi"/>
          <w:szCs w:val="20"/>
        </w:rPr>
        <w:noBreakHyphen/>
      </w:r>
      <w:r w:rsidR="00086147">
        <w:rPr>
          <w:rFonts w:asciiTheme="minorHAnsi" w:hAnsiTheme="minorHAnsi" w:cstheme="minorHAnsi"/>
          <w:noProof/>
          <w:szCs w:val="20"/>
        </w:rPr>
        <w:t>4</w:t>
      </w:r>
      <w:r w:rsidR="00B9437A">
        <w:fldChar w:fldCharType="end"/>
      </w:r>
      <w:r w:rsidR="00B9437A">
        <w:t xml:space="preserve"> by dividing them by the respective flow areas (425 km</w:t>
      </w:r>
      <w:r w:rsidR="00B9437A" w:rsidRPr="00B9437A">
        <w:rPr>
          <w:vertAlign w:val="superscript"/>
        </w:rPr>
        <w:t>2</w:t>
      </w:r>
      <w:r w:rsidR="00B9437A">
        <w:t xml:space="preserve"> for flux through wells and diffusive flux through gas project area, and 29,445 km</w:t>
      </w:r>
      <w:r w:rsidR="00B9437A" w:rsidRPr="00B9437A">
        <w:rPr>
          <w:vertAlign w:val="superscript"/>
        </w:rPr>
        <w:t>2</w:t>
      </w:r>
      <w:r w:rsidR="00B9437A">
        <w:t xml:space="preserve"> for the regional flux).</w:t>
      </w:r>
    </w:p>
    <w:p w14:paraId="309D2E91" w14:textId="20BF9EDC" w:rsidR="006F587D" w:rsidRDefault="006F587D" w:rsidP="003578A4">
      <w:pPr>
        <w:pStyle w:val="Body"/>
      </w:pPr>
      <w:r>
        <w:rPr>
          <w:noProof/>
          <w:lang w:val="en-AU" w:eastAsia="en-AU"/>
        </w:rPr>
        <w:drawing>
          <wp:inline distT="0" distB="0" distL="0" distR="0" wp14:anchorId="723E2B3F" wp14:editId="4B496FEF">
            <wp:extent cx="4439974" cy="443997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_14_flux_nw_new5.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449399" cy="4449399"/>
                    </a:xfrm>
                    <a:prstGeom prst="rect">
                      <a:avLst/>
                    </a:prstGeom>
                  </pic:spPr>
                </pic:pic>
              </a:graphicData>
            </a:graphic>
          </wp:inline>
        </w:drawing>
      </w:r>
    </w:p>
    <w:p w14:paraId="178485A2" w14:textId="46DFA65D" w:rsidR="00A65B58" w:rsidRDefault="00A65B58" w:rsidP="00A65B58">
      <w:pPr>
        <w:pStyle w:val="Caption"/>
        <w:rPr>
          <w:rFonts w:asciiTheme="minorHAnsi" w:hAnsiTheme="minorHAnsi" w:cstheme="minorHAnsi"/>
          <w:szCs w:val="20"/>
        </w:rPr>
      </w:pPr>
      <w:bookmarkStart w:id="539" w:name="_Ref483557534"/>
      <w:bookmarkStart w:id="540" w:name="_Toc508267281"/>
      <w:r>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6</w:t>
      </w:r>
      <w:r w:rsidR="00296C49">
        <w:rPr>
          <w:noProof/>
        </w:rPr>
        <w:fldChar w:fldCharType="end"/>
      </w:r>
      <w:bookmarkEnd w:id="539"/>
      <w:r>
        <w:t xml:space="preserve"> </w:t>
      </w:r>
      <w:r w:rsidRPr="006B17BE">
        <w:rPr>
          <w:rFonts w:asciiTheme="minorHAnsi" w:hAnsiTheme="minorHAnsi" w:cstheme="minorHAnsi"/>
          <w:szCs w:val="20"/>
        </w:rPr>
        <w:t>Impact of different well failure rates on (a) the total groundwater flow (GWF) in layer 1 to the wells</w:t>
      </w:r>
      <w:r>
        <w:rPr>
          <w:rFonts w:asciiTheme="minorHAnsi" w:hAnsiTheme="minorHAnsi" w:cstheme="minorHAnsi"/>
          <w:szCs w:val="20"/>
        </w:rPr>
        <w:t xml:space="preserve"> (m</w:t>
      </w:r>
      <w:r w:rsidRPr="00F70FD6">
        <w:rPr>
          <w:rFonts w:asciiTheme="minorHAnsi" w:hAnsiTheme="minorHAnsi" w:cstheme="minorHAnsi"/>
          <w:szCs w:val="20"/>
          <w:vertAlign w:val="superscript"/>
        </w:rPr>
        <w:t>3</w:t>
      </w:r>
      <w:r>
        <w:rPr>
          <w:rFonts w:asciiTheme="minorHAnsi" w:hAnsiTheme="minorHAnsi" w:cstheme="minorHAnsi"/>
          <w:szCs w:val="20"/>
        </w:rPr>
        <w:t>/day)</w:t>
      </w:r>
      <w:r w:rsidRPr="006B17BE">
        <w:rPr>
          <w:rFonts w:asciiTheme="minorHAnsi" w:hAnsiTheme="minorHAnsi" w:cstheme="minorHAnsi"/>
          <w:szCs w:val="20"/>
        </w:rPr>
        <w:t xml:space="preserve">, (b) total regional leakage (full model domain) across the upper aquitard </w:t>
      </w:r>
      <w:r>
        <w:rPr>
          <w:rFonts w:asciiTheme="minorHAnsi" w:hAnsiTheme="minorHAnsi" w:cstheme="minorHAnsi"/>
          <w:szCs w:val="20"/>
        </w:rPr>
        <w:t>(m</w:t>
      </w:r>
      <w:r w:rsidRPr="00F70FD6">
        <w:rPr>
          <w:rFonts w:asciiTheme="minorHAnsi" w:hAnsiTheme="minorHAnsi" w:cstheme="minorHAnsi"/>
          <w:szCs w:val="20"/>
          <w:vertAlign w:val="superscript"/>
        </w:rPr>
        <w:t>3</w:t>
      </w:r>
      <w:r>
        <w:rPr>
          <w:rFonts w:asciiTheme="minorHAnsi" w:hAnsiTheme="minorHAnsi" w:cstheme="minorHAnsi"/>
          <w:szCs w:val="20"/>
        </w:rPr>
        <w:t>/day)</w:t>
      </w:r>
      <w:r w:rsidRPr="006B17BE">
        <w:rPr>
          <w:rFonts w:asciiTheme="minorHAnsi" w:hAnsiTheme="minorHAnsi" w:cstheme="minorHAnsi"/>
          <w:szCs w:val="20"/>
        </w:rPr>
        <w:t>, and (c) total leakage beneath the gas well field (425 km</w:t>
      </w:r>
      <w:r w:rsidRPr="004C57F1">
        <w:rPr>
          <w:rFonts w:asciiTheme="minorHAnsi" w:hAnsiTheme="minorHAnsi" w:cstheme="minorHAnsi"/>
          <w:szCs w:val="20"/>
          <w:vertAlign w:val="superscript"/>
        </w:rPr>
        <w:t>2</w:t>
      </w:r>
      <w:r w:rsidRPr="006B17BE">
        <w:rPr>
          <w:rFonts w:asciiTheme="minorHAnsi" w:hAnsiTheme="minorHAnsi" w:cstheme="minorHAnsi"/>
          <w:szCs w:val="20"/>
        </w:rPr>
        <w:t>), from layer 2 into the underlying coal target formation (layer 3)</w:t>
      </w:r>
      <w:r>
        <w:rPr>
          <w:rFonts w:asciiTheme="minorHAnsi" w:hAnsiTheme="minorHAnsi" w:cstheme="minorHAnsi"/>
          <w:szCs w:val="20"/>
        </w:rPr>
        <w:t xml:space="preserve"> (m</w:t>
      </w:r>
      <w:r w:rsidRPr="00F70FD6">
        <w:rPr>
          <w:rFonts w:asciiTheme="minorHAnsi" w:hAnsiTheme="minorHAnsi" w:cstheme="minorHAnsi"/>
          <w:szCs w:val="20"/>
          <w:vertAlign w:val="superscript"/>
        </w:rPr>
        <w:t>3</w:t>
      </w:r>
      <w:r>
        <w:rPr>
          <w:rFonts w:asciiTheme="minorHAnsi" w:hAnsiTheme="minorHAnsi" w:cstheme="minorHAnsi"/>
          <w:szCs w:val="20"/>
        </w:rPr>
        <w:t>/day)</w:t>
      </w:r>
      <w:r w:rsidRPr="006B17BE">
        <w:rPr>
          <w:rFonts w:asciiTheme="minorHAnsi" w:hAnsiTheme="minorHAnsi" w:cstheme="minorHAnsi"/>
          <w:szCs w:val="20"/>
        </w:rPr>
        <w:t>. All simulations generate identical regional leakage response and therefore plot on top of each other. The blue bar indicates the coal seam gas (and water) production period (25 years).</w:t>
      </w:r>
      <w:bookmarkEnd w:id="540"/>
    </w:p>
    <w:p w14:paraId="557D386E" w14:textId="77777777" w:rsidR="005721D9" w:rsidRDefault="005721D9" w:rsidP="007B55BE">
      <w:pPr>
        <w:pStyle w:val="BodyText"/>
      </w:pPr>
    </w:p>
    <w:p w14:paraId="28204E66" w14:textId="3F36F046" w:rsidR="005721D9" w:rsidRDefault="005721D9" w:rsidP="005721D9">
      <w:pPr>
        <w:pStyle w:val="Body"/>
      </w:pPr>
      <w:r>
        <w:t xml:space="preserve">As a reference, the three </w:t>
      </w:r>
      <w:r w:rsidR="007B55BE">
        <w:t xml:space="preserve">total </w:t>
      </w:r>
      <w:r>
        <w:t>fluxes are also shown for zero % failure rate (</w:t>
      </w:r>
      <w:r w:rsidR="0014612E">
        <w:fldChar w:fldCharType="begin"/>
      </w:r>
      <w:r w:rsidR="0014612E">
        <w:instrText xml:space="preserve"> REF _Ref483567812 \h </w:instrText>
      </w:r>
      <w:r w:rsidR="0014612E">
        <w:fldChar w:fldCharType="separate"/>
      </w:r>
      <w:r w:rsidR="00086147">
        <w:t xml:space="preserve">Figure </w:t>
      </w:r>
      <w:r w:rsidR="00086147">
        <w:rPr>
          <w:noProof/>
        </w:rPr>
        <w:t>4</w:t>
      </w:r>
      <w:r w:rsidR="00086147">
        <w:noBreakHyphen/>
      </w:r>
      <w:r w:rsidR="00086147">
        <w:rPr>
          <w:noProof/>
        </w:rPr>
        <w:t>7</w:t>
      </w:r>
      <w:r w:rsidR="0014612E">
        <w:fldChar w:fldCharType="end"/>
      </w:r>
      <w:r>
        <w:t>). This represents a yardstick against which the scenarios with failure rates larger than zero can be compared. Without well leakage, the total flux through the aquitard at the gas project area is half (300 m</w:t>
      </w:r>
      <w:r w:rsidRPr="00000723">
        <w:rPr>
          <w:vertAlign w:val="superscript"/>
        </w:rPr>
        <w:t>3</w:t>
      </w:r>
      <w:r>
        <w:t>/day) that of the total regional flux (600 m</w:t>
      </w:r>
      <w:r w:rsidRPr="00000723">
        <w:rPr>
          <w:vertAlign w:val="superscript"/>
        </w:rPr>
        <w:t>3</w:t>
      </w:r>
      <w:r>
        <w:t>/day). For 100% leaky wells the flux through the aquitard decreases to 200 m</w:t>
      </w:r>
      <w:r w:rsidRPr="0005428E">
        <w:rPr>
          <w:vertAlign w:val="superscript"/>
        </w:rPr>
        <w:t>3</w:t>
      </w:r>
      <w:r>
        <w:t>/day as a fraction of the flux now goes through the wells.</w:t>
      </w:r>
    </w:p>
    <w:p w14:paraId="04150DB5" w14:textId="560D2B6A" w:rsidR="00000723" w:rsidRDefault="00000723" w:rsidP="00000723">
      <w:pPr>
        <w:pStyle w:val="BodyText"/>
      </w:pPr>
      <w:r w:rsidRPr="00000723">
        <w:rPr>
          <w:noProof/>
        </w:rPr>
        <w:drawing>
          <wp:inline distT="0" distB="0" distL="0" distR="0" wp14:anchorId="2C79BD3B" wp14:editId="531708F4">
            <wp:extent cx="5731510" cy="3070181"/>
            <wp:effectExtent l="0" t="0" r="254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31510" cy="3070181"/>
                    </a:xfrm>
                    <a:prstGeom prst="rect">
                      <a:avLst/>
                    </a:prstGeom>
                    <a:noFill/>
                    <a:ln>
                      <a:noFill/>
                    </a:ln>
                  </pic:spPr>
                </pic:pic>
              </a:graphicData>
            </a:graphic>
          </wp:inline>
        </w:drawing>
      </w:r>
    </w:p>
    <w:p w14:paraId="265F62C4" w14:textId="212CDD56" w:rsidR="0014612E" w:rsidRDefault="0014612E" w:rsidP="0014612E">
      <w:pPr>
        <w:pStyle w:val="Caption"/>
      </w:pPr>
    </w:p>
    <w:p w14:paraId="61408195" w14:textId="2FDB5392" w:rsidR="00000723" w:rsidRDefault="0014612E" w:rsidP="00000723">
      <w:pPr>
        <w:pStyle w:val="Caption"/>
      </w:pPr>
      <w:bookmarkStart w:id="541" w:name="_Ref483567812"/>
      <w:bookmarkStart w:id="542" w:name="_Toc508267282"/>
      <w:r>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noBreakHyphen/>
      </w:r>
      <w:r w:rsidR="00296C49">
        <w:fldChar w:fldCharType="begin"/>
      </w:r>
      <w:r w:rsidR="00296C49">
        <w:instrText xml:space="preserve"> SEQ Figure \* ARABIC \s 1</w:instrText>
      </w:r>
      <w:r w:rsidR="00296C49">
        <w:instrText xml:space="preserve"> </w:instrText>
      </w:r>
      <w:r w:rsidR="00296C49">
        <w:fldChar w:fldCharType="separate"/>
      </w:r>
      <w:r w:rsidR="00086147">
        <w:rPr>
          <w:noProof/>
        </w:rPr>
        <w:t>7</w:t>
      </w:r>
      <w:r w:rsidR="00296C49">
        <w:rPr>
          <w:noProof/>
        </w:rPr>
        <w:fldChar w:fldCharType="end"/>
      </w:r>
      <w:bookmarkEnd w:id="541"/>
      <w:r>
        <w:t xml:space="preserve"> </w:t>
      </w:r>
      <w:r w:rsidR="00000723" w:rsidRPr="00372AF9">
        <w:t>Contributions to daily mass balance of inter-aquifer leakage from diffuse flux across aquitard (full model domain), diffuse flux across aquitard in the gas project area, and flux through leaky wells (</w:t>
      </w:r>
      <w:r w:rsidR="00000723">
        <w:t>0</w:t>
      </w:r>
      <w:r w:rsidR="00000723" w:rsidRPr="00372AF9">
        <w:t xml:space="preserve"> % well failure)</w:t>
      </w:r>
      <w:r w:rsidR="00000723" w:rsidRPr="00C92E76">
        <w:t>.</w:t>
      </w:r>
      <w:bookmarkEnd w:id="542"/>
    </w:p>
    <w:p w14:paraId="6471523A" w14:textId="60845C55" w:rsidR="00AA16BE" w:rsidRPr="006B17BE" w:rsidRDefault="00FE19D7" w:rsidP="00C65320">
      <w:pPr>
        <w:pStyle w:val="Heading2"/>
      </w:pPr>
      <w:bookmarkStart w:id="543" w:name="_Toc477438032"/>
      <w:bookmarkStart w:id="544" w:name="_Toc477438033"/>
      <w:bookmarkStart w:id="545" w:name="_Toc477438034"/>
      <w:bookmarkStart w:id="546" w:name="_Toc477438035"/>
      <w:bookmarkStart w:id="547" w:name="_Ref477437039"/>
      <w:bookmarkStart w:id="548" w:name="_Toc483567951"/>
      <w:bookmarkEnd w:id="543"/>
      <w:bookmarkEnd w:id="544"/>
      <w:bookmarkEnd w:id="545"/>
      <w:bookmarkEnd w:id="546"/>
      <w:r w:rsidRPr="006B17BE">
        <w:t xml:space="preserve">Metric 3: </w:t>
      </w:r>
      <w:r w:rsidR="00AA16BE" w:rsidRPr="006B17BE">
        <w:t xml:space="preserve">Maximum drawdown and </w:t>
      </w:r>
      <w:r w:rsidR="0049461B" w:rsidRPr="006B17BE">
        <w:t xml:space="preserve">time of </w:t>
      </w:r>
      <w:r w:rsidR="00AA16BE" w:rsidRPr="006B17BE">
        <w:t>maximum drawdown</w:t>
      </w:r>
      <w:r w:rsidR="0049461B" w:rsidRPr="006B17BE">
        <w:t xml:space="preserve"> time</w:t>
      </w:r>
      <w:bookmarkEnd w:id="547"/>
      <w:bookmarkEnd w:id="548"/>
    </w:p>
    <w:p w14:paraId="59A618F2" w14:textId="6CB42EDC" w:rsidR="00AA16BE" w:rsidRPr="006B17BE" w:rsidRDefault="00AA16BE" w:rsidP="001F2236">
      <w:pPr>
        <w:pStyle w:val="Body"/>
      </w:pPr>
      <w:r w:rsidRPr="006B17BE">
        <w:t xml:space="preserve">Simulated groundwater heads in </w:t>
      </w:r>
      <w:r w:rsidR="0049461B" w:rsidRPr="006B17BE">
        <w:t>the main aquifer (</w:t>
      </w:r>
      <w:r w:rsidRPr="006B17BE">
        <w:t>layer 1</w:t>
      </w:r>
      <w:r w:rsidR="0049461B" w:rsidRPr="006B17BE">
        <w:t>)</w:t>
      </w:r>
      <w:r w:rsidRPr="006B17BE">
        <w:t xml:space="preserve"> were not significantly influence</w:t>
      </w:r>
      <w:r w:rsidR="00FE19D7" w:rsidRPr="006B17BE">
        <w:t>d</w:t>
      </w:r>
      <w:r w:rsidRPr="006B17BE">
        <w:t xml:space="preserve"> during the 25 year pumping period</w:t>
      </w:r>
      <w:r w:rsidR="00FE19D7" w:rsidRPr="006B17BE">
        <w:t xml:space="preserve"> in the absence of well-induced leakage</w:t>
      </w:r>
      <w:r w:rsidRPr="006B17BE">
        <w:t>. Any observed head variations can be attributed to regional leakage to the main aquitard (layer 2)</w:t>
      </w:r>
      <w:r w:rsidR="00FE19D7" w:rsidRPr="006B17BE">
        <w:t>.</w:t>
      </w:r>
      <w:r w:rsidRPr="006B17BE">
        <w:t xml:space="preserve"> All significant changes to the groundwater head occurred during the recovery phase, i.e., after pumping had ceased. </w:t>
      </w:r>
    </w:p>
    <w:p w14:paraId="3EAD0B99" w14:textId="54BF25AA" w:rsidR="00F44DD4" w:rsidRPr="006B17BE" w:rsidRDefault="00F44DD4" w:rsidP="00FE19D7">
      <w:pPr>
        <w:pStyle w:val="Body"/>
      </w:pPr>
      <w:r w:rsidRPr="006B17BE">
        <w:t xml:space="preserve">The maximum drawdown </w:t>
      </w:r>
      <w:r w:rsidR="008536AD" w:rsidRPr="006B17BE">
        <w:t xml:space="preserve">in the main aquifer (layer 1) </w:t>
      </w:r>
      <w:r w:rsidRPr="006B17BE">
        <w:t xml:space="preserve">and the time of maximum drawdown are shown in </w:t>
      </w:r>
      <w:r w:rsidRPr="006B17BE">
        <w:fldChar w:fldCharType="begin"/>
      </w:r>
      <w:r w:rsidRPr="006B17BE">
        <w:instrText xml:space="preserve"> REF _Ref476035876 \h  \* MERGEFORMAT </w:instrText>
      </w:r>
      <w:r w:rsidRPr="006B17BE">
        <w:fldChar w:fldCharType="separate"/>
      </w:r>
      <w:r w:rsidR="00086147" w:rsidRPr="006B17BE">
        <w:t xml:space="preserve">Figure </w:t>
      </w:r>
      <w:r w:rsidR="00086147">
        <w:t>4</w:t>
      </w:r>
      <w:r w:rsidR="00086147">
        <w:noBreakHyphen/>
        <w:t>8</w:t>
      </w:r>
      <w:r w:rsidRPr="006B17BE">
        <w:fldChar w:fldCharType="end"/>
      </w:r>
      <w:r w:rsidRPr="006B17BE">
        <w:t xml:space="preserve"> </w:t>
      </w:r>
      <w:r w:rsidR="008536AD" w:rsidRPr="006B17BE">
        <w:t xml:space="preserve">for a 0% well failure and in </w:t>
      </w:r>
      <w:r w:rsidRPr="006B17BE">
        <w:fldChar w:fldCharType="begin"/>
      </w:r>
      <w:r w:rsidRPr="006B17BE">
        <w:instrText xml:space="preserve"> REF _Ref476035878 \h  \* MERGEFORMAT </w:instrText>
      </w:r>
      <w:r w:rsidRPr="006B17BE">
        <w:fldChar w:fldCharType="separate"/>
      </w:r>
      <w:r w:rsidR="00086147" w:rsidRPr="006B17BE">
        <w:t xml:space="preserve">Figure </w:t>
      </w:r>
      <w:r w:rsidR="00086147">
        <w:t>4</w:t>
      </w:r>
      <w:r w:rsidR="00086147">
        <w:noBreakHyphen/>
        <w:t>9</w:t>
      </w:r>
      <w:r w:rsidRPr="006B17BE">
        <w:fldChar w:fldCharType="end"/>
      </w:r>
      <w:r w:rsidR="008536AD" w:rsidRPr="006B17BE">
        <w:t xml:space="preserve"> for a 100% well failure</w:t>
      </w:r>
      <w:r w:rsidRPr="006B17BE">
        <w:t>, respectively. The impact of enhanced inter-aquifer leakage through leaky wells appears to have no discernible impact on the drawdown, or its timing, in layer 1 of the model</w:t>
      </w:r>
      <w:r w:rsidR="00CD535A" w:rsidRPr="006B17BE">
        <w:t xml:space="preserve"> (see </w:t>
      </w:r>
      <w:r w:rsidR="00AF7DF2" w:rsidRPr="006B17BE">
        <w:fldChar w:fldCharType="begin"/>
      </w:r>
      <w:r w:rsidR="00AF7DF2" w:rsidRPr="006B17BE">
        <w:instrText xml:space="preserve"> REF _Ref478068363 \h </w:instrText>
      </w:r>
      <w:r w:rsidR="006B17BE">
        <w:instrText xml:space="preserve"> \* MERGEFORMAT </w:instrText>
      </w:r>
      <w:r w:rsidR="00AF7DF2"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4</w:t>
      </w:r>
      <w:r w:rsidR="00086147">
        <w:rPr>
          <w:rFonts w:asciiTheme="minorHAnsi" w:hAnsiTheme="minorHAnsi" w:cstheme="minorHAnsi"/>
          <w:noProof/>
          <w:szCs w:val="20"/>
        </w:rPr>
        <w:noBreakHyphen/>
        <w:t>10</w:t>
      </w:r>
      <w:r w:rsidR="00AF7DF2" w:rsidRPr="006B17BE">
        <w:fldChar w:fldCharType="end"/>
      </w:r>
      <w:r w:rsidR="00AF7DF2" w:rsidRPr="006B17BE">
        <w:t xml:space="preserve"> </w:t>
      </w:r>
      <w:r w:rsidR="00CD535A" w:rsidRPr="006B17BE">
        <w:t xml:space="preserve">for the difference between </w:t>
      </w:r>
      <w:r w:rsidR="00CD535A" w:rsidRPr="006B17BE">
        <w:fldChar w:fldCharType="begin"/>
      </w:r>
      <w:r w:rsidR="00CD535A" w:rsidRPr="006B17BE">
        <w:instrText xml:space="preserve"> REF _Ref477440510 \h </w:instrText>
      </w:r>
      <w:r w:rsidR="00FE19D7" w:rsidRPr="006B17BE">
        <w:instrText xml:space="preserve"> \* MERGEFORMAT </w:instrText>
      </w:r>
      <w:r w:rsidR="00CD535A" w:rsidRPr="006B17BE">
        <w:fldChar w:fldCharType="separate"/>
      </w:r>
      <w:r w:rsidR="00086147" w:rsidRPr="006B17BE">
        <w:t xml:space="preserve">Figure </w:t>
      </w:r>
      <w:r w:rsidR="00086147">
        <w:t>4</w:t>
      </w:r>
      <w:r w:rsidR="00086147">
        <w:noBreakHyphen/>
        <w:t>8</w:t>
      </w:r>
      <w:r w:rsidR="00CD535A" w:rsidRPr="006B17BE">
        <w:fldChar w:fldCharType="end"/>
      </w:r>
      <w:r w:rsidR="00CD535A" w:rsidRPr="006B17BE">
        <w:t xml:space="preserve"> and </w:t>
      </w:r>
      <w:r w:rsidR="00CD535A" w:rsidRPr="006B17BE">
        <w:fldChar w:fldCharType="begin"/>
      </w:r>
      <w:r w:rsidR="00CD535A" w:rsidRPr="006B17BE">
        <w:instrText xml:space="preserve"> REF _Ref477440511 \h </w:instrText>
      </w:r>
      <w:r w:rsidR="00FE19D7" w:rsidRPr="006B17BE">
        <w:instrText xml:space="preserve"> \* MERGEFORMAT </w:instrText>
      </w:r>
      <w:r w:rsidR="00CD535A" w:rsidRPr="006B17BE">
        <w:fldChar w:fldCharType="separate"/>
      </w:r>
      <w:r w:rsidR="00086147" w:rsidRPr="006B17BE">
        <w:t xml:space="preserve">Figure </w:t>
      </w:r>
      <w:r w:rsidR="00086147">
        <w:t>4</w:t>
      </w:r>
      <w:r w:rsidR="00086147">
        <w:noBreakHyphen/>
        <w:t>9</w:t>
      </w:r>
      <w:r w:rsidR="00CD535A" w:rsidRPr="006B17BE">
        <w:fldChar w:fldCharType="end"/>
      </w:r>
      <w:r w:rsidR="00CD535A" w:rsidRPr="006B17BE">
        <w:t>)</w:t>
      </w:r>
      <w:r w:rsidRPr="006B17BE">
        <w:t xml:space="preserve">. The limited impact of well failure on the groundwater heads is corroborated by the relatively low flow rates through the wells seen in </w:t>
      </w:r>
      <w:r w:rsidRPr="006B17BE">
        <w:fldChar w:fldCharType="begin"/>
      </w:r>
      <w:r w:rsidRPr="006B17BE">
        <w:instrText xml:space="preserve"> REF _Ref476035773 \h  \* MERGEFORMAT </w:instrText>
      </w:r>
      <w:r w:rsidRPr="006B17BE">
        <w:fldChar w:fldCharType="separate"/>
      </w:r>
      <w:r w:rsidR="00086147" w:rsidRPr="00086147">
        <w:t>Figure 4</w:t>
      </w:r>
      <w:r w:rsidR="00086147" w:rsidRPr="00086147">
        <w:noBreakHyphen/>
        <w:t>4</w:t>
      </w:r>
      <w:r w:rsidRPr="006B17BE">
        <w:fldChar w:fldCharType="end"/>
      </w:r>
      <w:r w:rsidRPr="006B17BE">
        <w:t xml:space="preserve">a. </w:t>
      </w:r>
    </w:p>
    <w:p w14:paraId="5417D095" w14:textId="6A5CC38C" w:rsidR="00AA16BE" w:rsidRPr="006B17BE" w:rsidRDefault="00AA16BE" w:rsidP="001F2236">
      <w:pPr>
        <w:pStyle w:val="Body"/>
      </w:pPr>
      <w:r w:rsidRPr="006B17BE">
        <w:t xml:space="preserve">During the production period, the groundwater heads in layers 3 and 5 declined from 342.5 m AHD for both layers, to a </w:t>
      </w:r>
      <w:r w:rsidR="00AF7DF2" w:rsidRPr="006B17BE">
        <w:t>minimum</w:t>
      </w:r>
      <w:r w:rsidRPr="006B17BE">
        <w:t xml:space="preserve"> depth of 256.1 and -197.7 m AHD (drawdown of 86.4 and 540.2 m respectively) (</w:t>
      </w:r>
      <w:r w:rsidR="00AF7DF2" w:rsidRPr="006B17BE">
        <w:t xml:space="preserve">see further in </w:t>
      </w:r>
      <w:r w:rsidRPr="006B17BE">
        <w:fldChar w:fldCharType="begin"/>
      </w:r>
      <w:r w:rsidRPr="006B17BE">
        <w:instrText xml:space="preserve"> REF _Ref476039420 \h  \* MERGEFORMAT </w:instrText>
      </w:r>
      <w:r w:rsidRPr="006B17BE">
        <w:fldChar w:fldCharType="separate"/>
      </w:r>
      <w:r w:rsidR="00086147" w:rsidRPr="006B17BE">
        <w:t xml:space="preserve">Figure </w:t>
      </w:r>
      <w:r w:rsidR="00086147">
        <w:rPr>
          <w:noProof/>
        </w:rPr>
        <w:t>4</w:t>
      </w:r>
      <w:r w:rsidR="00086147">
        <w:rPr>
          <w:noProof/>
        </w:rPr>
        <w:noBreakHyphen/>
        <w:t>12</w:t>
      </w:r>
      <w:r w:rsidRPr="006B17BE">
        <w:fldChar w:fldCharType="end"/>
      </w:r>
      <w:r w:rsidRPr="006B17BE">
        <w:t xml:space="preserve">). Recovery in layers 3 and 5 can only occur through regional leakage </w:t>
      </w:r>
      <w:r w:rsidR="00AF7DF2" w:rsidRPr="006B17BE">
        <w:t xml:space="preserve">across the bulk aquitard </w:t>
      </w:r>
      <w:r w:rsidRPr="006B17BE">
        <w:t xml:space="preserve">or through failed wells (if present). In the absence of any well failure, a drawdown of 0.9 m still persists in layers 3 and 5, 1500 years after pumping has ceased. </w:t>
      </w:r>
    </w:p>
    <w:p w14:paraId="30A9C7B6" w14:textId="64BC63C1" w:rsidR="00AA16BE" w:rsidRPr="006B17BE" w:rsidRDefault="009B4FFE" w:rsidP="00AA16BE">
      <w:pPr>
        <w:keepNext/>
        <w:jc w:val="both"/>
        <w:rPr>
          <w:rFonts w:asciiTheme="minorHAnsi" w:hAnsiTheme="minorHAnsi" w:cstheme="minorHAnsi"/>
          <w:sz w:val="24"/>
          <w:szCs w:val="24"/>
        </w:rPr>
      </w:pPr>
      <w:r w:rsidRPr="006B17BE">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00A72A70" w:rsidRPr="006B17BE">
        <w:rPr>
          <w:rFonts w:ascii="Times New Roman" w:eastAsia="Times New Roman" w:hAnsi="Times New Roman"/>
          <w:noProof/>
          <w:snapToGrid w:val="0"/>
          <w:w w:val="0"/>
          <w:sz w:val="0"/>
          <w:szCs w:val="0"/>
          <w:u w:color="000000"/>
          <w:bdr w:val="none" w:sz="0" w:space="0" w:color="000000"/>
          <w:shd w:val="clear" w:color="000000" w:fill="000000"/>
        </w:rPr>
        <w:drawing>
          <wp:inline distT="0" distB="0" distL="0" distR="0" wp14:anchorId="026DA664" wp14:editId="3E5483BB">
            <wp:extent cx="5515088" cy="2068158"/>
            <wp:effectExtent l="0" t="0" r="0" b="8890"/>
            <wp:docPr id="99" name="Picture 99" descr="D:\workspace\noor0021\CSG\leaky_well\Gunnedah_model\tr\tr_cln_rand_largemodel\variable_corr_length_again!\leaky_well_corr_length_10_km\fig_ddn_mx_time_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workspace\noor0021\CSG\leaky_well\Gunnedah_model\tr\tr_cln_rand_largemodel\variable_corr_length_again!\leaky_well_corr_length_10_km\fig_ddn_mx_time_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25702" cy="2072138"/>
                    </a:xfrm>
                    <a:prstGeom prst="rect">
                      <a:avLst/>
                    </a:prstGeom>
                    <a:noFill/>
                    <a:ln>
                      <a:noFill/>
                    </a:ln>
                  </pic:spPr>
                </pic:pic>
              </a:graphicData>
            </a:graphic>
          </wp:inline>
        </w:drawing>
      </w:r>
    </w:p>
    <w:p w14:paraId="7C5F53F3" w14:textId="7EAAC567" w:rsidR="00AA16BE" w:rsidRPr="006B17BE" w:rsidRDefault="00AA16BE" w:rsidP="00F30743">
      <w:pPr>
        <w:pStyle w:val="Caption"/>
      </w:pPr>
      <w:bookmarkStart w:id="549" w:name="_Ref477440510"/>
      <w:bookmarkStart w:id="550" w:name="_Ref476035876"/>
      <w:bookmarkStart w:id="551" w:name="_Toc508267283"/>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8</w:t>
      </w:r>
      <w:r w:rsidR="00296C49">
        <w:rPr>
          <w:noProof/>
        </w:rPr>
        <w:fldChar w:fldCharType="end"/>
      </w:r>
      <w:bookmarkEnd w:id="549"/>
      <w:bookmarkEnd w:id="550"/>
      <w:r w:rsidRPr="006B17BE">
        <w:t xml:space="preserve"> (a) Maximum groundwater level drawdown </w:t>
      </w:r>
      <w:r w:rsidR="000F6802" w:rsidRPr="006B17BE">
        <w:t xml:space="preserve">in layer 1 </w:t>
      </w:r>
      <w:r w:rsidR="009661BA" w:rsidRPr="006B17BE">
        <w:t xml:space="preserve">for 0% well failure </w:t>
      </w:r>
      <w:r w:rsidRPr="006B17BE">
        <w:t xml:space="preserve">and (b) the associated timing of maximum drawdown relative to the </w:t>
      </w:r>
      <w:r w:rsidR="00B57C0A" w:rsidRPr="006B17BE">
        <w:t xml:space="preserve">initial </w:t>
      </w:r>
      <w:r w:rsidRPr="006B17BE">
        <w:t>steady</w:t>
      </w:r>
      <w:r w:rsidR="009661BA" w:rsidRPr="006B17BE">
        <w:t>-</w:t>
      </w:r>
      <w:r w:rsidRPr="006B17BE">
        <w:t>state groundwater level for 0% well failure.</w:t>
      </w:r>
      <w:bookmarkEnd w:id="551"/>
    </w:p>
    <w:p w14:paraId="70249260" w14:textId="7FD77F8B" w:rsidR="00AA16BE" w:rsidRPr="006B17BE" w:rsidRDefault="009B4FFE" w:rsidP="00AA16BE">
      <w:pPr>
        <w:keepNext/>
        <w:jc w:val="both"/>
        <w:rPr>
          <w:rFonts w:asciiTheme="minorHAnsi" w:hAnsiTheme="minorHAnsi" w:cstheme="minorHAnsi"/>
          <w:sz w:val="24"/>
          <w:szCs w:val="24"/>
        </w:rPr>
      </w:pPr>
      <w:r w:rsidRPr="006B17BE">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00A72A70" w:rsidRPr="006B17BE">
        <w:rPr>
          <w:rFonts w:ascii="Times New Roman" w:eastAsia="Times New Roman" w:hAnsi="Times New Roman"/>
          <w:noProof/>
          <w:snapToGrid w:val="0"/>
          <w:w w:val="0"/>
          <w:sz w:val="0"/>
          <w:szCs w:val="0"/>
          <w:u w:color="000000"/>
          <w:bdr w:val="none" w:sz="0" w:space="0" w:color="000000"/>
          <w:shd w:val="clear" w:color="000000" w:fill="000000"/>
        </w:rPr>
        <w:drawing>
          <wp:inline distT="0" distB="0" distL="0" distR="0" wp14:anchorId="0802ECE9" wp14:editId="1C8E57E6">
            <wp:extent cx="5550947" cy="2081605"/>
            <wp:effectExtent l="0" t="0" r="0" b="0"/>
            <wp:docPr id="100" name="Picture 100" descr="D:\workspace\noor0021\CSG\leaky_well\Gunnedah_model\tr\tr_cln_rand_largemodel\variable_corr_length_again!\leaky_well_corr_length_10_km\fig_ddn_mx_time_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workspace\noor0021\CSG\leaky_well\Gunnedah_model\tr\tr_cln_rand_largemodel\variable_corr_length_again!\leaky_well_corr_length_10_km\fig_ddn_mx_time_100.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60288" cy="2085108"/>
                    </a:xfrm>
                    <a:prstGeom prst="rect">
                      <a:avLst/>
                    </a:prstGeom>
                    <a:noFill/>
                    <a:ln>
                      <a:noFill/>
                    </a:ln>
                  </pic:spPr>
                </pic:pic>
              </a:graphicData>
            </a:graphic>
          </wp:inline>
        </w:drawing>
      </w:r>
    </w:p>
    <w:p w14:paraId="46106BE1" w14:textId="4732881F" w:rsidR="00AA16BE" w:rsidRPr="006B17BE" w:rsidRDefault="00AA16BE" w:rsidP="00F30743">
      <w:pPr>
        <w:pStyle w:val="Caption"/>
      </w:pPr>
      <w:bookmarkStart w:id="552" w:name="_Ref477440511"/>
      <w:bookmarkStart w:id="553" w:name="_Ref476035878"/>
      <w:bookmarkStart w:id="554" w:name="_Toc508267284"/>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9</w:t>
      </w:r>
      <w:r w:rsidR="00296C49">
        <w:rPr>
          <w:noProof/>
        </w:rPr>
        <w:fldChar w:fldCharType="end"/>
      </w:r>
      <w:bookmarkEnd w:id="552"/>
      <w:bookmarkEnd w:id="553"/>
      <w:r w:rsidRPr="006B17BE">
        <w:t xml:space="preserve"> (a) Maximum groundwater level drawdown </w:t>
      </w:r>
      <w:r w:rsidR="000F6802" w:rsidRPr="006B17BE">
        <w:t xml:space="preserve">in layer 1 </w:t>
      </w:r>
      <w:r w:rsidR="00F44DD4" w:rsidRPr="006B17BE">
        <w:t xml:space="preserve">for 100% well failure </w:t>
      </w:r>
      <w:r w:rsidRPr="006B17BE">
        <w:t xml:space="preserve">and (b) the associated timing of maximum drawdown relative to the </w:t>
      </w:r>
      <w:r w:rsidR="00B57C0A" w:rsidRPr="006B17BE">
        <w:t xml:space="preserve">initial </w:t>
      </w:r>
      <w:r w:rsidRPr="006B17BE">
        <w:t>steady</w:t>
      </w:r>
      <w:r w:rsidR="00B57C0A" w:rsidRPr="006B17BE">
        <w:t>-</w:t>
      </w:r>
      <w:r w:rsidRPr="006B17BE">
        <w:t>state groundwater level for 100% well failure.</w:t>
      </w:r>
      <w:bookmarkEnd w:id="554"/>
    </w:p>
    <w:p w14:paraId="186FAB5C" w14:textId="074A3E63" w:rsidR="00CD535A" w:rsidRPr="006B17BE" w:rsidRDefault="006E1B72" w:rsidP="00FE19D7">
      <w:bookmarkStart w:id="555" w:name="_Ref477440443"/>
      <w:r w:rsidRPr="005B75DD">
        <w:rPr>
          <w:noProof/>
        </w:rPr>
        <w:drawing>
          <wp:inline distT="0" distB="0" distL="0" distR="0" wp14:anchorId="06B3D2F2" wp14:editId="4D386367">
            <wp:extent cx="5731510" cy="2148840"/>
            <wp:effectExtent l="0" t="0" r="2540" b="3810"/>
            <wp:docPr id="64" name="Picture 64" descr="D:\workspace\noor0021\CSG\leaky_well\Gunnedah_model\tr\tr_cln_rand_largemodel\variable_corr_length_again!\figures\fig_diff0_100_leaky_ddn_mx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workspace\noor0021\CSG\leaky_well\Gunnedah_model\tr\tr_cln_rand_largemodel\variable_corr_length_again!\figures\fig_diff0_100_leaky_ddn_mx_time.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31510" cy="2148840"/>
                    </a:xfrm>
                    <a:prstGeom prst="rect">
                      <a:avLst/>
                    </a:prstGeom>
                    <a:noFill/>
                    <a:ln>
                      <a:noFill/>
                    </a:ln>
                  </pic:spPr>
                </pic:pic>
              </a:graphicData>
            </a:graphic>
          </wp:inline>
        </w:drawing>
      </w:r>
    </w:p>
    <w:p w14:paraId="7DDA0690" w14:textId="6C914EDD" w:rsidR="009918D5" w:rsidRPr="006B17BE" w:rsidRDefault="009918D5" w:rsidP="009918D5">
      <w:pPr>
        <w:pStyle w:val="Caption"/>
        <w:rPr>
          <w:rFonts w:asciiTheme="minorHAnsi" w:hAnsiTheme="minorHAnsi" w:cstheme="minorHAnsi"/>
          <w:szCs w:val="20"/>
        </w:rPr>
      </w:pPr>
      <w:bookmarkStart w:id="556" w:name="_Ref478068363"/>
      <w:bookmarkStart w:id="557" w:name="_Toc508267285"/>
      <w:r w:rsidRPr="006B17BE">
        <w:rPr>
          <w:rFonts w:asciiTheme="minorHAnsi" w:hAnsiTheme="minorHAnsi" w:cstheme="minorHAnsi"/>
          <w:szCs w:val="20"/>
        </w:rPr>
        <w:t xml:space="preserve">Figure </w:t>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STYLEREF 1 \s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4</w:t>
      </w:r>
      <w:r w:rsidR="0014612E">
        <w:rPr>
          <w:rFonts w:asciiTheme="minorHAnsi" w:hAnsiTheme="minorHAnsi" w:cstheme="minorHAnsi"/>
          <w:szCs w:val="20"/>
        </w:rPr>
        <w:fldChar w:fldCharType="end"/>
      </w:r>
      <w:r w:rsidR="0014612E">
        <w:rPr>
          <w:rFonts w:asciiTheme="minorHAnsi" w:hAnsiTheme="minorHAnsi" w:cstheme="minorHAnsi"/>
          <w:szCs w:val="20"/>
        </w:rPr>
        <w:noBreakHyphen/>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SEQ Figure \* ARABIC \s 1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10</w:t>
      </w:r>
      <w:r w:rsidR="0014612E">
        <w:rPr>
          <w:rFonts w:asciiTheme="minorHAnsi" w:hAnsiTheme="minorHAnsi" w:cstheme="minorHAnsi"/>
          <w:szCs w:val="20"/>
        </w:rPr>
        <w:fldChar w:fldCharType="end"/>
      </w:r>
      <w:bookmarkEnd w:id="555"/>
      <w:bookmarkEnd w:id="556"/>
      <w:r w:rsidRPr="006B17BE">
        <w:rPr>
          <w:rFonts w:asciiTheme="minorHAnsi" w:hAnsiTheme="minorHAnsi" w:cstheme="minorHAnsi"/>
          <w:szCs w:val="20"/>
        </w:rPr>
        <w:t xml:space="preserve"> (a) Difference in maximum groundwater level drawdown </w:t>
      </w:r>
      <w:r w:rsidR="000F6802" w:rsidRPr="006B17BE">
        <w:rPr>
          <w:rFonts w:asciiTheme="minorHAnsi" w:hAnsiTheme="minorHAnsi" w:cstheme="minorHAnsi"/>
          <w:szCs w:val="20"/>
        </w:rPr>
        <w:t xml:space="preserve">in layer 1 </w:t>
      </w:r>
      <w:r w:rsidRPr="006B17BE">
        <w:rPr>
          <w:rFonts w:asciiTheme="minorHAnsi" w:hAnsiTheme="minorHAnsi" w:cstheme="minorHAnsi"/>
          <w:szCs w:val="20"/>
        </w:rPr>
        <w:t>between 0% and 100% well failure and (b) the associated difference in timing of maximum drawdown relative to the steady</w:t>
      </w:r>
      <w:r w:rsidR="00B57C0A" w:rsidRPr="006B17BE">
        <w:rPr>
          <w:rFonts w:asciiTheme="minorHAnsi" w:hAnsiTheme="minorHAnsi" w:cstheme="minorHAnsi"/>
          <w:szCs w:val="20"/>
        </w:rPr>
        <w:t>-</w:t>
      </w:r>
      <w:r w:rsidRPr="006B17BE">
        <w:rPr>
          <w:rFonts w:asciiTheme="minorHAnsi" w:hAnsiTheme="minorHAnsi" w:cstheme="minorHAnsi"/>
          <w:szCs w:val="20"/>
        </w:rPr>
        <w:t>state groundwater level between 0% and 100% well failure.</w:t>
      </w:r>
      <w:bookmarkEnd w:id="557"/>
    </w:p>
    <w:p w14:paraId="33017A21" w14:textId="77777777" w:rsidR="00A72A70" w:rsidRPr="006B17BE" w:rsidRDefault="00A72A70" w:rsidP="0006027E">
      <w:pPr>
        <w:pStyle w:val="BodyText"/>
      </w:pPr>
    </w:p>
    <w:p w14:paraId="5ACA3732" w14:textId="64D51298" w:rsidR="00AA16BE" w:rsidRPr="006B17BE" w:rsidRDefault="00AF7DF2" w:rsidP="00C65320">
      <w:pPr>
        <w:pStyle w:val="Heading2"/>
      </w:pPr>
      <w:bookmarkStart w:id="558" w:name="_Toc477438037"/>
      <w:bookmarkStart w:id="559" w:name="_Toc483567952"/>
      <w:bookmarkEnd w:id="558"/>
      <w:r w:rsidRPr="006B17BE">
        <w:t xml:space="preserve">Metric 4: </w:t>
      </w:r>
      <w:r w:rsidR="003F6DF8" w:rsidRPr="006B17BE">
        <w:t xml:space="preserve">Aquifer </w:t>
      </w:r>
      <w:r w:rsidR="00AA16BE" w:rsidRPr="006B17BE">
        <w:t>equilibrat</w:t>
      </w:r>
      <w:r w:rsidR="003F6DF8" w:rsidRPr="006B17BE">
        <w:t>ion time</w:t>
      </w:r>
      <w:bookmarkEnd w:id="559"/>
    </w:p>
    <w:p w14:paraId="15650212" w14:textId="033242A6" w:rsidR="00AA16BE" w:rsidRPr="006B17BE" w:rsidRDefault="00AA16BE" w:rsidP="00F30743">
      <w:pPr>
        <w:pStyle w:val="Body"/>
      </w:pPr>
      <w:r w:rsidRPr="006B17BE">
        <w:t xml:space="preserve">Assuming hydraulic pressures equilibrate within the system, a </w:t>
      </w:r>
      <w:r w:rsidR="00B57C0A" w:rsidRPr="006B17BE">
        <w:t>two</w:t>
      </w:r>
      <w:r w:rsidRPr="006B17BE">
        <w:t xml:space="preserve"> order of magnitude reduction in flow th</w:t>
      </w:r>
      <w:r w:rsidR="00A90318" w:rsidRPr="006B17BE">
        <w:t>r</w:t>
      </w:r>
      <w:r w:rsidRPr="006B17BE">
        <w:t>ough the wells (</w:t>
      </w:r>
      <w:r w:rsidR="00CE75FD" w:rsidRPr="006B17BE">
        <w:t xml:space="preserve">i.e. </w:t>
      </w:r>
      <w:r w:rsidRPr="006B17BE">
        <w:t xml:space="preserve">99% reduction in inter-aquifer leakage) represents </w:t>
      </w:r>
      <w:r w:rsidR="00CE75FD" w:rsidRPr="006B17BE">
        <w:t xml:space="preserve">a </w:t>
      </w:r>
      <w:r w:rsidRPr="006B17BE">
        <w:t xml:space="preserve">system closely approaching a new quasi-equilibrium. </w:t>
      </w:r>
      <w:r w:rsidRPr="006B17BE">
        <w:fldChar w:fldCharType="begin"/>
      </w:r>
      <w:r w:rsidRPr="006B17BE">
        <w:instrText xml:space="preserve"> REF _Ref476035943 \h  \* MERGEFORMAT </w:instrText>
      </w:r>
      <w:r w:rsidRPr="006B17BE">
        <w:fldChar w:fldCharType="separate"/>
      </w:r>
      <w:r w:rsidR="00086147" w:rsidRPr="006B17BE">
        <w:t xml:space="preserve">Figure </w:t>
      </w:r>
      <w:r w:rsidR="00086147">
        <w:rPr>
          <w:noProof/>
        </w:rPr>
        <w:t>4</w:t>
      </w:r>
      <w:r w:rsidR="00086147">
        <w:rPr>
          <w:noProof/>
        </w:rPr>
        <w:noBreakHyphen/>
        <w:t>11</w:t>
      </w:r>
      <w:r w:rsidRPr="006B17BE">
        <w:fldChar w:fldCharType="end"/>
      </w:r>
      <w:r w:rsidRPr="006B17BE">
        <w:t xml:space="preserve"> shows the relationship between well failure rate and the time to </w:t>
      </w:r>
      <w:r w:rsidR="00CE75FD" w:rsidRPr="006B17BE">
        <w:t xml:space="preserve">reach </w:t>
      </w:r>
      <w:r w:rsidR="00AF7DF2" w:rsidRPr="006B17BE">
        <w:t xml:space="preserve">a new </w:t>
      </w:r>
      <w:r w:rsidRPr="006B17BE">
        <w:t xml:space="preserve">quasi-equilibrium. In general, the higher the </w:t>
      </w:r>
      <w:r w:rsidR="00CE75FD" w:rsidRPr="006B17BE">
        <w:t xml:space="preserve">percentage </w:t>
      </w:r>
      <w:r w:rsidRPr="006B17BE">
        <w:t>of well failures, the quicker the system reach</w:t>
      </w:r>
      <w:r w:rsidR="00CE75FD" w:rsidRPr="006B17BE">
        <w:t>es</w:t>
      </w:r>
      <w:r w:rsidRPr="006B17BE">
        <w:t xml:space="preserve"> a new equilibrium</w:t>
      </w:r>
      <w:r w:rsidR="006E1B72">
        <w:t xml:space="preserve"> (Q1)</w:t>
      </w:r>
      <w:r w:rsidR="00CE75FD" w:rsidRPr="006B17BE">
        <w:t xml:space="preserve">. This is </w:t>
      </w:r>
      <w:r w:rsidRPr="006B17BE">
        <w:t>because the additional flow pathways provided by the wells help replenish the underlying production layers at a faster rate</w:t>
      </w:r>
      <w:r w:rsidR="006E1B72">
        <w:t xml:space="preserve"> (based on no simulated recharge)</w:t>
      </w:r>
      <w:r w:rsidRPr="006B17BE">
        <w:t xml:space="preserve">. </w:t>
      </w:r>
      <w:r w:rsidR="000F6802" w:rsidRPr="006B17BE">
        <w:t>Despite the system reaching faster equilibrium with a higher failure rate, the effect on the groundwater levels in the layer 1 is still negligible (</w:t>
      </w:r>
      <w:r w:rsidR="000F6802" w:rsidRPr="006B17BE">
        <w:fldChar w:fldCharType="begin"/>
      </w:r>
      <w:r w:rsidR="000F6802" w:rsidRPr="006B17BE">
        <w:instrText xml:space="preserve"> REF _Ref478068363 \h </w:instrText>
      </w:r>
      <w:r w:rsidR="006B17BE">
        <w:instrText xml:space="preserve"> \* MERGEFORMAT </w:instrText>
      </w:r>
      <w:r w:rsidR="000F6802"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4</w:t>
      </w:r>
      <w:r w:rsidR="00086147">
        <w:rPr>
          <w:rFonts w:asciiTheme="minorHAnsi" w:hAnsiTheme="minorHAnsi" w:cstheme="minorHAnsi"/>
          <w:noProof/>
          <w:szCs w:val="20"/>
        </w:rPr>
        <w:noBreakHyphen/>
        <w:t>10</w:t>
      </w:r>
      <w:r w:rsidR="000F6802" w:rsidRPr="006B17BE">
        <w:fldChar w:fldCharType="end"/>
      </w:r>
      <w:r w:rsidR="000F6802" w:rsidRPr="006B17BE">
        <w:t xml:space="preserve">). </w:t>
      </w:r>
      <w:r w:rsidRPr="006B17BE">
        <w:t xml:space="preserve">This general trend can be observed in </w:t>
      </w:r>
      <w:r w:rsidRPr="006B17BE">
        <w:fldChar w:fldCharType="begin"/>
      </w:r>
      <w:r w:rsidRPr="006B17BE">
        <w:instrText xml:space="preserve"> REF _Ref476035943 \h  \* MERGEFORMAT </w:instrText>
      </w:r>
      <w:r w:rsidRPr="006B17BE">
        <w:fldChar w:fldCharType="separate"/>
      </w:r>
      <w:r w:rsidR="00086147" w:rsidRPr="006B17BE">
        <w:t xml:space="preserve">Figure </w:t>
      </w:r>
      <w:r w:rsidR="00086147">
        <w:rPr>
          <w:noProof/>
        </w:rPr>
        <w:t>4</w:t>
      </w:r>
      <w:r w:rsidR="00086147">
        <w:rPr>
          <w:noProof/>
        </w:rPr>
        <w:noBreakHyphen/>
        <w:t>11</w:t>
      </w:r>
      <w:r w:rsidRPr="006B17BE">
        <w:fldChar w:fldCharType="end"/>
      </w:r>
      <w:r w:rsidRPr="006B17BE">
        <w:t xml:space="preserve">, however there is considerable variability in the time to </w:t>
      </w:r>
      <w:r w:rsidR="000F6802" w:rsidRPr="006B17BE">
        <w:t xml:space="preserve">a </w:t>
      </w:r>
      <w:r w:rsidRPr="006B17BE">
        <w:t>new quasi-equilibrium for simulations with a low failure percentage (</w:t>
      </w:r>
      <w:r w:rsidR="000F6802" w:rsidRPr="006B17BE">
        <w:t xml:space="preserve">i.e., </w:t>
      </w:r>
      <w:r w:rsidRPr="006B17BE">
        <w:t xml:space="preserve">less than 40%). This variability can be attributed to a number of factors; 1) how the spatially correlated random failure approach selects its wells, 2) the location of the failed wells within the production zone (water extraction areas), </w:t>
      </w:r>
      <w:r w:rsidR="00AF7DF2" w:rsidRPr="006B17BE">
        <w:t xml:space="preserve">and </w:t>
      </w:r>
      <w:r w:rsidRPr="006B17BE">
        <w:t xml:space="preserve">3) </w:t>
      </w:r>
      <w:r w:rsidR="00A90318" w:rsidRPr="006B17BE">
        <w:t xml:space="preserve">the </w:t>
      </w:r>
      <w:r w:rsidRPr="006B17BE">
        <w:t xml:space="preserve">number of simulations. As </w:t>
      </w:r>
      <w:r w:rsidR="00156A93" w:rsidRPr="006B17BE">
        <w:t xml:space="preserve">previously </w:t>
      </w:r>
      <w:r w:rsidRPr="006B17BE">
        <w:t xml:space="preserve">shown in </w:t>
      </w:r>
      <w:r w:rsidRPr="006B17BE">
        <w:fldChar w:fldCharType="begin"/>
      </w:r>
      <w:r w:rsidRPr="006B17BE">
        <w:instrText xml:space="preserve"> REF _Ref476035716 \h  \* MERGEFORMAT </w:instrText>
      </w:r>
      <w:r w:rsidRPr="006B17BE">
        <w:fldChar w:fldCharType="separate"/>
      </w:r>
      <w:r w:rsidR="00086147" w:rsidRPr="006B17BE">
        <w:t xml:space="preserve">Figure </w:t>
      </w:r>
      <w:r w:rsidR="00086147">
        <w:rPr>
          <w:noProof/>
        </w:rPr>
        <w:t>3</w:t>
      </w:r>
      <w:r w:rsidR="00086147">
        <w:rPr>
          <w:noProof/>
        </w:rPr>
        <w:noBreakHyphen/>
        <w:t>7</w:t>
      </w:r>
      <w:r w:rsidRPr="006B17BE">
        <w:fldChar w:fldCharType="end"/>
      </w:r>
      <w:r w:rsidRPr="006B17BE">
        <w:t>, spatial</w:t>
      </w:r>
      <w:r w:rsidR="00A945EA" w:rsidRPr="006B17BE">
        <w:t xml:space="preserve"> </w:t>
      </w:r>
      <w:r w:rsidRPr="006B17BE">
        <w:t>correlation of well failure will result in clustering of selected wells, the extent of which is determined by the correlation length. A longer correlation length (i.e., 10 km such as that used in this study), which result</w:t>
      </w:r>
      <w:r w:rsidR="00AF7DF2" w:rsidRPr="006B17BE">
        <w:t>s</w:t>
      </w:r>
      <w:r w:rsidRPr="006B17BE">
        <w:t xml:space="preserve"> in </w:t>
      </w:r>
      <w:r w:rsidR="00156A93" w:rsidRPr="006B17BE">
        <w:t xml:space="preserve">wells being more strongly </w:t>
      </w:r>
      <w:r w:rsidRPr="006B17BE">
        <w:t>cluster</w:t>
      </w:r>
      <w:r w:rsidR="00156A93" w:rsidRPr="006B17BE">
        <w:t>ed</w:t>
      </w:r>
      <w:r w:rsidRPr="006B17BE">
        <w:t xml:space="preserve">, whereas a smaller correlation length will produce a more random well selection </w:t>
      </w:r>
      <w:r w:rsidR="00156A93" w:rsidRPr="006B17BE">
        <w:t xml:space="preserve">with less clustering </w:t>
      </w:r>
      <w:r w:rsidRPr="006B17BE">
        <w:t xml:space="preserve">(see </w:t>
      </w:r>
      <w:r w:rsidRPr="006B17BE">
        <w:fldChar w:fldCharType="begin"/>
      </w:r>
      <w:r w:rsidRPr="006B17BE">
        <w:instrText xml:space="preserve"> REF _Ref476035716 \h  \* MERGEFORMAT </w:instrText>
      </w:r>
      <w:r w:rsidRPr="006B17BE">
        <w:fldChar w:fldCharType="separate"/>
      </w:r>
      <w:r w:rsidR="00086147" w:rsidRPr="006B17BE">
        <w:t xml:space="preserve">Figure </w:t>
      </w:r>
      <w:r w:rsidR="00086147">
        <w:rPr>
          <w:noProof/>
        </w:rPr>
        <w:t>3</w:t>
      </w:r>
      <w:r w:rsidR="00086147">
        <w:rPr>
          <w:noProof/>
        </w:rPr>
        <w:noBreakHyphen/>
        <w:t>7</w:t>
      </w:r>
      <w:r w:rsidRPr="006B17BE">
        <w:fldChar w:fldCharType="end"/>
      </w:r>
      <w:r w:rsidRPr="006B17BE">
        <w:t xml:space="preserve">a-e). The </w:t>
      </w:r>
      <w:r w:rsidR="00156A93" w:rsidRPr="006B17BE">
        <w:t xml:space="preserve">more erratic behaviour of </w:t>
      </w:r>
      <w:r w:rsidR="005C1F35" w:rsidRPr="006B17BE">
        <w:t xml:space="preserve">metric </w:t>
      </w:r>
      <w:r w:rsidR="00156A93" w:rsidRPr="006B17BE">
        <w:t xml:space="preserve">Time to Q1 is most apparent for a small well failure percentage which is due to limited </w:t>
      </w:r>
      <w:r w:rsidRPr="006B17BE">
        <w:t>clustering</w:t>
      </w:r>
      <w:r w:rsidR="005C1F35" w:rsidRPr="006B17BE">
        <w:t>. As the well failure percentage increases</w:t>
      </w:r>
      <w:r w:rsidRPr="006B17BE">
        <w:t xml:space="preserve">, </w:t>
      </w:r>
      <w:r w:rsidR="005C1F35" w:rsidRPr="006B17BE">
        <w:t xml:space="preserve">the metric Time to Q1 </w:t>
      </w:r>
      <w:r w:rsidRPr="006B17BE">
        <w:t xml:space="preserve">becomes </w:t>
      </w:r>
      <w:r w:rsidR="005C1F35" w:rsidRPr="006B17BE">
        <w:t>less erratic because wells become more clustered (producing a more homogenous result).</w:t>
      </w:r>
      <w:r w:rsidRPr="006B17BE">
        <w:t xml:space="preserve"> </w:t>
      </w:r>
      <w:r w:rsidR="005C1F35" w:rsidRPr="006B17BE">
        <w:t>Furthermore, w</w:t>
      </w:r>
      <w:r w:rsidRPr="006B17BE">
        <w:t xml:space="preserve">here the density of failed wells is higher (i.e., in such a cluster), a new quasi-equilibrium </w:t>
      </w:r>
      <w:r w:rsidR="00AF7DF2" w:rsidRPr="006B17BE">
        <w:t xml:space="preserve">may be obtained sooner </w:t>
      </w:r>
      <w:r w:rsidRPr="006B17BE">
        <w:t xml:space="preserve">by an increase in aquitard hydraulic connection to the underlying layers, increasing the vertical flow rate, relative to a random selection (i.e., no clustering). </w:t>
      </w:r>
    </w:p>
    <w:p w14:paraId="5F0D1D2A" w14:textId="77777777" w:rsidR="00AA16BE" w:rsidRPr="006B17BE" w:rsidRDefault="00AA16BE" w:rsidP="00AA16BE">
      <w:pPr>
        <w:spacing w:line="360" w:lineRule="auto"/>
        <w:jc w:val="center"/>
        <w:rPr>
          <w:rFonts w:asciiTheme="minorHAnsi" w:hAnsiTheme="minorHAnsi" w:cstheme="minorHAnsi"/>
          <w:sz w:val="24"/>
          <w:szCs w:val="24"/>
        </w:rPr>
      </w:pPr>
      <w:r w:rsidRPr="006B17BE">
        <w:rPr>
          <w:rFonts w:asciiTheme="minorHAnsi" w:hAnsiTheme="minorHAnsi" w:cstheme="minorHAnsi"/>
          <w:noProof/>
          <w:sz w:val="24"/>
          <w:szCs w:val="24"/>
        </w:rPr>
        <w:drawing>
          <wp:inline distT="0" distB="0" distL="0" distR="0" wp14:anchorId="6D5B8045" wp14:editId="43FB7954">
            <wp:extent cx="4204447" cy="3153336"/>
            <wp:effectExtent l="0" t="0" r="5715" b="9525"/>
            <wp:docPr id="67" name="Picture 67" descr="D:\workspace\noor0021\CSG\leaky_well\Gunnedah_model\tr\tr_cln_rand_largemodel\variable_corr_length_again!\leaky_well_corr_length_10_km_extended\Fig_GWF_Q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workspace\noor0021\CSG\leaky_well\Gunnedah_model\tr\tr_cln_rand_largemodel\variable_corr_length_again!\leaky_well_corr_length_10_km_extended\Fig_GWF_Q1.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9936" cy="3164953"/>
                    </a:xfrm>
                    <a:prstGeom prst="rect">
                      <a:avLst/>
                    </a:prstGeom>
                    <a:noFill/>
                    <a:ln>
                      <a:noFill/>
                    </a:ln>
                  </pic:spPr>
                </pic:pic>
              </a:graphicData>
            </a:graphic>
          </wp:inline>
        </w:drawing>
      </w:r>
    </w:p>
    <w:p w14:paraId="1524D00B" w14:textId="63380776" w:rsidR="00AA16BE" w:rsidRPr="006B17BE" w:rsidRDefault="00AA16BE" w:rsidP="00F30743">
      <w:pPr>
        <w:pStyle w:val="Caption"/>
      </w:pPr>
      <w:bookmarkStart w:id="560" w:name="_Ref477531355"/>
      <w:bookmarkStart w:id="561" w:name="_Ref476035943"/>
      <w:bookmarkStart w:id="562" w:name="_Toc508267286"/>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11</w:t>
      </w:r>
      <w:r w:rsidR="00296C49">
        <w:rPr>
          <w:noProof/>
        </w:rPr>
        <w:fldChar w:fldCharType="end"/>
      </w:r>
      <w:bookmarkEnd w:id="560"/>
      <w:bookmarkEnd w:id="561"/>
      <w:r w:rsidRPr="006B17BE">
        <w:t xml:space="preserve"> Time required for </w:t>
      </w:r>
      <w:r w:rsidR="00CE75FD" w:rsidRPr="006B17BE">
        <w:t>the inter-aquifer leakage (</w:t>
      </w:r>
      <w:r w:rsidRPr="006B17BE">
        <w:t>total groundwater flow t</w:t>
      </w:r>
      <w:r w:rsidR="00CE75FD" w:rsidRPr="006B17BE">
        <w:t>hr</w:t>
      </w:r>
      <w:r w:rsidRPr="006B17BE">
        <w:t>o</w:t>
      </w:r>
      <w:r w:rsidR="00CE75FD" w:rsidRPr="006B17BE">
        <w:t>ugh</w:t>
      </w:r>
      <w:r w:rsidRPr="006B17BE">
        <w:t xml:space="preserve"> failed wells</w:t>
      </w:r>
      <w:r w:rsidR="00CE75FD" w:rsidRPr="006B17BE">
        <w:t>)</w:t>
      </w:r>
      <w:r w:rsidRPr="006B17BE">
        <w:t xml:space="preserve"> to reduce to 1% of </w:t>
      </w:r>
      <w:r w:rsidR="00CE75FD" w:rsidRPr="006B17BE">
        <w:t>its</w:t>
      </w:r>
      <w:r w:rsidRPr="006B17BE">
        <w:t xml:space="preserve"> maximum flow </w:t>
      </w:r>
      <w:r w:rsidR="00A945EA" w:rsidRPr="006B17BE">
        <w:t>rate (</w:t>
      </w:r>
      <w:r w:rsidR="00A945EA" w:rsidRPr="006B17BE">
        <w:rPr>
          <w:i/>
        </w:rPr>
        <w:t>Q</w:t>
      </w:r>
      <w:r w:rsidR="00A945EA" w:rsidRPr="006B17BE">
        <w:rPr>
          <w:vertAlign w:val="subscript"/>
        </w:rPr>
        <w:t>1</w:t>
      </w:r>
      <w:r w:rsidR="00A945EA" w:rsidRPr="006B17BE">
        <w:t xml:space="preserve">). </w:t>
      </w:r>
      <w:r w:rsidR="00A945EA" w:rsidRPr="006B17BE">
        <w:rPr>
          <w:i/>
        </w:rPr>
        <w:t>Q</w:t>
      </w:r>
      <w:r w:rsidR="00A945EA" w:rsidRPr="006B17BE">
        <w:rPr>
          <w:vertAlign w:val="subscript"/>
        </w:rPr>
        <w:t>1</w:t>
      </w:r>
      <w:r w:rsidR="00A945EA" w:rsidRPr="006B17BE">
        <w:t xml:space="preserve"> is calculated </w:t>
      </w:r>
      <w:r w:rsidRPr="006B17BE">
        <w:t xml:space="preserve">for different well failure </w:t>
      </w:r>
      <w:r w:rsidR="00123C8E" w:rsidRPr="006B17BE">
        <w:t>rates</w:t>
      </w:r>
      <w:r w:rsidRPr="006B17BE">
        <w:t>.</w:t>
      </w:r>
      <w:bookmarkEnd w:id="562"/>
    </w:p>
    <w:p w14:paraId="7ABA1C31" w14:textId="77777777" w:rsidR="00016D65" w:rsidRPr="006B17BE" w:rsidRDefault="00016D65" w:rsidP="00F30743">
      <w:pPr>
        <w:pStyle w:val="Body"/>
      </w:pPr>
    </w:p>
    <w:p w14:paraId="086A13FA" w14:textId="63FBC40C" w:rsidR="00AA16BE" w:rsidRPr="006B17BE" w:rsidRDefault="00AA16BE" w:rsidP="00F30743">
      <w:pPr>
        <w:pStyle w:val="Body"/>
      </w:pPr>
      <w:r w:rsidRPr="006B17BE">
        <w:t xml:space="preserve">The location of the wells in the well field may </w:t>
      </w:r>
      <w:r w:rsidR="00735843" w:rsidRPr="006B17BE">
        <w:t xml:space="preserve">also </w:t>
      </w:r>
      <w:r w:rsidRPr="006B17BE">
        <w:t xml:space="preserve">be important because the </w:t>
      </w:r>
      <w:r w:rsidR="003B2D61" w:rsidRPr="006B17BE">
        <w:t>well field</w:t>
      </w:r>
      <w:r w:rsidR="00103A45" w:rsidRPr="006B17BE">
        <w:t xml:space="preserve"> </w:t>
      </w:r>
      <w:r w:rsidRPr="006B17BE">
        <w:t>area is subdivided into water extraction area</w:t>
      </w:r>
      <w:r w:rsidR="005357C3">
        <w:t>s</w:t>
      </w:r>
      <w:r w:rsidRPr="006B17BE">
        <w:t xml:space="preserve">, </w:t>
      </w:r>
      <w:r w:rsidR="00AF7DF2" w:rsidRPr="006B17BE">
        <w:t xml:space="preserve">where </w:t>
      </w:r>
      <w:r w:rsidRPr="006B17BE">
        <w:t>each has its own pumping regime with water production values ranging from 5 -</w:t>
      </w:r>
      <w:r w:rsidR="00F30743" w:rsidRPr="006B17BE">
        <w:t xml:space="preserve"> </w:t>
      </w:r>
      <w:r w:rsidRPr="006B17BE">
        <w:t>18 ML/day</w:t>
      </w:r>
      <w:r w:rsidR="00755A4C" w:rsidRPr="006B17BE">
        <w:t xml:space="preserve"> (for details see CDM Smith, 2014)</w:t>
      </w:r>
      <w:r w:rsidRPr="006B17BE">
        <w:t>. This spatial variability in pumping will influence how the failed wells contribute to inter-aquifer leakage. Should a cluster of failed well</w:t>
      </w:r>
      <w:r w:rsidR="005F3CFF">
        <w:t>s</w:t>
      </w:r>
      <w:r w:rsidRPr="006B17BE">
        <w:t xml:space="preserve"> be located in an area of high water production, the underlying layers will have undergone considerable depressurisation, relative to other areas in the well field, thereby creating a large</w:t>
      </w:r>
      <w:r w:rsidR="003B2D61" w:rsidRPr="006B17BE">
        <w:t>r</w:t>
      </w:r>
      <w:r w:rsidRPr="006B17BE">
        <w:t xml:space="preserve"> vertical gradient (see </w:t>
      </w:r>
      <w:r w:rsidRPr="006B17BE">
        <w:fldChar w:fldCharType="begin"/>
      </w:r>
      <w:r w:rsidRPr="006B17BE">
        <w:instrText xml:space="preserve"> REF _Ref476039420 \h  \* MERGEFORMAT </w:instrText>
      </w:r>
      <w:r w:rsidRPr="006B17BE">
        <w:fldChar w:fldCharType="separate"/>
      </w:r>
      <w:r w:rsidR="00086147" w:rsidRPr="006B17BE">
        <w:t xml:space="preserve">Figure </w:t>
      </w:r>
      <w:r w:rsidR="00086147">
        <w:rPr>
          <w:noProof/>
        </w:rPr>
        <w:t>4</w:t>
      </w:r>
      <w:r w:rsidR="00086147">
        <w:rPr>
          <w:noProof/>
        </w:rPr>
        <w:noBreakHyphen/>
        <w:t>12</w:t>
      </w:r>
      <w:r w:rsidRPr="006B17BE">
        <w:fldChar w:fldCharType="end"/>
      </w:r>
      <w:r w:rsidRPr="006B17BE">
        <w:t>). This will increase the potential flow rate through failed wells</w:t>
      </w:r>
      <w:r w:rsidR="003B2D61" w:rsidRPr="006B17BE">
        <w:t xml:space="preserve"> in these areas</w:t>
      </w:r>
      <w:r w:rsidRPr="006B17BE">
        <w:t>.</w:t>
      </w:r>
      <w:r w:rsidR="008A6DCE">
        <w:t xml:space="preserve"> It should be noted that the likelihood of a cluster of failed wells in a high production zone is lower than the likelihood of a cluster of failed wells elsewhere in the well field.</w:t>
      </w:r>
    </w:p>
    <w:p w14:paraId="688D15F1" w14:textId="1E9F4316" w:rsidR="00AA16BE" w:rsidRPr="006B17BE" w:rsidRDefault="00A50EF4" w:rsidP="00AA16BE">
      <w:pPr>
        <w:keepNext/>
        <w:spacing w:line="360" w:lineRule="auto"/>
        <w:jc w:val="both"/>
        <w:rPr>
          <w:rFonts w:asciiTheme="minorHAnsi" w:hAnsiTheme="minorHAnsi"/>
          <w:sz w:val="24"/>
          <w:szCs w:val="24"/>
        </w:rPr>
      </w:pPr>
      <w:r w:rsidRPr="006B17BE">
        <w:rPr>
          <w:rFonts w:ascii="Times New Roman" w:eastAsia="Times New Roman" w:hAnsi="Times New Roman"/>
          <w:snapToGrid w:val="0"/>
          <w:w w:val="0"/>
          <w:sz w:val="0"/>
          <w:szCs w:val="0"/>
          <w:u w:color="000000"/>
          <w:bdr w:val="none" w:sz="0" w:space="0" w:color="000000"/>
          <w:shd w:val="clear" w:color="000000" w:fill="000000"/>
          <w:lang w:val="x-none" w:eastAsia="x-none" w:bidi="x-none"/>
        </w:rPr>
        <w:t xml:space="preserve"> </w:t>
      </w:r>
      <w:r w:rsidR="00CB5A96" w:rsidRPr="006B17BE">
        <w:rPr>
          <w:rFonts w:ascii="Times New Roman" w:eastAsia="Times New Roman" w:hAnsi="Times New Roman"/>
          <w:noProof/>
          <w:snapToGrid w:val="0"/>
          <w:w w:val="0"/>
          <w:sz w:val="0"/>
          <w:szCs w:val="0"/>
          <w:u w:color="000000"/>
          <w:bdr w:val="none" w:sz="0" w:space="0" w:color="000000"/>
          <w:shd w:val="clear" w:color="000000" w:fill="000000"/>
        </w:rPr>
        <w:drawing>
          <wp:inline distT="0" distB="0" distL="0" distR="0" wp14:anchorId="47FD3100" wp14:editId="52FC07B3">
            <wp:extent cx="5486400" cy="2286000"/>
            <wp:effectExtent l="0" t="0" r="0" b="0"/>
            <wp:docPr id="91" name="Picture 91" descr="D:\workspace\noor0021\CSG\leaky_well\Gunnedah_model\tr\tr_cln_rand_largemodel\variable_corr_length_again!\no_failure\model\Fig_gwh_ran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workspace\noor0021\CSG\leaky_well\Gunnedah_model\tr\tr_cln_rand_largemodel\variable_corr_length_again!\no_failure\model\Fig_gwh_range.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486400" cy="2286000"/>
                    </a:xfrm>
                    <a:prstGeom prst="rect">
                      <a:avLst/>
                    </a:prstGeom>
                    <a:noFill/>
                    <a:ln>
                      <a:noFill/>
                    </a:ln>
                  </pic:spPr>
                </pic:pic>
              </a:graphicData>
            </a:graphic>
          </wp:inline>
        </w:drawing>
      </w:r>
    </w:p>
    <w:p w14:paraId="078F9A44" w14:textId="093A5735" w:rsidR="00AA16BE" w:rsidRPr="006B17BE" w:rsidRDefault="00AA16BE" w:rsidP="007E5078">
      <w:pPr>
        <w:pStyle w:val="Caption"/>
      </w:pPr>
      <w:bookmarkStart w:id="563" w:name="_Ref477439988"/>
      <w:bookmarkStart w:id="564" w:name="_Ref476039420"/>
      <w:bookmarkStart w:id="565" w:name="_Toc508267287"/>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12</w:t>
      </w:r>
      <w:r w:rsidR="00296C49">
        <w:rPr>
          <w:noProof/>
        </w:rPr>
        <w:fldChar w:fldCharType="end"/>
      </w:r>
      <w:bookmarkEnd w:id="563"/>
      <w:bookmarkEnd w:id="564"/>
      <w:r w:rsidRPr="006B17BE">
        <w:t xml:space="preserve"> Range in simulated groundwater </w:t>
      </w:r>
      <w:r w:rsidR="00CB5A96" w:rsidRPr="006B17BE">
        <w:t xml:space="preserve">level </w:t>
      </w:r>
      <w:r w:rsidRPr="006B17BE">
        <w:t xml:space="preserve">(m AHD) </w:t>
      </w:r>
      <w:r w:rsidR="00CB5A96" w:rsidRPr="006B17BE">
        <w:t xml:space="preserve">prior to production through to post production period, </w:t>
      </w:r>
      <w:r w:rsidRPr="006B17BE">
        <w:t>in the Early Permian Coal Seam (layer 5) and the Late Permian Coal Seam (layer 3) beneath the well field for 0% well failure.</w:t>
      </w:r>
      <w:bookmarkEnd w:id="565"/>
      <w:r w:rsidR="00CB5A96" w:rsidRPr="006B17BE">
        <w:t xml:space="preserve"> </w:t>
      </w:r>
    </w:p>
    <w:p w14:paraId="7C095F65" w14:textId="77777777" w:rsidR="003B2D61" w:rsidRPr="006B17BE" w:rsidRDefault="003B2D61" w:rsidP="00F30743">
      <w:pPr>
        <w:pStyle w:val="Body"/>
      </w:pPr>
    </w:p>
    <w:p w14:paraId="2B1DE2C5" w14:textId="29A2F679" w:rsidR="00AA16BE" w:rsidRPr="006B17BE" w:rsidRDefault="00AA16BE" w:rsidP="00F30743">
      <w:pPr>
        <w:pStyle w:val="Body"/>
      </w:pPr>
      <w:r w:rsidRPr="006B17BE">
        <w:t xml:space="preserve">Further simulations of different random well failure patterns may be required to accurately determine the influence of well failure on time to a new quasi-equilibrium. </w:t>
      </w:r>
    </w:p>
    <w:p w14:paraId="34915EA8" w14:textId="3CD27581" w:rsidR="00AA16BE" w:rsidRPr="006B17BE" w:rsidRDefault="00AA16BE" w:rsidP="00F30743">
      <w:pPr>
        <w:pStyle w:val="Body"/>
      </w:pPr>
      <w:r w:rsidRPr="006B17BE">
        <w:t xml:space="preserve">Nevertheless, it is clear from </w:t>
      </w:r>
      <w:r w:rsidRPr="006B17BE">
        <w:fldChar w:fldCharType="begin"/>
      </w:r>
      <w:r w:rsidRPr="006B17BE">
        <w:instrText xml:space="preserve"> REF _Ref476035943 \h  \* MERGEFORMAT </w:instrText>
      </w:r>
      <w:r w:rsidRPr="006B17BE">
        <w:fldChar w:fldCharType="separate"/>
      </w:r>
      <w:r w:rsidR="00086147" w:rsidRPr="006B17BE">
        <w:t xml:space="preserve">Figure </w:t>
      </w:r>
      <w:r w:rsidR="00086147">
        <w:rPr>
          <w:noProof/>
        </w:rPr>
        <w:t>4</w:t>
      </w:r>
      <w:r w:rsidR="00086147">
        <w:rPr>
          <w:noProof/>
        </w:rPr>
        <w:noBreakHyphen/>
        <w:t>11</w:t>
      </w:r>
      <w:r w:rsidRPr="006B17BE">
        <w:fldChar w:fldCharType="end"/>
      </w:r>
      <w:r w:rsidRPr="006B17BE">
        <w:t xml:space="preserve"> that a minimum period of 1</w:t>
      </w:r>
      <w:r w:rsidR="003B2D61" w:rsidRPr="006B17BE">
        <w:t>,</w:t>
      </w:r>
      <w:r w:rsidRPr="006B17BE">
        <w:t>350 years is required for the groundwater system to approach a new quasi-equilibrium</w:t>
      </w:r>
      <w:r w:rsidR="0058748A">
        <w:t xml:space="preserve"> </w:t>
      </w:r>
      <w:r w:rsidR="009C0CE9">
        <w:t>based on</w:t>
      </w:r>
      <w:r w:rsidR="0058748A">
        <w:t xml:space="preserve"> the </w:t>
      </w:r>
      <w:r w:rsidR="009C0CE9">
        <w:t>simplified</w:t>
      </w:r>
      <w:r w:rsidR="0058748A">
        <w:t xml:space="preserve"> model</w:t>
      </w:r>
      <w:r w:rsidR="009C0CE9">
        <w:t xml:space="preserve"> used here</w:t>
      </w:r>
      <w:r w:rsidRPr="006B17BE">
        <w:t>.</w:t>
      </w:r>
    </w:p>
    <w:p w14:paraId="47E92A9F" w14:textId="77777777" w:rsidR="00AA16BE" w:rsidRPr="006B17BE" w:rsidRDefault="00AA16BE" w:rsidP="00AA16BE">
      <w:pPr>
        <w:jc w:val="both"/>
        <w:rPr>
          <w:rFonts w:asciiTheme="minorHAnsi" w:hAnsiTheme="minorHAnsi" w:cstheme="minorHAnsi"/>
          <w:sz w:val="24"/>
          <w:szCs w:val="24"/>
        </w:rPr>
      </w:pPr>
    </w:p>
    <w:p w14:paraId="5714FC90" w14:textId="768D259D" w:rsidR="00AA16BE" w:rsidRPr="006B17BE" w:rsidRDefault="003B2D61" w:rsidP="00C65320">
      <w:pPr>
        <w:pStyle w:val="Heading2"/>
      </w:pPr>
      <w:bookmarkStart w:id="566" w:name="_Toc483567953"/>
      <w:r w:rsidRPr="006B17BE">
        <w:t xml:space="preserve">Metric 5: </w:t>
      </w:r>
      <w:r w:rsidR="00AA16BE" w:rsidRPr="006B17BE">
        <w:t xml:space="preserve">Changes to the </w:t>
      </w:r>
      <w:r w:rsidR="00755A4C" w:rsidRPr="006B17BE">
        <w:t xml:space="preserve">aquitard </w:t>
      </w:r>
      <w:r w:rsidR="00AA16BE" w:rsidRPr="006B17BE">
        <w:t xml:space="preserve">effective </w:t>
      </w:r>
      <w:r w:rsidRPr="006B17BE">
        <w:t>flux</w:t>
      </w:r>
      <w:bookmarkEnd w:id="566"/>
    </w:p>
    <w:p w14:paraId="76DF30C2" w14:textId="28992615" w:rsidR="004E5BE8" w:rsidRPr="006B17BE" w:rsidRDefault="00755A4C" w:rsidP="00755A4C">
      <w:pPr>
        <w:pStyle w:val="Body"/>
      </w:pPr>
      <w:r w:rsidRPr="006B17BE">
        <w:t xml:space="preserve">The </w:t>
      </w:r>
      <w:r w:rsidR="004E5BE8" w:rsidRPr="006B17BE">
        <w:t xml:space="preserve">regional (entire model) and local (beneath the well field) </w:t>
      </w:r>
      <w:r w:rsidRPr="006B17BE">
        <w:t xml:space="preserve">effective </w:t>
      </w:r>
      <w:r w:rsidR="003B2D61" w:rsidRPr="006B17BE">
        <w:t>flux</w:t>
      </w:r>
      <w:r w:rsidRPr="006B17BE">
        <w:t xml:space="preserve"> (</w:t>
      </w:r>
      <w:r w:rsidR="003B2D61" w:rsidRPr="006B17BE">
        <w:rPr>
          <w:i/>
        </w:rPr>
        <w:t>Q</w:t>
      </w:r>
      <w:r w:rsidRPr="006B17BE">
        <w:rPr>
          <w:vertAlign w:val="subscript"/>
        </w:rPr>
        <w:t>eff</w:t>
      </w:r>
      <w:r w:rsidRPr="006B17BE">
        <w:t xml:space="preserve">) of the top aquitard (layer 2) </w:t>
      </w:r>
      <w:r w:rsidR="003B2D61" w:rsidRPr="006B17BE">
        <w:t>are</w:t>
      </w:r>
      <w:r w:rsidRPr="006B17BE">
        <w:t xml:space="preserve"> shown in</w:t>
      </w:r>
      <w:r w:rsidR="004E5BE8" w:rsidRPr="006B17BE">
        <w:t xml:space="preserve"> </w:t>
      </w:r>
      <w:r w:rsidR="004E5BE8" w:rsidRPr="006B17BE">
        <w:fldChar w:fldCharType="begin"/>
      </w:r>
      <w:r w:rsidR="004E5BE8" w:rsidRPr="006B17BE">
        <w:instrText xml:space="preserve"> REF _Ref477442968 \h </w:instrText>
      </w:r>
      <w:r w:rsidR="006B17BE">
        <w:instrText xml:space="preserve"> \* MERGEFORMAT </w:instrText>
      </w:r>
      <w:r w:rsidR="004E5BE8" w:rsidRPr="006B17BE">
        <w:fldChar w:fldCharType="separate"/>
      </w:r>
      <w:r w:rsidR="00086147" w:rsidRPr="006B17BE">
        <w:t xml:space="preserve">Figure </w:t>
      </w:r>
      <w:r w:rsidR="00086147">
        <w:rPr>
          <w:noProof/>
        </w:rPr>
        <w:t>4</w:t>
      </w:r>
      <w:r w:rsidR="00086147">
        <w:rPr>
          <w:noProof/>
        </w:rPr>
        <w:noBreakHyphen/>
        <w:t>13</w:t>
      </w:r>
      <w:r w:rsidR="004E5BE8" w:rsidRPr="006B17BE">
        <w:fldChar w:fldCharType="end"/>
      </w:r>
      <w:r w:rsidRPr="006B17BE">
        <w:t xml:space="preserve">. The </w:t>
      </w:r>
      <w:r w:rsidR="004E5BE8" w:rsidRPr="006B17BE">
        <w:t xml:space="preserve">regional </w:t>
      </w:r>
      <w:r w:rsidR="003B2D61" w:rsidRPr="006B17BE">
        <w:rPr>
          <w:i/>
        </w:rPr>
        <w:t>Q</w:t>
      </w:r>
      <w:r w:rsidRPr="006B17BE">
        <w:rPr>
          <w:vertAlign w:val="subscript"/>
        </w:rPr>
        <w:t>eff</w:t>
      </w:r>
      <w:r w:rsidRPr="006B17BE">
        <w:t xml:space="preserve"> appears to be unaffected by the number of well failures, </w:t>
      </w:r>
      <w:r w:rsidR="003B2D61" w:rsidRPr="006B17BE">
        <w:t xml:space="preserve">because </w:t>
      </w:r>
      <w:r w:rsidRPr="006B17BE">
        <w:t xml:space="preserve">all simulations produce the same temporal response. </w:t>
      </w:r>
      <w:r w:rsidR="004E5BE8" w:rsidRPr="006B17BE">
        <w:t xml:space="preserve">By comparison, the local </w:t>
      </w:r>
      <w:r w:rsidR="003B2D61" w:rsidRPr="006B17BE">
        <w:rPr>
          <w:i/>
        </w:rPr>
        <w:t>Q</w:t>
      </w:r>
      <w:r w:rsidR="004E5BE8" w:rsidRPr="006B17BE">
        <w:rPr>
          <w:vertAlign w:val="subscript"/>
        </w:rPr>
        <w:t>eff</w:t>
      </w:r>
      <w:r w:rsidR="004E5BE8" w:rsidRPr="006B17BE">
        <w:t xml:space="preserve"> of the aquitard </w:t>
      </w:r>
      <w:r w:rsidR="006C01F9" w:rsidRPr="006B17BE">
        <w:t xml:space="preserve">shows </w:t>
      </w:r>
      <w:r w:rsidR="003B2D61" w:rsidRPr="006B17BE">
        <w:t xml:space="preserve">some </w:t>
      </w:r>
      <w:r w:rsidR="004E5BE8" w:rsidRPr="006B17BE">
        <w:t>local inf</w:t>
      </w:r>
      <w:r w:rsidR="006C01F9" w:rsidRPr="006B17BE">
        <w:t>luence of the well failure rate, most likely associated with variability in aquitard leakage associated with the different well failure rates.</w:t>
      </w:r>
    </w:p>
    <w:p w14:paraId="37D508AD" w14:textId="190FDD8C" w:rsidR="003B2D61" w:rsidRPr="006B17BE" w:rsidRDefault="00755A4C" w:rsidP="006C01F9">
      <w:pPr>
        <w:pStyle w:val="Body"/>
      </w:pPr>
      <w:r w:rsidRPr="006B17BE">
        <w:t>The</w:t>
      </w:r>
      <w:r w:rsidR="00A62DEA" w:rsidRPr="006B17BE">
        <w:t xml:space="preserve"> regional</w:t>
      </w:r>
      <w:r w:rsidRPr="006B17BE">
        <w:t xml:space="preserve"> </w:t>
      </w:r>
      <w:r w:rsidR="003B2D61" w:rsidRPr="006B17BE">
        <w:rPr>
          <w:i/>
        </w:rPr>
        <w:t>Q</w:t>
      </w:r>
      <w:r w:rsidRPr="006B17BE">
        <w:rPr>
          <w:vertAlign w:val="subscript"/>
        </w:rPr>
        <w:t>eff</w:t>
      </w:r>
      <w:r w:rsidRPr="006B17BE">
        <w:t xml:space="preserve"> of the aquitard quickly rises to approximately 2.0x10</w:t>
      </w:r>
      <w:r w:rsidRPr="006B17BE">
        <w:rPr>
          <w:vertAlign w:val="superscript"/>
        </w:rPr>
        <w:t>-3</w:t>
      </w:r>
      <w:r w:rsidRPr="006B17BE">
        <w:t xml:space="preserve"> m/d at the start of the recovery phase, </w:t>
      </w:r>
      <w:r w:rsidR="003B2D61" w:rsidRPr="006B17BE">
        <w:t xml:space="preserve">after which </w:t>
      </w:r>
      <w:r w:rsidRPr="006B17BE">
        <w:t xml:space="preserve">it slowly drops </w:t>
      </w:r>
      <w:r w:rsidR="003B2D61" w:rsidRPr="006B17BE">
        <w:t>to a minimum of 5x10</w:t>
      </w:r>
      <w:r w:rsidR="003B2D61" w:rsidRPr="006B17BE">
        <w:rPr>
          <w:vertAlign w:val="superscript"/>
        </w:rPr>
        <w:t>-6</w:t>
      </w:r>
      <w:r w:rsidR="003B2D61" w:rsidRPr="006B17BE">
        <w:t xml:space="preserve"> m/d </w:t>
      </w:r>
      <w:r w:rsidRPr="006B17BE">
        <w:t>over the following 300 years, after which it rises and begins to stabilise around 10</w:t>
      </w:r>
      <w:r w:rsidRPr="006B17BE">
        <w:rPr>
          <w:vertAlign w:val="superscript"/>
        </w:rPr>
        <w:t>-5</w:t>
      </w:r>
      <w:r w:rsidRPr="006B17BE">
        <w:t xml:space="preserve"> m/d, similar to the vertical hydraulic conductivity for layer 2 (</w:t>
      </w:r>
      <w:r w:rsidR="003B2D61" w:rsidRPr="006B17BE">
        <w:fldChar w:fldCharType="begin"/>
      </w:r>
      <w:r w:rsidR="003B2D61" w:rsidRPr="006B17BE">
        <w:instrText xml:space="preserve"> REF _Ref478663509 \h </w:instrText>
      </w:r>
      <w:r w:rsidR="006B17BE">
        <w:instrText xml:space="preserve"> \* MERGEFORMAT </w:instrText>
      </w:r>
      <w:r w:rsidR="003B2D61" w:rsidRPr="006B17BE">
        <w:fldChar w:fldCharType="separate"/>
      </w:r>
      <w:r w:rsidR="00086147" w:rsidRPr="00684F4E">
        <w:t xml:space="preserve">Table </w:t>
      </w:r>
      <w:r w:rsidR="00086147">
        <w:rPr>
          <w:noProof/>
        </w:rPr>
        <w:t>3</w:t>
      </w:r>
      <w:r w:rsidR="00086147">
        <w:rPr>
          <w:noProof/>
        </w:rPr>
        <w:noBreakHyphen/>
        <w:t>2</w:t>
      </w:r>
      <w:r w:rsidR="003B2D61" w:rsidRPr="006B17BE">
        <w:fldChar w:fldCharType="end"/>
      </w:r>
      <w:r w:rsidRPr="006B17BE">
        <w:t xml:space="preserve">). </w:t>
      </w:r>
      <w:r w:rsidR="003B2D61" w:rsidRPr="006B17BE">
        <w:t xml:space="preserve">The minor fluctuations in the regional </w:t>
      </w:r>
      <w:r w:rsidR="003B2D61" w:rsidRPr="006B17BE">
        <w:rPr>
          <w:i/>
        </w:rPr>
        <w:t>Q</w:t>
      </w:r>
      <w:r w:rsidR="003B2D61" w:rsidRPr="006B17BE">
        <w:rPr>
          <w:vertAlign w:val="subscript"/>
        </w:rPr>
        <w:t>eff</w:t>
      </w:r>
      <w:r w:rsidR="003B2D61" w:rsidRPr="006B17BE">
        <w:t xml:space="preserve"> for the estimated area are the result of variability in the hydraulic gradient within the model.</w:t>
      </w:r>
    </w:p>
    <w:p w14:paraId="44234667" w14:textId="024541F1" w:rsidR="00755A4C" w:rsidRPr="006B17BE" w:rsidRDefault="006C01F9" w:rsidP="006C01F9">
      <w:pPr>
        <w:pStyle w:val="Body"/>
      </w:pPr>
      <w:r w:rsidRPr="006B17BE">
        <w:t xml:space="preserve">The response in the local </w:t>
      </w:r>
      <w:r w:rsidR="003B2D61" w:rsidRPr="006B17BE">
        <w:rPr>
          <w:i/>
        </w:rPr>
        <w:t>Q</w:t>
      </w:r>
      <w:r w:rsidRPr="006B17BE">
        <w:rPr>
          <w:vertAlign w:val="subscript"/>
        </w:rPr>
        <w:t xml:space="preserve">eff </w:t>
      </w:r>
      <w:r w:rsidRPr="006B17BE">
        <w:t xml:space="preserve">of the aquitard is closely tied to the time of maximum drawdown in layer 5 (3 years into the production period, </w:t>
      </w:r>
      <w:r w:rsidRPr="006B17BE">
        <w:fldChar w:fldCharType="begin"/>
      </w:r>
      <w:r w:rsidRPr="006B17BE">
        <w:instrText xml:space="preserve"> REF _Ref477439988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12</w:t>
      </w:r>
      <w:r w:rsidRPr="006B17BE">
        <w:fldChar w:fldCharType="end"/>
      </w:r>
      <w:r w:rsidRPr="006B17BE">
        <w:t xml:space="preserve">), </w:t>
      </w:r>
      <w:r w:rsidR="00A62DEA" w:rsidRPr="006B17BE">
        <w:t>such that</w:t>
      </w:r>
      <w:r w:rsidRPr="006B17BE">
        <w:t xml:space="preserve"> the maximum local </w:t>
      </w:r>
      <w:r w:rsidR="003B2D61" w:rsidRPr="006B17BE">
        <w:rPr>
          <w:i/>
        </w:rPr>
        <w:t>Q</w:t>
      </w:r>
      <w:r w:rsidRPr="006B17BE">
        <w:rPr>
          <w:vertAlign w:val="subscript"/>
        </w:rPr>
        <w:t>eff</w:t>
      </w:r>
      <w:r w:rsidRPr="006B17BE">
        <w:rPr>
          <w:i/>
        </w:rPr>
        <w:t xml:space="preserve"> </w:t>
      </w:r>
      <w:r w:rsidR="00072C66" w:rsidRPr="006B17BE">
        <w:t>(2.6x10</w:t>
      </w:r>
      <w:r w:rsidR="00072C66" w:rsidRPr="006B17BE">
        <w:rPr>
          <w:vertAlign w:val="superscript"/>
        </w:rPr>
        <w:t>4</w:t>
      </w:r>
      <w:r w:rsidR="00072C66" w:rsidRPr="006B17BE">
        <w:t xml:space="preserve"> m/d) </w:t>
      </w:r>
      <w:r w:rsidRPr="006B17BE">
        <w:t xml:space="preserve">coincides with the maximum drawdown. </w:t>
      </w:r>
      <w:r w:rsidRPr="006B17BE">
        <w:fldChar w:fldCharType="begin"/>
      </w:r>
      <w:r w:rsidRPr="006B17BE">
        <w:instrText xml:space="preserve"> REF _Ref477437841 \h </w:instrText>
      </w:r>
      <w:r w:rsidR="006B17BE">
        <w:instrText xml:space="preserve"> \* MERGEFORMAT </w:instrText>
      </w:r>
      <w:r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4</w:t>
      </w:r>
      <w:r w:rsidR="00086147">
        <w:rPr>
          <w:rFonts w:asciiTheme="minorHAnsi" w:hAnsiTheme="minorHAnsi" w:cstheme="minorHAnsi"/>
          <w:noProof/>
          <w:szCs w:val="20"/>
        </w:rPr>
        <w:noBreakHyphen/>
        <w:t>4</w:t>
      </w:r>
      <w:r w:rsidRPr="006B17BE">
        <w:fldChar w:fldCharType="end"/>
      </w:r>
      <w:r w:rsidR="00072C66" w:rsidRPr="006B17BE">
        <w:t xml:space="preserve"> (a and c)</w:t>
      </w:r>
      <w:r w:rsidRPr="006B17BE">
        <w:t xml:space="preserve"> shows that there was no significant increase in either aquitard </w:t>
      </w:r>
      <w:r w:rsidR="006D2343" w:rsidRPr="006B17BE">
        <w:t xml:space="preserve">flow or </w:t>
      </w:r>
      <w:r w:rsidRPr="006B17BE">
        <w:t xml:space="preserve">leakage to the wells (assumed to fail </w:t>
      </w:r>
      <w:r w:rsidR="00072C66" w:rsidRPr="006B17BE">
        <w:t xml:space="preserve">only </w:t>
      </w:r>
      <w:r w:rsidRPr="006B17BE">
        <w:t xml:space="preserve">in the recovery stage), </w:t>
      </w:r>
      <w:r w:rsidR="00A62DEA" w:rsidRPr="006B17BE">
        <w:t xml:space="preserve">therefore </w:t>
      </w:r>
      <w:r w:rsidRPr="006B17BE">
        <w:t xml:space="preserve">this response is a function of the </w:t>
      </w:r>
      <w:r w:rsidR="006D2343" w:rsidRPr="006B17BE">
        <w:t xml:space="preserve">higher </w:t>
      </w:r>
      <w:r w:rsidRPr="006B17BE">
        <w:t>vertical hydraulic gradient beneath the well field</w:t>
      </w:r>
      <w:r w:rsidR="00072C66" w:rsidRPr="006B17BE">
        <w:t xml:space="preserve"> induced by pumping</w:t>
      </w:r>
      <w:r w:rsidRPr="006B17BE">
        <w:t>.</w:t>
      </w:r>
    </w:p>
    <w:p w14:paraId="7159FC7E" w14:textId="052DB4C3" w:rsidR="001B7857" w:rsidRPr="006B17BE" w:rsidRDefault="001B7857" w:rsidP="001B7857">
      <w:pPr>
        <w:pStyle w:val="Body"/>
      </w:pPr>
      <w:r w:rsidRPr="006B17BE">
        <w:rPr>
          <w:i/>
        </w:rPr>
        <w:t>K</w:t>
      </w:r>
      <w:r w:rsidRPr="006B17BE">
        <w:rPr>
          <w:i/>
          <w:vertAlign w:val="subscript"/>
        </w:rPr>
        <w:t>eff</w:t>
      </w:r>
      <w:r w:rsidRPr="006B17BE">
        <w:t xml:space="preserve"> varies through time because the calculation assumes steady-state conditions, i.e. no change in storage. During the production phase, flow from layer 2 to the underlying layers will occur resulting in a decline in the layer storage. Flow into the aquitard will replenish the storage in the recovery phase therefore the flow out of the aquitard may be underestimated (flow through the aquitard is not in equilibrium) accounting for the underestimation in </w:t>
      </w:r>
      <w:r w:rsidRPr="006B17BE">
        <w:rPr>
          <w:i/>
        </w:rPr>
        <w:t>K</w:t>
      </w:r>
      <w:r w:rsidRPr="006B17BE">
        <w:rPr>
          <w:i/>
          <w:vertAlign w:val="subscript"/>
        </w:rPr>
        <w:t>eff</w:t>
      </w:r>
      <w:r w:rsidRPr="006B17BE">
        <w:t xml:space="preserve">. </w:t>
      </w:r>
    </w:p>
    <w:p w14:paraId="5B2A023E" w14:textId="77777777" w:rsidR="00AA16BE" w:rsidRPr="006B17BE" w:rsidRDefault="00AA16BE" w:rsidP="00AA16BE">
      <w:pPr>
        <w:jc w:val="both"/>
        <w:rPr>
          <w:rFonts w:asciiTheme="minorHAnsi" w:hAnsiTheme="minorHAnsi" w:cstheme="minorHAnsi"/>
          <w:sz w:val="24"/>
          <w:szCs w:val="24"/>
        </w:rPr>
      </w:pPr>
    </w:p>
    <w:p w14:paraId="24C29F8B" w14:textId="262942E1" w:rsidR="00F91E29" w:rsidRPr="006B17BE" w:rsidRDefault="006D2343" w:rsidP="00AA16BE">
      <w:pPr>
        <w:keepNext/>
        <w:overflowPunct w:val="0"/>
        <w:autoSpaceDE w:val="0"/>
        <w:autoSpaceDN w:val="0"/>
        <w:adjustRightInd w:val="0"/>
        <w:spacing w:after="240" w:line="360" w:lineRule="auto"/>
        <w:jc w:val="center"/>
        <w:textAlignment w:val="baseline"/>
        <w:rPr>
          <w:rFonts w:asciiTheme="minorHAnsi" w:hAnsiTheme="minorHAnsi" w:cstheme="minorHAnsi"/>
          <w:sz w:val="24"/>
          <w:szCs w:val="24"/>
        </w:rPr>
      </w:pPr>
      <w:r w:rsidRPr="006B17BE">
        <w:rPr>
          <w:rFonts w:asciiTheme="minorHAnsi" w:hAnsiTheme="minorHAnsi" w:cstheme="minorHAnsi"/>
          <w:noProof/>
          <w:sz w:val="24"/>
          <w:szCs w:val="24"/>
        </w:rPr>
        <w:drawing>
          <wp:inline distT="0" distB="0" distL="0" distR="0" wp14:anchorId="17F76B96" wp14:editId="74139426">
            <wp:extent cx="5803272" cy="3868848"/>
            <wp:effectExtent l="0" t="0" r="6985"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Fig_26_Qeff_reg_local_2.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08787" cy="3872524"/>
                    </a:xfrm>
                    <a:prstGeom prst="rect">
                      <a:avLst/>
                    </a:prstGeom>
                  </pic:spPr>
                </pic:pic>
              </a:graphicData>
            </a:graphic>
          </wp:inline>
        </w:drawing>
      </w:r>
    </w:p>
    <w:p w14:paraId="53466CB0" w14:textId="6B4122EE" w:rsidR="00AA16BE" w:rsidRPr="006B17BE" w:rsidRDefault="00AA16BE" w:rsidP="00755A4C">
      <w:pPr>
        <w:pStyle w:val="Caption"/>
      </w:pPr>
      <w:bookmarkStart w:id="567" w:name="_Ref477442968"/>
      <w:bookmarkStart w:id="568" w:name="_Ref476036029"/>
      <w:bookmarkStart w:id="569" w:name="_Toc508267288"/>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13</w:t>
      </w:r>
      <w:r w:rsidR="00296C49">
        <w:rPr>
          <w:noProof/>
        </w:rPr>
        <w:fldChar w:fldCharType="end"/>
      </w:r>
      <w:bookmarkEnd w:id="567"/>
      <w:r w:rsidR="009E687B" w:rsidRPr="006B17BE">
        <w:t xml:space="preserve"> </w:t>
      </w:r>
      <w:r w:rsidR="00016D65" w:rsidRPr="006B17BE">
        <w:t xml:space="preserve">Effective </w:t>
      </w:r>
      <w:r w:rsidR="006D2343" w:rsidRPr="006B17BE">
        <w:t>flux</w:t>
      </w:r>
      <w:r w:rsidR="00016D65" w:rsidRPr="006B17BE">
        <w:t xml:space="preserve"> of the top aquitard (layer 2) through time for different well failure rates for the full </w:t>
      </w:r>
      <w:r w:rsidR="009E687B" w:rsidRPr="006B17BE">
        <w:t>model</w:t>
      </w:r>
      <w:r w:rsidR="00016D65" w:rsidRPr="006B17BE">
        <w:t xml:space="preserve"> (</w:t>
      </w:r>
      <w:r w:rsidR="009E687B" w:rsidRPr="006B17BE">
        <w:t>a) and local well field (b)</w:t>
      </w:r>
      <w:bookmarkEnd w:id="568"/>
      <w:r w:rsidRPr="006B17BE">
        <w:t xml:space="preserve">. All </w:t>
      </w:r>
      <w:r w:rsidR="00170324" w:rsidRPr="006B17BE">
        <w:t xml:space="preserve">well failure </w:t>
      </w:r>
      <w:r w:rsidRPr="006B17BE">
        <w:t xml:space="preserve">simulations generate </w:t>
      </w:r>
      <w:r w:rsidR="00462F04" w:rsidRPr="006B17BE">
        <w:t>identical</w:t>
      </w:r>
      <w:r w:rsidRPr="006B17BE">
        <w:t xml:space="preserve"> effective </w:t>
      </w:r>
      <w:r w:rsidR="006D2343" w:rsidRPr="006B17BE">
        <w:t>flux</w:t>
      </w:r>
      <w:r w:rsidRPr="006B17BE">
        <w:t xml:space="preserve"> trend</w:t>
      </w:r>
      <w:r w:rsidR="00DF55D8" w:rsidRPr="006B17BE">
        <w:t>s</w:t>
      </w:r>
      <w:r w:rsidRPr="006B17BE">
        <w:t xml:space="preserve"> </w:t>
      </w:r>
      <w:r w:rsidR="00B12A75" w:rsidRPr="006B17BE">
        <w:t xml:space="preserve">(irrespective of </w:t>
      </w:r>
      <w:r w:rsidR="00016D65" w:rsidRPr="006B17BE">
        <w:t xml:space="preserve">the </w:t>
      </w:r>
      <w:r w:rsidR="00B12A75" w:rsidRPr="006B17BE">
        <w:t xml:space="preserve">number </w:t>
      </w:r>
      <w:r w:rsidR="00016D65" w:rsidRPr="006B17BE">
        <w:t xml:space="preserve">of </w:t>
      </w:r>
      <w:r w:rsidR="00B12A75" w:rsidRPr="006B17BE">
        <w:t>full or partial well failure</w:t>
      </w:r>
      <w:r w:rsidR="00016D65" w:rsidRPr="006B17BE">
        <w:t>s</w:t>
      </w:r>
      <w:r w:rsidR="00B12A75" w:rsidRPr="006B17BE">
        <w:t xml:space="preserve">) </w:t>
      </w:r>
      <w:r w:rsidRPr="006B17BE">
        <w:t>and therefore plot on top of each other. The blue bar indicates the production period (25 y</w:t>
      </w:r>
      <w:r w:rsidR="006D2343" w:rsidRPr="006B17BE">
        <w:t>ea</w:t>
      </w:r>
      <w:r w:rsidRPr="006B17BE">
        <w:t>rs)</w:t>
      </w:r>
      <w:r w:rsidR="004679F0" w:rsidRPr="006B17BE">
        <w:t xml:space="preserve">, the dotted line </w:t>
      </w:r>
      <w:r w:rsidR="00DF55D8" w:rsidRPr="006B17BE">
        <w:t xml:space="preserve">(a) </w:t>
      </w:r>
      <w:r w:rsidR="004679F0" w:rsidRPr="006B17BE">
        <w:t>indicates the hydraulic conductivity of the aquitard (layer 2).</w:t>
      </w:r>
      <w:bookmarkEnd w:id="569"/>
    </w:p>
    <w:p w14:paraId="79322214" w14:textId="77777777" w:rsidR="00E21B4C" w:rsidRPr="006B17BE" w:rsidRDefault="00E21B4C" w:rsidP="00983CF8">
      <w:pPr>
        <w:pStyle w:val="BodyText"/>
      </w:pPr>
    </w:p>
    <w:p w14:paraId="05F2C88C" w14:textId="15A25A11" w:rsidR="00A62DEA" w:rsidRPr="006B17BE" w:rsidRDefault="00A261C1" w:rsidP="00C65320">
      <w:pPr>
        <w:pStyle w:val="Heading2"/>
      </w:pPr>
      <w:bookmarkStart w:id="570" w:name="_Ref478657203"/>
      <w:bookmarkStart w:id="571" w:name="_Ref483513731"/>
      <w:bookmarkStart w:id="572" w:name="_Toc483567954"/>
      <w:r w:rsidRPr="006B17BE">
        <w:t>I</w:t>
      </w:r>
      <w:r w:rsidR="00A62DEA" w:rsidRPr="006B17BE">
        <w:t>mpacts</w:t>
      </w:r>
      <w:r w:rsidRPr="006B17BE">
        <w:t xml:space="preserve"> from degraded water bores</w:t>
      </w:r>
      <w:bookmarkEnd w:id="570"/>
      <w:r w:rsidR="00077B6F">
        <w:t xml:space="preserve"> or coal exploration holes</w:t>
      </w:r>
      <w:bookmarkEnd w:id="571"/>
      <w:bookmarkEnd w:id="572"/>
    </w:p>
    <w:p w14:paraId="2402AC8D" w14:textId="1A4993F5" w:rsidR="00077B6F" w:rsidRDefault="00077B6F" w:rsidP="00077B6F">
      <w:pPr>
        <w:pStyle w:val="Body"/>
      </w:pPr>
      <w:r>
        <w:t xml:space="preserve">As discussed in Section </w:t>
      </w:r>
      <w:r>
        <w:fldChar w:fldCharType="begin"/>
      </w:r>
      <w:r>
        <w:instrText xml:space="preserve"> REF _Ref479676999 \r \h </w:instrText>
      </w:r>
      <w:r>
        <w:fldChar w:fldCharType="separate"/>
      </w:r>
      <w:r w:rsidR="00086147">
        <w:t>2</w:t>
      </w:r>
      <w:r>
        <w:fldChar w:fldCharType="end"/>
      </w:r>
      <w:r>
        <w:t xml:space="preserve">, water bores with degraded casing and coal exploration holes may contribute to increased inter-aquifer leakage by providing flow paths. Conceptually these bores could contribute to inter-aquifer leakage in the vicinity of a coal seam gas production area both during the gas production phase and after decommissioning of the site. In this study only the latter condition will be studied, as the depressurisation of the coal formation is still very larger even after gas and water production has ended, and because such depressurisation will continue exist for hundreds of years compared to the relatively short gas production period (couple of decades). The </w:t>
      </w:r>
      <w:r w:rsidR="00C02EF1">
        <w:t xml:space="preserve">potential </w:t>
      </w:r>
      <w:r>
        <w:t xml:space="preserve">impact </w:t>
      </w:r>
      <w:r w:rsidR="00C02EF1">
        <w:t>after the decommissioning will thus be representative for the period prior to decommissioning (period with active gas and water extraction).</w:t>
      </w:r>
    </w:p>
    <w:p w14:paraId="6E3050AE" w14:textId="25717A18" w:rsidR="00077B6F" w:rsidRPr="006B17BE" w:rsidRDefault="00077B6F" w:rsidP="00077B6F">
      <w:pPr>
        <w:pStyle w:val="Body"/>
      </w:pPr>
      <w:r w:rsidRPr="006B17BE">
        <w:t xml:space="preserve">The simplified Gunnedah Basin model was again used to explore potential impacts of open </w:t>
      </w:r>
      <w:r>
        <w:t>borehole</w:t>
      </w:r>
      <w:r w:rsidRPr="006B17BE">
        <w:t xml:space="preserve">s on the groundwater flow. These simulations provide a </w:t>
      </w:r>
      <w:r>
        <w:t>preliminary</w:t>
      </w:r>
      <w:r w:rsidRPr="006B17BE">
        <w:t xml:space="preserve"> insight into the impacts of such open </w:t>
      </w:r>
      <w:r>
        <w:t>boreholes</w:t>
      </w:r>
      <w:r w:rsidRPr="006B17BE">
        <w:t xml:space="preserve"> on the groundwater flow. The steady</w:t>
      </w:r>
      <w:r>
        <w:t>-</w:t>
      </w:r>
      <w:r w:rsidRPr="006B17BE">
        <w:t xml:space="preserve">state and production period simulation was the same as for the leaky well simulations. However, due to the high density of wells in the current model well field (1 per km), only low well failure rates (1%, 2%, and 5%, </w:t>
      </w:r>
      <w:r w:rsidRPr="006B17BE">
        <w:fldChar w:fldCharType="begin"/>
      </w:r>
      <w:r w:rsidRPr="006B17BE">
        <w:instrText xml:space="preserve"> REF _Ref477524804 \h </w:instrText>
      </w:r>
      <w:r>
        <w:instrText xml:space="preserve"> \* MERGEFORMAT </w:instrText>
      </w:r>
      <w:r w:rsidRPr="006B17BE">
        <w:fldChar w:fldCharType="separate"/>
      </w:r>
      <w:r w:rsidR="00086147" w:rsidRPr="006B17BE">
        <w:t xml:space="preserve">Figure </w:t>
      </w:r>
      <w:r w:rsidR="00086147">
        <w:rPr>
          <w:noProof/>
        </w:rPr>
        <w:t>4</w:t>
      </w:r>
      <w:r w:rsidR="00086147">
        <w:rPr>
          <w:noProof/>
        </w:rPr>
        <w:noBreakHyphen/>
        <w:t>14</w:t>
      </w:r>
      <w:r w:rsidRPr="006B17BE">
        <w:fldChar w:fldCharType="end"/>
      </w:r>
      <w:r w:rsidRPr="006B17BE">
        <w:t xml:space="preserve">) where simulated in an attempt to replicate the likely spatial distribution of open exploration wells. </w:t>
      </w:r>
    </w:p>
    <w:p w14:paraId="408394FA" w14:textId="5DF8AF66" w:rsidR="00613947" w:rsidRPr="006B17BE" w:rsidRDefault="00613947" w:rsidP="00E21B4C">
      <w:pPr>
        <w:pStyle w:val="Body"/>
      </w:pPr>
      <w:r w:rsidRPr="006B17BE">
        <w:t>The enhanced connection</w:t>
      </w:r>
      <w:r w:rsidR="00DE00BF" w:rsidRPr="006B17BE">
        <w:t xml:space="preserve"> between layers</w:t>
      </w:r>
      <w:r w:rsidRPr="006B17BE">
        <w:t>, by an increasing number of failed open wells, is apparent in</w:t>
      </w:r>
      <w:r w:rsidR="00DE00BF" w:rsidRPr="006B17BE">
        <w:t xml:space="preserve"> the groundwater levels in</w:t>
      </w:r>
      <w:r w:rsidRPr="006B17BE">
        <w:t xml:space="preserve"> </w:t>
      </w:r>
      <w:r w:rsidRPr="006B17BE">
        <w:fldChar w:fldCharType="begin"/>
      </w:r>
      <w:r w:rsidRPr="006B17BE">
        <w:instrText xml:space="preserve"> REF _Ref477525063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15</w:t>
      </w:r>
      <w:r w:rsidRPr="006B17BE">
        <w:fldChar w:fldCharType="end"/>
      </w:r>
      <w:r w:rsidRPr="006B17BE">
        <w:t>a, where the maximum drawdown in layer 1 increases with a larger well failure percentage</w:t>
      </w:r>
      <w:r w:rsidR="000544E9" w:rsidRPr="006B17BE">
        <w:t xml:space="preserve"> (also see </w:t>
      </w:r>
      <w:r w:rsidR="000544E9" w:rsidRPr="006B17BE">
        <w:fldChar w:fldCharType="begin"/>
      </w:r>
      <w:r w:rsidR="000544E9" w:rsidRPr="006B17BE">
        <w:instrText xml:space="preserve"> REF _Ref477528001 \h </w:instrText>
      </w:r>
      <w:r w:rsidR="006B17BE">
        <w:instrText xml:space="preserve"> \* MERGEFORMAT </w:instrText>
      </w:r>
      <w:r w:rsidR="000544E9" w:rsidRPr="006B17BE">
        <w:fldChar w:fldCharType="separate"/>
      </w:r>
      <w:r w:rsidR="00086147" w:rsidRPr="006B17BE">
        <w:t xml:space="preserve">Figure </w:t>
      </w:r>
      <w:r w:rsidR="00086147">
        <w:rPr>
          <w:noProof/>
        </w:rPr>
        <w:t>4</w:t>
      </w:r>
      <w:r w:rsidR="00086147">
        <w:rPr>
          <w:noProof/>
        </w:rPr>
        <w:noBreakHyphen/>
        <w:t>18</w:t>
      </w:r>
      <w:r w:rsidR="000544E9" w:rsidRPr="006B17BE">
        <w:fldChar w:fldCharType="end"/>
      </w:r>
      <w:r w:rsidR="000544E9" w:rsidRPr="006B17BE">
        <w:t xml:space="preserve">, </w:t>
      </w:r>
      <w:r w:rsidR="000544E9" w:rsidRPr="006B17BE">
        <w:fldChar w:fldCharType="begin"/>
      </w:r>
      <w:r w:rsidR="000544E9" w:rsidRPr="006B17BE">
        <w:instrText xml:space="preserve"> REF _Ref477528003 \h </w:instrText>
      </w:r>
      <w:r w:rsidR="006B17BE">
        <w:instrText xml:space="preserve"> \* MERGEFORMAT </w:instrText>
      </w:r>
      <w:r w:rsidR="000544E9" w:rsidRPr="006B17BE">
        <w:fldChar w:fldCharType="separate"/>
      </w:r>
      <w:r w:rsidR="00086147" w:rsidRPr="006B17BE">
        <w:t xml:space="preserve">Figure </w:t>
      </w:r>
      <w:r w:rsidR="00086147">
        <w:rPr>
          <w:noProof/>
        </w:rPr>
        <w:t>4</w:t>
      </w:r>
      <w:r w:rsidR="00086147">
        <w:rPr>
          <w:noProof/>
        </w:rPr>
        <w:noBreakHyphen/>
        <w:t>19</w:t>
      </w:r>
      <w:r w:rsidR="000544E9" w:rsidRPr="006B17BE">
        <w:fldChar w:fldCharType="end"/>
      </w:r>
      <w:r w:rsidR="000544E9" w:rsidRPr="006B17BE">
        <w:t xml:space="preserve"> and </w:t>
      </w:r>
      <w:r w:rsidR="000544E9" w:rsidRPr="006B17BE">
        <w:fldChar w:fldCharType="begin"/>
      </w:r>
      <w:r w:rsidR="000544E9" w:rsidRPr="006B17BE">
        <w:instrText xml:space="preserve"> REF _Ref477528004 \h </w:instrText>
      </w:r>
      <w:r w:rsidR="006B17BE">
        <w:instrText xml:space="preserve"> \* MERGEFORMAT </w:instrText>
      </w:r>
      <w:r w:rsidR="000544E9" w:rsidRPr="006B17BE">
        <w:fldChar w:fldCharType="separate"/>
      </w:r>
      <w:r w:rsidR="00086147" w:rsidRPr="006B17BE">
        <w:t xml:space="preserve">Figure </w:t>
      </w:r>
      <w:r w:rsidR="00086147">
        <w:rPr>
          <w:noProof/>
        </w:rPr>
        <w:t>4</w:t>
      </w:r>
      <w:r w:rsidR="00086147">
        <w:rPr>
          <w:noProof/>
        </w:rPr>
        <w:noBreakHyphen/>
        <w:t>20</w:t>
      </w:r>
      <w:r w:rsidR="000544E9" w:rsidRPr="006B17BE">
        <w:fldChar w:fldCharType="end"/>
      </w:r>
      <w:r w:rsidR="000544E9" w:rsidRPr="006B17BE">
        <w:t>)</w:t>
      </w:r>
      <w:r w:rsidRPr="006B17BE">
        <w:t xml:space="preserve">. The rate of recovery </w:t>
      </w:r>
      <w:r w:rsidR="00DE00BF" w:rsidRPr="006B17BE">
        <w:t xml:space="preserve">in groundwater level in layer 3 and layer 5 (Late Permian and early Permian coal seams, </w:t>
      </w:r>
      <w:r w:rsidR="00DE00BF" w:rsidRPr="006B17BE">
        <w:fldChar w:fldCharType="begin"/>
      </w:r>
      <w:r w:rsidR="00DE00BF" w:rsidRPr="006B17BE">
        <w:instrText xml:space="preserve"> REF _Ref477525063 \h </w:instrText>
      </w:r>
      <w:r w:rsidR="006B17BE">
        <w:instrText xml:space="preserve"> \* MERGEFORMAT </w:instrText>
      </w:r>
      <w:r w:rsidR="00DE00BF" w:rsidRPr="006B17BE">
        <w:fldChar w:fldCharType="separate"/>
      </w:r>
      <w:r w:rsidR="00086147" w:rsidRPr="006B17BE">
        <w:t xml:space="preserve">Figure </w:t>
      </w:r>
      <w:r w:rsidR="00086147">
        <w:rPr>
          <w:noProof/>
        </w:rPr>
        <w:t>4</w:t>
      </w:r>
      <w:r w:rsidR="00086147">
        <w:rPr>
          <w:noProof/>
        </w:rPr>
        <w:noBreakHyphen/>
        <w:t>15</w:t>
      </w:r>
      <w:r w:rsidR="00DE00BF" w:rsidRPr="006B17BE">
        <w:fldChar w:fldCharType="end"/>
      </w:r>
      <w:r w:rsidR="00DE00BF" w:rsidRPr="006B17BE">
        <w:t xml:space="preserve">b and c) also demonstrates the same </w:t>
      </w:r>
      <w:r w:rsidR="00A54DF1" w:rsidRPr="006B17BE">
        <w:t xml:space="preserve">response, where the groundwater levels (and therefore recovery rate) </w:t>
      </w:r>
      <w:r w:rsidR="002F2D56" w:rsidRPr="006B17BE">
        <w:t xml:space="preserve">for </w:t>
      </w:r>
      <w:r w:rsidR="00A54DF1" w:rsidRPr="006B17BE">
        <w:t xml:space="preserve">5% failure simulation are 4 m above those of the 1% failure simulation. The difference in groundwater levels between the well failure scenarios diminishes 500 years post-production. </w:t>
      </w:r>
    </w:p>
    <w:p w14:paraId="0ED836E1" w14:textId="77777777" w:rsidR="00085138" w:rsidRPr="006B17BE" w:rsidRDefault="00085138" w:rsidP="008D6C2C">
      <w:pPr>
        <w:pStyle w:val="BodyText"/>
        <w:keepNext/>
      </w:pPr>
      <w:r w:rsidRPr="006B17BE">
        <w:rPr>
          <w:noProof/>
        </w:rPr>
        <w:drawing>
          <wp:inline distT="0" distB="0" distL="0" distR="0" wp14:anchorId="0079F532" wp14:editId="4B083F69">
            <wp:extent cx="5731088" cy="2311879"/>
            <wp:effectExtent l="0" t="0" r="3175" b="0"/>
            <wp:docPr id="123" name="Picture 123" descr="D:\workspace\noor0021\CSG\leaky_well\Gunnedah_model\tr\tr_cln_rand_largemodel\variable_corr_length_again!\corr_length_2_km\fig_well_failure_pattern_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workspace\noor0021\CSG\leaky_well\Gunnedah_model\tr\tr_cln_rand_largemodel\variable_corr_length_again!\corr_length_2_km\fig_well_failure_pattern_ope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4976" cy="2313447"/>
                    </a:xfrm>
                    <a:prstGeom prst="rect">
                      <a:avLst/>
                    </a:prstGeom>
                    <a:noFill/>
                    <a:ln>
                      <a:noFill/>
                    </a:ln>
                  </pic:spPr>
                </pic:pic>
              </a:graphicData>
            </a:graphic>
          </wp:inline>
        </w:drawing>
      </w:r>
    </w:p>
    <w:p w14:paraId="122B9286" w14:textId="18996DCF" w:rsidR="00085138" w:rsidRPr="006B17BE" w:rsidRDefault="00085138" w:rsidP="008D6C2C">
      <w:pPr>
        <w:pStyle w:val="Caption"/>
      </w:pPr>
      <w:bookmarkStart w:id="573" w:name="_Ref477524804"/>
      <w:bookmarkStart w:id="574" w:name="_Toc508267289"/>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14</w:t>
      </w:r>
      <w:r w:rsidR="00296C49">
        <w:rPr>
          <w:noProof/>
        </w:rPr>
        <w:fldChar w:fldCharType="end"/>
      </w:r>
      <w:bookmarkEnd w:id="573"/>
      <w:r w:rsidR="006A4714" w:rsidRPr="006B17BE">
        <w:t xml:space="preserve"> </w:t>
      </w:r>
      <w:r w:rsidR="00E21B4C" w:rsidRPr="006B17BE">
        <w:t>Bore</w:t>
      </w:r>
      <w:r w:rsidR="006A4714" w:rsidRPr="006B17BE">
        <w:t xml:space="preserve"> failure patterns based on the spatially correlated random </w:t>
      </w:r>
      <w:r w:rsidR="00E21B4C" w:rsidRPr="006B17BE">
        <w:t>bore</w:t>
      </w:r>
      <w:r w:rsidR="006A4714" w:rsidRPr="006B17BE">
        <w:t xml:space="preserve"> failure approach for a spatial correlation length of 2 km ((a) – (c)). The percentage of </w:t>
      </w:r>
      <w:r w:rsidR="00E21B4C" w:rsidRPr="006B17BE">
        <w:t>bores</w:t>
      </w:r>
      <w:r w:rsidR="006A4714" w:rsidRPr="006B17BE">
        <w:t xml:space="preserve"> that have failed is indicated at the top of each </w:t>
      </w:r>
      <w:r w:rsidR="00A54DF1" w:rsidRPr="006B17BE">
        <w:t xml:space="preserve">graph (from 1 – 5%). Black points indicate intact </w:t>
      </w:r>
      <w:r w:rsidR="00E21B4C" w:rsidRPr="006B17BE">
        <w:t>bores</w:t>
      </w:r>
      <w:r w:rsidR="00A54DF1" w:rsidRPr="006B17BE">
        <w:t xml:space="preserve">, green indicates a </w:t>
      </w:r>
      <w:r w:rsidR="00E21B4C" w:rsidRPr="006B17BE">
        <w:t>bore</w:t>
      </w:r>
      <w:r w:rsidR="00A54DF1" w:rsidRPr="006B17BE">
        <w:t xml:space="preserve"> which has partially failed and red indicates full failure (See </w:t>
      </w:r>
      <w:r w:rsidR="00A54DF1" w:rsidRPr="006B17BE">
        <w:fldChar w:fldCharType="begin"/>
      </w:r>
      <w:r w:rsidR="00A54DF1" w:rsidRPr="006B17BE">
        <w:instrText xml:space="preserve"> REF _Ref476035697 \h  \* MERGEFORMAT </w:instrText>
      </w:r>
      <w:r w:rsidR="00A54DF1" w:rsidRPr="006B17BE">
        <w:fldChar w:fldCharType="separate"/>
      </w:r>
      <w:r w:rsidR="00086147" w:rsidRPr="00086147">
        <w:t xml:space="preserve">Figure </w:t>
      </w:r>
      <w:r w:rsidR="00086147" w:rsidRPr="00086147">
        <w:rPr>
          <w:noProof/>
        </w:rPr>
        <w:t>3</w:t>
      </w:r>
      <w:r w:rsidR="00086147" w:rsidRPr="00086147">
        <w:rPr>
          <w:noProof/>
        </w:rPr>
        <w:noBreakHyphen/>
        <w:t>5</w:t>
      </w:r>
      <w:r w:rsidR="00A54DF1" w:rsidRPr="006B17BE">
        <w:fldChar w:fldCharType="end"/>
      </w:r>
      <w:r w:rsidR="00A54DF1" w:rsidRPr="006B17BE">
        <w:t xml:space="preserve"> for further description of </w:t>
      </w:r>
      <w:r w:rsidR="00E21B4C" w:rsidRPr="006B17BE">
        <w:t>bore</w:t>
      </w:r>
      <w:r w:rsidR="00A54DF1" w:rsidRPr="006B17BE">
        <w:t xml:space="preserve"> failure type).</w:t>
      </w:r>
      <w:bookmarkEnd w:id="574"/>
    </w:p>
    <w:p w14:paraId="145ACF35" w14:textId="77777777" w:rsidR="00983CF8" w:rsidRPr="006B17BE" w:rsidRDefault="00983CF8" w:rsidP="00983CF8">
      <w:pPr>
        <w:pStyle w:val="Body"/>
      </w:pPr>
    </w:p>
    <w:p w14:paraId="5B2F43DD" w14:textId="1B774C61" w:rsidR="00A54DF1" w:rsidRPr="006B17BE" w:rsidRDefault="00A54DF1" w:rsidP="00983CF8">
      <w:pPr>
        <w:pStyle w:val="Body"/>
      </w:pPr>
      <w:r w:rsidRPr="006B17BE">
        <w:t xml:space="preserve">The spatial response in groundwater levels </w:t>
      </w:r>
      <w:r w:rsidR="002F2D56" w:rsidRPr="006B17BE">
        <w:t xml:space="preserve">at greater distances from the gas production area </w:t>
      </w:r>
      <w:r w:rsidRPr="006B17BE">
        <w:t>(10</w:t>
      </w:r>
      <w:r w:rsidR="00983CF8" w:rsidRPr="006B17BE">
        <w:t xml:space="preserve"> </w:t>
      </w:r>
      <w:r w:rsidRPr="006B17BE">
        <w:t xml:space="preserve">km to the north, south, east and west of the </w:t>
      </w:r>
      <w:r w:rsidR="00983CF8" w:rsidRPr="006B17BE">
        <w:t>bore</w:t>
      </w:r>
      <w:r w:rsidRPr="006B17BE">
        <w:t xml:space="preserve"> field) are shown in </w:t>
      </w:r>
      <w:r w:rsidRPr="006B17BE">
        <w:fldChar w:fldCharType="begin"/>
      </w:r>
      <w:r w:rsidRPr="006B17BE">
        <w:instrText xml:space="preserve"> REF _Ref477526508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16</w:t>
      </w:r>
      <w:r w:rsidRPr="006B17BE">
        <w:fldChar w:fldCharType="end"/>
      </w:r>
      <w:r w:rsidRPr="006B17BE">
        <w:t xml:space="preserve"> and </w:t>
      </w:r>
      <w:r w:rsidRPr="006B17BE">
        <w:fldChar w:fldCharType="begin"/>
      </w:r>
      <w:r w:rsidRPr="006B17BE">
        <w:instrText xml:space="preserve"> REF _Ref477526510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17</w:t>
      </w:r>
      <w:r w:rsidRPr="006B17BE">
        <w:fldChar w:fldCharType="end"/>
      </w:r>
      <w:r w:rsidRPr="006B17BE">
        <w:t>.</w:t>
      </w:r>
      <w:r w:rsidR="00596C40" w:rsidRPr="006B17BE">
        <w:t xml:space="preserve"> The groundwater levels for the open </w:t>
      </w:r>
      <w:r w:rsidR="00983CF8" w:rsidRPr="006B17BE">
        <w:t>bore</w:t>
      </w:r>
      <w:r w:rsidR="00596C40" w:rsidRPr="006B17BE">
        <w:t xml:space="preserve"> scenarios are similar to those of the leaky well scenarios</w:t>
      </w:r>
      <w:r w:rsidR="002F2D56" w:rsidRPr="006B17BE">
        <w:t xml:space="preserve"> (</w:t>
      </w:r>
      <w:r w:rsidR="002F2D56" w:rsidRPr="006B17BE">
        <w:fldChar w:fldCharType="begin"/>
      </w:r>
      <w:r w:rsidR="002F2D56" w:rsidRPr="006B17BE">
        <w:instrText xml:space="preserve"> REF _Ref477424819 \h </w:instrText>
      </w:r>
      <w:r w:rsidR="006B17BE">
        <w:instrText xml:space="preserve"> \* MERGEFORMAT </w:instrText>
      </w:r>
      <w:r w:rsidR="002F2D56" w:rsidRPr="006B17BE">
        <w:fldChar w:fldCharType="separate"/>
      </w:r>
      <w:r w:rsidR="00086147" w:rsidRPr="006B17BE">
        <w:t xml:space="preserve">Figure </w:t>
      </w:r>
      <w:r w:rsidR="00086147">
        <w:rPr>
          <w:noProof/>
        </w:rPr>
        <w:t>4</w:t>
      </w:r>
      <w:r w:rsidR="00086147">
        <w:rPr>
          <w:noProof/>
        </w:rPr>
        <w:noBreakHyphen/>
        <w:t>2</w:t>
      </w:r>
      <w:r w:rsidR="002F2D56" w:rsidRPr="006B17BE">
        <w:fldChar w:fldCharType="end"/>
      </w:r>
      <w:r w:rsidR="002F2D56" w:rsidRPr="006B17BE">
        <w:t xml:space="preserve"> and </w:t>
      </w:r>
      <w:r w:rsidR="002F2D56" w:rsidRPr="006B17BE">
        <w:fldChar w:fldCharType="begin"/>
      </w:r>
      <w:r w:rsidR="002F2D56" w:rsidRPr="006B17BE">
        <w:instrText xml:space="preserve"> REF _Ref477424821 \h </w:instrText>
      </w:r>
      <w:r w:rsidR="006B17BE">
        <w:instrText xml:space="preserve"> \* MERGEFORMAT </w:instrText>
      </w:r>
      <w:r w:rsidR="002F2D56" w:rsidRPr="006B17BE">
        <w:fldChar w:fldCharType="separate"/>
      </w:r>
      <w:r w:rsidR="00086147" w:rsidRPr="006B17BE">
        <w:t xml:space="preserve">Figure </w:t>
      </w:r>
      <w:r w:rsidR="00086147">
        <w:rPr>
          <w:noProof/>
        </w:rPr>
        <w:t>4</w:t>
      </w:r>
      <w:r w:rsidR="00086147">
        <w:rPr>
          <w:noProof/>
        </w:rPr>
        <w:noBreakHyphen/>
        <w:t>3</w:t>
      </w:r>
      <w:r w:rsidR="002F2D56" w:rsidRPr="006B17BE">
        <w:fldChar w:fldCharType="end"/>
      </w:r>
      <w:r w:rsidR="002F2D56" w:rsidRPr="006B17BE">
        <w:t>)</w:t>
      </w:r>
      <w:r w:rsidR="00596C40" w:rsidRPr="006B17BE">
        <w:t xml:space="preserve">, suggesting that the additional flow through the opens </w:t>
      </w:r>
      <w:r w:rsidR="00983CF8" w:rsidRPr="006B17BE">
        <w:t>bores</w:t>
      </w:r>
      <w:r w:rsidR="00596C40" w:rsidRPr="006B17BE">
        <w:t xml:space="preserve"> has a local impact on the groundwater levels rather than a regional impact.</w:t>
      </w:r>
      <w:r w:rsidR="000544E9" w:rsidRPr="006B17BE">
        <w:t xml:space="preserve"> At higher failure rates and/or </w:t>
      </w:r>
      <w:r w:rsidR="009F1E79" w:rsidRPr="006B17BE">
        <w:t>wider spatial distribution</w:t>
      </w:r>
      <w:r w:rsidR="000544E9" w:rsidRPr="006B17BE">
        <w:t xml:space="preserve"> of failed </w:t>
      </w:r>
      <w:r w:rsidR="00983CF8" w:rsidRPr="006B17BE">
        <w:t>bores</w:t>
      </w:r>
      <w:r w:rsidR="000544E9" w:rsidRPr="006B17BE">
        <w:t>, a more regional response may occur.</w:t>
      </w:r>
    </w:p>
    <w:p w14:paraId="59BD99A3" w14:textId="7BF9B885" w:rsidR="000544E9" w:rsidRPr="006B17BE" w:rsidRDefault="000544E9" w:rsidP="00983CF8">
      <w:pPr>
        <w:pStyle w:val="Body"/>
      </w:pPr>
      <w:r w:rsidRPr="006B17BE">
        <w:t xml:space="preserve">The </w:t>
      </w:r>
      <w:r w:rsidR="00346473" w:rsidRPr="006B17BE">
        <w:t xml:space="preserve">spatial impact of the production period and open </w:t>
      </w:r>
      <w:r w:rsidR="00983CF8" w:rsidRPr="006B17BE">
        <w:t>bore</w:t>
      </w:r>
      <w:r w:rsidR="00346473" w:rsidRPr="006B17BE">
        <w:t xml:space="preserve"> leakage is shown as the </w:t>
      </w:r>
      <w:r w:rsidRPr="006B17BE">
        <w:t xml:space="preserve">maximum drawdown in layer 1 </w:t>
      </w:r>
      <w:r w:rsidR="00DD4636" w:rsidRPr="006B17BE">
        <w:t>for 1 % (</w:t>
      </w:r>
      <w:r w:rsidR="00DD4636" w:rsidRPr="006B17BE">
        <w:fldChar w:fldCharType="begin"/>
      </w:r>
      <w:r w:rsidR="00DD4636" w:rsidRPr="006B17BE">
        <w:instrText xml:space="preserve"> REF _Ref477528001 \h </w:instrText>
      </w:r>
      <w:r w:rsidR="006B17BE">
        <w:instrText xml:space="preserve"> \* MERGEFORMAT </w:instrText>
      </w:r>
      <w:r w:rsidR="00DD4636" w:rsidRPr="006B17BE">
        <w:fldChar w:fldCharType="separate"/>
      </w:r>
      <w:r w:rsidR="00086147" w:rsidRPr="006B17BE">
        <w:t xml:space="preserve">Figure </w:t>
      </w:r>
      <w:r w:rsidR="00086147">
        <w:rPr>
          <w:noProof/>
        </w:rPr>
        <w:t>4</w:t>
      </w:r>
      <w:r w:rsidR="00086147">
        <w:rPr>
          <w:noProof/>
        </w:rPr>
        <w:noBreakHyphen/>
        <w:t>18</w:t>
      </w:r>
      <w:r w:rsidR="00DD4636" w:rsidRPr="006B17BE">
        <w:fldChar w:fldCharType="end"/>
      </w:r>
      <w:r w:rsidR="00DD4636" w:rsidRPr="006B17BE">
        <w:t>), 2% (</w:t>
      </w:r>
      <w:r w:rsidR="00DD4636" w:rsidRPr="006B17BE">
        <w:fldChar w:fldCharType="begin"/>
      </w:r>
      <w:r w:rsidR="00DD4636" w:rsidRPr="006B17BE">
        <w:instrText xml:space="preserve"> REF _Ref477528003 \h </w:instrText>
      </w:r>
      <w:r w:rsidR="006B17BE">
        <w:instrText xml:space="preserve"> \* MERGEFORMAT </w:instrText>
      </w:r>
      <w:r w:rsidR="00DD4636" w:rsidRPr="006B17BE">
        <w:fldChar w:fldCharType="separate"/>
      </w:r>
      <w:r w:rsidR="00086147" w:rsidRPr="006B17BE">
        <w:t xml:space="preserve">Figure </w:t>
      </w:r>
      <w:r w:rsidR="00086147">
        <w:rPr>
          <w:noProof/>
        </w:rPr>
        <w:t>4</w:t>
      </w:r>
      <w:r w:rsidR="00086147">
        <w:rPr>
          <w:noProof/>
        </w:rPr>
        <w:noBreakHyphen/>
        <w:t>19</w:t>
      </w:r>
      <w:r w:rsidR="00DD4636" w:rsidRPr="006B17BE">
        <w:fldChar w:fldCharType="end"/>
      </w:r>
      <w:r w:rsidR="00DD4636" w:rsidRPr="006B17BE">
        <w:t>) and 5% (</w:t>
      </w:r>
      <w:r w:rsidR="003B23C8">
        <w:fldChar w:fldCharType="begin"/>
      </w:r>
      <w:r w:rsidR="003B23C8">
        <w:instrText xml:space="preserve"> REF _Ref477528004 \h </w:instrText>
      </w:r>
      <w:r w:rsidR="003B23C8">
        <w:fldChar w:fldCharType="separate"/>
      </w:r>
      <w:r w:rsidR="00086147" w:rsidRPr="006B17BE">
        <w:t xml:space="preserve">Figure </w:t>
      </w:r>
      <w:r w:rsidR="00086147">
        <w:rPr>
          <w:noProof/>
        </w:rPr>
        <w:t>4</w:t>
      </w:r>
      <w:r w:rsidR="00086147">
        <w:noBreakHyphen/>
      </w:r>
      <w:r w:rsidR="00086147">
        <w:rPr>
          <w:noProof/>
        </w:rPr>
        <w:t>20</w:t>
      </w:r>
      <w:r w:rsidR="003B23C8">
        <w:fldChar w:fldCharType="end"/>
      </w:r>
      <w:r w:rsidR="00DD4636" w:rsidRPr="006B17BE">
        <w:t>) bore failure</w:t>
      </w:r>
      <w:r w:rsidR="00346473" w:rsidRPr="006B17BE">
        <w:t xml:space="preserve">. The impact of increasing the number of open </w:t>
      </w:r>
      <w:r w:rsidR="00983CF8" w:rsidRPr="006B17BE">
        <w:t>bores</w:t>
      </w:r>
      <w:r w:rsidR="00346473" w:rsidRPr="006B17BE">
        <w:t xml:space="preserve"> is small but apparent when comparing the results from 0% failure to 5 % </w:t>
      </w:r>
      <w:r w:rsidR="00983CF8" w:rsidRPr="006B17BE">
        <w:t>bore</w:t>
      </w:r>
      <w:r w:rsidR="00346473" w:rsidRPr="006B17BE">
        <w:t xml:space="preserve"> failure (</w:t>
      </w:r>
      <w:r w:rsidR="00EC2578" w:rsidRPr="006B17BE">
        <w:fldChar w:fldCharType="begin"/>
      </w:r>
      <w:r w:rsidR="00EC2578" w:rsidRPr="006B17BE">
        <w:instrText xml:space="preserve"> REF _Ref477530764 \h </w:instrText>
      </w:r>
      <w:r w:rsidR="006B17BE">
        <w:instrText xml:space="preserve"> \* MERGEFORMAT </w:instrText>
      </w:r>
      <w:r w:rsidR="00EC2578" w:rsidRPr="006B17BE">
        <w:fldChar w:fldCharType="separate"/>
      </w:r>
      <w:r w:rsidR="00086147" w:rsidRPr="006B17BE">
        <w:t xml:space="preserve">Figure </w:t>
      </w:r>
      <w:r w:rsidR="00086147">
        <w:rPr>
          <w:noProof/>
        </w:rPr>
        <w:t>4</w:t>
      </w:r>
      <w:r w:rsidR="00086147">
        <w:rPr>
          <w:noProof/>
        </w:rPr>
        <w:noBreakHyphen/>
        <w:t>21</w:t>
      </w:r>
      <w:r w:rsidR="00EC2578" w:rsidRPr="006B17BE">
        <w:fldChar w:fldCharType="end"/>
      </w:r>
      <w:r w:rsidR="00346473" w:rsidRPr="006B17BE">
        <w:t xml:space="preserve">). </w:t>
      </w:r>
      <w:r w:rsidR="001D648D" w:rsidRPr="006B17BE">
        <w:t>Likewise, there appears to be only minor differences in the timing to the maximum drawdown between the 0%, 1%,</w:t>
      </w:r>
      <w:r w:rsidR="00983CF8" w:rsidRPr="006B17BE">
        <w:t xml:space="preserve"> </w:t>
      </w:r>
      <w:r w:rsidR="001D648D" w:rsidRPr="006B17BE">
        <w:t xml:space="preserve">2%, and 5% </w:t>
      </w:r>
      <w:r w:rsidR="00983CF8" w:rsidRPr="006B17BE">
        <w:t>bore</w:t>
      </w:r>
      <w:r w:rsidR="001D648D" w:rsidRPr="006B17BE">
        <w:t xml:space="preserve"> failure rates</w:t>
      </w:r>
      <w:r w:rsidR="003B23C8">
        <w:t xml:space="preserve">. </w:t>
      </w:r>
      <w:r w:rsidR="00D62252" w:rsidRPr="003B23C8">
        <w:t>The area affected by the 5% failure rate is approximately 7,500 km</w:t>
      </w:r>
      <w:r w:rsidR="00D62252" w:rsidRPr="003B23C8">
        <w:rPr>
          <w:vertAlign w:val="superscript"/>
        </w:rPr>
        <w:t>2</w:t>
      </w:r>
      <w:r w:rsidR="00D62252" w:rsidRPr="003B23C8">
        <w:t xml:space="preserve">, based on a minimum </w:t>
      </w:r>
      <w:r w:rsidR="00D62252">
        <w:t xml:space="preserve">additional </w:t>
      </w:r>
      <w:r w:rsidR="00D62252" w:rsidRPr="003B23C8">
        <w:t>drawdown of 0.1 m.</w:t>
      </w:r>
    </w:p>
    <w:p w14:paraId="18A20314" w14:textId="27050802" w:rsidR="00596C40" w:rsidRDefault="00864287" w:rsidP="00983CF8">
      <w:pPr>
        <w:pStyle w:val="Body"/>
      </w:pPr>
      <w:r w:rsidRPr="006B17BE">
        <w:fldChar w:fldCharType="begin"/>
      </w:r>
      <w:r w:rsidRPr="006B17BE">
        <w:instrText xml:space="preserve"> REF _Ref477530903 \h </w:instrText>
      </w:r>
      <w:r w:rsidR="00983CF8" w:rsidRP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22</w:t>
      </w:r>
      <w:r w:rsidRPr="006B17BE">
        <w:fldChar w:fldCharType="end"/>
      </w:r>
      <w:r w:rsidRPr="006B17BE">
        <w:t xml:space="preserve"> clearly demonstrates that the groundwater flow to the open </w:t>
      </w:r>
      <w:r w:rsidR="00983CF8" w:rsidRPr="006B17BE">
        <w:t>bores</w:t>
      </w:r>
      <w:r w:rsidRPr="006B17BE">
        <w:t xml:space="preserve"> is the primary mechanism to replenish the underlying layers, being </w:t>
      </w:r>
      <w:r w:rsidR="00983CF8" w:rsidRPr="006B17BE">
        <w:t>two</w:t>
      </w:r>
      <w:r w:rsidRPr="006B17BE">
        <w:t xml:space="preserve"> orders of magnitude higher than the local flow through the aquitard and </w:t>
      </w:r>
      <w:r w:rsidR="00983CF8" w:rsidRPr="006B17BE">
        <w:t>twelve</w:t>
      </w:r>
      <w:r w:rsidRPr="006B17BE">
        <w:t xml:space="preserve"> order</w:t>
      </w:r>
      <w:r w:rsidR="00983CF8" w:rsidRPr="006B17BE">
        <w:t>s</w:t>
      </w:r>
      <w:r w:rsidRPr="006B17BE">
        <w:t xml:space="preserve"> of magnitude larger than the regional flow through the aquitard. This will reduce the time to a new quasi-equilibrium from approximately 1</w:t>
      </w:r>
      <w:r w:rsidR="00983CF8" w:rsidRPr="006B17BE">
        <w:t>,</w:t>
      </w:r>
      <w:r w:rsidRPr="006B17BE">
        <w:t>400 years for 100% leaky well failure (</w:t>
      </w:r>
      <w:r w:rsidRPr="006B17BE">
        <w:fldChar w:fldCharType="begin"/>
      </w:r>
      <w:r w:rsidRPr="006B17BE">
        <w:instrText xml:space="preserve"> REF _Ref477531355 \h </w:instrText>
      </w:r>
      <w:r w:rsidR="006B17BE">
        <w:instrText xml:space="preserve"> \* MERGEFORMAT </w:instrText>
      </w:r>
      <w:r w:rsidRPr="006B17BE">
        <w:fldChar w:fldCharType="separate"/>
      </w:r>
      <w:r w:rsidR="00086147" w:rsidRPr="006B17BE">
        <w:t xml:space="preserve">Figure </w:t>
      </w:r>
      <w:r w:rsidR="00086147">
        <w:rPr>
          <w:noProof/>
        </w:rPr>
        <w:t>4</w:t>
      </w:r>
      <w:r w:rsidR="00086147">
        <w:rPr>
          <w:noProof/>
        </w:rPr>
        <w:noBreakHyphen/>
        <w:t>11</w:t>
      </w:r>
      <w:r w:rsidRPr="006B17BE">
        <w:fldChar w:fldCharType="end"/>
      </w:r>
      <w:r w:rsidRPr="006B17BE">
        <w:t xml:space="preserve">) to </w:t>
      </w:r>
      <w:r w:rsidR="00983CF8" w:rsidRPr="006B17BE">
        <w:t xml:space="preserve">approximately </w:t>
      </w:r>
      <w:r w:rsidRPr="006B17BE">
        <w:t xml:space="preserve">500 years for 1 - 5% open </w:t>
      </w:r>
      <w:r w:rsidR="00983CF8" w:rsidRPr="006B17BE">
        <w:t>bore</w:t>
      </w:r>
      <w:r w:rsidRPr="006B17BE">
        <w:t xml:space="preserve"> failure. </w:t>
      </w:r>
    </w:p>
    <w:p w14:paraId="1567193C" w14:textId="196C44EF" w:rsidR="007B55BE" w:rsidRPr="006B17BE" w:rsidRDefault="007B55BE" w:rsidP="00983CF8">
      <w:pPr>
        <w:pStyle w:val="Body"/>
      </w:pPr>
      <w:r>
        <w:t xml:space="preserve">An analysis of the total fluxes can be made on the basis of </w:t>
      </w:r>
      <w:r>
        <w:fldChar w:fldCharType="begin"/>
      </w:r>
      <w:r>
        <w:instrText xml:space="preserve"> REF _Ref483564181 \h </w:instrText>
      </w:r>
      <w:r>
        <w:fldChar w:fldCharType="separate"/>
      </w:r>
      <w:r w:rsidR="00086147" w:rsidRPr="006B17BE">
        <w:t xml:space="preserve">Figure </w:t>
      </w:r>
      <w:r w:rsidR="00086147">
        <w:rPr>
          <w:noProof/>
        </w:rPr>
        <w:t>4</w:t>
      </w:r>
      <w:r w:rsidR="00086147">
        <w:noBreakHyphen/>
      </w:r>
      <w:r w:rsidR="00086147">
        <w:rPr>
          <w:noProof/>
        </w:rPr>
        <w:t>23</w:t>
      </w:r>
      <w:r>
        <w:fldChar w:fldCharType="end"/>
      </w:r>
      <w:r>
        <w:t>. The overall largest flux is through the leaky bores, i.e. around 1</w:t>
      </w:r>
      <w:r w:rsidR="00BF2F51">
        <w:t>,</w:t>
      </w:r>
      <w:r>
        <w:t>500 m</w:t>
      </w:r>
      <w:r w:rsidRPr="00BF2F51">
        <w:rPr>
          <w:vertAlign w:val="superscript"/>
        </w:rPr>
        <w:t>3</w:t>
      </w:r>
      <w:r>
        <w:t>/day</w:t>
      </w:r>
      <w:r w:rsidR="00BF2F51">
        <w:t xml:space="preserve"> for a 5% failure rate</w:t>
      </w:r>
      <w:r>
        <w:t>. This is about three times larger than the total regional flux (approximately 350 m</w:t>
      </w:r>
      <w:r w:rsidRPr="00BF2F51">
        <w:rPr>
          <w:vertAlign w:val="superscript"/>
        </w:rPr>
        <w:t>3</w:t>
      </w:r>
      <w:r>
        <w:t>/day</w:t>
      </w:r>
      <w:r w:rsidR="00BF2F51">
        <w:t xml:space="preserve"> for a 5% failure rate</w:t>
      </w:r>
      <w:r>
        <w:t>)</w:t>
      </w:r>
      <w:r w:rsidR="00BF2F51">
        <w:t>, and nearly six times larger than the diffusive flux across the gas project area (about 150 m</w:t>
      </w:r>
      <w:r w:rsidR="00BF2F51" w:rsidRPr="00BF2F51">
        <w:rPr>
          <w:vertAlign w:val="superscript"/>
        </w:rPr>
        <w:t>3</w:t>
      </w:r>
      <w:r w:rsidR="00BF2F51">
        <w:t xml:space="preserve">/day for 5% failure rate). Compared to the fluxes for a zero failure rate (see </w:t>
      </w:r>
      <w:r w:rsidR="00BF2F51">
        <w:fldChar w:fldCharType="begin"/>
      </w:r>
      <w:r w:rsidR="00BF2F51">
        <w:instrText xml:space="preserve"> REF _Ref479626892 \h </w:instrText>
      </w:r>
      <w:r w:rsidR="00BF2F51">
        <w:fldChar w:fldCharType="separate"/>
      </w:r>
      <w:r w:rsidR="00086147" w:rsidRPr="001E507E">
        <w:t xml:space="preserve">Figure </w:t>
      </w:r>
      <w:r w:rsidR="00086147">
        <w:rPr>
          <w:noProof/>
        </w:rPr>
        <w:t>4</w:t>
      </w:r>
      <w:r w:rsidR="00086147">
        <w:noBreakHyphen/>
      </w:r>
      <w:r w:rsidR="00086147">
        <w:rPr>
          <w:noProof/>
        </w:rPr>
        <w:t>5</w:t>
      </w:r>
      <w:r w:rsidR="00BF2F51">
        <w:fldChar w:fldCharType="end"/>
      </w:r>
      <w:r w:rsidR="00BF2F51">
        <w:t>), both the total regional flux and the flux through the gas project area have decreased by nearly a factor two, i.e. from 600 to 350 m</w:t>
      </w:r>
      <w:r w:rsidR="00BF2F51" w:rsidRPr="00BF2F51">
        <w:rPr>
          <w:vertAlign w:val="superscript"/>
        </w:rPr>
        <w:t>3</w:t>
      </w:r>
      <w:r w:rsidR="00BF2F51">
        <w:t>/day and from 300 to about 150 m</w:t>
      </w:r>
      <w:r w:rsidR="00BF2F51" w:rsidRPr="00BF2F51">
        <w:rPr>
          <w:vertAlign w:val="superscript"/>
        </w:rPr>
        <w:t>3</w:t>
      </w:r>
      <w:r w:rsidR="00BF2F51">
        <w:t>/day. Note that these results are very conservative due to the simplified model.</w:t>
      </w:r>
    </w:p>
    <w:p w14:paraId="26DBF988" w14:textId="77777777" w:rsidR="00983CF8" w:rsidRPr="006B17BE" w:rsidRDefault="00983CF8" w:rsidP="00983CF8">
      <w:pPr>
        <w:pStyle w:val="Body"/>
      </w:pPr>
    </w:p>
    <w:p w14:paraId="7F2E0F53" w14:textId="093C4A37" w:rsidR="00864287" w:rsidRPr="006B17BE" w:rsidRDefault="0042755E" w:rsidP="006A4714">
      <w:pPr>
        <w:pStyle w:val="BodyText"/>
      </w:pPr>
      <w:r w:rsidRPr="006B17BE">
        <w:rPr>
          <w:noProof/>
        </w:rPr>
        <w:drawing>
          <wp:anchor distT="0" distB="0" distL="114300" distR="114300" simplePos="0" relativeHeight="251664384" behindDoc="0" locked="0" layoutInCell="1" allowOverlap="1" wp14:anchorId="7F4947FA" wp14:editId="34CF7A7A">
            <wp:simplePos x="914400" y="911225"/>
            <wp:positionH relativeFrom="margin">
              <wp:align>left</wp:align>
            </wp:positionH>
            <wp:positionV relativeFrom="paragraph">
              <wp:align>top</wp:align>
            </wp:positionV>
            <wp:extent cx="5354320" cy="6424930"/>
            <wp:effectExtent l="0" t="0" r="0" b="0"/>
            <wp:wrapSquare wrapText="bothSides"/>
            <wp:docPr id="124" name="Picture 124" descr="D:\workspace\noor0021\CSG\leaky_well\Gunnedah_model\tr\tr_cln_rand_largemodel\variable_corr_length_again!\corr_length_2_km\Fig_GWlevel_loc_max_dd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workspace\noor0021\CSG\leaky_well\Gunnedah_model\tr\tr_cln_rand_largemodel\variable_corr_length_again!\corr_length_2_km\Fig_GWlevel_loc_max_ddn.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54320" cy="64249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BF079" w14:textId="77777777" w:rsidR="00864287" w:rsidRPr="006B17BE" w:rsidRDefault="00864287" w:rsidP="008D6C2C"/>
    <w:p w14:paraId="062495ED" w14:textId="77777777" w:rsidR="00864287" w:rsidRPr="006B17BE" w:rsidRDefault="00864287" w:rsidP="008D6C2C"/>
    <w:p w14:paraId="22E41894" w14:textId="77777777" w:rsidR="00864287" w:rsidRPr="006B17BE" w:rsidRDefault="00864287" w:rsidP="008D6C2C"/>
    <w:p w14:paraId="5838A2B6" w14:textId="77777777" w:rsidR="00864287" w:rsidRPr="006B17BE" w:rsidRDefault="00864287" w:rsidP="008D6C2C"/>
    <w:p w14:paraId="5F30C085" w14:textId="77777777" w:rsidR="00864287" w:rsidRPr="006B17BE" w:rsidRDefault="00864287" w:rsidP="008D6C2C"/>
    <w:p w14:paraId="50B7A0EC" w14:textId="77777777" w:rsidR="00864287" w:rsidRPr="006B17BE" w:rsidRDefault="00864287" w:rsidP="008D6C2C"/>
    <w:p w14:paraId="78E3489E" w14:textId="77777777" w:rsidR="00864287" w:rsidRPr="006B17BE" w:rsidRDefault="00864287" w:rsidP="008D6C2C"/>
    <w:p w14:paraId="57250DAD" w14:textId="77777777" w:rsidR="00864287" w:rsidRPr="006B17BE" w:rsidRDefault="00864287" w:rsidP="008D6C2C"/>
    <w:p w14:paraId="68F7C4EB" w14:textId="0AA01B26" w:rsidR="00864287" w:rsidRPr="006B17BE" w:rsidRDefault="00864287" w:rsidP="006A4714">
      <w:pPr>
        <w:pStyle w:val="BodyText"/>
      </w:pPr>
    </w:p>
    <w:p w14:paraId="2A4C938D" w14:textId="06F19CBA" w:rsidR="0042755E" w:rsidRPr="006B17BE" w:rsidRDefault="00864287" w:rsidP="00387266">
      <w:pPr>
        <w:pStyle w:val="Caption"/>
        <w:rPr>
          <w:rFonts w:asciiTheme="minorHAnsi" w:hAnsiTheme="minorHAnsi" w:cstheme="minorHAnsi"/>
          <w:szCs w:val="20"/>
        </w:rPr>
      </w:pPr>
      <w:r w:rsidRPr="006B17BE">
        <w:tab/>
      </w:r>
      <w:r w:rsidRPr="006B17BE">
        <w:br w:type="textWrapping" w:clear="all"/>
      </w:r>
      <w:bookmarkStart w:id="575" w:name="_Ref477525063"/>
      <w:bookmarkStart w:id="576" w:name="_Toc508267290"/>
      <w:r w:rsidR="0042755E"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15</w:t>
      </w:r>
      <w:r w:rsidR="00296C49">
        <w:rPr>
          <w:noProof/>
        </w:rPr>
        <w:fldChar w:fldCharType="end"/>
      </w:r>
      <w:bookmarkEnd w:id="575"/>
      <w:r w:rsidR="0042755E" w:rsidRPr="006B17BE">
        <w:t xml:space="preserve"> </w:t>
      </w:r>
      <w:r w:rsidR="0042755E" w:rsidRPr="006B17BE">
        <w:rPr>
          <w:rFonts w:asciiTheme="minorHAnsi" w:hAnsiTheme="minorHAnsi" w:cstheme="minorHAnsi"/>
          <w:szCs w:val="20"/>
        </w:rPr>
        <w:t xml:space="preserve">Time series (production to recovery) of groundwater levels at the point of maximum drawdown in the </w:t>
      </w:r>
      <w:r w:rsidR="00387266" w:rsidRPr="006B17BE">
        <w:rPr>
          <w:rFonts w:asciiTheme="minorHAnsi" w:hAnsiTheme="minorHAnsi" w:cstheme="minorHAnsi"/>
          <w:szCs w:val="20"/>
        </w:rPr>
        <w:t>bore</w:t>
      </w:r>
      <w:r w:rsidR="0042755E" w:rsidRPr="006B17BE">
        <w:rPr>
          <w:rFonts w:asciiTheme="minorHAnsi" w:hAnsiTheme="minorHAnsi" w:cstheme="minorHAnsi"/>
          <w:szCs w:val="20"/>
        </w:rPr>
        <w:t xml:space="preserve"> field of different </w:t>
      </w:r>
      <w:r w:rsidR="00387266" w:rsidRPr="006B17BE">
        <w:rPr>
          <w:rFonts w:asciiTheme="minorHAnsi" w:hAnsiTheme="minorHAnsi" w:cstheme="minorHAnsi"/>
          <w:szCs w:val="20"/>
        </w:rPr>
        <w:t>bore</w:t>
      </w:r>
      <w:r w:rsidR="0042755E" w:rsidRPr="006B17BE">
        <w:rPr>
          <w:rFonts w:asciiTheme="minorHAnsi" w:hAnsiTheme="minorHAnsi" w:cstheme="minorHAnsi"/>
          <w:szCs w:val="20"/>
        </w:rPr>
        <w:t xml:space="preserve"> failure </w:t>
      </w:r>
      <w:r w:rsidR="00387266" w:rsidRPr="006B17BE">
        <w:rPr>
          <w:rFonts w:asciiTheme="minorHAnsi" w:hAnsiTheme="minorHAnsi" w:cstheme="minorHAnsi"/>
          <w:szCs w:val="20"/>
        </w:rPr>
        <w:t>rates</w:t>
      </w:r>
      <w:r w:rsidR="0042755E" w:rsidRPr="006B17BE">
        <w:rPr>
          <w:rFonts w:asciiTheme="minorHAnsi" w:hAnsiTheme="minorHAnsi" w:cstheme="minorHAnsi"/>
          <w:szCs w:val="20"/>
        </w:rPr>
        <w:t xml:space="preserve"> in (a) </w:t>
      </w:r>
      <w:r w:rsidR="0009623F" w:rsidRPr="006B17BE">
        <w:rPr>
          <w:rFonts w:asciiTheme="minorHAnsi" w:hAnsiTheme="minorHAnsi" w:cstheme="minorHAnsi"/>
          <w:szCs w:val="20"/>
        </w:rPr>
        <w:t>Pilliga</w:t>
      </w:r>
      <w:r w:rsidR="0042755E" w:rsidRPr="006B17BE">
        <w:rPr>
          <w:rFonts w:asciiTheme="minorHAnsi" w:hAnsiTheme="minorHAnsi" w:cstheme="minorHAnsi"/>
          <w:szCs w:val="20"/>
        </w:rPr>
        <w:t xml:space="preserve"> </w:t>
      </w:r>
      <w:r w:rsidR="002F2D56" w:rsidRPr="006B17BE">
        <w:rPr>
          <w:rFonts w:asciiTheme="minorHAnsi" w:hAnsiTheme="minorHAnsi" w:cstheme="minorHAnsi"/>
          <w:szCs w:val="20"/>
        </w:rPr>
        <w:t xml:space="preserve">Sandstone </w:t>
      </w:r>
      <w:r w:rsidR="0042755E" w:rsidRPr="006B17BE">
        <w:rPr>
          <w:rFonts w:asciiTheme="minorHAnsi" w:hAnsiTheme="minorHAnsi" w:cstheme="minorHAnsi"/>
          <w:szCs w:val="20"/>
        </w:rPr>
        <w:t xml:space="preserve">Aquifer (layer 1), (b) Late </w:t>
      </w:r>
      <w:r w:rsidR="0042755E" w:rsidRPr="006B17BE">
        <w:t>Permian</w:t>
      </w:r>
      <w:r w:rsidR="0042755E" w:rsidRPr="006B17BE">
        <w:rPr>
          <w:rFonts w:asciiTheme="minorHAnsi" w:hAnsiTheme="minorHAnsi" w:cstheme="minorHAnsi"/>
          <w:szCs w:val="20"/>
        </w:rPr>
        <w:t xml:space="preserve"> coal seam (layer 3), and (c) Early Permian coal seal (layer 5). </w:t>
      </w:r>
      <w:r w:rsidR="00A3362B" w:rsidRPr="006B17BE">
        <w:rPr>
          <w:rFonts w:asciiTheme="minorHAnsi" w:hAnsiTheme="minorHAnsi" w:cstheme="minorHAnsi"/>
          <w:szCs w:val="20"/>
        </w:rPr>
        <w:t>For layer 5 a</w:t>
      </w:r>
      <w:r w:rsidR="0042755E" w:rsidRPr="006B17BE">
        <w:rPr>
          <w:rFonts w:asciiTheme="minorHAnsi" w:hAnsiTheme="minorHAnsi" w:cstheme="minorHAnsi"/>
          <w:szCs w:val="20"/>
        </w:rPr>
        <w:t xml:space="preserve">ll simulations generate </w:t>
      </w:r>
      <w:r w:rsidR="00A3362B" w:rsidRPr="006B17BE">
        <w:rPr>
          <w:rFonts w:asciiTheme="minorHAnsi" w:hAnsiTheme="minorHAnsi" w:cstheme="minorHAnsi"/>
          <w:szCs w:val="20"/>
        </w:rPr>
        <w:t>identical</w:t>
      </w:r>
      <w:r w:rsidR="0042755E" w:rsidRPr="006B17BE">
        <w:rPr>
          <w:rFonts w:asciiTheme="minorHAnsi" w:hAnsiTheme="minorHAnsi" w:cstheme="minorHAnsi"/>
          <w:szCs w:val="20"/>
        </w:rPr>
        <w:t xml:space="preserve"> groundwater levels and therefore plot on top of each other. The </w:t>
      </w:r>
      <w:r w:rsidR="00A3362B" w:rsidRPr="006B17BE">
        <w:rPr>
          <w:rFonts w:asciiTheme="minorHAnsi" w:hAnsiTheme="minorHAnsi" w:cstheme="minorHAnsi"/>
          <w:szCs w:val="20"/>
        </w:rPr>
        <w:t>blue</w:t>
      </w:r>
      <w:r w:rsidR="0042755E" w:rsidRPr="006B17BE">
        <w:rPr>
          <w:rFonts w:asciiTheme="minorHAnsi" w:hAnsiTheme="minorHAnsi" w:cstheme="minorHAnsi"/>
          <w:szCs w:val="20"/>
        </w:rPr>
        <w:t xml:space="preserve"> bar indicates the </w:t>
      </w:r>
      <w:r w:rsidR="009E554A" w:rsidRPr="006B17BE">
        <w:rPr>
          <w:rFonts w:asciiTheme="minorHAnsi" w:hAnsiTheme="minorHAnsi" w:cstheme="minorHAnsi"/>
          <w:szCs w:val="20"/>
        </w:rPr>
        <w:t xml:space="preserve">coal seam gas </w:t>
      </w:r>
      <w:r w:rsidR="0042755E" w:rsidRPr="006B17BE">
        <w:rPr>
          <w:rFonts w:asciiTheme="minorHAnsi" w:hAnsiTheme="minorHAnsi" w:cstheme="minorHAnsi"/>
          <w:szCs w:val="20"/>
        </w:rPr>
        <w:t>(and water) production period (25 y</w:t>
      </w:r>
      <w:r w:rsidR="002F2D56" w:rsidRPr="006B17BE">
        <w:rPr>
          <w:rFonts w:asciiTheme="minorHAnsi" w:hAnsiTheme="minorHAnsi" w:cstheme="minorHAnsi"/>
          <w:szCs w:val="20"/>
        </w:rPr>
        <w:t>ea</w:t>
      </w:r>
      <w:r w:rsidR="0042755E" w:rsidRPr="006B17BE">
        <w:rPr>
          <w:rFonts w:asciiTheme="minorHAnsi" w:hAnsiTheme="minorHAnsi" w:cstheme="minorHAnsi"/>
          <w:szCs w:val="20"/>
        </w:rPr>
        <w:t>rs). The dotted line represents the pre-production groundwater level (m AHD).</w:t>
      </w:r>
      <w:bookmarkEnd w:id="576"/>
    </w:p>
    <w:p w14:paraId="2CA2908E" w14:textId="77777777" w:rsidR="00A54DF1" w:rsidRPr="006B17BE" w:rsidRDefault="00A54DF1" w:rsidP="00A3362B">
      <w:pPr>
        <w:pStyle w:val="BodyText"/>
        <w:rPr>
          <w:sz w:val="22"/>
        </w:rPr>
      </w:pPr>
    </w:p>
    <w:p w14:paraId="0751D890" w14:textId="7F920852" w:rsidR="0042755E" w:rsidRPr="006B17BE" w:rsidRDefault="002F2D56" w:rsidP="00387266">
      <w:pPr>
        <w:pStyle w:val="BodyText"/>
        <w:jc w:val="center"/>
      </w:pPr>
      <w:r w:rsidRPr="006B17BE">
        <w:rPr>
          <w:noProof/>
        </w:rPr>
        <w:drawing>
          <wp:inline distT="0" distB="0" distL="0" distR="0" wp14:anchorId="20563644" wp14:editId="66A6821B">
            <wp:extent cx="5509358" cy="661122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Fig_29_GWlevel_10km_NS.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519421" cy="6623304"/>
                    </a:xfrm>
                    <a:prstGeom prst="rect">
                      <a:avLst/>
                    </a:prstGeom>
                  </pic:spPr>
                </pic:pic>
              </a:graphicData>
            </a:graphic>
          </wp:inline>
        </w:drawing>
      </w:r>
    </w:p>
    <w:p w14:paraId="0E4B2CEA" w14:textId="169B9F71" w:rsidR="0042755E" w:rsidRPr="006B17BE" w:rsidRDefault="0042755E">
      <w:pPr>
        <w:pStyle w:val="Caption"/>
        <w:rPr>
          <w:rFonts w:asciiTheme="minorHAnsi" w:hAnsiTheme="minorHAnsi" w:cstheme="minorHAnsi"/>
          <w:szCs w:val="20"/>
        </w:rPr>
      </w:pPr>
      <w:bookmarkStart w:id="577" w:name="_Ref477526508"/>
      <w:bookmarkStart w:id="578" w:name="_Toc508267291"/>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16</w:t>
      </w:r>
      <w:r w:rsidR="00296C49">
        <w:rPr>
          <w:noProof/>
        </w:rPr>
        <w:fldChar w:fldCharType="end"/>
      </w:r>
      <w:bookmarkEnd w:id="577"/>
      <w:r w:rsidRPr="006B17BE">
        <w:t xml:space="preserve"> </w:t>
      </w:r>
      <w:r w:rsidRPr="006B17BE">
        <w:rPr>
          <w:rFonts w:asciiTheme="minorHAnsi" w:hAnsiTheme="minorHAnsi" w:cstheme="minorHAnsi"/>
          <w:szCs w:val="20"/>
        </w:rPr>
        <w:t>Time series (</w:t>
      </w:r>
      <w:r w:rsidR="009B777A" w:rsidRPr="006B17BE">
        <w:rPr>
          <w:rFonts w:asciiTheme="minorHAnsi" w:hAnsiTheme="minorHAnsi" w:cstheme="minorHAnsi"/>
          <w:szCs w:val="20"/>
        </w:rPr>
        <w:t xml:space="preserve">from </w:t>
      </w:r>
      <w:r w:rsidRPr="006B17BE">
        <w:rPr>
          <w:rFonts w:asciiTheme="minorHAnsi" w:hAnsiTheme="minorHAnsi" w:cstheme="minorHAnsi"/>
          <w:szCs w:val="20"/>
        </w:rPr>
        <w:t>production to recovery</w:t>
      </w:r>
      <w:r w:rsidR="009B777A" w:rsidRPr="006B17BE">
        <w:rPr>
          <w:rFonts w:asciiTheme="minorHAnsi" w:hAnsiTheme="minorHAnsi" w:cstheme="minorHAnsi"/>
          <w:szCs w:val="20"/>
        </w:rPr>
        <w:t xml:space="preserve"> of groundwater levels</w:t>
      </w:r>
      <w:r w:rsidRPr="006B17BE">
        <w:rPr>
          <w:rFonts w:asciiTheme="minorHAnsi" w:hAnsiTheme="minorHAnsi" w:cstheme="minorHAnsi"/>
          <w:szCs w:val="20"/>
        </w:rPr>
        <w:t xml:space="preserve">) of groundwater levels at a distance of 10 km to the north (solid line) and south (dashed line) of the </w:t>
      </w:r>
      <w:r w:rsidR="00387266" w:rsidRPr="006B17BE">
        <w:rPr>
          <w:rFonts w:asciiTheme="minorHAnsi" w:hAnsiTheme="minorHAnsi" w:cstheme="minorHAnsi"/>
          <w:szCs w:val="20"/>
        </w:rPr>
        <w:t>bore</w:t>
      </w:r>
      <w:r w:rsidRPr="006B17BE">
        <w:rPr>
          <w:rFonts w:asciiTheme="minorHAnsi" w:hAnsiTheme="minorHAnsi" w:cstheme="minorHAnsi"/>
          <w:szCs w:val="20"/>
        </w:rPr>
        <w:t xml:space="preserve"> field for the different </w:t>
      </w:r>
      <w:r w:rsidR="00387266" w:rsidRPr="006B17BE">
        <w:rPr>
          <w:rFonts w:asciiTheme="minorHAnsi" w:hAnsiTheme="minorHAnsi" w:cstheme="minorHAnsi"/>
          <w:szCs w:val="20"/>
        </w:rPr>
        <w:t>bore</w:t>
      </w:r>
      <w:r w:rsidRPr="006B17BE">
        <w:rPr>
          <w:rFonts w:asciiTheme="minorHAnsi" w:hAnsiTheme="minorHAnsi" w:cstheme="minorHAnsi"/>
          <w:szCs w:val="20"/>
        </w:rPr>
        <w:t xml:space="preserve"> failure </w:t>
      </w:r>
      <w:r w:rsidR="00387266" w:rsidRPr="006B17BE">
        <w:rPr>
          <w:rFonts w:asciiTheme="minorHAnsi" w:hAnsiTheme="minorHAnsi" w:cstheme="minorHAnsi"/>
          <w:szCs w:val="20"/>
        </w:rPr>
        <w:t>rates</w:t>
      </w:r>
      <w:r w:rsidRPr="006B17BE">
        <w:rPr>
          <w:rFonts w:asciiTheme="minorHAnsi" w:hAnsiTheme="minorHAnsi" w:cstheme="minorHAnsi"/>
          <w:szCs w:val="20"/>
        </w:rPr>
        <w:t xml:space="preserve"> in (a) </w:t>
      </w:r>
      <w:r w:rsidR="0009623F" w:rsidRPr="006B17BE">
        <w:rPr>
          <w:rFonts w:asciiTheme="minorHAnsi" w:hAnsiTheme="minorHAnsi" w:cstheme="minorHAnsi"/>
          <w:szCs w:val="20"/>
        </w:rPr>
        <w:t>Pilliga</w:t>
      </w:r>
      <w:r w:rsidRPr="006B17BE">
        <w:rPr>
          <w:rFonts w:asciiTheme="minorHAnsi" w:hAnsiTheme="minorHAnsi" w:cstheme="minorHAnsi"/>
          <w:szCs w:val="20"/>
        </w:rPr>
        <w:t xml:space="preserve"> </w:t>
      </w:r>
      <w:r w:rsidR="002F2D56" w:rsidRPr="006B17BE">
        <w:rPr>
          <w:rFonts w:asciiTheme="minorHAnsi" w:hAnsiTheme="minorHAnsi" w:cstheme="minorHAnsi"/>
          <w:szCs w:val="20"/>
        </w:rPr>
        <w:t>Sandstone a</w:t>
      </w:r>
      <w:r w:rsidRPr="006B17BE">
        <w:rPr>
          <w:rFonts w:asciiTheme="minorHAnsi" w:hAnsiTheme="minorHAnsi" w:cstheme="minorHAnsi"/>
          <w:szCs w:val="20"/>
        </w:rPr>
        <w:t xml:space="preserve">quifer (layer 1), (b) Late Permian coal seam (layer 3), and (c) Early Permian coal seal (layer 5). All simulations generate </w:t>
      </w:r>
      <w:r w:rsidR="00387266" w:rsidRPr="006B17BE">
        <w:rPr>
          <w:rFonts w:asciiTheme="minorHAnsi" w:hAnsiTheme="minorHAnsi" w:cstheme="minorHAnsi"/>
          <w:szCs w:val="20"/>
        </w:rPr>
        <w:t>identical</w:t>
      </w:r>
      <w:r w:rsidRPr="006B17BE">
        <w:rPr>
          <w:rFonts w:asciiTheme="minorHAnsi" w:hAnsiTheme="minorHAnsi" w:cstheme="minorHAnsi"/>
          <w:szCs w:val="20"/>
        </w:rPr>
        <w:t xml:space="preserve"> groundwater levels and therefore plot on top of each other. The </w:t>
      </w:r>
      <w:r w:rsidR="00A3362B" w:rsidRPr="006B17BE">
        <w:rPr>
          <w:rFonts w:asciiTheme="minorHAnsi" w:hAnsiTheme="minorHAnsi" w:cstheme="minorHAnsi"/>
          <w:szCs w:val="20"/>
        </w:rPr>
        <w:t>blue</w:t>
      </w:r>
      <w:r w:rsidRPr="006B17BE">
        <w:rPr>
          <w:rFonts w:asciiTheme="minorHAnsi" w:hAnsiTheme="minorHAnsi" w:cstheme="minorHAnsi"/>
          <w:szCs w:val="20"/>
        </w:rPr>
        <w:t xml:space="preserve"> bar indicates the </w:t>
      </w:r>
      <w:r w:rsidR="009E554A" w:rsidRPr="006B17BE">
        <w:rPr>
          <w:rFonts w:asciiTheme="minorHAnsi" w:hAnsiTheme="minorHAnsi" w:cstheme="minorHAnsi"/>
          <w:szCs w:val="20"/>
        </w:rPr>
        <w:t>coal seam gas</w:t>
      </w:r>
      <w:r w:rsidRPr="006B17BE">
        <w:rPr>
          <w:rFonts w:asciiTheme="minorHAnsi" w:hAnsiTheme="minorHAnsi" w:cstheme="minorHAnsi"/>
          <w:szCs w:val="20"/>
        </w:rPr>
        <w:t xml:space="preserve"> (and water) production period (25 y</w:t>
      </w:r>
      <w:r w:rsidR="002F2D56" w:rsidRPr="006B17BE">
        <w:rPr>
          <w:rFonts w:asciiTheme="minorHAnsi" w:hAnsiTheme="minorHAnsi" w:cstheme="minorHAnsi"/>
          <w:szCs w:val="20"/>
        </w:rPr>
        <w:t>ea</w:t>
      </w:r>
      <w:r w:rsidRPr="006B17BE">
        <w:rPr>
          <w:rFonts w:asciiTheme="minorHAnsi" w:hAnsiTheme="minorHAnsi" w:cstheme="minorHAnsi"/>
          <w:szCs w:val="20"/>
        </w:rPr>
        <w:t>rs). The dotted line represents the pre-production groundwater level (m AHD).</w:t>
      </w:r>
      <w:bookmarkEnd w:id="578"/>
    </w:p>
    <w:p w14:paraId="4FDFBCBA" w14:textId="3DE898E3" w:rsidR="0042755E" w:rsidRPr="006B17BE" w:rsidRDefault="0042755E" w:rsidP="009B777A">
      <w:pPr>
        <w:pStyle w:val="BodyText"/>
      </w:pPr>
    </w:p>
    <w:p w14:paraId="1F3E066C" w14:textId="6D3C3075" w:rsidR="0042755E" w:rsidRPr="006B17BE" w:rsidRDefault="0042755E" w:rsidP="00103B1B">
      <w:pPr>
        <w:pStyle w:val="BodyText"/>
        <w:jc w:val="center"/>
      </w:pPr>
      <w:r w:rsidRPr="006B17BE">
        <w:rPr>
          <w:noProof/>
        </w:rPr>
        <w:drawing>
          <wp:inline distT="0" distB="0" distL="0" distR="0" wp14:anchorId="7A595FCE" wp14:editId="2B2BFFA8">
            <wp:extent cx="5574444" cy="6689333"/>
            <wp:effectExtent l="0" t="0" r="7620" b="0"/>
            <wp:docPr id="126" name="Picture 126" descr="D:\workspace\noor0021\CSG\leaky_well\Gunnedah_model\tr\tr_cln_rand_largemodel\variable_corr_length_again!\corr_length_2_km\Fig_GWlevel_10km_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workspace\noor0021\CSG\leaky_well\Gunnedah_model\tr\tr_cln_rand_largemodel\variable_corr_length_again!\corr_length_2_km\Fig_GWlevel_10km_EW.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587524" cy="6705029"/>
                    </a:xfrm>
                    <a:prstGeom prst="rect">
                      <a:avLst/>
                    </a:prstGeom>
                    <a:noFill/>
                    <a:ln>
                      <a:noFill/>
                    </a:ln>
                  </pic:spPr>
                </pic:pic>
              </a:graphicData>
            </a:graphic>
          </wp:inline>
        </w:drawing>
      </w:r>
    </w:p>
    <w:p w14:paraId="3752AC04" w14:textId="61DE5FA5" w:rsidR="0042755E" w:rsidRPr="006B17BE" w:rsidRDefault="0042755E">
      <w:pPr>
        <w:pStyle w:val="Caption"/>
        <w:rPr>
          <w:rFonts w:asciiTheme="minorHAnsi" w:hAnsiTheme="minorHAnsi" w:cstheme="minorHAnsi"/>
          <w:szCs w:val="20"/>
        </w:rPr>
      </w:pPr>
      <w:bookmarkStart w:id="579" w:name="_Ref477526510"/>
      <w:bookmarkStart w:id="580" w:name="_Toc508267292"/>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17</w:t>
      </w:r>
      <w:r w:rsidR="00296C49">
        <w:rPr>
          <w:noProof/>
        </w:rPr>
        <w:fldChar w:fldCharType="end"/>
      </w:r>
      <w:bookmarkEnd w:id="579"/>
      <w:r w:rsidRPr="006B17BE">
        <w:t xml:space="preserve"> </w:t>
      </w:r>
      <w:r w:rsidRPr="006B17BE">
        <w:rPr>
          <w:rFonts w:asciiTheme="minorHAnsi" w:hAnsiTheme="minorHAnsi" w:cstheme="minorHAnsi"/>
          <w:szCs w:val="20"/>
        </w:rPr>
        <w:t>Time series (</w:t>
      </w:r>
      <w:r w:rsidR="009B777A" w:rsidRPr="006B17BE">
        <w:rPr>
          <w:rFonts w:asciiTheme="minorHAnsi" w:hAnsiTheme="minorHAnsi" w:cstheme="minorHAnsi"/>
          <w:szCs w:val="20"/>
        </w:rPr>
        <w:t xml:space="preserve">from </w:t>
      </w:r>
      <w:r w:rsidRPr="006B17BE">
        <w:rPr>
          <w:rFonts w:asciiTheme="minorHAnsi" w:hAnsiTheme="minorHAnsi" w:cstheme="minorHAnsi"/>
          <w:szCs w:val="20"/>
        </w:rPr>
        <w:t>production to recovery</w:t>
      </w:r>
      <w:r w:rsidR="009B777A" w:rsidRPr="006B17BE">
        <w:rPr>
          <w:rFonts w:asciiTheme="minorHAnsi" w:hAnsiTheme="minorHAnsi" w:cstheme="minorHAnsi"/>
          <w:szCs w:val="20"/>
        </w:rPr>
        <w:t xml:space="preserve"> of groundwater levels</w:t>
      </w:r>
      <w:r w:rsidRPr="006B17BE">
        <w:rPr>
          <w:rFonts w:asciiTheme="minorHAnsi" w:hAnsiTheme="minorHAnsi" w:cstheme="minorHAnsi"/>
          <w:szCs w:val="20"/>
        </w:rPr>
        <w:t xml:space="preserve">) of groundwater levels at a distance of 10 km to the east (solid line) and west (dashed line) of the </w:t>
      </w:r>
      <w:r w:rsidR="00387266" w:rsidRPr="006B17BE">
        <w:rPr>
          <w:rFonts w:asciiTheme="minorHAnsi" w:hAnsiTheme="minorHAnsi" w:cstheme="minorHAnsi"/>
          <w:szCs w:val="20"/>
        </w:rPr>
        <w:t>bore</w:t>
      </w:r>
      <w:r w:rsidRPr="006B17BE">
        <w:rPr>
          <w:rFonts w:asciiTheme="minorHAnsi" w:hAnsiTheme="minorHAnsi" w:cstheme="minorHAnsi"/>
          <w:szCs w:val="20"/>
        </w:rPr>
        <w:t xml:space="preserve"> field for the different </w:t>
      </w:r>
      <w:r w:rsidR="00387266" w:rsidRPr="006B17BE">
        <w:rPr>
          <w:rFonts w:asciiTheme="minorHAnsi" w:hAnsiTheme="minorHAnsi" w:cstheme="minorHAnsi"/>
          <w:szCs w:val="20"/>
        </w:rPr>
        <w:t>bore</w:t>
      </w:r>
      <w:r w:rsidRPr="006B17BE">
        <w:rPr>
          <w:rFonts w:asciiTheme="minorHAnsi" w:hAnsiTheme="minorHAnsi" w:cstheme="minorHAnsi"/>
          <w:szCs w:val="20"/>
        </w:rPr>
        <w:t xml:space="preserve"> failure </w:t>
      </w:r>
      <w:r w:rsidR="00387266" w:rsidRPr="006B17BE">
        <w:rPr>
          <w:rFonts w:asciiTheme="minorHAnsi" w:hAnsiTheme="minorHAnsi" w:cstheme="minorHAnsi"/>
          <w:szCs w:val="20"/>
        </w:rPr>
        <w:t>rates</w:t>
      </w:r>
      <w:r w:rsidRPr="006B17BE">
        <w:rPr>
          <w:rFonts w:asciiTheme="minorHAnsi" w:hAnsiTheme="minorHAnsi" w:cstheme="minorHAnsi"/>
          <w:szCs w:val="20"/>
        </w:rPr>
        <w:t xml:space="preserve"> in (a) </w:t>
      </w:r>
      <w:r w:rsidR="0009623F" w:rsidRPr="006B17BE">
        <w:rPr>
          <w:rFonts w:asciiTheme="minorHAnsi" w:hAnsiTheme="minorHAnsi" w:cstheme="minorHAnsi"/>
          <w:szCs w:val="20"/>
        </w:rPr>
        <w:t>Pilliga</w:t>
      </w:r>
      <w:r w:rsidRPr="006B17BE">
        <w:rPr>
          <w:rFonts w:asciiTheme="minorHAnsi" w:hAnsiTheme="minorHAnsi" w:cstheme="minorHAnsi"/>
          <w:szCs w:val="20"/>
        </w:rPr>
        <w:t xml:space="preserve"> </w:t>
      </w:r>
      <w:r w:rsidR="002F2D56" w:rsidRPr="006B17BE">
        <w:rPr>
          <w:rFonts w:asciiTheme="minorHAnsi" w:hAnsiTheme="minorHAnsi" w:cstheme="minorHAnsi"/>
          <w:szCs w:val="20"/>
        </w:rPr>
        <w:t>Sandstone a</w:t>
      </w:r>
      <w:r w:rsidRPr="006B17BE">
        <w:rPr>
          <w:rFonts w:asciiTheme="minorHAnsi" w:hAnsiTheme="minorHAnsi" w:cstheme="minorHAnsi"/>
          <w:szCs w:val="20"/>
        </w:rPr>
        <w:t xml:space="preserve">quifer (layer 1), (b) Late Permian coal seam (layer 3), and (c) Early Permian coal seal (layer 5). All simulations generate </w:t>
      </w:r>
      <w:r w:rsidR="00387266" w:rsidRPr="006B17BE">
        <w:rPr>
          <w:rFonts w:asciiTheme="minorHAnsi" w:hAnsiTheme="minorHAnsi" w:cstheme="minorHAnsi"/>
          <w:szCs w:val="20"/>
        </w:rPr>
        <w:t>identical</w:t>
      </w:r>
      <w:r w:rsidRPr="006B17BE">
        <w:rPr>
          <w:rFonts w:asciiTheme="minorHAnsi" w:hAnsiTheme="minorHAnsi" w:cstheme="minorHAnsi"/>
          <w:szCs w:val="20"/>
        </w:rPr>
        <w:t xml:space="preserve"> groundwater levels and therefore plot on top of each other. The </w:t>
      </w:r>
      <w:r w:rsidR="009B777A" w:rsidRPr="006B17BE">
        <w:rPr>
          <w:rFonts w:asciiTheme="minorHAnsi" w:hAnsiTheme="minorHAnsi" w:cstheme="minorHAnsi"/>
          <w:szCs w:val="20"/>
        </w:rPr>
        <w:t>blue</w:t>
      </w:r>
      <w:r w:rsidRPr="006B17BE">
        <w:rPr>
          <w:rFonts w:asciiTheme="minorHAnsi" w:hAnsiTheme="minorHAnsi" w:cstheme="minorHAnsi"/>
          <w:szCs w:val="20"/>
        </w:rPr>
        <w:t xml:space="preserve"> bar indicates the </w:t>
      </w:r>
      <w:r w:rsidR="009E554A" w:rsidRPr="006B17BE">
        <w:rPr>
          <w:rFonts w:asciiTheme="minorHAnsi" w:hAnsiTheme="minorHAnsi" w:cstheme="minorHAnsi"/>
          <w:szCs w:val="20"/>
        </w:rPr>
        <w:t>coal seam gas</w:t>
      </w:r>
      <w:r w:rsidRPr="006B17BE">
        <w:rPr>
          <w:rFonts w:asciiTheme="minorHAnsi" w:hAnsiTheme="minorHAnsi" w:cstheme="minorHAnsi"/>
          <w:szCs w:val="20"/>
        </w:rPr>
        <w:t xml:space="preserve"> (and water) production period (25 y</w:t>
      </w:r>
      <w:r w:rsidR="002F2D56" w:rsidRPr="006B17BE">
        <w:rPr>
          <w:rFonts w:asciiTheme="minorHAnsi" w:hAnsiTheme="minorHAnsi" w:cstheme="minorHAnsi"/>
          <w:szCs w:val="20"/>
        </w:rPr>
        <w:t>ea</w:t>
      </w:r>
      <w:r w:rsidRPr="006B17BE">
        <w:rPr>
          <w:rFonts w:asciiTheme="minorHAnsi" w:hAnsiTheme="minorHAnsi" w:cstheme="minorHAnsi"/>
          <w:szCs w:val="20"/>
        </w:rPr>
        <w:t>rs). The dotted line represents the pre-production groundwater level (m AHD).</w:t>
      </w:r>
      <w:bookmarkEnd w:id="580"/>
    </w:p>
    <w:p w14:paraId="391BD843" w14:textId="11463EBC" w:rsidR="0042755E" w:rsidRPr="006B17BE" w:rsidRDefault="0042755E" w:rsidP="00E3668B">
      <w:pPr>
        <w:pStyle w:val="BodyText"/>
      </w:pPr>
    </w:p>
    <w:p w14:paraId="4EE17881" w14:textId="662C35E3" w:rsidR="0042755E" w:rsidRPr="006B17BE" w:rsidRDefault="0042755E" w:rsidP="00103B1B">
      <w:pPr>
        <w:pStyle w:val="BodyText"/>
        <w:jc w:val="center"/>
      </w:pPr>
      <w:r w:rsidRPr="006B17BE">
        <w:rPr>
          <w:noProof/>
        </w:rPr>
        <w:drawing>
          <wp:inline distT="0" distB="0" distL="0" distR="0" wp14:anchorId="0FB5FC6A" wp14:editId="26892B65">
            <wp:extent cx="5731510" cy="2149316"/>
            <wp:effectExtent l="0" t="0" r="2540" b="3810"/>
            <wp:docPr id="127" name="Picture 127" descr="D:\workspace\noor0021\CSG\leaky_well\Gunnedah_model\tr\tr_cln_rand_largemodel\variable_corr_length_again!\figure_open\fig_ddn_mx_time_1_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workspace\noor0021\CSG\leaky_well\Gunnedah_model\tr\tr_cln_rand_largemodel\variable_corr_length_again!\figure_open\fig_ddn_mx_time_1_nw.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2149316"/>
                    </a:xfrm>
                    <a:prstGeom prst="rect">
                      <a:avLst/>
                    </a:prstGeom>
                    <a:noFill/>
                    <a:ln>
                      <a:noFill/>
                    </a:ln>
                  </pic:spPr>
                </pic:pic>
              </a:graphicData>
            </a:graphic>
          </wp:inline>
        </w:drawing>
      </w:r>
    </w:p>
    <w:p w14:paraId="041543D7" w14:textId="7435BACD" w:rsidR="0042755E" w:rsidRPr="006B17BE" w:rsidRDefault="0042755E">
      <w:pPr>
        <w:pStyle w:val="Caption"/>
      </w:pPr>
      <w:bookmarkStart w:id="581" w:name="_Ref477528001"/>
      <w:bookmarkStart w:id="582" w:name="_Toc508267293"/>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18</w:t>
      </w:r>
      <w:r w:rsidR="00296C49">
        <w:rPr>
          <w:noProof/>
        </w:rPr>
        <w:fldChar w:fldCharType="end"/>
      </w:r>
      <w:bookmarkEnd w:id="581"/>
      <w:r w:rsidRPr="006B17BE">
        <w:t xml:space="preserve"> Maximum groundwater level drawdown for 1% </w:t>
      </w:r>
      <w:r w:rsidR="00103B1B" w:rsidRPr="006B17BE">
        <w:t>bore</w:t>
      </w:r>
      <w:r w:rsidRPr="006B17BE">
        <w:t xml:space="preserve"> failure and (b) the associated timing of maximum drawdown relative to the </w:t>
      </w:r>
      <w:r w:rsidR="00103B1B" w:rsidRPr="006B17BE">
        <w:t xml:space="preserve">initial </w:t>
      </w:r>
      <w:r w:rsidRPr="006B17BE">
        <w:t>steady</w:t>
      </w:r>
      <w:r w:rsidR="00E3668B" w:rsidRPr="006B17BE">
        <w:t>-</w:t>
      </w:r>
      <w:r w:rsidR="00EC2578" w:rsidRPr="006B17BE">
        <w:t>state groundwater level for 1</w:t>
      </w:r>
      <w:r w:rsidRPr="006B17BE">
        <w:t xml:space="preserve">% </w:t>
      </w:r>
      <w:r w:rsidR="00103B1B" w:rsidRPr="006B17BE">
        <w:t>bore</w:t>
      </w:r>
      <w:r w:rsidRPr="006B17BE">
        <w:t xml:space="preserve"> failure.</w:t>
      </w:r>
      <w:bookmarkEnd w:id="582"/>
    </w:p>
    <w:p w14:paraId="77A548CD" w14:textId="58564C79" w:rsidR="0042755E" w:rsidRPr="006B17BE" w:rsidRDefault="0042755E" w:rsidP="00103B1B">
      <w:pPr>
        <w:pStyle w:val="BodyText"/>
        <w:jc w:val="center"/>
      </w:pPr>
      <w:r w:rsidRPr="006B17BE">
        <w:rPr>
          <w:noProof/>
        </w:rPr>
        <w:drawing>
          <wp:inline distT="0" distB="0" distL="0" distR="0" wp14:anchorId="1FAD1A65" wp14:editId="6CDEF4C0">
            <wp:extent cx="5731510" cy="2149316"/>
            <wp:effectExtent l="0" t="0" r="2540" b="3810"/>
            <wp:docPr id="128" name="Picture 128" descr="D:\workspace\noor0021\CSG\leaky_well\Gunnedah_model\tr\tr_cln_rand_largemodel\variable_corr_length_again!\figure_open\fig_ddn_mx_time_2_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workspace\noor0021\CSG\leaky_well\Gunnedah_model\tr\tr_cln_rand_largemodel\variable_corr_length_again!\figure_open\fig_ddn_mx_time_2_nw.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149316"/>
                    </a:xfrm>
                    <a:prstGeom prst="rect">
                      <a:avLst/>
                    </a:prstGeom>
                    <a:noFill/>
                    <a:ln>
                      <a:noFill/>
                    </a:ln>
                  </pic:spPr>
                </pic:pic>
              </a:graphicData>
            </a:graphic>
          </wp:inline>
        </w:drawing>
      </w:r>
    </w:p>
    <w:p w14:paraId="6CBD50F0" w14:textId="2B6DB288" w:rsidR="0042755E" w:rsidRPr="006B17BE" w:rsidRDefault="0042755E">
      <w:pPr>
        <w:pStyle w:val="Caption"/>
      </w:pPr>
      <w:bookmarkStart w:id="583" w:name="_Ref477528003"/>
      <w:bookmarkStart w:id="584" w:name="_Toc508267294"/>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19</w:t>
      </w:r>
      <w:r w:rsidR="00296C49">
        <w:rPr>
          <w:noProof/>
        </w:rPr>
        <w:fldChar w:fldCharType="end"/>
      </w:r>
      <w:bookmarkEnd w:id="583"/>
      <w:r w:rsidRPr="006B17BE">
        <w:t xml:space="preserve"> Maximum groundwater level drawdown for 2% </w:t>
      </w:r>
      <w:r w:rsidR="00103B1B" w:rsidRPr="006B17BE">
        <w:t>bore</w:t>
      </w:r>
      <w:r w:rsidRPr="006B17BE">
        <w:t xml:space="preserve"> failure and (b) the associated timing of maximum drawdown relative to the </w:t>
      </w:r>
      <w:r w:rsidR="00103B1B" w:rsidRPr="006B17BE">
        <w:t xml:space="preserve">initial </w:t>
      </w:r>
      <w:r w:rsidRPr="006B17BE">
        <w:t>steady</w:t>
      </w:r>
      <w:r w:rsidR="00E3668B" w:rsidRPr="006B17BE">
        <w:t>-</w:t>
      </w:r>
      <w:r w:rsidRPr="006B17BE">
        <w:t xml:space="preserve">state groundwater level for </w:t>
      </w:r>
      <w:r w:rsidR="00EC2578" w:rsidRPr="006B17BE">
        <w:t>2</w:t>
      </w:r>
      <w:r w:rsidRPr="006B17BE">
        <w:t xml:space="preserve">% </w:t>
      </w:r>
      <w:r w:rsidR="00103B1B" w:rsidRPr="006B17BE">
        <w:t>bore</w:t>
      </w:r>
      <w:r w:rsidRPr="006B17BE">
        <w:t xml:space="preserve"> failure.</w:t>
      </w:r>
      <w:bookmarkEnd w:id="584"/>
    </w:p>
    <w:p w14:paraId="7D3A86BE" w14:textId="59EAC9B1" w:rsidR="0042755E" w:rsidRPr="006B17BE" w:rsidRDefault="0042755E" w:rsidP="00103B1B">
      <w:pPr>
        <w:pStyle w:val="BodyText"/>
        <w:jc w:val="center"/>
      </w:pPr>
      <w:r w:rsidRPr="006B17BE">
        <w:rPr>
          <w:noProof/>
        </w:rPr>
        <w:drawing>
          <wp:inline distT="0" distB="0" distL="0" distR="0" wp14:anchorId="7F61C8ED" wp14:editId="319CA245">
            <wp:extent cx="5731510" cy="2149316"/>
            <wp:effectExtent l="0" t="0" r="2540" b="3810"/>
            <wp:docPr id="129" name="Picture 129" descr="D:\workspace\noor0021\CSG\leaky_well\Gunnedah_model\tr\tr_cln_rand_largemodel\variable_corr_length_again!\figure_open\fig_ddn_mx_time_5_n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workspace\noor0021\CSG\leaky_well\Gunnedah_model\tr\tr_cln_rand_largemodel\variable_corr_length_again!\figure_open\fig_ddn_mx_time_5_nw.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2149316"/>
                    </a:xfrm>
                    <a:prstGeom prst="rect">
                      <a:avLst/>
                    </a:prstGeom>
                    <a:noFill/>
                    <a:ln>
                      <a:noFill/>
                    </a:ln>
                  </pic:spPr>
                </pic:pic>
              </a:graphicData>
            </a:graphic>
          </wp:inline>
        </w:drawing>
      </w:r>
    </w:p>
    <w:p w14:paraId="11425B09" w14:textId="693DE31F" w:rsidR="0042755E" w:rsidRPr="006B17BE" w:rsidRDefault="0042755E">
      <w:pPr>
        <w:pStyle w:val="Caption"/>
      </w:pPr>
      <w:bookmarkStart w:id="585" w:name="_Ref477528004"/>
      <w:bookmarkStart w:id="586" w:name="_Toc508267295"/>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20</w:t>
      </w:r>
      <w:r w:rsidR="00296C49">
        <w:rPr>
          <w:noProof/>
        </w:rPr>
        <w:fldChar w:fldCharType="end"/>
      </w:r>
      <w:bookmarkEnd w:id="585"/>
      <w:r w:rsidRPr="006B17BE">
        <w:t xml:space="preserve"> Maximum groundwater level drawdown for 5% </w:t>
      </w:r>
      <w:r w:rsidR="00103B1B" w:rsidRPr="006B17BE">
        <w:t>bore</w:t>
      </w:r>
      <w:r w:rsidRPr="006B17BE">
        <w:t xml:space="preserve"> failure and (b) the associated timing of maximum drawdown relative to the </w:t>
      </w:r>
      <w:r w:rsidR="00103B1B" w:rsidRPr="006B17BE">
        <w:t xml:space="preserve">initial </w:t>
      </w:r>
      <w:r w:rsidRPr="006B17BE">
        <w:t>steady</w:t>
      </w:r>
      <w:r w:rsidR="00103B1B" w:rsidRPr="006B17BE">
        <w:t>-</w:t>
      </w:r>
      <w:r w:rsidRPr="006B17BE">
        <w:t xml:space="preserve">state groundwater level for </w:t>
      </w:r>
      <w:r w:rsidR="00EC2578" w:rsidRPr="006B17BE">
        <w:t>5</w:t>
      </w:r>
      <w:r w:rsidRPr="006B17BE">
        <w:t xml:space="preserve">% </w:t>
      </w:r>
      <w:r w:rsidR="00103B1B" w:rsidRPr="006B17BE">
        <w:t>bore</w:t>
      </w:r>
      <w:r w:rsidRPr="006B17BE">
        <w:t xml:space="preserve"> failure.</w:t>
      </w:r>
      <w:bookmarkEnd w:id="586"/>
    </w:p>
    <w:p w14:paraId="5C2825B5" w14:textId="77777777" w:rsidR="00103B1B" w:rsidRPr="006B17BE" w:rsidRDefault="00103B1B" w:rsidP="00103B1B">
      <w:pPr>
        <w:pStyle w:val="BodyText"/>
      </w:pPr>
    </w:p>
    <w:p w14:paraId="279D9FE4" w14:textId="73F6FF4F" w:rsidR="001D648D" w:rsidRPr="006B17BE" w:rsidRDefault="001D648D" w:rsidP="00103B1B">
      <w:pPr>
        <w:pStyle w:val="BodyText"/>
        <w:jc w:val="center"/>
      </w:pPr>
      <w:r w:rsidRPr="006B17BE">
        <w:rPr>
          <w:noProof/>
        </w:rPr>
        <w:drawing>
          <wp:inline distT="0" distB="0" distL="0" distR="0" wp14:anchorId="0069A4BB" wp14:editId="5AB89360">
            <wp:extent cx="5353723" cy="2007646"/>
            <wp:effectExtent l="0" t="0" r="0" b="0"/>
            <wp:docPr id="132" name="Picture 132" descr="D:\workspace\noor0021\CSG\leaky_well\Gunnedah_model\tr\tr_cln_rand_largemodel\variable_corr_length_again!\corr_length_2_km\fig_diff0_5_open_ddn_mx_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workspace\noor0021\CSG\leaky_well\Gunnedah_model\tr\tr_cln_rand_largemodel\variable_corr_length_again!\corr_length_2_km\fig_diff0_5_open_ddn_mx_tim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63421" cy="2011283"/>
                    </a:xfrm>
                    <a:prstGeom prst="rect">
                      <a:avLst/>
                    </a:prstGeom>
                    <a:noFill/>
                    <a:ln>
                      <a:noFill/>
                    </a:ln>
                  </pic:spPr>
                </pic:pic>
              </a:graphicData>
            </a:graphic>
          </wp:inline>
        </w:drawing>
      </w:r>
    </w:p>
    <w:p w14:paraId="7DCE1BF4" w14:textId="3B7C56A2" w:rsidR="001D648D" w:rsidRPr="006B17BE" w:rsidRDefault="001D648D">
      <w:pPr>
        <w:pStyle w:val="Caption"/>
      </w:pPr>
      <w:bookmarkStart w:id="587" w:name="_Ref477530764"/>
      <w:bookmarkStart w:id="588" w:name="_Toc508267296"/>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21</w:t>
      </w:r>
      <w:r w:rsidR="00296C49">
        <w:rPr>
          <w:noProof/>
        </w:rPr>
        <w:fldChar w:fldCharType="end"/>
      </w:r>
      <w:bookmarkEnd w:id="587"/>
      <w:r w:rsidRPr="006B17BE">
        <w:t xml:space="preserve"> Difference in maximum groundwater level drawdown between 0% and 5% </w:t>
      </w:r>
      <w:r w:rsidR="00103B1B" w:rsidRPr="006B17BE">
        <w:t>bore</w:t>
      </w:r>
      <w:r w:rsidRPr="006B17BE">
        <w:t xml:space="preserve"> failure </w:t>
      </w:r>
      <w:r w:rsidR="00FE2E72">
        <w:t xml:space="preserve">rate </w:t>
      </w:r>
      <w:r w:rsidRPr="006B17BE">
        <w:t xml:space="preserve">and (b) the associated difference in timing of maximum drawdown relative to the </w:t>
      </w:r>
      <w:r w:rsidR="00103B1B" w:rsidRPr="006B17BE">
        <w:t xml:space="preserve">initial </w:t>
      </w:r>
      <w:r w:rsidRPr="006B17BE">
        <w:t>steady</w:t>
      </w:r>
      <w:r w:rsidR="00E3668B" w:rsidRPr="006B17BE">
        <w:t>-</w:t>
      </w:r>
      <w:r w:rsidRPr="006B17BE">
        <w:t xml:space="preserve">state groundwater level between 0% and </w:t>
      </w:r>
      <w:r w:rsidR="00EC2578" w:rsidRPr="006B17BE">
        <w:t>5</w:t>
      </w:r>
      <w:r w:rsidRPr="006B17BE">
        <w:t xml:space="preserve">% </w:t>
      </w:r>
      <w:r w:rsidR="00103B1B" w:rsidRPr="006B17BE">
        <w:t>bore</w:t>
      </w:r>
      <w:r w:rsidRPr="006B17BE">
        <w:t xml:space="preserve"> failure</w:t>
      </w:r>
      <w:r w:rsidR="00FE2E72">
        <w:t xml:space="preserve"> rate</w:t>
      </w:r>
      <w:r w:rsidRPr="006B17BE">
        <w:t>.</w:t>
      </w:r>
      <w:bookmarkEnd w:id="588"/>
    </w:p>
    <w:p w14:paraId="1F486F68" w14:textId="7D2D77D6" w:rsidR="0042755E" w:rsidRPr="006B17BE" w:rsidRDefault="00551522" w:rsidP="00103B1B">
      <w:pPr>
        <w:pStyle w:val="BodyText"/>
        <w:jc w:val="center"/>
      </w:pPr>
      <w:r>
        <w:rPr>
          <w:noProof/>
        </w:rPr>
        <w:drawing>
          <wp:inline distT="0" distB="0" distL="0" distR="0" wp14:anchorId="545B51D0" wp14:editId="49CD09F8">
            <wp:extent cx="4572000" cy="45720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fig_20_flux_nw_4_OPENWELL.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581290" cy="4581290"/>
                    </a:xfrm>
                    <a:prstGeom prst="rect">
                      <a:avLst/>
                    </a:prstGeom>
                  </pic:spPr>
                </pic:pic>
              </a:graphicData>
            </a:graphic>
          </wp:inline>
        </w:drawing>
      </w:r>
    </w:p>
    <w:p w14:paraId="657C13DE" w14:textId="64A7438E" w:rsidR="000A1BF4" w:rsidRDefault="00290056" w:rsidP="00E3668B">
      <w:pPr>
        <w:pStyle w:val="Caption"/>
        <w:rPr>
          <w:rFonts w:asciiTheme="minorHAnsi" w:hAnsiTheme="minorHAnsi" w:cstheme="minorHAnsi"/>
          <w:szCs w:val="20"/>
        </w:rPr>
      </w:pPr>
      <w:bookmarkStart w:id="589" w:name="_Ref477530903"/>
      <w:bookmarkStart w:id="590" w:name="_Toc508267297"/>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22</w:t>
      </w:r>
      <w:r w:rsidR="00296C49">
        <w:rPr>
          <w:noProof/>
        </w:rPr>
        <w:fldChar w:fldCharType="end"/>
      </w:r>
      <w:bookmarkEnd w:id="589"/>
      <w:r w:rsidRPr="006B17BE">
        <w:t xml:space="preserve"> </w:t>
      </w:r>
      <w:r w:rsidR="000A1BF4" w:rsidRPr="006B17BE">
        <w:rPr>
          <w:rFonts w:asciiTheme="minorHAnsi" w:hAnsiTheme="minorHAnsi" w:cstheme="minorHAnsi"/>
          <w:szCs w:val="20"/>
        </w:rPr>
        <w:t xml:space="preserve">Impact of different </w:t>
      </w:r>
      <w:r w:rsidR="00103B1B" w:rsidRPr="006B17BE">
        <w:rPr>
          <w:rFonts w:asciiTheme="minorHAnsi" w:hAnsiTheme="minorHAnsi" w:cstheme="minorHAnsi"/>
          <w:szCs w:val="20"/>
        </w:rPr>
        <w:t>bore</w:t>
      </w:r>
      <w:r w:rsidR="000A1BF4" w:rsidRPr="006B17BE">
        <w:rPr>
          <w:rFonts w:asciiTheme="minorHAnsi" w:hAnsiTheme="minorHAnsi" w:cstheme="minorHAnsi"/>
          <w:szCs w:val="20"/>
        </w:rPr>
        <w:t xml:space="preserve"> failure </w:t>
      </w:r>
      <w:r w:rsidR="00E3668B" w:rsidRPr="006B17BE">
        <w:rPr>
          <w:rFonts w:asciiTheme="minorHAnsi" w:hAnsiTheme="minorHAnsi" w:cstheme="minorHAnsi"/>
          <w:szCs w:val="20"/>
        </w:rPr>
        <w:t>rates</w:t>
      </w:r>
      <w:r w:rsidR="000A1BF4" w:rsidRPr="006B17BE">
        <w:rPr>
          <w:rFonts w:asciiTheme="minorHAnsi" w:hAnsiTheme="minorHAnsi" w:cstheme="minorHAnsi"/>
          <w:szCs w:val="20"/>
        </w:rPr>
        <w:t xml:space="preserve"> on (a) the total groundwater flow </w:t>
      </w:r>
      <w:r w:rsidR="00937A00">
        <w:rPr>
          <w:rFonts w:asciiTheme="minorHAnsi" w:hAnsiTheme="minorHAnsi" w:cstheme="minorHAnsi"/>
          <w:szCs w:val="20"/>
        </w:rPr>
        <w:t xml:space="preserve">density </w:t>
      </w:r>
      <w:r w:rsidR="000A1BF4" w:rsidRPr="006B17BE">
        <w:rPr>
          <w:rFonts w:asciiTheme="minorHAnsi" w:hAnsiTheme="minorHAnsi" w:cstheme="minorHAnsi"/>
          <w:szCs w:val="20"/>
        </w:rPr>
        <w:t xml:space="preserve">(GWF) in layer 1 to the </w:t>
      </w:r>
      <w:r w:rsidR="00103B1B" w:rsidRPr="006B17BE">
        <w:rPr>
          <w:rFonts w:asciiTheme="minorHAnsi" w:hAnsiTheme="minorHAnsi" w:cstheme="minorHAnsi"/>
          <w:szCs w:val="20"/>
        </w:rPr>
        <w:t>bores</w:t>
      </w:r>
      <w:r w:rsidR="007B55BE">
        <w:rPr>
          <w:rFonts w:asciiTheme="minorHAnsi" w:hAnsiTheme="minorHAnsi" w:cstheme="minorHAnsi"/>
          <w:szCs w:val="20"/>
        </w:rPr>
        <w:t xml:space="preserve"> (m</w:t>
      </w:r>
      <w:r w:rsidR="007B55BE" w:rsidRPr="00F70FD6">
        <w:rPr>
          <w:rFonts w:asciiTheme="minorHAnsi" w:hAnsiTheme="minorHAnsi" w:cstheme="minorHAnsi"/>
          <w:szCs w:val="20"/>
          <w:vertAlign w:val="superscript"/>
        </w:rPr>
        <w:t>3</w:t>
      </w:r>
      <w:r w:rsidR="007B55BE">
        <w:rPr>
          <w:rFonts w:asciiTheme="minorHAnsi" w:hAnsiTheme="minorHAnsi" w:cstheme="minorHAnsi"/>
          <w:szCs w:val="20"/>
        </w:rPr>
        <w:t>/day/km</w:t>
      </w:r>
      <w:r w:rsidR="007B55BE" w:rsidRPr="00F70FD6">
        <w:rPr>
          <w:rFonts w:asciiTheme="minorHAnsi" w:hAnsiTheme="minorHAnsi" w:cstheme="minorHAnsi"/>
          <w:szCs w:val="20"/>
          <w:vertAlign w:val="superscript"/>
        </w:rPr>
        <w:t>2</w:t>
      </w:r>
      <w:r w:rsidR="007B55BE">
        <w:rPr>
          <w:rFonts w:asciiTheme="minorHAnsi" w:hAnsiTheme="minorHAnsi" w:cstheme="minorHAnsi"/>
          <w:szCs w:val="20"/>
        </w:rPr>
        <w:t>),</w:t>
      </w:r>
      <w:r w:rsidR="000A1BF4" w:rsidRPr="006B17BE">
        <w:rPr>
          <w:rFonts w:asciiTheme="minorHAnsi" w:hAnsiTheme="minorHAnsi" w:cstheme="minorHAnsi"/>
          <w:szCs w:val="20"/>
        </w:rPr>
        <w:t xml:space="preserve"> and (b) total regional leakage </w:t>
      </w:r>
      <w:r w:rsidR="00937A00">
        <w:rPr>
          <w:rFonts w:asciiTheme="minorHAnsi" w:hAnsiTheme="minorHAnsi" w:cstheme="minorHAnsi"/>
          <w:szCs w:val="20"/>
        </w:rPr>
        <w:t xml:space="preserve">density </w:t>
      </w:r>
      <w:r w:rsidR="007B55BE">
        <w:rPr>
          <w:rFonts w:asciiTheme="minorHAnsi" w:hAnsiTheme="minorHAnsi" w:cstheme="minorHAnsi"/>
          <w:szCs w:val="20"/>
        </w:rPr>
        <w:t>(m</w:t>
      </w:r>
      <w:r w:rsidR="007B55BE" w:rsidRPr="00F70FD6">
        <w:rPr>
          <w:rFonts w:asciiTheme="minorHAnsi" w:hAnsiTheme="minorHAnsi" w:cstheme="minorHAnsi"/>
          <w:szCs w:val="20"/>
          <w:vertAlign w:val="superscript"/>
        </w:rPr>
        <w:t>3</w:t>
      </w:r>
      <w:r w:rsidR="007B55BE">
        <w:rPr>
          <w:rFonts w:asciiTheme="minorHAnsi" w:hAnsiTheme="minorHAnsi" w:cstheme="minorHAnsi"/>
          <w:szCs w:val="20"/>
        </w:rPr>
        <w:t>/day/km</w:t>
      </w:r>
      <w:r w:rsidR="007B55BE" w:rsidRPr="00F70FD6">
        <w:rPr>
          <w:rFonts w:asciiTheme="minorHAnsi" w:hAnsiTheme="minorHAnsi" w:cstheme="minorHAnsi"/>
          <w:szCs w:val="20"/>
          <w:vertAlign w:val="superscript"/>
        </w:rPr>
        <w:t>2</w:t>
      </w:r>
      <w:r w:rsidR="007B55BE">
        <w:rPr>
          <w:rFonts w:asciiTheme="minorHAnsi" w:hAnsiTheme="minorHAnsi" w:cstheme="minorHAnsi"/>
          <w:szCs w:val="20"/>
        </w:rPr>
        <w:t>),</w:t>
      </w:r>
      <w:r w:rsidR="007B55BE" w:rsidRPr="006B17BE">
        <w:rPr>
          <w:rFonts w:asciiTheme="minorHAnsi" w:hAnsiTheme="minorHAnsi" w:cstheme="minorHAnsi"/>
          <w:szCs w:val="20"/>
        </w:rPr>
        <w:t xml:space="preserve"> </w:t>
      </w:r>
      <w:r w:rsidR="000A1BF4" w:rsidRPr="006B17BE">
        <w:rPr>
          <w:rFonts w:asciiTheme="minorHAnsi" w:hAnsiTheme="minorHAnsi" w:cstheme="minorHAnsi"/>
          <w:szCs w:val="20"/>
        </w:rPr>
        <w:t xml:space="preserve">and (c) total leakage </w:t>
      </w:r>
      <w:r w:rsidR="00937A00">
        <w:rPr>
          <w:rFonts w:asciiTheme="minorHAnsi" w:hAnsiTheme="minorHAnsi" w:cstheme="minorHAnsi"/>
          <w:szCs w:val="20"/>
        </w:rPr>
        <w:t xml:space="preserve">density </w:t>
      </w:r>
      <w:r w:rsidR="000A1BF4" w:rsidRPr="006B17BE">
        <w:rPr>
          <w:rFonts w:asciiTheme="minorHAnsi" w:hAnsiTheme="minorHAnsi" w:cstheme="minorHAnsi"/>
          <w:szCs w:val="20"/>
        </w:rPr>
        <w:t xml:space="preserve">beneath the </w:t>
      </w:r>
      <w:r w:rsidR="009E554A" w:rsidRPr="006B17BE">
        <w:rPr>
          <w:rFonts w:asciiTheme="minorHAnsi" w:hAnsiTheme="minorHAnsi" w:cstheme="minorHAnsi"/>
          <w:szCs w:val="20"/>
        </w:rPr>
        <w:t>coal seam gas</w:t>
      </w:r>
      <w:r w:rsidR="00E3668B" w:rsidRPr="006B17BE">
        <w:rPr>
          <w:rFonts w:asciiTheme="minorHAnsi" w:hAnsiTheme="minorHAnsi" w:cstheme="minorHAnsi"/>
          <w:szCs w:val="20"/>
        </w:rPr>
        <w:t xml:space="preserve"> </w:t>
      </w:r>
      <w:r w:rsidR="000A1BF4" w:rsidRPr="006B17BE">
        <w:rPr>
          <w:rFonts w:asciiTheme="minorHAnsi" w:hAnsiTheme="minorHAnsi" w:cstheme="minorHAnsi"/>
          <w:szCs w:val="20"/>
        </w:rPr>
        <w:t>well field</w:t>
      </w:r>
      <w:r w:rsidR="007B55BE">
        <w:rPr>
          <w:rFonts w:asciiTheme="minorHAnsi" w:hAnsiTheme="minorHAnsi" w:cstheme="minorHAnsi"/>
          <w:szCs w:val="20"/>
        </w:rPr>
        <w:t xml:space="preserve"> (m</w:t>
      </w:r>
      <w:r w:rsidR="007B55BE" w:rsidRPr="00F70FD6">
        <w:rPr>
          <w:rFonts w:asciiTheme="minorHAnsi" w:hAnsiTheme="minorHAnsi" w:cstheme="minorHAnsi"/>
          <w:szCs w:val="20"/>
          <w:vertAlign w:val="superscript"/>
        </w:rPr>
        <w:t>3</w:t>
      </w:r>
      <w:r w:rsidR="007B55BE">
        <w:rPr>
          <w:rFonts w:asciiTheme="minorHAnsi" w:hAnsiTheme="minorHAnsi" w:cstheme="minorHAnsi"/>
          <w:szCs w:val="20"/>
        </w:rPr>
        <w:t>/day/km</w:t>
      </w:r>
      <w:r w:rsidR="007B55BE" w:rsidRPr="00F70FD6">
        <w:rPr>
          <w:rFonts w:asciiTheme="minorHAnsi" w:hAnsiTheme="minorHAnsi" w:cstheme="minorHAnsi"/>
          <w:szCs w:val="20"/>
          <w:vertAlign w:val="superscript"/>
        </w:rPr>
        <w:t>2</w:t>
      </w:r>
      <w:r w:rsidR="007B55BE">
        <w:rPr>
          <w:rFonts w:asciiTheme="minorHAnsi" w:hAnsiTheme="minorHAnsi" w:cstheme="minorHAnsi"/>
          <w:szCs w:val="20"/>
        </w:rPr>
        <w:t>)</w:t>
      </w:r>
      <w:r w:rsidR="000A1BF4" w:rsidRPr="006B17BE">
        <w:rPr>
          <w:rFonts w:asciiTheme="minorHAnsi" w:hAnsiTheme="minorHAnsi" w:cstheme="minorHAnsi"/>
          <w:szCs w:val="20"/>
        </w:rPr>
        <w:t xml:space="preserve">, from layer 2 into the underlying coal target formation (layer 3). All simulations generate </w:t>
      </w:r>
      <w:r w:rsidR="00103B1B" w:rsidRPr="006B17BE">
        <w:rPr>
          <w:rFonts w:asciiTheme="minorHAnsi" w:hAnsiTheme="minorHAnsi" w:cstheme="minorHAnsi"/>
          <w:szCs w:val="20"/>
        </w:rPr>
        <w:t>identical</w:t>
      </w:r>
      <w:r w:rsidR="000A1BF4" w:rsidRPr="006B17BE">
        <w:rPr>
          <w:rFonts w:asciiTheme="minorHAnsi" w:hAnsiTheme="minorHAnsi" w:cstheme="minorHAnsi"/>
          <w:szCs w:val="20"/>
        </w:rPr>
        <w:t xml:space="preserve"> regional leakage response and therefore plot on top of each other. The </w:t>
      </w:r>
      <w:r w:rsidR="00103B1B" w:rsidRPr="006B17BE">
        <w:rPr>
          <w:rFonts w:asciiTheme="minorHAnsi" w:hAnsiTheme="minorHAnsi" w:cstheme="minorHAnsi"/>
          <w:szCs w:val="20"/>
        </w:rPr>
        <w:t>blue</w:t>
      </w:r>
      <w:r w:rsidR="000A1BF4" w:rsidRPr="006B17BE">
        <w:rPr>
          <w:rFonts w:asciiTheme="minorHAnsi" w:hAnsiTheme="minorHAnsi" w:cstheme="minorHAnsi"/>
          <w:szCs w:val="20"/>
        </w:rPr>
        <w:t xml:space="preserve"> bar indicates the </w:t>
      </w:r>
      <w:r w:rsidR="009E554A" w:rsidRPr="006B17BE">
        <w:rPr>
          <w:rFonts w:asciiTheme="minorHAnsi" w:hAnsiTheme="minorHAnsi" w:cstheme="minorHAnsi"/>
          <w:szCs w:val="20"/>
        </w:rPr>
        <w:t>coal seam gas</w:t>
      </w:r>
      <w:r w:rsidR="000A1BF4" w:rsidRPr="006B17BE">
        <w:rPr>
          <w:rFonts w:asciiTheme="minorHAnsi" w:hAnsiTheme="minorHAnsi" w:cstheme="minorHAnsi"/>
          <w:szCs w:val="20"/>
        </w:rPr>
        <w:t xml:space="preserve"> (and water) production period (25 y</w:t>
      </w:r>
      <w:r w:rsidR="002F2D56" w:rsidRPr="006B17BE">
        <w:rPr>
          <w:rFonts w:asciiTheme="minorHAnsi" w:hAnsiTheme="minorHAnsi" w:cstheme="minorHAnsi"/>
          <w:szCs w:val="20"/>
        </w:rPr>
        <w:t>ea</w:t>
      </w:r>
      <w:r w:rsidR="000A1BF4" w:rsidRPr="006B17BE">
        <w:rPr>
          <w:rFonts w:asciiTheme="minorHAnsi" w:hAnsiTheme="minorHAnsi" w:cstheme="minorHAnsi"/>
          <w:szCs w:val="20"/>
        </w:rPr>
        <w:t>rs).</w:t>
      </w:r>
      <w:bookmarkEnd w:id="590"/>
    </w:p>
    <w:p w14:paraId="5C1E4CE3" w14:textId="77777777" w:rsidR="0005428E" w:rsidRDefault="0005428E" w:rsidP="00937A00">
      <w:pPr>
        <w:pStyle w:val="BodyText"/>
      </w:pPr>
    </w:p>
    <w:p w14:paraId="1178907C" w14:textId="348933A3" w:rsidR="0005428E" w:rsidRPr="00937A00" w:rsidRDefault="0005428E" w:rsidP="00937A00">
      <w:pPr>
        <w:pStyle w:val="BodyText"/>
      </w:pPr>
      <w:r>
        <w:rPr>
          <w:noProof/>
        </w:rPr>
        <w:drawing>
          <wp:inline distT="0" distB="0" distL="0" distR="0" wp14:anchorId="0E8EC97D" wp14:editId="6DBF7088">
            <wp:extent cx="5486411" cy="5486411"/>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fig_30_flux_nw_new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486411" cy="5486411"/>
                    </a:xfrm>
                    <a:prstGeom prst="rect">
                      <a:avLst/>
                    </a:prstGeom>
                  </pic:spPr>
                </pic:pic>
              </a:graphicData>
            </a:graphic>
          </wp:inline>
        </w:drawing>
      </w:r>
    </w:p>
    <w:p w14:paraId="120BEE8C" w14:textId="135128C8" w:rsidR="0005428E" w:rsidRDefault="0005428E" w:rsidP="0005428E">
      <w:pPr>
        <w:pStyle w:val="Caption"/>
        <w:rPr>
          <w:rFonts w:asciiTheme="minorHAnsi" w:hAnsiTheme="minorHAnsi" w:cstheme="minorHAnsi"/>
          <w:szCs w:val="20"/>
        </w:rPr>
      </w:pPr>
      <w:bookmarkStart w:id="591" w:name="_Ref483564181"/>
      <w:bookmarkStart w:id="592" w:name="_Toc508267298"/>
      <w:r w:rsidRPr="006B17BE">
        <w:t xml:space="preserve">Figure </w:t>
      </w:r>
      <w:r w:rsidR="00296C49">
        <w:fldChar w:fldCharType="begin"/>
      </w:r>
      <w:r w:rsidR="00296C49">
        <w:instrText xml:space="preserve"> STYLEREF 1 \s </w:instrText>
      </w:r>
      <w:r w:rsidR="00296C49">
        <w:fldChar w:fldCharType="separate"/>
      </w:r>
      <w:r w:rsidR="00086147">
        <w:rPr>
          <w:noProof/>
        </w:rPr>
        <w:t>4</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23</w:t>
      </w:r>
      <w:r w:rsidR="00296C49">
        <w:rPr>
          <w:noProof/>
        </w:rPr>
        <w:fldChar w:fldCharType="end"/>
      </w:r>
      <w:bookmarkEnd w:id="591"/>
      <w:r w:rsidRPr="006B17BE">
        <w:t xml:space="preserve"> </w:t>
      </w:r>
      <w:r w:rsidRPr="006B17BE">
        <w:rPr>
          <w:rFonts w:asciiTheme="minorHAnsi" w:hAnsiTheme="minorHAnsi" w:cstheme="minorHAnsi"/>
          <w:szCs w:val="20"/>
        </w:rPr>
        <w:t>Impact of different bore failure rates on (a) the total groundwater flow (GWF) in layer 1 to the bores</w:t>
      </w:r>
      <w:r w:rsidR="00937A00" w:rsidRPr="006B17BE">
        <w:rPr>
          <w:rFonts w:asciiTheme="minorHAnsi" w:hAnsiTheme="minorHAnsi" w:cstheme="minorHAnsi"/>
          <w:szCs w:val="20"/>
        </w:rPr>
        <w:t>,</w:t>
      </w:r>
      <w:r w:rsidRPr="006B17BE">
        <w:rPr>
          <w:rFonts w:asciiTheme="minorHAnsi" w:hAnsiTheme="minorHAnsi" w:cstheme="minorHAnsi"/>
          <w:szCs w:val="20"/>
        </w:rPr>
        <w:t xml:space="preserve"> (b) total regional leakage</w:t>
      </w:r>
      <w:r w:rsidR="00937A00" w:rsidRPr="006B17BE">
        <w:rPr>
          <w:rFonts w:asciiTheme="minorHAnsi" w:hAnsiTheme="minorHAnsi" w:cstheme="minorHAnsi"/>
          <w:szCs w:val="20"/>
        </w:rPr>
        <w:t xml:space="preserve">, </w:t>
      </w:r>
      <w:r w:rsidRPr="006B17BE">
        <w:rPr>
          <w:rFonts w:asciiTheme="minorHAnsi" w:hAnsiTheme="minorHAnsi" w:cstheme="minorHAnsi"/>
          <w:szCs w:val="20"/>
        </w:rPr>
        <w:t>and (c) total leakage beneath the coal seam gas well field</w:t>
      </w:r>
      <w:r w:rsidR="00937A00" w:rsidRPr="006B17BE">
        <w:rPr>
          <w:rFonts w:asciiTheme="minorHAnsi" w:hAnsiTheme="minorHAnsi" w:cstheme="minorHAnsi"/>
          <w:szCs w:val="20"/>
        </w:rPr>
        <w:t>,</w:t>
      </w:r>
      <w:r w:rsidRPr="006B17BE">
        <w:rPr>
          <w:rFonts w:asciiTheme="minorHAnsi" w:hAnsiTheme="minorHAnsi" w:cstheme="minorHAnsi"/>
          <w:szCs w:val="20"/>
        </w:rPr>
        <w:t xml:space="preserve"> from layer 2 into the underlying coal target formation (layer 3). All simulations generate identical regional leakage response and therefore plot on top of each other. The blue bar indicates the coal seam gas (and water) production period (25 years).</w:t>
      </w:r>
      <w:bookmarkEnd w:id="592"/>
    </w:p>
    <w:p w14:paraId="2C0839A3" w14:textId="0C852F63" w:rsidR="00290056" w:rsidRPr="006B17BE" w:rsidRDefault="00290056" w:rsidP="00E3668B">
      <w:pPr>
        <w:pStyle w:val="BodyText"/>
      </w:pPr>
    </w:p>
    <w:p w14:paraId="637C7D3E" w14:textId="723802D1" w:rsidR="00AA16BE" w:rsidRPr="006B17BE" w:rsidRDefault="00AA16BE">
      <w:pPr>
        <w:pStyle w:val="Heading2"/>
      </w:pPr>
      <w:bookmarkStart w:id="593" w:name="_Toc483567955"/>
      <w:r w:rsidRPr="006B17BE">
        <w:t>Discussion</w:t>
      </w:r>
      <w:bookmarkEnd w:id="593"/>
    </w:p>
    <w:p w14:paraId="1A61ACF6" w14:textId="5F3E9A9E" w:rsidR="00AA16BE" w:rsidRPr="006B17BE" w:rsidRDefault="00AA16BE" w:rsidP="00F30743">
      <w:pPr>
        <w:pStyle w:val="Body"/>
      </w:pPr>
      <w:r w:rsidRPr="006B17BE">
        <w:t xml:space="preserve">Inter-aquifer leakage does not appear to be </w:t>
      </w:r>
      <w:r w:rsidR="00194EEA" w:rsidRPr="006B17BE">
        <w:t xml:space="preserve">materially </w:t>
      </w:r>
      <w:r w:rsidRPr="006B17BE">
        <w:t xml:space="preserve">enhanced by the presence of “leaky wells” in a </w:t>
      </w:r>
      <w:r w:rsidR="00E3668B" w:rsidRPr="006B17BE">
        <w:t>c</w:t>
      </w:r>
      <w:r w:rsidRPr="006B17BE">
        <w:t xml:space="preserve">oal </w:t>
      </w:r>
      <w:r w:rsidR="00E3668B" w:rsidRPr="006B17BE">
        <w:t>s</w:t>
      </w:r>
      <w:r w:rsidRPr="006B17BE">
        <w:t xml:space="preserve">eam </w:t>
      </w:r>
      <w:r w:rsidR="00E3668B" w:rsidRPr="006B17BE">
        <w:t>g</w:t>
      </w:r>
      <w:r w:rsidRPr="006B17BE">
        <w:t xml:space="preserve">as well field. </w:t>
      </w:r>
      <w:r w:rsidR="002929D4" w:rsidRPr="006B17BE">
        <w:t xml:space="preserve">This is confirmed by negligible additional head decreases in the top aquifer and by </w:t>
      </w:r>
      <w:r w:rsidR="00194EEA" w:rsidRPr="006B17BE">
        <w:t>a robust</w:t>
      </w:r>
      <w:r w:rsidR="002929D4" w:rsidRPr="006B17BE">
        <w:t xml:space="preserve"> aquitard effective </w:t>
      </w:r>
      <w:r w:rsidR="00194EEA" w:rsidRPr="006B17BE">
        <w:t>flux that is relatively insensitive to various failure rates</w:t>
      </w:r>
      <w:r w:rsidR="002929D4" w:rsidRPr="006B17BE">
        <w:t xml:space="preserve">. </w:t>
      </w:r>
      <w:r w:rsidRPr="006B17BE">
        <w:t>This agrees with the findings of Doble et al.</w:t>
      </w:r>
      <w:r w:rsidRPr="006B17BE">
        <w:rPr>
          <w:i/>
          <w:noProof/>
        </w:rPr>
        <w:t xml:space="preserve"> </w:t>
      </w:r>
      <w:r w:rsidRPr="006B17BE">
        <w:fldChar w:fldCharType="begin" w:fldLock="1"/>
      </w:r>
      <w:r w:rsidRPr="006B17BE">
        <w:instrText>ADDIN CSL_CITATION { "citationItems" : [ { "id" : "ITEM-1", "itemData" : { "author" : [ { "dropping-particle" : "", "family" : "Doble", "given" : "Rebecca", "non-dropping-particle" : "", "parse-names" : false, "suffix" : "" }, { "dropping-particle" : "", "family" : "Mccallum", "given" : "Jim", "non-dropping-particle" : "", "parse-names" : false, "suffix" : "" }, { "dropping-particle" : "", "family" : "Turnadge", "given" : "Chris", "non-dropping-particle" : "", "parse-names" : false, "suffix" : "" }, { "dropping-particle" : "", "family" : "Peeters", "given" : "Luk", "non-dropping-particle" : "", "parse-names" : false, "suffix" : "" }, { "dropping-particle" : "", "family" : "Wu", "given" : "Bailin", "non-dropping-particle" : "", "parse-names" : false, "suffix" : "" }, { "dropping-particle" : "", "family" : "Mallants", "given" : "Dirk", "non-dropping-particle" : "", "parse-names" : false, "suffix" : "" } ], "id" : "ITEM-1", "issued" : { "date-parts" : [ [ "2016" ] ] }, "number-of-pages" : "36", "publisher-place" : "Canberra, ACT", "title" : "Modelling inter-aquifer leakage associated with well integrity failure", "type" : "report" }, "uris" : [ "http://www.mendeley.com/documents/?uuid=465a006c-104b-463c-aa31-beda12ad2510" ] } ], "mendeley" : { "formattedCitation" : "(Doble &lt;i&gt;et al.&lt;/i&gt;, 2016)", "manualFormatting" : "(2016)", "plainTextFormattedCitation" : "(Doble et al., 2016)", "previouslyFormattedCitation" : "(Doble &lt;i&gt;et al.&lt;/i&gt;, 2016)" }, "properties" : { "noteIndex" : 0 }, "schema" : "https://github.com/citation-style-language/schema/raw/master/csl-citation.json" }</w:instrText>
      </w:r>
      <w:r w:rsidRPr="006B17BE">
        <w:fldChar w:fldCharType="separate"/>
      </w:r>
      <w:r w:rsidRPr="006B17BE">
        <w:rPr>
          <w:noProof/>
        </w:rPr>
        <w:t>(201</w:t>
      </w:r>
      <w:r w:rsidR="00F250ED">
        <w:rPr>
          <w:noProof/>
        </w:rPr>
        <w:t>8</w:t>
      </w:r>
      <w:r w:rsidRPr="006B17BE">
        <w:rPr>
          <w:noProof/>
        </w:rPr>
        <w:t>)</w:t>
      </w:r>
      <w:r w:rsidRPr="006B17BE">
        <w:fldChar w:fldCharType="end"/>
      </w:r>
      <w:r w:rsidR="002929D4" w:rsidRPr="006B17BE">
        <w:t xml:space="preserve"> for the leaky well case (i.e. partially leaky well)</w:t>
      </w:r>
      <w:r w:rsidRPr="006B17BE">
        <w:t>, which showed that the inter-aquifer leakage was primarily controlled by the effective well conductivity (i.e., the flow rate within a connected well)</w:t>
      </w:r>
      <w:r w:rsidR="002929D4" w:rsidRPr="006B17BE">
        <w:t>.</w:t>
      </w:r>
      <w:r w:rsidRPr="006B17BE">
        <w:t xml:space="preserve"> </w:t>
      </w:r>
      <w:r w:rsidR="002929D4" w:rsidRPr="006B17BE">
        <w:t>I</w:t>
      </w:r>
      <w:r w:rsidRPr="006B17BE">
        <w:t xml:space="preserve">n all scenarios tested here the effective well conductivity was </w:t>
      </w:r>
      <w:r w:rsidR="00194EEA" w:rsidRPr="006B17BE">
        <w:t xml:space="preserve">relatively </w:t>
      </w:r>
      <w:r w:rsidRPr="006B17BE">
        <w:t>low (approx. 0.</w:t>
      </w:r>
      <w:r w:rsidR="00E70F03" w:rsidRPr="006B17BE">
        <w:t xml:space="preserve">813 </w:t>
      </w:r>
      <w:r w:rsidRPr="006B17BE">
        <w:t xml:space="preserve">m/d). The impact of </w:t>
      </w:r>
      <w:r w:rsidR="00194EEA" w:rsidRPr="006B17BE">
        <w:t xml:space="preserve">a </w:t>
      </w:r>
      <w:r w:rsidRPr="006B17BE">
        <w:t xml:space="preserve">higher effective well conductivity will </w:t>
      </w:r>
      <w:r w:rsidR="00194EEA" w:rsidRPr="006B17BE">
        <w:t xml:space="preserve">likely </w:t>
      </w:r>
      <w:r w:rsidRPr="006B17BE">
        <w:t>have a more significant effect on the regional groundwater flow system</w:t>
      </w:r>
      <w:r w:rsidR="00194EEA" w:rsidRPr="006B17BE">
        <w:t>, with the magnitude of the effect depending on the well failure rate</w:t>
      </w:r>
      <w:r w:rsidRPr="006B17BE">
        <w:t>. Based on the effective well conductivity in this study, the minimum time require</w:t>
      </w:r>
      <w:r w:rsidR="007710B2" w:rsidRPr="006B17BE">
        <w:t>d</w:t>
      </w:r>
      <w:r w:rsidRPr="006B17BE">
        <w:t xml:space="preserve"> to reach a new equilibrium is approx</w:t>
      </w:r>
      <w:r w:rsidR="007710B2" w:rsidRPr="006B17BE">
        <w:t>imately</w:t>
      </w:r>
      <w:r w:rsidRPr="006B17BE">
        <w:t xml:space="preserve"> 1</w:t>
      </w:r>
      <w:r w:rsidR="00194EEA" w:rsidRPr="006B17BE">
        <w:t>,</w:t>
      </w:r>
      <w:r w:rsidRPr="006B17BE">
        <w:t xml:space="preserve">350 years. </w:t>
      </w:r>
      <w:r w:rsidR="007710B2" w:rsidRPr="006B17BE">
        <w:t xml:space="preserve">Note this equilibrium is defined on the basis of the inter-aquifer flux reaching a nearly constant value. </w:t>
      </w:r>
      <w:r w:rsidRPr="006B17BE">
        <w:t>The likelihood of requiring a longer period to reach a new quasi-equilibrium increases as the proportion of well failures decrease</w:t>
      </w:r>
      <w:r w:rsidR="007710B2" w:rsidRPr="006B17BE">
        <w:t>s</w:t>
      </w:r>
      <w:r w:rsidRPr="006B17BE">
        <w:t>. Should the effective well conductivity be lower than that used in this study, the time to a new quasi-equilibrium will likely increase (and vice versa for higher effective well conductivities).</w:t>
      </w:r>
    </w:p>
    <w:p w14:paraId="6832701C" w14:textId="6A5942B8" w:rsidR="005D5CC1" w:rsidRPr="006B17BE" w:rsidRDefault="00AA16BE" w:rsidP="00F30743">
      <w:pPr>
        <w:pStyle w:val="Body"/>
      </w:pPr>
      <w:r w:rsidRPr="006B17BE">
        <w:t xml:space="preserve">The effective </w:t>
      </w:r>
      <w:r w:rsidR="00194EEA" w:rsidRPr="006B17BE">
        <w:t>aquitard flux</w:t>
      </w:r>
      <w:r w:rsidRPr="006B17BE">
        <w:t xml:space="preserve"> of the </w:t>
      </w:r>
      <w:r w:rsidR="007710B2" w:rsidRPr="006B17BE">
        <w:t xml:space="preserve">top </w:t>
      </w:r>
      <w:r w:rsidRPr="006B17BE">
        <w:t xml:space="preserve">aquitard is only enhanced for a period of 200 years post-production, following this the effective </w:t>
      </w:r>
      <w:r w:rsidR="00194EEA" w:rsidRPr="006B17BE">
        <w:t>flux</w:t>
      </w:r>
      <w:r w:rsidRPr="006B17BE">
        <w:t xml:space="preserve"> stabilises at approx</w:t>
      </w:r>
      <w:r w:rsidR="007710B2" w:rsidRPr="006B17BE">
        <w:t>imately</w:t>
      </w:r>
      <w:r w:rsidRPr="006B17BE">
        <w:t xml:space="preserve"> the </w:t>
      </w:r>
      <w:r w:rsidR="007710B2" w:rsidRPr="006B17BE">
        <w:t xml:space="preserve">unperturbed aquitard </w:t>
      </w:r>
      <w:r w:rsidRPr="006B17BE">
        <w:t xml:space="preserve">vertical hydraulic conductivity. </w:t>
      </w:r>
      <w:r w:rsidR="00170324" w:rsidRPr="006B17BE">
        <w:t xml:space="preserve">However, the presence of leaky wells remains, thus the aquitard parameters remain perturbed. In this scenario the flow equilibrates </w:t>
      </w:r>
      <w:r w:rsidR="00E14CB3">
        <w:t>after approximately 800 years</w:t>
      </w:r>
      <w:r w:rsidR="00170324" w:rsidRPr="006B17BE">
        <w:t>, and the aquitard flux reaches steady</w:t>
      </w:r>
      <w:r w:rsidR="00194EEA" w:rsidRPr="006B17BE">
        <w:t>-</w:t>
      </w:r>
      <w:r w:rsidR="00170324" w:rsidRPr="006B17BE">
        <w:t>state. However, as long as there is a gradient inter-aquifer leakage will occur, as will transport of chemicals</w:t>
      </w:r>
      <w:r w:rsidR="00E14CB3">
        <w:t xml:space="preserve"> and potential contaminants between aquifers</w:t>
      </w:r>
      <w:r w:rsidR="00170324" w:rsidRPr="006B17BE">
        <w:t xml:space="preserve">. As soon as the gradient increases again due to pumping (for whatever purpose), </w:t>
      </w:r>
      <w:r w:rsidR="00194EEA" w:rsidRPr="006B17BE">
        <w:rPr>
          <w:i/>
        </w:rPr>
        <w:t>Q</w:t>
      </w:r>
      <w:r w:rsidR="00170324" w:rsidRPr="006B17BE">
        <w:rPr>
          <w:vertAlign w:val="subscript"/>
        </w:rPr>
        <w:t>eff</w:t>
      </w:r>
      <w:r w:rsidR="00170324" w:rsidRPr="006B17BE">
        <w:t xml:space="preserve"> will go up again. </w:t>
      </w:r>
    </w:p>
    <w:p w14:paraId="145E7960" w14:textId="5EF6A86A" w:rsidR="007C4CF1" w:rsidRPr="006B17BE" w:rsidRDefault="00AA16BE" w:rsidP="00F30743">
      <w:pPr>
        <w:pStyle w:val="Body"/>
      </w:pPr>
      <w:r w:rsidRPr="006B17BE">
        <w:t xml:space="preserve">It should be noted that the pumping rates used in this model </w:t>
      </w:r>
      <w:r w:rsidR="003B520C">
        <w:t>were</w:t>
      </w:r>
      <w:r w:rsidR="003B520C" w:rsidRPr="006B17BE">
        <w:t xml:space="preserve"> </w:t>
      </w:r>
      <w:r w:rsidRPr="006B17BE">
        <w:t>determined using a reservoir model, and are based on the necessary aquifer depressurisation to enable gas desorption and extraction. When applied to a single phase groundwater flow model, such as MODFLOW-USG, the flow and pressure relationships are not representative of a dual phase system. Because fluxes in a single phase groundwater model are driven by pressure, this will effectively be a misrepresentation of a dual phase system, and can lead to potential errors.</w:t>
      </w:r>
    </w:p>
    <w:p w14:paraId="3154D191" w14:textId="5F81E67E" w:rsidR="007C4CF1" w:rsidRPr="006B17BE" w:rsidRDefault="00180290" w:rsidP="00A261C1">
      <w:pPr>
        <w:pStyle w:val="Body"/>
        <w:rPr>
          <w:rFonts w:asciiTheme="minorHAnsi" w:hAnsiTheme="minorHAnsi"/>
          <w:szCs w:val="24"/>
        </w:rPr>
      </w:pPr>
      <w:r w:rsidRPr="006B17BE">
        <w:rPr>
          <w:rFonts w:asciiTheme="minorHAnsi" w:hAnsiTheme="minorHAnsi"/>
          <w:szCs w:val="24"/>
        </w:rPr>
        <w:t>The</w:t>
      </w:r>
      <w:r w:rsidR="00DE3738" w:rsidRPr="006B17BE">
        <w:rPr>
          <w:rFonts w:asciiTheme="minorHAnsi" w:hAnsiTheme="minorHAnsi"/>
          <w:szCs w:val="24"/>
        </w:rPr>
        <w:t xml:space="preserve"> influence of open </w:t>
      </w:r>
      <w:r w:rsidR="00194EEA" w:rsidRPr="006B17BE">
        <w:rPr>
          <w:rFonts w:asciiTheme="minorHAnsi" w:hAnsiTheme="minorHAnsi"/>
          <w:szCs w:val="24"/>
        </w:rPr>
        <w:t>bores</w:t>
      </w:r>
      <w:r w:rsidR="00DE3738" w:rsidRPr="006B17BE">
        <w:rPr>
          <w:rFonts w:asciiTheme="minorHAnsi" w:hAnsiTheme="minorHAnsi"/>
          <w:szCs w:val="24"/>
        </w:rPr>
        <w:t xml:space="preserve"> </w:t>
      </w:r>
      <w:r w:rsidR="00194EEA" w:rsidRPr="006B17BE">
        <w:rPr>
          <w:rFonts w:asciiTheme="minorHAnsi" w:hAnsiTheme="minorHAnsi"/>
          <w:szCs w:val="24"/>
        </w:rPr>
        <w:t xml:space="preserve">(e.g. coal exploration bores) </w:t>
      </w:r>
      <w:r w:rsidR="00DE3738" w:rsidRPr="006B17BE">
        <w:rPr>
          <w:rFonts w:asciiTheme="minorHAnsi" w:hAnsiTheme="minorHAnsi"/>
          <w:szCs w:val="24"/>
        </w:rPr>
        <w:t xml:space="preserve">on inter-aquifer leakage is considerable by comparison to the leaky well scenarios. Open </w:t>
      </w:r>
      <w:r w:rsidR="00194EEA" w:rsidRPr="006B17BE">
        <w:rPr>
          <w:rFonts w:asciiTheme="minorHAnsi" w:hAnsiTheme="minorHAnsi"/>
          <w:szCs w:val="24"/>
        </w:rPr>
        <w:t>bores</w:t>
      </w:r>
      <w:r w:rsidR="00DE3738" w:rsidRPr="006B17BE">
        <w:rPr>
          <w:rFonts w:asciiTheme="minorHAnsi" w:hAnsiTheme="minorHAnsi"/>
          <w:szCs w:val="24"/>
        </w:rPr>
        <w:t xml:space="preserve"> clearly form preferential flow paths, which when located in proximity to an active well field will have a significant impact on the groundwater response. </w:t>
      </w:r>
      <w:r w:rsidR="00D33C3B" w:rsidRPr="006B17BE">
        <w:rPr>
          <w:rFonts w:asciiTheme="minorHAnsi" w:hAnsiTheme="minorHAnsi"/>
          <w:szCs w:val="24"/>
        </w:rPr>
        <w:t>In particular</w:t>
      </w:r>
      <w:r w:rsidR="00DE3738" w:rsidRPr="006B17BE">
        <w:rPr>
          <w:rFonts w:asciiTheme="minorHAnsi" w:hAnsiTheme="minorHAnsi"/>
          <w:szCs w:val="24"/>
        </w:rPr>
        <w:t xml:space="preserve">, open wells enhance the drawdown in the </w:t>
      </w:r>
      <w:r w:rsidR="002D2EB5" w:rsidRPr="006B17BE">
        <w:rPr>
          <w:rFonts w:asciiTheme="minorHAnsi" w:hAnsiTheme="minorHAnsi"/>
          <w:szCs w:val="24"/>
        </w:rPr>
        <w:t>top</w:t>
      </w:r>
      <w:r w:rsidR="00DE3738" w:rsidRPr="006B17BE">
        <w:rPr>
          <w:rFonts w:asciiTheme="minorHAnsi" w:hAnsiTheme="minorHAnsi"/>
          <w:szCs w:val="24"/>
        </w:rPr>
        <w:t xml:space="preserve"> aquifer</w:t>
      </w:r>
      <w:r w:rsidR="009F1E79" w:rsidRPr="006B17BE">
        <w:rPr>
          <w:rFonts w:asciiTheme="minorHAnsi" w:hAnsiTheme="minorHAnsi"/>
          <w:szCs w:val="24"/>
        </w:rPr>
        <w:t xml:space="preserve"> by enabling water to replenish those layer</w:t>
      </w:r>
      <w:r w:rsidR="00DF53A0">
        <w:rPr>
          <w:rFonts w:asciiTheme="minorHAnsi" w:hAnsiTheme="minorHAnsi"/>
          <w:szCs w:val="24"/>
        </w:rPr>
        <w:t>s</w:t>
      </w:r>
      <w:r w:rsidR="009F1E79" w:rsidRPr="006B17BE">
        <w:rPr>
          <w:rFonts w:asciiTheme="minorHAnsi" w:hAnsiTheme="minorHAnsi"/>
          <w:szCs w:val="24"/>
        </w:rPr>
        <w:t xml:space="preserve"> depressurised by pumping.</w:t>
      </w:r>
      <w:r w:rsidR="008F7CC5" w:rsidRPr="006B17BE">
        <w:rPr>
          <w:rFonts w:asciiTheme="minorHAnsi" w:hAnsiTheme="minorHAnsi"/>
          <w:szCs w:val="24"/>
        </w:rPr>
        <w:t xml:space="preserve"> In hydrogeological systems where a vertical gradient exists</w:t>
      </w:r>
      <w:r w:rsidR="00107B60" w:rsidRPr="006B17BE">
        <w:rPr>
          <w:rFonts w:asciiTheme="minorHAnsi" w:hAnsiTheme="minorHAnsi"/>
          <w:szCs w:val="24"/>
        </w:rPr>
        <w:t xml:space="preserve"> between geologic layers</w:t>
      </w:r>
      <w:r w:rsidR="008F7CC5" w:rsidRPr="006B17BE">
        <w:rPr>
          <w:rFonts w:asciiTheme="minorHAnsi" w:hAnsiTheme="minorHAnsi"/>
          <w:szCs w:val="24"/>
        </w:rPr>
        <w:t>, such open wells will have a similar impact (</w:t>
      </w:r>
      <w:r w:rsidR="00107B60" w:rsidRPr="006B17BE">
        <w:rPr>
          <w:rFonts w:asciiTheme="minorHAnsi" w:hAnsiTheme="minorHAnsi"/>
          <w:szCs w:val="24"/>
        </w:rPr>
        <w:t>leakage between layers</w:t>
      </w:r>
      <w:r w:rsidR="008F7CC5" w:rsidRPr="006B17BE">
        <w:rPr>
          <w:rFonts w:asciiTheme="minorHAnsi" w:hAnsiTheme="minorHAnsi"/>
          <w:szCs w:val="24"/>
        </w:rPr>
        <w:t>) in the absence of pumping induced drawdown.</w:t>
      </w:r>
      <w:r w:rsidR="00107B60" w:rsidRPr="006B17BE">
        <w:rPr>
          <w:rFonts w:asciiTheme="minorHAnsi" w:hAnsiTheme="minorHAnsi"/>
          <w:szCs w:val="24"/>
        </w:rPr>
        <w:t xml:space="preserve"> </w:t>
      </w:r>
    </w:p>
    <w:p w14:paraId="1C9DC822" w14:textId="77777777" w:rsidR="00F21221" w:rsidRPr="006B17BE" w:rsidRDefault="00F21221" w:rsidP="00A261C1">
      <w:pPr>
        <w:pStyle w:val="Body"/>
        <w:rPr>
          <w:rFonts w:asciiTheme="minorHAnsi" w:hAnsiTheme="minorHAnsi"/>
          <w:szCs w:val="24"/>
        </w:rPr>
      </w:pPr>
    </w:p>
    <w:p w14:paraId="6C138E20" w14:textId="77777777" w:rsidR="00F21221" w:rsidRPr="006B17BE" w:rsidRDefault="00F21221" w:rsidP="00A261C1">
      <w:pPr>
        <w:pStyle w:val="Body"/>
        <w:rPr>
          <w:rFonts w:asciiTheme="minorHAnsi" w:hAnsiTheme="minorHAnsi"/>
          <w:szCs w:val="24"/>
        </w:rPr>
      </w:pPr>
    </w:p>
    <w:p w14:paraId="4540504B" w14:textId="77777777" w:rsidR="00F21221" w:rsidRPr="006B17BE" w:rsidRDefault="00F21221" w:rsidP="00A261C1">
      <w:pPr>
        <w:pStyle w:val="Body"/>
        <w:rPr>
          <w:rFonts w:asciiTheme="minorHAnsi" w:hAnsiTheme="minorHAnsi"/>
          <w:szCs w:val="24"/>
        </w:rPr>
      </w:pPr>
    </w:p>
    <w:p w14:paraId="4F553206" w14:textId="77777777" w:rsidR="00F21221" w:rsidRPr="006B17BE" w:rsidRDefault="00F21221" w:rsidP="00A261C1">
      <w:pPr>
        <w:pStyle w:val="Body"/>
        <w:rPr>
          <w:rFonts w:asciiTheme="minorHAnsi" w:hAnsiTheme="minorHAnsi"/>
          <w:szCs w:val="24"/>
        </w:rPr>
      </w:pPr>
    </w:p>
    <w:p w14:paraId="126CF5C9" w14:textId="77777777" w:rsidR="00F21221" w:rsidRPr="006B17BE" w:rsidRDefault="00F21221" w:rsidP="00A261C1">
      <w:pPr>
        <w:pStyle w:val="Body"/>
        <w:rPr>
          <w:rFonts w:asciiTheme="minorHAnsi" w:hAnsiTheme="minorHAnsi"/>
          <w:szCs w:val="24"/>
        </w:rPr>
      </w:pPr>
    </w:p>
    <w:p w14:paraId="791DDF2E" w14:textId="77777777" w:rsidR="00F21221" w:rsidRPr="006B17BE" w:rsidRDefault="00F21221" w:rsidP="00A261C1">
      <w:pPr>
        <w:pStyle w:val="Body"/>
        <w:rPr>
          <w:rFonts w:asciiTheme="minorHAnsi" w:hAnsiTheme="minorHAnsi"/>
          <w:szCs w:val="24"/>
        </w:rPr>
      </w:pPr>
    </w:p>
    <w:p w14:paraId="0A07ECA3" w14:textId="77777777" w:rsidR="00F21221" w:rsidRPr="006B17BE" w:rsidRDefault="00F21221" w:rsidP="00A261C1">
      <w:pPr>
        <w:pStyle w:val="Body"/>
        <w:rPr>
          <w:rFonts w:asciiTheme="minorHAnsi" w:hAnsiTheme="minorHAnsi"/>
          <w:szCs w:val="24"/>
        </w:rPr>
      </w:pPr>
    </w:p>
    <w:p w14:paraId="6D0DE5AE" w14:textId="77777777" w:rsidR="00F21221" w:rsidRPr="006B17BE" w:rsidRDefault="00F21221" w:rsidP="00A261C1">
      <w:pPr>
        <w:pStyle w:val="Body"/>
        <w:rPr>
          <w:rFonts w:asciiTheme="minorHAnsi" w:hAnsiTheme="minorHAnsi"/>
          <w:szCs w:val="24"/>
        </w:rPr>
      </w:pPr>
    </w:p>
    <w:p w14:paraId="7FB623DF" w14:textId="052530DE" w:rsidR="00F21221" w:rsidRPr="006B17BE" w:rsidRDefault="00530BB6" w:rsidP="00F21221">
      <w:pPr>
        <w:pStyle w:val="Heading1"/>
      </w:pPr>
      <w:bookmarkStart w:id="594" w:name="_Toc483567956"/>
      <w:r w:rsidRPr="006B17BE">
        <w:t>Local-scale s</w:t>
      </w:r>
      <w:r w:rsidR="00F21221" w:rsidRPr="006B17BE">
        <w:t>olute transport modelling</w:t>
      </w:r>
      <w:bookmarkEnd w:id="594"/>
    </w:p>
    <w:p w14:paraId="64FAFA95" w14:textId="261BAD51" w:rsidR="00F21221" w:rsidRPr="006B17BE" w:rsidRDefault="00F21221" w:rsidP="00BF2855">
      <w:pPr>
        <w:pStyle w:val="Body"/>
        <w:rPr>
          <w:rFonts w:asciiTheme="minorHAnsi" w:hAnsiTheme="minorHAnsi"/>
          <w:szCs w:val="24"/>
        </w:rPr>
      </w:pPr>
      <w:r w:rsidRPr="006B17BE">
        <w:t xml:space="preserve">The aim of the </w:t>
      </w:r>
      <w:r w:rsidR="00BF2855" w:rsidRPr="006B17BE">
        <w:t xml:space="preserve">solute transport </w:t>
      </w:r>
      <w:r w:rsidRPr="006B17BE">
        <w:t xml:space="preserve">modelling is to assess the consequences of well and bore hole </w:t>
      </w:r>
      <w:r w:rsidR="00BF2855" w:rsidRPr="006B17BE">
        <w:t xml:space="preserve">enhanced </w:t>
      </w:r>
      <w:r w:rsidR="009E554A" w:rsidRPr="006B17BE">
        <w:t>inter-aquifer</w:t>
      </w:r>
      <w:r w:rsidR="00BF2855" w:rsidRPr="006B17BE">
        <w:t xml:space="preserve"> </w:t>
      </w:r>
      <w:r w:rsidRPr="006B17BE">
        <w:t>connectivity, by assessing the number of required connective pathways to create a range of noticeable impacts. Impacts will be assessed by changes in</w:t>
      </w:r>
      <w:r w:rsidR="00BF2855" w:rsidRPr="006B17BE">
        <w:t xml:space="preserve"> solute concentration within</w:t>
      </w:r>
      <w:r w:rsidRPr="006B17BE">
        <w:rPr>
          <w:rFonts w:asciiTheme="minorHAnsi" w:hAnsiTheme="minorHAnsi"/>
          <w:szCs w:val="24"/>
        </w:rPr>
        <w:t xml:space="preserve"> aquifers (</w:t>
      </w:r>
      <w:r w:rsidR="00BF2855" w:rsidRPr="006B17BE">
        <w:rPr>
          <w:rFonts w:asciiTheme="minorHAnsi" w:hAnsiTheme="minorHAnsi"/>
          <w:szCs w:val="24"/>
        </w:rPr>
        <w:t>e.g., salinity</w:t>
      </w:r>
      <w:r w:rsidRPr="006B17BE">
        <w:rPr>
          <w:rFonts w:asciiTheme="minorHAnsi" w:hAnsiTheme="minorHAnsi"/>
          <w:szCs w:val="24"/>
        </w:rPr>
        <w:t>)</w:t>
      </w:r>
      <w:r w:rsidR="00BF2855" w:rsidRPr="006B17BE">
        <w:rPr>
          <w:rFonts w:asciiTheme="minorHAnsi" w:hAnsiTheme="minorHAnsi"/>
          <w:szCs w:val="24"/>
        </w:rPr>
        <w:t>.</w:t>
      </w:r>
    </w:p>
    <w:p w14:paraId="0B6C1BEB" w14:textId="0C3426B0" w:rsidR="00F21221" w:rsidRPr="006B17BE" w:rsidRDefault="00F21221" w:rsidP="00BF2855">
      <w:pPr>
        <w:pStyle w:val="Body"/>
      </w:pPr>
      <w:r w:rsidRPr="006B17BE">
        <w:t xml:space="preserve">Changes in </w:t>
      </w:r>
      <w:r w:rsidR="00BF2855" w:rsidRPr="006B17BE">
        <w:t xml:space="preserve">aquifer </w:t>
      </w:r>
      <w:r w:rsidRPr="006B17BE">
        <w:t xml:space="preserve">chemistry (e.g. salinity) </w:t>
      </w:r>
      <w:r w:rsidR="00BF2855" w:rsidRPr="006B17BE">
        <w:t>will</w:t>
      </w:r>
      <w:r w:rsidRPr="006B17BE">
        <w:t xml:space="preserve"> be assessed using analytical solutions at the local scale (individual bore hole)</w:t>
      </w:r>
      <w:r w:rsidR="00A1682A" w:rsidRPr="006B17BE">
        <w:t>;</w:t>
      </w:r>
      <w:r w:rsidRPr="006B17BE">
        <w:t xml:space="preserve"> </w:t>
      </w:r>
      <w:r w:rsidR="00A1682A" w:rsidRPr="006B17BE">
        <w:t xml:space="preserve">alternatively </w:t>
      </w:r>
      <w:r w:rsidRPr="006B17BE">
        <w:t>numerical solutions</w:t>
      </w:r>
      <w:r w:rsidRPr="006B17BE">
        <w:rPr>
          <w:rStyle w:val="FootnoteReference"/>
          <w:rFonts w:asciiTheme="minorHAnsi" w:hAnsiTheme="minorHAnsi"/>
          <w:szCs w:val="24"/>
        </w:rPr>
        <w:footnoteReference w:id="1"/>
      </w:r>
      <w:r w:rsidRPr="006B17BE">
        <w:t xml:space="preserve"> </w:t>
      </w:r>
      <w:r w:rsidR="00A1682A" w:rsidRPr="006B17BE">
        <w:t>may be used to account for a complex geology at the regional scale and/or to account for density effects cause by saline groundwater</w:t>
      </w:r>
      <w:r w:rsidRPr="006B17BE">
        <w:t>. This section describes the use of an analytical solution to determine the changes in aquifer salinity from a single leaky bore at a local scale.</w:t>
      </w:r>
    </w:p>
    <w:p w14:paraId="4D77CE87" w14:textId="77777777" w:rsidR="00F21221" w:rsidRPr="006B17BE" w:rsidRDefault="00F21221" w:rsidP="00BF2855">
      <w:pPr>
        <w:pStyle w:val="Heading2"/>
      </w:pPr>
      <w:bookmarkStart w:id="595" w:name="_Toc483567957"/>
      <w:r w:rsidRPr="006B17BE">
        <w:t>Modelled scenarios</w:t>
      </w:r>
      <w:bookmarkEnd w:id="595"/>
    </w:p>
    <w:p w14:paraId="083AE7D0" w14:textId="53120AC7" w:rsidR="00F21221" w:rsidRPr="006B17BE" w:rsidRDefault="00F21221" w:rsidP="006E00BB">
      <w:pPr>
        <w:pStyle w:val="Body"/>
      </w:pPr>
      <w:r w:rsidRPr="006B17BE">
        <w:t xml:space="preserve">Twelve scenarios were selected for </w:t>
      </w:r>
      <w:r w:rsidR="006E00BB" w:rsidRPr="006B17BE">
        <w:t xml:space="preserve">impact </w:t>
      </w:r>
      <w:r w:rsidRPr="006B17BE">
        <w:t>modelling to identify under which scenarios,</w:t>
      </w:r>
      <w:r w:rsidR="006E00BB" w:rsidRPr="006B17BE">
        <w:t xml:space="preserve"> if any, aquifer contamination c</w:t>
      </w:r>
      <w:r w:rsidRPr="006B17BE">
        <w:t>ould</w:t>
      </w:r>
      <w:r w:rsidR="00EF50F3" w:rsidRPr="006B17BE">
        <w:t xml:space="preserve"> occur; the scenarios include worst-case </w:t>
      </w:r>
      <w:r w:rsidRPr="006B17BE">
        <w:t>conditions identified in the Narrabri region (</w:t>
      </w:r>
      <w:r w:rsidRPr="006B17BE">
        <w:fldChar w:fldCharType="begin"/>
      </w:r>
      <w:r w:rsidRPr="006B17BE">
        <w:instrText xml:space="preserve"> REF _Ref456361018 \h  \* MERGEFORMAT </w:instrText>
      </w:r>
      <w:r w:rsidRPr="006B17BE">
        <w:fldChar w:fldCharType="separate"/>
      </w:r>
      <w:r w:rsidR="00086147" w:rsidRPr="006B17BE">
        <w:t xml:space="preserve">Table </w:t>
      </w:r>
      <w:r w:rsidR="00086147">
        <w:rPr>
          <w:noProof/>
        </w:rPr>
        <w:t>5</w:t>
      </w:r>
      <w:r w:rsidR="00086147">
        <w:rPr>
          <w:noProof/>
        </w:rPr>
        <w:noBreakHyphen/>
        <w:t>1</w:t>
      </w:r>
      <w:r w:rsidRPr="006B17BE">
        <w:fldChar w:fldCharType="end"/>
      </w:r>
      <w:r w:rsidRPr="006B17BE">
        <w:t>).</w:t>
      </w:r>
    </w:p>
    <w:p w14:paraId="56DBD713" w14:textId="48D236BA" w:rsidR="00F21221" w:rsidRPr="006B17BE" w:rsidRDefault="00F21221" w:rsidP="00EF50F3">
      <w:pPr>
        <w:pStyle w:val="Body"/>
      </w:pPr>
      <w:r w:rsidRPr="006B17BE">
        <w:t xml:space="preserve">The first principal condition </w:t>
      </w:r>
      <w:r w:rsidR="006F2AF8" w:rsidRPr="006B17BE">
        <w:t xml:space="preserve">important for solute transport modelling </w:t>
      </w:r>
      <w:r w:rsidRPr="006B17BE">
        <w:t xml:space="preserve">is whether the </w:t>
      </w:r>
      <w:r w:rsidR="00EF50F3" w:rsidRPr="006B17BE">
        <w:t xml:space="preserve">groundwater </w:t>
      </w:r>
      <w:r w:rsidRPr="006B17BE">
        <w:t xml:space="preserve">flow </w:t>
      </w:r>
      <w:r w:rsidR="00EF50F3" w:rsidRPr="006B17BE">
        <w:t xml:space="preserve">across an aquitard </w:t>
      </w:r>
      <w:r w:rsidRPr="006B17BE">
        <w:t>is upward (</w:t>
      </w:r>
      <w:r w:rsidR="00EF50F3" w:rsidRPr="006B17BE">
        <w:fldChar w:fldCharType="begin"/>
      </w:r>
      <w:r w:rsidR="00EF50F3" w:rsidRPr="006B17BE">
        <w:instrText xml:space="preserve"> REF _Ref454798956 \h  \* MERGEFORMAT </w:instrText>
      </w:r>
      <w:r w:rsidR="00EF50F3" w:rsidRPr="006B17BE">
        <w:fldChar w:fldCharType="separate"/>
      </w:r>
      <w:r w:rsidR="00086147" w:rsidRPr="00086147">
        <w:t xml:space="preserve">Figure </w:t>
      </w:r>
      <w:r w:rsidR="00086147" w:rsidRPr="00086147">
        <w:rPr>
          <w:noProof/>
        </w:rPr>
        <w:t>5</w:t>
      </w:r>
      <w:r w:rsidR="00086147" w:rsidRPr="00086147">
        <w:rPr>
          <w:noProof/>
        </w:rPr>
        <w:noBreakHyphen/>
        <w:t>1</w:t>
      </w:r>
      <w:r w:rsidR="00EF50F3" w:rsidRPr="006B17BE">
        <w:fldChar w:fldCharType="end"/>
      </w:r>
      <w:r w:rsidRPr="006B17BE">
        <w:t xml:space="preserve">), i.e. from the </w:t>
      </w:r>
      <w:r w:rsidR="00EF50F3" w:rsidRPr="006B17BE">
        <w:t xml:space="preserve">gas </w:t>
      </w:r>
      <w:r w:rsidRPr="006B17BE">
        <w:t xml:space="preserve">production zone to the </w:t>
      </w:r>
      <w:r w:rsidR="00EF50F3" w:rsidRPr="006B17BE">
        <w:t xml:space="preserve">overlying </w:t>
      </w:r>
      <w:r w:rsidRPr="006B17BE">
        <w:t xml:space="preserve">water bearing aquifer, or downward, i.e. from the water bearing aquifer to the </w:t>
      </w:r>
      <w:r w:rsidR="00EF50F3" w:rsidRPr="006B17BE">
        <w:t xml:space="preserve">underlying gas </w:t>
      </w:r>
      <w:r w:rsidRPr="006B17BE">
        <w:t>production zone and (</w:t>
      </w:r>
      <w:r w:rsidR="00EF50F3" w:rsidRPr="006B17BE">
        <w:fldChar w:fldCharType="begin"/>
      </w:r>
      <w:r w:rsidR="00EF50F3" w:rsidRPr="006B17BE">
        <w:instrText xml:space="preserve"> REF _Ref454798954 \h  \* MERGEFORMAT </w:instrText>
      </w:r>
      <w:r w:rsidR="00EF50F3" w:rsidRPr="006B17BE">
        <w:fldChar w:fldCharType="separate"/>
      </w:r>
      <w:r w:rsidR="00086147" w:rsidRPr="00086147">
        <w:t xml:space="preserve">Figure </w:t>
      </w:r>
      <w:r w:rsidR="00086147" w:rsidRPr="00086147">
        <w:rPr>
          <w:noProof/>
        </w:rPr>
        <w:t>5</w:t>
      </w:r>
      <w:r w:rsidR="00086147" w:rsidRPr="00086147">
        <w:rPr>
          <w:noProof/>
        </w:rPr>
        <w:noBreakHyphen/>
        <w:t>2</w:t>
      </w:r>
      <w:r w:rsidR="00EF50F3" w:rsidRPr="006B17BE">
        <w:fldChar w:fldCharType="end"/>
      </w:r>
      <w:r w:rsidRPr="006B17BE">
        <w:t xml:space="preserve">). Of critical concern is that saline </w:t>
      </w:r>
      <w:r w:rsidR="00EF50F3" w:rsidRPr="006B17BE">
        <w:t>ground</w:t>
      </w:r>
      <w:r w:rsidRPr="006B17BE">
        <w:t xml:space="preserve">water, or </w:t>
      </w:r>
      <w:r w:rsidR="00EF50F3" w:rsidRPr="006B17BE">
        <w:t xml:space="preserve">groundwater containing </w:t>
      </w:r>
      <w:r w:rsidRPr="006B17BE">
        <w:t xml:space="preserve">drilling </w:t>
      </w:r>
      <w:r w:rsidR="00EF50F3" w:rsidRPr="006B17BE">
        <w:t xml:space="preserve">or hydraulic fracturing </w:t>
      </w:r>
      <w:r w:rsidRPr="006B17BE">
        <w:t>fluid from the production zone</w:t>
      </w:r>
      <w:r w:rsidR="00EF50F3" w:rsidRPr="006B17BE">
        <w:t>,</w:t>
      </w:r>
      <w:r w:rsidRPr="006B17BE">
        <w:t xml:space="preserve"> could </w:t>
      </w:r>
      <w:r w:rsidR="00EF50F3" w:rsidRPr="006B17BE">
        <w:t xml:space="preserve">migrate through leaky wells or bores into </w:t>
      </w:r>
      <w:r w:rsidRPr="006B17BE">
        <w:t xml:space="preserve">the aquifers that are relied </w:t>
      </w:r>
      <w:r w:rsidR="00EF50F3" w:rsidRPr="006B17BE">
        <w:t>up</w:t>
      </w:r>
      <w:r w:rsidRPr="006B17BE">
        <w:t xml:space="preserve">on for irrigation, stock and domestic water supplies. A secondary possibility, </w:t>
      </w:r>
      <w:r w:rsidR="00EF50F3" w:rsidRPr="006B17BE">
        <w:t>in case of downward groundwater flow during the depressurisation phase</w:t>
      </w:r>
      <w:r w:rsidRPr="006B17BE">
        <w:t xml:space="preserve">, is that fresher water from the water bearing aquifer </w:t>
      </w:r>
      <w:r w:rsidR="00EF50F3" w:rsidRPr="006B17BE">
        <w:t xml:space="preserve">flows into the coal target formation and </w:t>
      </w:r>
      <w:r w:rsidRPr="006B17BE">
        <w:t>change</w:t>
      </w:r>
      <w:r w:rsidR="00EF50F3" w:rsidRPr="006B17BE">
        <w:t>s</w:t>
      </w:r>
      <w:r w:rsidRPr="006B17BE">
        <w:t xml:space="preserve"> the chemical composition of </w:t>
      </w:r>
      <w:r w:rsidR="00EF50F3" w:rsidRPr="006B17BE">
        <w:t>ground</w:t>
      </w:r>
      <w:r w:rsidRPr="006B17BE">
        <w:t>water in the production zone</w:t>
      </w:r>
      <w:r w:rsidR="00EF50F3" w:rsidRPr="006B17BE">
        <w:t>. This</w:t>
      </w:r>
      <w:r w:rsidRPr="006B17BE">
        <w:t xml:space="preserve"> may lead to accelerated oxidisation and corrosion of any remaining </w:t>
      </w:r>
      <w:r w:rsidR="00EF50F3" w:rsidRPr="006B17BE">
        <w:t>coal seam gas well</w:t>
      </w:r>
      <w:r w:rsidRPr="006B17BE">
        <w:t xml:space="preserve"> infrastructure. </w:t>
      </w:r>
    </w:p>
    <w:p w14:paraId="4AD6DCCD" w14:textId="3BD6838E" w:rsidR="00F21221" w:rsidRPr="006B17BE" w:rsidRDefault="00D61689" w:rsidP="006E37E7">
      <w:pPr>
        <w:pStyle w:val="Body"/>
      </w:pPr>
      <w:r w:rsidRPr="006B17BE">
        <w:t>T</w:t>
      </w:r>
      <w:r w:rsidR="00F21221" w:rsidRPr="006B17BE">
        <w:t xml:space="preserve">he first </w:t>
      </w:r>
      <w:r w:rsidR="00E232D5" w:rsidRPr="006B17BE">
        <w:t>scenario</w:t>
      </w:r>
      <w:r w:rsidRPr="006B17BE">
        <w:t xml:space="preserve"> </w:t>
      </w:r>
      <w:r w:rsidR="00F21221" w:rsidRPr="006B17BE">
        <w:t>assume</w:t>
      </w:r>
      <w:r w:rsidRPr="006B17BE">
        <w:t>s</w:t>
      </w:r>
      <w:r w:rsidR="00F21221" w:rsidRPr="006B17BE">
        <w:t xml:space="preserve"> the maximum upward flow from the Maules Creek </w:t>
      </w:r>
      <w:r w:rsidR="00F6310B" w:rsidRPr="006B17BE">
        <w:t xml:space="preserve">coal seam gas </w:t>
      </w:r>
      <w:r w:rsidR="00F21221" w:rsidRPr="006B17BE">
        <w:t xml:space="preserve">production zone to the Pilliga Sandstone water bearing aquifer </w:t>
      </w:r>
      <w:r w:rsidR="00F6310B" w:rsidRPr="006B17BE">
        <w:t>reported</w:t>
      </w:r>
      <w:r w:rsidR="00F21221" w:rsidRPr="006B17BE">
        <w:t xml:space="preserve"> in the Narrabri MODFLOW model (</w:t>
      </w:r>
      <w:r w:rsidR="00F94051" w:rsidRPr="006B17BE">
        <w:t>Doble</w:t>
      </w:r>
      <w:r w:rsidR="00F6310B" w:rsidRPr="006B17BE">
        <w:t xml:space="preserve"> et al. 201</w:t>
      </w:r>
      <w:r w:rsidR="00F250ED">
        <w:t>8</w:t>
      </w:r>
      <w:r w:rsidR="00F94051" w:rsidRPr="006B17BE">
        <w:t>). Doble et al. (201</w:t>
      </w:r>
      <w:r w:rsidR="00F250ED">
        <w:t>8</w:t>
      </w:r>
      <w:r w:rsidR="00F94051" w:rsidRPr="006B17BE">
        <w:t xml:space="preserve">) reported an </w:t>
      </w:r>
      <w:r w:rsidR="00F21221" w:rsidRPr="006B17BE">
        <w:t>upward fl</w:t>
      </w:r>
      <w:r w:rsidR="00F94051" w:rsidRPr="006B17BE">
        <w:t>ux</w:t>
      </w:r>
      <w:r w:rsidR="00F21221" w:rsidRPr="006B17BE">
        <w:t xml:space="preserve"> of 11.6 m</w:t>
      </w:r>
      <w:r w:rsidR="00F21221" w:rsidRPr="006B17BE">
        <w:rPr>
          <w:vertAlign w:val="superscript"/>
        </w:rPr>
        <w:t>3</w:t>
      </w:r>
      <w:r w:rsidR="00F21221" w:rsidRPr="006B17BE">
        <w:t>d</w:t>
      </w:r>
      <w:r w:rsidR="00F21221" w:rsidRPr="006B17BE">
        <w:rPr>
          <w:vertAlign w:val="superscript"/>
        </w:rPr>
        <w:t>-1</w:t>
      </w:r>
      <w:r w:rsidR="00F21221" w:rsidRPr="006B17BE">
        <w:t xml:space="preserve"> under pre-production conditions through an open exp</w:t>
      </w:r>
      <w:r w:rsidR="00F94051" w:rsidRPr="006B17BE">
        <w:t xml:space="preserve">loration or repurposed well. </w:t>
      </w:r>
      <w:r w:rsidR="00EB31CC">
        <w:t xml:space="preserve">In fact this scenario is unrelated to coal seam gas extraction and only serves as another example of a leakage pathway. </w:t>
      </w:r>
      <w:r w:rsidR="00F94051" w:rsidRPr="006B17BE">
        <w:t>T</w:t>
      </w:r>
      <w:r w:rsidR="00F21221" w:rsidRPr="006B17BE">
        <w:t xml:space="preserve">he second </w:t>
      </w:r>
      <w:r w:rsidR="00E232D5" w:rsidRPr="006B17BE">
        <w:t>scenario</w:t>
      </w:r>
      <w:r w:rsidR="00F21221" w:rsidRPr="006B17BE">
        <w:t xml:space="preserve"> assumed the maximum </w:t>
      </w:r>
      <w:r w:rsidR="00F94051" w:rsidRPr="006B17BE">
        <w:t xml:space="preserve">reported </w:t>
      </w:r>
      <w:r w:rsidR="00F21221" w:rsidRPr="006B17BE">
        <w:t xml:space="preserve">downward flow from the Pilliga </w:t>
      </w:r>
      <w:r w:rsidR="00F94051" w:rsidRPr="006B17BE">
        <w:t xml:space="preserve">Sandstone Aquifer </w:t>
      </w:r>
      <w:r w:rsidR="00F21221" w:rsidRPr="006B17BE">
        <w:t xml:space="preserve">to </w:t>
      </w:r>
      <w:r w:rsidR="00F94051" w:rsidRPr="006B17BE">
        <w:t xml:space="preserve">the </w:t>
      </w:r>
      <w:r w:rsidR="00F21221" w:rsidRPr="006B17BE">
        <w:t xml:space="preserve">Maules Creek units. This occurred immediately after production ceased, through an open exploration </w:t>
      </w:r>
      <w:r w:rsidR="00F94051" w:rsidRPr="006B17BE">
        <w:t xml:space="preserve">bore </w:t>
      </w:r>
      <w:r w:rsidR="00F21221" w:rsidRPr="006B17BE">
        <w:t xml:space="preserve">or repurposed well, </w:t>
      </w:r>
      <w:r w:rsidR="00F94051" w:rsidRPr="006B17BE">
        <w:t xml:space="preserve">with </w:t>
      </w:r>
      <w:r w:rsidR="00F21221" w:rsidRPr="006B17BE">
        <w:t>a fl</w:t>
      </w:r>
      <w:r w:rsidR="00F94051" w:rsidRPr="006B17BE">
        <w:t>ux</w:t>
      </w:r>
      <w:r w:rsidR="00F21221" w:rsidRPr="006B17BE">
        <w:t xml:space="preserve"> of 51.4 m</w:t>
      </w:r>
      <w:r w:rsidR="00F21221" w:rsidRPr="006B17BE">
        <w:rPr>
          <w:vertAlign w:val="superscript"/>
        </w:rPr>
        <w:t>3</w:t>
      </w:r>
      <w:r w:rsidR="00F21221" w:rsidRPr="006B17BE">
        <w:t>d</w:t>
      </w:r>
      <w:r w:rsidR="00F21221" w:rsidRPr="006B17BE">
        <w:rPr>
          <w:vertAlign w:val="superscript"/>
        </w:rPr>
        <w:t>-1</w:t>
      </w:r>
      <w:r w:rsidR="00F21221" w:rsidRPr="006B17BE">
        <w:t xml:space="preserve"> (</w:t>
      </w:r>
      <w:r w:rsidR="00F94051" w:rsidRPr="006B17BE">
        <w:t>Doble et al. 201</w:t>
      </w:r>
      <w:r w:rsidR="00F250ED">
        <w:t>8</w:t>
      </w:r>
      <w:r w:rsidR="00F21221" w:rsidRPr="006B17BE">
        <w:t>)</w:t>
      </w:r>
      <w:r w:rsidR="00F94051" w:rsidRPr="006B17BE">
        <w:t>.</w:t>
      </w:r>
      <w:r w:rsidR="00F21221" w:rsidRPr="006B17BE">
        <w:t xml:space="preserve"> </w:t>
      </w:r>
      <w:r w:rsidR="00F94051" w:rsidRPr="006B17BE">
        <w:t xml:space="preserve">This flux </w:t>
      </w:r>
      <w:r w:rsidR="00F21221" w:rsidRPr="006B17BE">
        <w:t xml:space="preserve">was around five times higher than the </w:t>
      </w:r>
      <w:r w:rsidR="00DD71FF">
        <w:t>up</w:t>
      </w:r>
      <w:r w:rsidR="00F94051" w:rsidRPr="006B17BE">
        <w:t>ward flux</w:t>
      </w:r>
      <w:r w:rsidR="00F21221" w:rsidRPr="006B17BE">
        <w:t xml:space="preserve"> scenario. They both represent </w:t>
      </w:r>
      <w:r w:rsidR="00D85E76" w:rsidRPr="006B17BE">
        <w:t>worst case scenarios</w:t>
      </w:r>
      <w:r w:rsidR="00F21221" w:rsidRPr="006B17BE">
        <w:t xml:space="preserve"> of leak</w:t>
      </w:r>
      <w:r w:rsidR="00D85E76" w:rsidRPr="006B17BE">
        <w:t xml:space="preserve">y well or bore enhanced </w:t>
      </w:r>
      <w:r w:rsidR="009E554A" w:rsidRPr="006B17BE">
        <w:t>inter-aquifer</w:t>
      </w:r>
      <w:r w:rsidR="00D85E76" w:rsidRPr="006B17BE">
        <w:t xml:space="preserve"> leak</w:t>
      </w:r>
      <w:r w:rsidR="00F21221" w:rsidRPr="006B17BE">
        <w:t>age.</w:t>
      </w:r>
    </w:p>
    <w:p w14:paraId="2FE189B4" w14:textId="59ECD0AC" w:rsidR="00F21221" w:rsidRPr="006B17BE" w:rsidRDefault="00F21221" w:rsidP="00D85E76">
      <w:pPr>
        <w:pStyle w:val="Body"/>
      </w:pPr>
      <w:r w:rsidRPr="006B17BE">
        <w:t xml:space="preserve">The second condition </w:t>
      </w:r>
      <w:r w:rsidR="006F2AF8" w:rsidRPr="006B17BE">
        <w:t xml:space="preserve">that influenced solute transport </w:t>
      </w:r>
      <w:r w:rsidRPr="006B17BE">
        <w:t xml:space="preserve">is the background horizontal flow velocity in the aquifer, which influences the proportion of solute that is detected downgradient of a leaky well. </w:t>
      </w:r>
      <w:r w:rsidR="006F2AF8" w:rsidRPr="006B17BE">
        <w:t xml:space="preserve">To evaluate </w:t>
      </w:r>
      <w:r w:rsidRPr="006B17BE">
        <w:t xml:space="preserve">this </w:t>
      </w:r>
      <w:r w:rsidR="006F2AF8" w:rsidRPr="006B17BE">
        <w:t xml:space="preserve">condition </w:t>
      </w:r>
      <w:r w:rsidRPr="006B17BE">
        <w:t>three situations</w:t>
      </w:r>
      <w:r w:rsidR="006F2AF8" w:rsidRPr="006B17BE">
        <w:t xml:space="preserve"> are considered</w:t>
      </w:r>
      <w:r w:rsidRPr="006B17BE">
        <w:t>. Firstly</w:t>
      </w:r>
      <w:r w:rsidR="006F2AF8" w:rsidRPr="006B17BE">
        <w:t>,</w:t>
      </w:r>
      <w:r w:rsidRPr="006B17BE">
        <w:t xml:space="preserve"> the median horizontal velocities within the Pilliga Sandstone </w:t>
      </w:r>
      <w:r w:rsidR="006F2AF8" w:rsidRPr="006B17BE">
        <w:t xml:space="preserve">aquifer </w:t>
      </w:r>
      <w:r w:rsidRPr="006B17BE">
        <w:t xml:space="preserve">and Maules Creek </w:t>
      </w:r>
      <w:r w:rsidR="00EB31CC">
        <w:t>F</w:t>
      </w:r>
      <w:r w:rsidRPr="006B17BE">
        <w:t>ormation (</w:t>
      </w:r>
      <w:r w:rsidR="006F2AF8" w:rsidRPr="006B17BE">
        <w:t xml:space="preserve">gas </w:t>
      </w:r>
      <w:r w:rsidRPr="006B17BE">
        <w:t xml:space="preserve">production zone) </w:t>
      </w:r>
      <w:r w:rsidR="006F2AF8" w:rsidRPr="006B17BE">
        <w:t xml:space="preserve">are used based on </w:t>
      </w:r>
      <w:r w:rsidRPr="006B17BE">
        <w:t xml:space="preserve">the CDM Smith </w:t>
      </w:r>
      <w:r w:rsidRPr="006B17BE">
        <w:fldChar w:fldCharType="begin"/>
      </w:r>
      <w:r w:rsidR="00AC3BD2">
        <w:instrText xml:space="preserve"> ADDIN EN.CITE &lt;EndNote&gt;&lt;Cite ExcludeAuth="1"&gt;&lt;Author&gt;CDM Smith&lt;/Author&gt;&lt;Year&gt;2014&lt;/Year&gt;&lt;RecNum&gt;86&lt;/RecNum&gt;&lt;DisplayText&gt;(2014)&lt;/DisplayText&gt;&lt;record&gt;&lt;rec-number&gt;86&lt;/rec-number&gt;&lt;foreign-keys&gt;&lt;key app="EN" db-id="xsexsdeavw900aew9xqxrzzyttv0wxs0rf9r" timestamp="1520464010"&gt;86&lt;/key&gt;&lt;/foreign-keys&gt;&lt;ref-type name="Report"&gt;27&lt;/ref-type&gt;&lt;contributors&gt;&lt;authors&gt;&lt;author&gt;CDM Smith,&lt;/author&gt;&lt;/authors&gt;&lt;/contributors&gt;&lt;titles&gt;&lt;title&gt;Santos Narrabri Gas Project: Groundwater modelling report. &lt;/title&gt;&lt;/titles&gt;&lt;pages&gt;291&lt;/pages&gt;&lt;dates&gt;&lt;year&gt;2014&lt;/year&gt;&lt;/dates&gt;&lt;pub-location&gt;Subiaco, WA&lt;/pub-location&gt;&lt;urls&gt;&lt;/urls&gt;&lt;/record&gt;&lt;/Cite&gt;&lt;/EndNote&gt;</w:instrText>
      </w:r>
      <w:r w:rsidRPr="006B17BE">
        <w:fldChar w:fldCharType="separate"/>
      </w:r>
      <w:r w:rsidRPr="006B17BE">
        <w:rPr>
          <w:noProof/>
        </w:rPr>
        <w:t>(</w:t>
      </w:r>
      <w:hyperlink w:anchor="_ENREF_1" w:tooltip="CDM Smith, 2014 #86" w:history="1">
        <w:r w:rsidR="00AC3BD2" w:rsidRPr="006B17BE">
          <w:rPr>
            <w:noProof/>
          </w:rPr>
          <w:t>2014</w:t>
        </w:r>
      </w:hyperlink>
      <w:r w:rsidRPr="006B17BE">
        <w:rPr>
          <w:noProof/>
        </w:rPr>
        <w:t>)</w:t>
      </w:r>
      <w:r w:rsidRPr="006B17BE">
        <w:fldChar w:fldCharType="end"/>
      </w:r>
      <w:r w:rsidR="006F2AF8" w:rsidRPr="006B17BE">
        <w:t xml:space="preserve"> model</w:t>
      </w:r>
      <w:r w:rsidRPr="006B17BE">
        <w:t xml:space="preserve">. Secondly, the maximum horizontal flow velocity from </w:t>
      </w:r>
      <w:r w:rsidR="006F2AF8" w:rsidRPr="006B17BE">
        <w:t xml:space="preserve">the same </w:t>
      </w:r>
      <w:r w:rsidRPr="006B17BE">
        <w:t>model</w:t>
      </w:r>
      <w:r w:rsidR="006F2AF8" w:rsidRPr="006B17BE">
        <w:t xml:space="preserve"> are used</w:t>
      </w:r>
      <w:r w:rsidRPr="006B17BE">
        <w:t xml:space="preserve">. </w:t>
      </w:r>
      <w:r w:rsidR="009D0F20" w:rsidRPr="006B17BE">
        <w:t>Finally,</w:t>
      </w:r>
      <w:r w:rsidRPr="006B17BE">
        <w:t xml:space="preserve"> we recognise that the flow of water through a</w:t>
      </w:r>
      <w:r w:rsidR="009D0F20" w:rsidRPr="006B17BE">
        <w:t xml:space="preserve"> leaky</w:t>
      </w:r>
      <w:r w:rsidRPr="006B17BE">
        <w:t xml:space="preserve"> well </w:t>
      </w:r>
      <w:r w:rsidR="009D0F20" w:rsidRPr="006B17BE">
        <w:t>or bore may</w:t>
      </w:r>
      <w:r w:rsidRPr="006B17BE">
        <w:t xml:space="preserve"> significantly increase the local flow velocities within the aquifer. As a</w:t>
      </w:r>
      <w:r w:rsidR="009D0F20" w:rsidRPr="006B17BE">
        <w:t xml:space="preserve"> worst-case</w:t>
      </w:r>
      <w:r w:rsidRPr="006B17BE">
        <w:t xml:space="preserve"> example, the inflow velocity from the open </w:t>
      </w:r>
      <w:r w:rsidR="008745BE" w:rsidRPr="006B17BE">
        <w:t>bore</w:t>
      </w:r>
      <w:r w:rsidRPr="006B17BE">
        <w:t xml:space="preserve"> into the aquifer </w:t>
      </w:r>
      <w:r w:rsidR="00B03586" w:rsidRPr="006B17BE">
        <w:t xml:space="preserve">is calculated </w:t>
      </w:r>
      <w:r w:rsidRPr="006B17BE">
        <w:t>to be the highest possible horizontal velocity within the aquifer.</w:t>
      </w:r>
    </w:p>
    <w:p w14:paraId="7A6C8113" w14:textId="2B964E35" w:rsidR="00F21221" w:rsidRPr="006B17BE" w:rsidRDefault="00F21221" w:rsidP="00684F4E">
      <w:pPr>
        <w:pStyle w:val="Caption"/>
      </w:pPr>
      <w:bookmarkStart w:id="596" w:name="_Ref456361018"/>
      <w:bookmarkStart w:id="597" w:name="_Toc508267202"/>
      <w:r w:rsidRPr="006B17BE">
        <w:t xml:space="preserve">Table </w:t>
      </w:r>
      <w:r w:rsidR="00296C49">
        <w:fldChar w:fldCharType="begin"/>
      </w:r>
      <w:r w:rsidR="00296C49">
        <w:instrText xml:space="preserve"> STYLEREF 1 \s </w:instrText>
      </w:r>
      <w:r w:rsidR="00296C49">
        <w:fldChar w:fldCharType="separate"/>
      </w:r>
      <w:r w:rsidR="00086147">
        <w:rPr>
          <w:noProof/>
        </w:rPr>
        <w:t>5</w:t>
      </w:r>
      <w:r w:rsidR="00296C49">
        <w:rPr>
          <w:noProof/>
        </w:rPr>
        <w:fldChar w:fldCharType="end"/>
      </w:r>
      <w:r w:rsidR="0014612E">
        <w:noBreakHyphen/>
      </w:r>
      <w:r w:rsidR="00296C49">
        <w:fldChar w:fldCharType="begin"/>
      </w:r>
      <w:r w:rsidR="00296C49">
        <w:instrText xml:space="preserve"> SEQ Table \* ARABIC \s 1 </w:instrText>
      </w:r>
      <w:r w:rsidR="00296C49">
        <w:fldChar w:fldCharType="separate"/>
      </w:r>
      <w:r w:rsidR="00086147">
        <w:rPr>
          <w:noProof/>
        </w:rPr>
        <w:t>1</w:t>
      </w:r>
      <w:r w:rsidR="00296C49">
        <w:rPr>
          <w:noProof/>
        </w:rPr>
        <w:fldChar w:fldCharType="end"/>
      </w:r>
      <w:bookmarkEnd w:id="596"/>
      <w:r w:rsidRPr="006B17BE">
        <w:t xml:space="preserve"> </w:t>
      </w:r>
      <w:r w:rsidR="00EF50F3" w:rsidRPr="006B17BE">
        <w:t>S</w:t>
      </w:r>
      <w:r w:rsidRPr="006B17BE">
        <w:t>cenarios</w:t>
      </w:r>
      <w:r w:rsidR="00EF50F3" w:rsidRPr="006B17BE">
        <w:t xml:space="preserve"> for impact modelling</w:t>
      </w:r>
      <w:r w:rsidRPr="006B17BE">
        <w:t>.</w:t>
      </w:r>
      <w:bookmarkEnd w:id="597"/>
    </w:p>
    <w:tbl>
      <w:tblPr>
        <w:tblW w:w="825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446"/>
        <w:gridCol w:w="1418"/>
        <w:gridCol w:w="1701"/>
        <w:gridCol w:w="1701"/>
      </w:tblGrid>
      <w:tr w:rsidR="00F21221" w:rsidRPr="006B17BE" w14:paraId="7F1832EF" w14:textId="77777777" w:rsidTr="00A90B3C">
        <w:trPr>
          <w:trHeight w:val="188"/>
          <w:tblHeader/>
        </w:trPr>
        <w:tc>
          <w:tcPr>
            <w:tcW w:w="1985" w:type="dxa"/>
            <w:tcBorders>
              <w:top w:val="single" w:sz="4" w:space="0" w:color="auto"/>
              <w:left w:val="single" w:sz="4" w:space="0" w:color="auto"/>
              <w:bottom w:val="single" w:sz="4" w:space="0" w:color="auto"/>
              <w:right w:val="single" w:sz="4" w:space="0" w:color="auto"/>
            </w:tcBorders>
            <w:shd w:val="clear" w:color="auto" w:fill="CCCCCC" w:themeFill="text2" w:themeFillTint="33"/>
            <w:hideMark/>
          </w:tcPr>
          <w:p w14:paraId="2FA0A912" w14:textId="77777777" w:rsidR="00F21221" w:rsidRPr="006B17BE" w:rsidRDefault="00F21221" w:rsidP="00E232D5">
            <w:pPr>
              <w:pStyle w:val="Body"/>
              <w:jc w:val="center"/>
            </w:pPr>
            <w:r w:rsidRPr="006B17BE">
              <w:t>Scenario descriptions</w:t>
            </w:r>
          </w:p>
        </w:tc>
        <w:tc>
          <w:tcPr>
            <w:tcW w:w="1446"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4182D20F" w14:textId="77777777" w:rsidR="00F21221" w:rsidRPr="006B17BE" w:rsidRDefault="00F21221" w:rsidP="00E232D5">
            <w:pPr>
              <w:pStyle w:val="Body"/>
              <w:jc w:val="center"/>
            </w:pPr>
            <w:r w:rsidRPr="006B17BE">
              <w:t>Pilliga Sandstone (upward flow)</w:t>
            </w:r>
          </w:p>
          <w:p w14:paraId="52C15DF8" w14:textId="77777777" w:rsidR="00F21221" w:rsidRPr="006B17BE" w:rsidRDefault="00F21221" w:rsidP="00E232D5">
            <w:pPr>
              <w:pStyle w:val="Body"/>
            </w:pPr>
            <w:r w:rsidRPr="006B17BE">
              <w:t>Median TDS</w:t>
            </w:r>
          </w:p>
        </w:tc>
        <w:tc>
          <w:tcPr>
            <w:tcW w:w="1418"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5F3EC8BC" w14:textId="77777777" w:rsidR="00F21221" w:rsidRPr="006B17BE" w:rsidRDefault="00F21221" w:rsidP="00E232D5">
            <w:pPr>
              <w:pStyle w:val="Body"/>
              <w:jc w:val="center"/>
            </w:pPr>
            <w:r w:rsidRPr="006B17BE">
              <w:t>Pilliga Sandstone (upward flow)</w:t>
            </w:r>
          </w:p>
          <w:p w14:paraId="06A7C5BE" w14:textId="77777777" w:rsidR="00F21221" w:rsidRPr="006B17BE" w:rsidRDefault="00F21221" w:rsidP="00E232D5">
            <w:pPr>
              <w:pStyle w:val="Body"/>
              <w:jc w:val="center"/>
            </w:pPr>
            <w:r w:rsidRPr="006B17BE">
              <w:t>Max/Min TDS</w:t>
            </w:r>
          </w:p>
        </w:tc>
        <w:tc>
          <w:tcPr>
            <w:tcW w:w="1701"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6D59BDA6" w14:textId="77777777" w:rsidR="00F21221" w:rsidRPr="006B17BE" w:rsidRDefault="00F21221" w:rsidP="00E232D5">
            <w:pPr>
              <w:pStyle w:val="Body"/>
              <w:jc w:val="center"/>
            </w:pPr>
            <w:r w:rsidRPr="006B17BE">
              <w:t>Maules Creek formation (downward flow)</w:t>
            </w:r>
          </w:p>
          <w:p w14:paraId="26CD68EA" w14:textId="77777777" w:rsidR="00F21221" w:rsidRPr="006B17BE" w:rsidRDefault="00F21221" w:rsidP="00E232D5">
            <w:pPr>
              <w:pStyle w:val="Body"/>
              <w:jc w:val="center"/>
            </w:pPr>
            <w:r w:rsidRPr="006B17BE">
              <w:t>Median TDS</w:t>
            </w:r>
          </w:p>
        </w:tc>
        <w:tc>
          <w:tcPr>
            <w:tcW w:w="1701"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313EAA28" w14:textId="77777777" w:rsidR="00F21221" w:rsidRPr="006B17BE" w:rsidRDefault="00F21221" w:rsidP="00E232D5">
            <w:pPr>
              <w:pStyle w:val="Body"/>
              <w:jc w:val="center"/>
            </w:pPr>
            <w:r w:rsidRPr="006B17BE">
              <w:t>Maules Creek formation (downward flow)</w:t>
            </w:r>
          </w:p>
          <w:p w14:paraId="4C128F81" w14:textId="77777777" w:rsidR="00F21221" w:rsidRPr="006B17BE" w:rsidRDefault="00F21221" w:rsidP="00E232D5">
            <w:pPr>
              <w:pStyle w:val="Body"/>
              <w:jc w:val="center"/>
            </w:pPr>
            <w:r w:rsidRPr="006B17BE">
              <w:t>Max/Min TDS</w:t>
            </w:r>
          </w:p>
        </w:tc>
      </w:tr>
      <w:tr w:rsidR="00F21221" w:rsidRPr="006B17BE" w14:paraId="37B9365A"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vAlign w:val="center"/>
          </w:tcPr>
          <w:p w14:paraId="5E66EA51" w14:textId="77777777" w:rsidR="00F21221" w:rsidRPr="006B17BE" w:rsidRDefault="00F21221" w:rsidP="00E232D5">
            <w:pPr>
              <w:pStyle w:val="Body"/>
              <w:rPr>
                <w:noProof/>
                <w:color w:val="auto"/>
              </w:rPr>
            </w:pPr>
            <w:r w:rsidRPr="006B17BE">
              <w:rPr>
                <w:noProof/>
              </w:rPr>
              <w:t xml:space="preserve">Median aquifer velocity </w:t>
            </w:r>
          </w:p>
        </w:tc>
        <w:tc>
          <w:tcPr>
            <w:tcW w:w="1446" w:type="dxa"/>
            <w:tcBorders>
              <w:top w:val="single" w:sz="4" w:space="0" w:color="auto"/>
              <w:left w:val="single" w:sz="4" w:space="0" w:color="auto"/>
              <w:bottom w:val="single" w:sz="4" w:space="0" w:color="auto"/>
              <w:right w:val="single" w:sz="4" w:space="0" w:color="auto"/>
            </w:tcBorders>
            <w:vAlign w:val="center"/>
          </w:tcPr>
          <w:p w14:paraId="2D380A0E" w14:textId="77777777" w:rsidR="00F21221" w:rsidRPr="006B17BE" w:rsidRDefault="00F21221" w:rsidP="00E232D5">
            <w:pPr>
              <w:pStyle w:val="Body"/>
              <w:rPr>
                <w:color w:val="auto"/>
              </w:rPr>
            </w:pPr>
            <w:r w:rsidRPr="006B17BE">
              <w:t>Scenario 1a</w:t>
            </w:r>
          </w:p>
        </w:tc>
        <w:tc>
          <w:tcPr>
            <w:tcW w:w="1418" w:type="dxa"/>
            <w:tcBorders>
              <w:top w:val="single" w:sz="4" w:space="0" w:color="auto"/>
              <w:left w:val="single" w:sz="4" w:space="0" w:color="auto"/>
              <w:bottom w:val="single" w:sz="4" w:space="0" w:color="auto"/>
              <w:right w:val="single" w:sz="4" w:space="0" w:color="auto"/>
            </w:tcBorders>
            <w:vAlign w:val="center"/>
          </w:tcPr>
          <w:p w14:paraId="59E692C0" w14:textId="77777777" w:rsidR="00F21221" w:rsidRPr="006B17BE" w:rsidRDefault="00F21221" w:rsidP="00E232D5">
            <w:pPr>
              <w:pStyle w:val="Body"/>
            </w:pPr>
            <w:r w:rsidRPr="006B17BE">
              <w:t>Scenario 1b</w:t>
            </w:r>
          </w:p>
        </w:tc>
        <w:tc>
          <w:tcPr>
            <w:tcW w:w="1701" w:type="dxa"/>
            <w:tcBorders>
              <w:top w:val="single" w:sz="4" w:space="0" w:color="auto"/>
              <w:left w:val="single" w:sz="4" w:space="0" w:color="auto"/>
              <w:bottom w:val="single" w:sz="4" w:space="0" w:color="auto"/>
              <w:right w:val="single" w:sz="4" w:space="0" w:color="auto"/>
            </w:tcBorders>
            <w:vAlign w:val="center"/>
          </w:tcPr>
          <w:p w14:paraId="7D98BD84" w14:textId="77777777" w:rsidR="00F21221" w:rsidRPr="006B17BE" w:rsidRDefault="00F21221" w:rsidP="00E232D5">
            <w:pPr>
              <w:pStyle w:val="Body"/>
            </w:pPr>
            <w:r w:rsidRPr="006B17BE">
              <w:t>Scenario 2a</w:t>
            </w:r>
          </w:p>
        </w:tc>
        <w:tc>
          <w:tcPr>
            <w:tcW w:w="1701" w:type="dxa"/>
            <w:tcBorders>
              <w:top w:val="single" w:sz="4" w:space="0" w:color="auto"/>
              <w:left w:val="single" w:sz="4" w:space="0" w:color="auto"/>
              <w:bottom w:val="single" w:sz="4" w:space="0" w:color="auto"/>
              <w:right w:val="single" w:sz="4" w:space="0" w:color="auto"/>
            </w:tcBorders>
            <w:vAlign w:val="center"/>
          </w:tcPr>
          <w:p w14:paraId="67AB7520" w14:textId="77777777" w:rsidR="00F21221" w:rsidRPr="006B17BE" w:rsidRDefault="00F21221" w:rsidP="00E232D5">
            <w:pPr>
              <w:pStyle w:val="Body"/>
            </w:pPr>
            <w:r w:rsidRPr="006B17BE">
              <w:t>Scenario 2b</w:t>
            </w:r>
          </w:p>
        </w:tc>
      </w:tr>
      <w:tr w:rsidR="00F21221" w:rsidRPr="006B17BE" w14:paraId="492A9A9C"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vAlign w:val="center"/>
          </w:tcPr>
          <w:p w14:paraId="5766D97C" w14:textId="6F724ED0" w:rsidR="00F21221" w:rsidRPr="006B17BE" w:rsidRDefault="00F21221" w:rsidP="00E232D5">
            <w:pPr>
              <w:pStyle w:val="Body"/>
              <w:rPr>
                <w:noProof/>
                <w:color w:val="auto"/>
              </w:rPr>
            </w:pPr>
            <w:r w:rsidRPr="006B17BE">
              <w:rPr>
                <w:noProof/>
              </w:rPr>
              <w:t>Max</w:t>
            </w:r>
            <w:r w:rsidR="008745BE" w:rsidRPr="006B17BE">
              <w:rPr>
                <w:noProof/>
              </w:rPr>
              <w:t>imum</w:t>
            </w:r>
            <w:r w:rsidRPr="006B17BE">
              <w:rPr>
                <w:noProof/>
              </w:rPr>
              <w:t xml:space="preserve"> aquifer velocity </w:t>
            </w:r>
          </w:p>
        </w:tc>
        <w:tc>
          <w:tcPr>
            <w:tcW w:w="1446" w:type="dxa"/>
            <w:tcBorders>
              <w:top w:val="single" w:sz="4" w:space="0" w:color="auto"/>
              <w:left w:val="single" w:sz="4" w:space="0" w:color="auto"/>
              <w:bottom w:val="single" w:sz="4" w:space="0" w:color="auto"/>
              <w:right w:val="single" w:sz="4" w:space="0" w:color="auto"/>
            </w:tcBorders>
            <w:vAlign w:val="center"/>
          </w:tcPr>
          <w:p w14:paraId="1FB24C21" w14:textId="77777777" w:rsidR="00F21221" w:rsidRPr="006B17BE" w:rsidRDefault="00F21221" w:rsidP="00E232D5">
            <w:pPr>
              <w:pStyle w:val="Body"/>
            </w:pPr>
            <w:r w:rsidRPr="006B17BE">
              <w:t>Scenario 1c</w:t>
            </w:r>
          </w:p>
        </w:tc>
        <w:tc>
          <w:tcPr>
            <w:tcW w:w="1418" w:type="dxa"/>
            <w:tcBorders>
              <w:top w:val="single" w:sz="4" w:space="0" w:color="auto"/>
              <w:left w:val="single" w:sz="4" w:space="0" w:color="auto"/>
              <w:bottom w:val="single" w:sz="4" w:space="0" w:color="auto"/>
              <w:right w:val="single" w:sz="4" w:space="0" w:color="auto"/>
            </w:tcBorders>
            <w:vAlign w:val="center"/>
          </w:tcPr>
          <w:p w14:paraId="161F5EEA" w14:textId="77777777" w:rsidR="00F21221" w:rsidRPr="006B17BE" w:rsidRDefault="00F21221" w:rsidP="00E232D5">
            <w:pPr>
              <w:pStyle w:val="Body"/>
            </w:pPr>
            <w:r w:rsidRPr="006B17BE">
              <w:t>Scenario 1d</w:t>
            </w:r>
          </w:p>
        </w:tc>
        <w:tc>
          <w:tcPr>
            <w:tcW w:w="1701" w:type="dxa"/>
            <w:tcBorders>
              <w:top w:val="single" w:sz="4" w:space="0" w:color="auto"/>
              <w:left w:val="single" w:sz="4" w:space="0" w:color="auto"/>
              <w:bottom w:val="single" w:sz="4" w:space="0" w:color="auto"/>
              <w:right w:val="single" w:sz="4" w:space="0" w:color="auto"/>
            </w:tcBorders>
            <w:vAlign w:val="center"/>
          </w:tcPr>
          <w:p w14:paraId="4C88F114" w14:textId="77777777" w:rsidR="00F21221" w:rsidRPr="006B17BE" w:rsidRDefault="00F21221" w:rsidP="00E232D5">
            <w:pPr>
              <w:pStyle w:val="Body"/>
            </w:pPr>
            <w:r w:rsidRPr="006B17BE">
              <w:t>Scenario 2c</w:t>
            </w:r>
          </w:p>
        </w:tc>
        <w:tc>
          <w:tcPr>
            <w:tcW w:w="1701" w:type="dxa"/>
            <w:tcBorders>
              <w:top w:val="single" w:sz="4" w:space="0" w:color="auto"/>
              <w:left w:val="single" w:sz="4" w:space="0" w:color="auto"/>
              <w:bottom w:val="single" w:sz="4" w:space="0" w:color="auto"/>
              <w:right w:val="single" w:sz="4" w:space="0" w:color="auto"/>
            </w:tcBorders>
            <w:vAlign w:val="center"/>
          </w:tcPr>
          <w:p w14:paraId="3C955D57" w14:textId="77777777" w:rsidR="00F21221" w:rsidRPr="006B17BE" w:rsidRDefault="00F21221" w:rsidP="00E232D5">
            <w:pPr>
              <w:pStyle w:val="Body"/>
            </w:pPr>
            <w:r w:rsidRPr="006B17BE">
              <w:t>Scenario 2d</w:t>
            </w:r>
          </w:p>
        </w:tc>
      </w:tr>
      <w:tr w:rsidR="00F21221" w:rsidRPr="006B17BE" w14:paraId="3D7AD70D"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vAlign w:val="center"/>
          </w:tcPr>
          <w:p w14:paraId="027A41DF" w14:textId="7987F296" w:rsidR="00F21221" w:rsidRPr="006B17BE" w:rsidRDefault="00F21221" w:rsidP="00E232D5">
            <w:pPr>
              <w:pStyle w:val="Body"/>
              <w:rPr>
                <w:noProof/>
                <w:color w:val="auto"/>
              </w:rPr>
            </w:pPr>
            <w:r w:rsidRPr="006B17BE">
              <w:rPr>
                <w:noProof/>
              </w:rPr>
              <w:t>I</w:t>
            </w:r>
            <w:r w:rsidR="008745BE" w:rsidRPr="006B17BE">
              <w:rPr>
                <w:noProof/>
              </w:rPr>
              <w:t>nflow velocity through open bore</w:t>
            </w:r>
          </w:p>
        </w:tc>
        <w:tc>
          <w:tcPr>
            <w:tcW w:w="1446" w:type="dxa"/>
            <w:tcBorders>
              <w:top w:val="single" w:sz="4" w:space="0" w:color="auto"/>
              <w:left w:val="single" w:sz="4" w:space="0" w:color="auto"/>
              <w:bottom w:val="single" w:sz="4" w:space="0" w:color="auto"/>
              <w:right w:val="single" w:sz="4" w:space="0" w:color="auto"/>
            </w:tcBorders>
            <w:vAlign w:val="center"/>
          </w:tcPr>
          <w:p w14:paraId="273DAA68" w14:textId="77777777" w:rsidR="00F21221" w:rsidRPr="006B17BE" w:rsidRDefault="00F21221" w:rsidP="00E232D5">
            <w:pPr>
              <w:pStyle w:val="Body"/>
            </w:pPr>
            <w:r w:rsidRPr="006B17BE">
              <w:t>Scenario 1e</w:t>
            </w:r>
          </w:p>
        </w:tc>
        <w:tc>
          <w:tcPr>
            <w:tcW w:w="1418" w:type="dxa"/>
            <w:tcBorders>
              <w:top w:val="single" w:sz="4" w:space="0" w:color="auto"/>
              <w:left w:val="single" w:sz="4" w:space="0" w:color="auto"/>
              <w:bottom w:val="single" w:sz="4" w:space="0" w:color="auto"/>
              <w:right w:val="single" w:sz="4" w:space="0" w:color="auto"/>
            </w:tcBorders>
            <w:vAlign w:val="center"/>
          </w:tcPr>
          <w:p w14:paraId="03BF1993" w14:textId="77777777" w:rsidR="00F21221" w:rsidRPr="006B17BE" w:rsidRDefault="00F21221" w:rsidP="00E232D5">
            <w:pPr>
              <w:pStyle w:val="Body"/>
            </w:pPr>
            <w:r w:rsidRPr="006B17BE">
              <w:t>Scenario 1f</w:t>
            </w:r>
          </w:p>
        </w:tc>
        <w:tc>
          <w:tcPr>
            <w:tcW w:w="1701" w:type="dxa"/>
            <w:tcBorders>
              <w:top w:val="single" w:sz="4" w:space="0" w:color="auto"/>
              <w:left w:val="single" w:sz="4" w:space="0" w:color="auto"/>
              <w:bottom w:val="single" w:sz="4" w:space="0" w:color="auto"/>
              <w:right w:val="single" w:sz="4" w:space="0" w:color="auto"/>
            </w:tcBorders>
            <w:vAlign w:val="center"/>
          </w:tcPr>
          <w:p w14:paraId="5544D2F3" w14:textId="77777777" w:rsidR="00F21221" w:rsidRPr="006B17BE" w:rsidRDefault="00F21221" w:rsidP="00E232D5">
            <w:pPr>
              <w:pStyle w:val="Body"/>
            </w:pPr>
            <w:r w:rsidRPr="006B17BE">
              <w:t>Scenario 2e</w:t>
            </w:r>
          </w:p>
        </w:tc>
        <w:tc>
          <w:tcPr>
            <w:tcW w:w="1701" w:type="dxa"/>
            <w:tcBorders>
              <w:top w:val="single" w:sz="4" w:space="0" w:color="auto"/>
              <w:left w:val="single" w:sz="4" w:space="0" w:color="auto"/>
              <w:bottom w:val="single" w:sz="4" w:space="0" w:color="auto"/>
              <w:right w:val="single" w:sz="4" w:space="0" w:color="auto"/>
            </w:tcBorders>
            <w:vAlign w:val="center"/>
          </w:tcPr>
          <w:p w14:paraId="4C5D971B" w14:textId="77777777" w:rsidR="00F21221" w:rsidRPr="006B17BE" w:rsidRDefault="00F21221" w:rsidP="00E232D5">
            <w:pPr>
              <w:pStyle w:val="Body"/>
            </w:pPr>
            <w:r w:rsidRPr="006B17BE">
              <w:t>Scenario 2f</w:t>
            </w:r>
          </w:p>
        </w:tc>
      </w:tr>
    </w:tbl>
    <w:p w14:paraId="2C98EB4F" w14:textId="77777777" w:rsidR="00F21221" w:rsidRPr="006B17BE" w:rsidRDefault="00F21221" w:rsidP="00F21221">
      <w:pPr>
        <w:pStyle w:val="BodyText"/>
        <w:rPr>
          <w:rFonts w:asciiTheme="minorHAnsi" w:hAnsiTheme="minorHAnsi"/>
          <w:szCs w:val="24"/>
        </w:rPr>
      </w:pPr>
    </w:p>
    <w:p w14:paraId="01880A86" w14:textId="3189068C" w:rsidR="00F21221" w:rsidRPr="006B17BE" w:rsidRDefault="00F21221" w:rsidP="008745BE">
      <w:pPr>
        <w:pStyle w:val="Body"/>
      </w:pPr>
      <w:r w:rsidRPr="006B17BE">
        <w:t xml:space="preserve">The final condition </w:t>
      </w:r>
      <w:r w:rsidR="008745BE" w:rsidRPr="006B17BE">
        <w:t xml:space="preserve">that influences solute transport </w:t>
      </w:r>
      <w:r w:rsidRPr="006B17BE">
        <w:t xml:space="preserve">is the difference in </w:t>
      </w:r>
      <w:r w:rsidR="008745BE" w:rsidRPr="006B17BE">
        <w:t xml:space="preserve">salinity (total dissolved solids) </w:t>
      </w:r>
      <w:r w:rsidRPr="006B17BE">
        <w:t>between the water bearing aquifer and the production zone</w:t>
      </w:r>
      <w:r w:rsidR="008745BE" w:rsidRPr="006B17BE">
        <w:t>;</w:t>
      </w:r>
      <w:r w:rsidRPr="006B17BE">
        <w:t xml:space="preserve"> </w:t>
      </w:r>
      <w:r w:rsidR="008745BE" w:rsidRPr="006B17BE">
        <w:t>the</w:t>
      </w:r>
      <w:r w:rsidRPr="006B17BE">
        <w:t xml:space="preserve"> greater </w:t>
      </w:r>
      <w:r w:rsidR="008745BE" w:rsidRPr="006B17BE">
        <w:t xml:space="preserve">the initial difference </w:t>
      </w:r>
      <w:r w:rsidRPr="006B17BE">
        <w:t xml:space="preserve">in concentration </w:t>
      </w:r>
      <w:r w:rsidR="008745BE" w:rsidRPr="006B17BE">
        <w:t xml:space="preserve">between </w:t>
      </w:r>
      <w:r w:rsidRPr="006B17BE">
        <w:t>aquifer and production zone water quality</w:t>
      </w:r>
      <w:r w:rsidR="008745BE" w:rsidRPr="006B17BE">
        <w:t>, the greater is the impact on water quality</w:t>
      </w:r>
      <w:r w:rsidRPr="006B17BE">
        <w:t xml:space="preserve">. </w:t>
      </w:r>
      <w:r w:rsidR="003C0D43" w:rsidRPr="006B17BE">
        <w:t>T</w:t>
      </w:r>
      <w:r w:rsidRPr="006B17BE">
        <w:t>wo examples</w:t>
      </w:r>
      <w:r w:rsidR="003C0D43" w:rsidRPr="006B17BE">
        <w:t xml:space="preserve"> have been selected</w:t>
      </w:r>
      <w:r w:rsidRPr="006B17BE">
        <w:t xml:space="preserve">, based on the measured concentrations of total dissolved solids (TDS) described </w:t>
      </w:r>
      <w:r w:rsidR="00A2056B" w:rsidRPr="006B17BE">
        <w:t>by</w:t>
      </w:r>
      <w:r w:rsidRPr="006B17BE">
        <w:t xml:space="preserve"> CDM Smith </w:t>
      </w:r>
      <w:r w:rsidRPr="006B17BE">
        <w:fldChar w:fldCharType="begin"/>
      </w:r>
      <w:r w:rsidR="00AC3BD2">
        <w:instrText xml:space="preserve"> ADDIN EN.CITE &lt;EndNote&gt;&lt;Cite ExcludeAuth="1"&gt;&lt;Author&gt;CDM Smith&lt;/Author&gt;&lt;Year&gt;2014&lt;/Year&gt;&lt;RecNum&gt;86&lt;/RecNum&gt;&lt;DisplayText&gt;(2014)&lt;/DisplayText&gt;&lt;record&gt;&lt;rec-number&gt;86&lt;/rec-number&gt;&lt;foreign-keys&gt;&lt;key app="EN" db-id="xsexsdeavw900aew9xqxrzzyttv0wxs0rf9r" timestamp="1520464010"&gt;86&lt;/key&gt;&lt;/foreign-keys&gt;&lt;ref-type name="Report"&gt;27&lt;/ref-type&gt;&lt;contributors&gt;&lt;authors&gt;&lt;author&gt;CDM Smith,&lt;/author&gt;&lt;/authors&gt;&lt;/contributors&gt;&lt;titles&gt;&lt;title&gt;Santos Narrabri Gas Project: Groundwater modelling report. &lt;/title&gt;&lt;/titles&gt;&lt;pages&gt;291&lt;/pages&gt;&lt;dates&gt;&lt;year&gt;2014&lt;/year&gt;&lt;/dates&gt;&lt;pub-location&gt;Subiaco, WA&lt;/pub-location&gt;&lt;urls&gt;&lt;/urls&gt;&lt;/record&gt;&lt;/Cite&gt;&lt;/EndNote&gt;</w:instrText>
      </w:r>
      <w:r w:rsidRPr="006B17BE">
        <w:fldChar w:fldCharType="separate"/>
      </w:r>
      <w:r w:rsidRPr="006B17BE">
        <w:rPr>
          <w:noProof/>
        </w:rPr>
        <w:t>(</w:t>
      </w:r>
      <w:hyperlink w:anchor="_ENREF_1" w:tooltip="CDM Smith, 2014 #86" w:history="1">
        <w:r w:rsidR="00AC3BD2" w:rsidRPr="006B17BE">
          <w:rPr>
            <w:noProof/>
          </w:rPr>
          <w:t>2014</w:t>
        </w:r>
      </w:hyperlink>
      <w:r w:rsidRPr="006B17BE">
        <w:rPr>
          <w:noProof/>
        </w:rPr>
        <w:t>)</w:t>
      </w:r>
      <w:r w:rsidRPr="006B17BE">
        <w:fldChar w:fldCharType="end"/>
      </w:r>
      <w:r w:rsidRPr="006B17BE">
        <w:t xml:space="preserve">. </w:t>
      </w:r>
      <w:r w:rsidR="00A2056B" w:rsidRPr="006B17BE">
        <w:t>The f</w:t>
      </w:r>
      <w:r w:rsidRPr="006B17BE">
        <w:t>irst</w:t>
      </w:r>
      <w:r w:rsidR="00A2056B" w:rsidRPr="006B17BE">
        <w:t xml:space="preserve"> condition</w:t>
      </w:r>
      <w:r w:rsidRPr="006B17BE">
        <w:t xml:space="preserve"> use</w:t>
      </w:r>
      <w:r w:rsidR="00A2056B" w:rsidRPr="006B17BE">
        <w:t>s</w:t>
      </w:r>
      <w:r w:rsidRPr="006B17BE">
        <w:t xml:space="preserve"> median </w:t>
      </w:r>
      <w:r w:rsidR="00A2056B" w:rsidRPr="006B17BE">
        <w:t xml:space="preserve">TDS </w:t>
      </w:r>
      <w:r w:rsidRPr="006B17BE">
        <w:t xml:space="preserve">values in both aquifer and production zone to represent </w:t>
      </w:r>
      <w:r w:rsidR="00A2056B" w:rsidRPr="006B17BE">
        <w:t>average</w:t>
      </w:r>
      <w:r w:rsidRPr="006B17BE">
        <w:t xml:space="preserve"> </w:t>
      </w:r>
      <w:r w:rsidR="00A2056B" w:rsidRPr="006B17BE">
        <w:t xml:space="preserve">water quality </w:t>
      </w:r>
      <w:r w:rsidRPr="006B17BE">
        <w:t>conditions</w:t>
      </w:r>
      <w:r w:rsidR="00A2056B" w:rsidRPr="006B17BE">
        <w:t xml:space="preserve">. The second condition considers </w:t>
      </w:r>
      <w:r w:rsidRPr="006B17BE">
        <w:t xml:space="preserve">the minimum </w:t>
      </w:r>
      <w:r w:rsidR="00A2056B" w:rsidRPr="006B17BE">
        <w:t xml:space="preserve">observed </w:t>
      </w:r>
      <w:r w:rsidRPr="006B17BE">
        <w:t>TDS concentration in the water bearing aquifer (freshest</w:t>
      </w:r>
      <w:r w:rsidR="00A2056B" w:rsidRPr="006B17BE">
        <w:t xml:space="preserve"> condition</w:t>
      </w:r>
      <w:r w:rsidRPr="006B17BE">
        <w:t>) and the maximum TDS in the production zone (most saline).</w:t>
      </w:r>
      <w:r w:rsidR="005A2C02" w:rsidRPr="006B17BE">
        <w:t xml:space="preserve"> This condition represents the </w:t>
      </w:r>
      <w:r w:rsidR="008E05DF" w:rsidRPr="006B17BE">
        <w:t xml:space="preserve">worst case that may lead to the </w:t>
      </w:r>
      <w:r w:rsidR="005A2C02" w:rsidRPr="006B17BE">
        <w:t>largest</w:t>
      </w:r>
      <w:r w:rsidR="008E05DF" w:rsidRPr="006B17BE">
        <w:t xml:space="preserve"> impact on water quality.</w:t>
      </w:r>
    </w:p>
    <w:p w14:paraId="5B085B78" w14:textId="77777777" w:rsidR="00F21221" w:rsidRPr="006B17BE" w:rsidRDefault="00F21221" w:rsidP="001A4D01">
      <w:pPr>
        <w:pStyle w:val="Heading2"/>
      </w:pPr>
      <w:bookmarkStart w:id="598" w:name="_Toc483567958"/>
      <w:r w:rsidRPr="006B17BE">
        <w:t>Description of analytical solutions</w:t>
      </w:r>
      <w:bookmarkEnd w:id="598"/>
    </w:p>
    <w:p w14:paraId="6AA9EB8D" w14:textId="26AFF081" w:rsidR="00F21221" w:rsidRPr="006B17BE" w:rsidRDefault="00F21221" w:rsidP="001A4D01">
      <w:pPr>
        <w:pStyle w:val="Body"/>
      </w:pPr>
      <w:r w:rsidRPr="006B17BE">
        <w:t xml:space="preserve">An initial approximation </w:t>
      </w:r>
      <w:r w:rsidR="000A53E9" w:rsidRPr="006B17BE">
        <w:t>to modelling the</w:t>
      </w:r>
      <w:r w:rsidRPr="006B17BE">
        <w:t xml:space="preserve"> impact of </w:t>
      </w:r>
      <w:r w:rsidR="000A53E9" w:rsidRPr="006B17BE">
        <w:t>solute</w:t>
      </w:r>
      <w:r w:rsidRPr="006B17BE">
        <w:t xml:space="preserve"> </w:t>
      </w:r>
      <w:r w:rsidR="000A53E9" w:rsidRPr="006B17BE">
        <w:t xml:space="preserve">migration </w:t>
      </w:r>
      <w:r w:rsidRPr="006B17BE">
        <w:t xml:space="preserve">from aquifer to production zone and vice versa </w:t>
      </w:r>
      <w:r w:rsidR="00EB31CC">
        <w:t xml:space="preserve">(typically a pre-CSG development condition) </w:t>
      </w:r>
      <w:r w:rsidR="000A53E9" w:rsidRPr="006B17BE">
        <w:t>through</w:t>
      </w:r>
      <w:r w:rsidRPr="006B17BE">
        <w:t xml:space="preserve"> a leaky well </w:t>
      </w:r>
      <w:r w:rsidR="000A53E9" w:rsidRPr="006B17BE">
        <w:t xml:space="preserve">is by </w:t>
      </w:r>
      <w:r w:rsidRPr="006B17BE">
        <w:t xml:space="preserve">using analytical </w:t>
      </w:r>
      <w:r w:rsidR="000A53E9" w:rsidRPr="006B17BE">
        <w:t>solutions</w:t>
      </w:r>
      <w:r w:rsidRPr="006B17BE">
        <w:t xml:space="preserve"> </w:t>
      </w:r>
      <w:r w:rsidR="000A53E9" w:rsidRPr="006B17BE">
        <w:t>of</w:t>
      </w:r>
      <w:r w:rsidRPr="006B17BE">
        <w:t xml:space="preserve"> the advection</w:t>
      </w:r>
      <w:r w:rsidR="000A53E9" w:rsidRPr="006B17BE">
        <w:t>-</w:t>
      </w:r>
      <w:r w:rsidRPr="006B17BE">
        <w:t>dispersion</w:t>
      </w:r>
      <w:r w:rsidR="000A53E9" w:rsidRPr="006B17BE">
        <w:t xml:space="preserve"> equation</w:t>
      </w:r>
      <w:r w:rsidRPr="006B17BE">
        <w:t>. The conceptual model assumes that the well has full contact with the water bearing aquifer or production zone as the solute exits the leaky bore. This ensures that the solute is distributed evenly across the thickness of the water bearing aquifer or the production zone (</w:t>
      </w:r>
      <w:r w:rsidR="000A53E9" w:rsidRPr="006B17BE">
        <w:fldChar w:fldCharType="begin"/>
      </w:r>
      <w:r w:rsidR="000A53E9" w:rsidRPr="006B17BE">
        <w:instrText xml:space="preserve"> REF _Ref454798956 \h  \* MERGEFORMAT </w:instrText>
      </w:r>
      <w:r w:rsidR="000A53E9" w:rsidRPr="006B17BE">
        <w:fldChar w:fldCharType="separate"/>
      </w:r>
      <w:r w:rsidR="00086147" w:rsidRPr="00086147">
        <w:t xml:space="preserve">Figure </w:t>
      </w:r>
      <w:r w:rsidR="00086147" w:rsidRPr="00086147">
        <w:rPr>
          <w:noProof/>
        </w:rPr>
        <w:t>5</w:t>
      </w:r>
      <w:r w:rsidR="00086147" w:rsidRPr="00086147">
        <w:rPr>
          <w:noProof/>
        </w:rPr>
        <w:noBreakHyphen/>
        <w:t>1</w:t>
      </w:r>
      <w:r w:rsidR="000A53E9" w:rsidRPr="006B17BE">
        <w:fldChar w:fldCharType="end"/>
      </w:r>
      <w:r w:rsidR="000A53E9" w:rsidRPr="006B17BE">
        <w:t xml:space="preserve"> and </w:t>
      </w:r>
      <w:r w:rsidRPr="006B17BE">
        <w:fldChar w:fldCharType="begin"/>
      </w:r>
      <w:r w:rsidRPr="006B17BE">
        <w:instrText xml:space="preserve"> REF _Ref454798954 \h  \* MERGEFORMAT </w:instrText>
      </w:r>
      <w:r w:rsidRPr="006B17BE">
        <w:fldChar w:fldCharType="separate"/>
      </w:r>
      <w:r w:rsidR="00086147" w:rsidRPr="00086147">
        <w:t xml:space="preserve">Figure </w:t>
      </w:r>
      <w:r w:rsidR="00086147" w:rsidRPr="00086147">
        <w:rPr>
          <w:noProof/>
        </w:rPr>
        <w:t>5</w:t>
      </w:r>
      <w:r w:rsidR="00086147" w:rsidRPr="00086147">
        <w:rPr>
          <w:noProof/>
        </w:rPr>
        <w:noBreakHyphen/>
        <w:t>2</w:t>
      </w:r>
      <w:r w:rsidRPr="006B17BE">
        <w:fldChar w:fldCharType="end"/>
      </w:r>
      <w:r w:rsidRPr="006B17BE">
        <w:t>).</w:t>
      </w:r>
    </w:p>
    <w:p w14:paraId="13BE672D" w14:textId="77777777" w:rsidR="00F21221" w:rsidRPr="006B17BE" w:rsidRDefault="00F21221" w:rsidP="00F21221">
      <w:pPr>
        <w:pStyle w:val="BodyText"/>
        <w:rPr>
          <w:rFonts w:asciiTheme="minorHAnsi" w:hAnsiTheme="minorHAnsi"/>
          <w:szCs w:val="24"/>
        </w:rPr>
      </w:pPr>
    </w:p>
    <w:p w14:paraId="0A88F2DB" w14:textId="77777777" w:rsidR="00F21221" w:rsidRPr="006B17BE" w:rsidRDefault="00F21221" w:rsidP="001A0E56">
      <w:pPr>
        <w:pStyle w:val="BodyText"/>
        <w:jc w:val="center"/>
        <w:rPr>
          <w:rFonts w:asciiTheme="minorHAnsi" w:hAnsiTheme="minorHAnsi"/>
          <w:szCs w:val="24"/>
        </w:rPr>
      </w:pPr>
      <w:r w:rsidRPr="006B17BE">
        <w:rPr>
          <w:rFonts w:asciiTheme="minorHAnsi" w:hAnsiTheme="minorHAnsi"/>
          <w:noProof/>
          <w:szCs w:val="24"/>
        </w:rPr>
        <w:drawing>
          <wp:inline distT="0" distB="0" distL="0" distR="0" wp14:anchorId="2662DDC6" wp14:editId="2C278AE5">
            <wp:extent cx="4479925" cy="2141783"/>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LeakyBoreSTupward.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4495918" cy="2149429"/>
                    </a:xfrm>
                    <a:prstGeom prst="rect">
                      <a:avLst/>
                    </a:prstGeom>
                  </pic:spPr>
                </pic:pic>
              </a:graphicData>
            </a:graphic>
          </wp:inline>
        </w:drawing>
      </w:r>
    </w:p>
    <w:p w14:paraId="42D9764D" w14:textId="5276044C" w:rsidR="00F21221" w:rsidRPr="006B17BE" w:rsidRDefault="00F21221" w:rsidP="00F21221">
      <w:pPr>
        <w:pStyle w:val="Caption"/>
        <w:rPr>
          <w:rFonts w:asciiTheme="minorHAnsi" w:hAnsiTheme="minorHAnsi" w:cstheme="minorHAnsi"/>
          <w:szCs w:val="20"/>
        </w:rPr>
      </w:pPr>
      <w:bookmarkStart w:id="599" w:name="_Ref454798956"/>
      <w:bookmarkStart w:id="600" w:name="_Toc508267299"/>
      <w:r w:rsidRPr="006B17BE">
        <w:rPr>
          <w:rFonts w:asciiTheme="minorHAnsi" w:hAnsiTheme="minorHAnsi" w:cstheme="minorHAnsi"/>
          <w:szCs w:val="20"/>
        </w:rPr>
        <w:t xml:space="preserve">Figure </w:t>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STYLEREF 1 \s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5</w:t>
      </w:r>
      <w:r w:rsidR="0014612E">
        <w:rPr>
          <w:rFonts w:asciiTheme="minorHAnsi" w:hAnsiTheme="minorHAnsi" w:cstheme="minorHAnsi"/>
          <w:szCs w:val="20"/>
        </w:rPr>
        <w:fldChar w:fldCharType="end"/>
      </w:r>
      <w:r w:rsidR="0014612E">
        <w:rPr>
          <w:rFonts w:asciiTheme="minorHAnsi" w:hAnsiTheme="minorHAnsi" w:cstheme="minorHAnsi"/>
          <w:szCs w:val="20"/>
        </w:rPr>
        <w:noBreakHyphen/>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SEQ Figure \* ARABIC \s 1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1</w:t>
      </w:r>
      <w:r w:rsidR="0014612E">
        <w:rPr>
          <w:rFonts w:asciiTheme="minorHAnsi" w:hAnsiTheme="minorHAnsi" w:cstheme="minorHAnsi"/>
          <w:szCs w:val="20"/>
        </w:rPr>
        <w:fldChar w:fldCharType="end"/>
      </w:r>
      <w:bookmarkEnd w:id="599"/>
      <w:r w:rsidRPr="006B17BE">
        <w:rPr>
          <w:rFonts w:asciiTheme="minorHAnsi" w:hAnsiTheme="minorHAnsi" w:cstheme="minorHAnsi"/>
          <w:szCs w:val="20"/>
        </w:rPr>
        <w:t xml:space="preserve"> Contaminant leaking </w:t>
      </w:r>
      <w:r w:rsidR="00EF50F3" w:rsidRPr="006B17BE">
        <w:rPr>
          <w:rFonts w:asciiTheme="minorHAnsi" w:hAnsiTheme="minorHAnsi" w:cstheme="minorHAnsi"/>
          <w:szCs w:val="20"/>
        </w:rPr>
        <w:t xml:space="preserve">upward </w:t>
      </w:r>
      <w:r w:rsidRPr="006B17BE">
        <w:rPr>
          <w:rFonts w:asciiTheme="minorHAnsi" w:hAnsiTheme="minorHAnsi" w:cstheme="minorHAnsi"/>
          <w:szCs w:val="20"/>
        </w:rPr>
        <w:t xml:space="preserve">from the </w:t>
      </w:r>
      <w:r w:rsidR="00EF50F3" w:rsidRPr="006B17BE">
        <w:rPr>
          <w:rFonts w:asciiTheme="minorHAnsi" w:hAnsiTheme="minorHAnsi" w:cstheme="minorHAnsi"/>
          <w:szCs w:val="20"/>
        </w:rPr>
        <w:t xml:space="preserve">gas </w:t>
      </w:r>
      <w:r w:rsidRPr="006B17BE">
        <w:rPr>
          <w:rFonts w:asciiTheme="minorHAnsi" w:hAnsiTheme="minorHAnsi" w:cstheme="minorHAnsi"/>
          <w:szCs w:val="20"/>
        </w:rPr>
        <w:t>production zone to the aquifer</w:t>
      </w:r>
      <w:r w:rsidR="00EB31CC">
        <w:rPr>
          <w:rFonts w:asciiTheme="minorHAnsi" w:hAnsiTheme="minorHAnsi" w:cstheme="minorHAnsi"/>
          <w:szCs w:val="20"/>
        </w:rPr>
        <w:t xml:space="preserve"> (e.g., pre-production condition)</w:t>
      </w:r>
      <w:r w:rsidRPr="006B17BE">
        <w:rPr>
          <w:rFonts w:asciiTheme="minorHAnsi" w:hAnsiTheme="minorHAnsi" w:cstheme="minorHAnsi"/>
          <w:szCs w:val="20"/>
        </w:rPr>
        <w:t>.</w:t>
      </w:r>
      <w:bookmarkEnd w:id="600"/>
    </w:p>
    <w:p w14:paraId="3423E81B" w14:textId="77777777" w:rsidR="001A0E56" w:rsidRPr="006B17BE" w:rsidRDefault="001A0E56" w:rsidP="001A0E56">
      <w:pPr>
        <w:pStyle w:val="BodyText"/>
      </w:pPr>
    </w:p>
    <w:p w14:paraId="2B9C5166" w14:textId="77777777" w:rsidR="00F21221" w:rsidRPr="006B17BE" w:rsidRDefault="00F21221" w:rsidP="001A0E56">
      <w:pPr>
        <w:pStyle w:val="BodyText"/>
        <w:jc w:val="center"/>
        <w:rPr>
          <w:rFonts w:asciiTheme="minorHAnsi" w:hAnsiTheme="minorHAnsi"/>
          <w:szCs w:val="24"/>
        </w:rPr>
      </w:pPr>
      <w:r w:rsidRPr="006B17BE">
        <w:rPr>
          <w:rFonts w:asciiTheme="minorHAnsi" w:hAnsiTheme="minorHAnsi"/>
          <w:noProof/>
          <w:szCs w:val="24"/>
        </w:rPr>
        <w:drawing>
          <wp:inline distT="0" distB="0" distL="0" distR="0" wp14:anchorId="4B8DDF79" wp14:editId="0DD4B2D4">
            <wp:extent cx="4449584" cy="2127277"/>
            <wp:effectExtent l="0" t="0" r="8255"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LeakyBoreST.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75193" cy="2139520"/>
                    </a:xfrm>
                    <a:prstGeom prst="rect">
                      <a:avLst/>
                    </a:prstGeom>
                  </pic:spPr>
                </pic:pic>
              </a:graphicData>
            </a:graphic>
          </wp:inline>
        </w:drawing>
      </w:r>
    </w:p>
    <w:p w14:paraId="26EB7F56" w14:textId="54B287E5" w:rsidR="00F21221" w:rsidRPr="006B17BE" w:rsidRDefault="00F21221" w:rsidP="00F21221">
      <w:pPr>
        <w:pStyle w:val="Caption"/>
        <w:rPr>
          <w:rFonts w:asciiTheme="minorHAnsi" w:hAnsiTheme="minorHAnsi" w:cstheme="minorHAnsi"/>
          <w:szCs w:val="20"/>
        </w:rPr>
      </w:pPr>
      <w:bookmarkStart w:id="601" w:name="_Ref454798954"/>
      <w:bookmarkStart w:id="602" w:name="_Toc508267300"/>
      <w:r w:rsidRPr="006B17BE">
        <w:rPr>
          <w:rFonts w:asciiTheme="minorHAnsi" w:hAnsiTheme="minorHAnsi" w:cstheme="minorHAnsi"/>
          <w:szCs w:val="20"/>
        </w:rPr>
        <w:t xml:space="preserve">Figure </w:t>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STYLEREF 1 \s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5</w:t>
      </w:r>
      <w:r w:rsidR="0014612E">
        <w:rPr>
          <w:rFonts w:asciiTheme="minorHAnsi" w:hAnsiTheme="minorHAnsi" w:cstheme="minorHAnsi"/>
          <w:szCs w:val="20"/>
        </w:rPr>
        <w:fldChar w:fldCharType="end"/>
      </w:r>
      <w:r w:rsidR="0014612E">
        <w:rPr>
          <w:rFonts w:asciiTheme="minorHAnsi" w:hAnsiTheme="minorHAnsi" w:cstheme="minorHAnsi"/>
          <w:szCs w:val="20"/>
        </w:rPr>
        <w:noBreakHyphen/>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SEQ Figure \* ARABIC \s 1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2</w:t>
      </w:r>
      <w:r w:rsidR="0014612E">
        <w:rPr>
          <w:rFonts w:asciiTheme="minorHAnsi" w:hAnsiTheme="minorHAnsi" w:cstheme="minorHAnsi"/>
          <w:szCs w:val="20"/>
        </w:rPr>
        <w:fldChar w:fldCharType="end"/>
      </w:r>
      <w:bookmarkEnd w:id="601"/>
      <w:r w:rsidRPr="006B17BE">
        <w:rPr>
          <w:rFonts w:asciiTheme="minorHAnsi" w:hAnsiTheme="minorHAnsi" w:cstheme="minorHAnsi"/>
          <w:szCs w:val="20"/>
        </w:rPr>
        <w:t xml:space="preserve"> Contaminant leaking from the aquifer to the production zone</w:t>
      </w:r>
      <w:r w:rsidR="00EB31CC">
        <w:rPr>
          <w:rFonts w:asciiTheme="minorHAnsi" w:hAnsiTheme="minorHAnsi" w:cstheme="minorHAnsi"/>
          <w:szCs w:val="20"/>
        </w:rPr>
        <w:t xml:space="preserve"> (e.g., CSG production or post-CSG production condition)</w:t>
      </w:r>
      <w:r w:rsidRPr="006B17BE">
        <w:rPr>
          <w:rFonts w:asciiTheme="minorHAnsi" w:hAnsiTheme="minorHAnsi" w:cstheme="minorHAnsi"/>
          <w:szCs w:val="20"/>
        </w:rPr>
        <w:t>.</w:t>
      </w:r>
      <w:bookmarkEnd w:id="602"/>
    </w:p>
    <w:p w14:paraId="0D7BAA8E" w14:textId="77777777" w:rsidR="000A53E9" w:rsidRPr="006B17BE" w:rsidRDefault="000A53E9" w:rsidP="00F21221">
      <w:pPr>
        <w:pStyle w:val="BodyText"/>
        <w:rPr>
          <w:rFonts w:asciiTheme="minorHAnsi" w:hAnsiTheme="minorHAnsi"/>
          <w:szCs w:val="24"/>
        </w:rPr>
      </w:pPr>
    </w:p>
    <w:p w14:paraId="3380D272" w14:textId="0261DED7" w:rsidR="00F21221" w:rsidRPr="006B17BE" w:rsidRDefault="001A0E56" w:rsidP="000A53E9">
      <w:pPr>
        <w:pStyle w:val="Body"/>
      </w:pPr>
      <w:r w:rsidRPr="006B17BE">
        <w:t>The 3</w:t>
      </w:r>
      <w:r w:rsidR="00F21221" w:rsidRPr="006B17BE">
        <w:t>D advection</w:t>
      </w:r>
      <w:r w:rsidRPr="006B17BE">
        <w:t>-</w:t>
      </w:r>
      <w:r w:rsidR="00F21221" w:rsidRPr="006B17BE">
        <w:t xml:space="preserve">dispersion equation without solute </w:t>
      </w:r>
      <w:r w:rsidRPr="006B17BE">
        <w:t>production</w:t>
      </w:r>
      <w:r w:rsidR="00F21221" w:rsidRPr="006B17BE">
        <w:t xml:space="preserve"> or decay can be written as</w:t>
      </w:r>
      <w:r w:rsidRPr="006B17BE">
        <w:t xml:space="preserve"> (</w:t>
      </w:r>
      <w:hyperlink w:anchor="_ENREF_4" w:tooltip="Šimůnek, 2008 #2682" w:history="1">
        <w:r w:rsidRPr="006B17BE">
          <w:rPr>
            <w:noProof/>
          </w:rPr>
          <w:t>Šimůnek et al.</w:t>
        </w:r>
      </w:hyperlink>
      <w:r w:rsidRPr="006B17BE">
        <w:fldChar w:fldCharType="begin"/>
      </w:r>
      <w:r w:rsidR="00AC3BD2">
        <w:instrText xml:space="preserve"> ADDIN EN.CITE &lt;EndNote&gt;&lt;Cite ExcludeAuth="1"&gt;&lt;Author&gt;Šimůnek&lt;/Author&gt;&lt;Year&gt;2008&lt;/Year&gt;&lt;RecNum&gt;87&lt;/RecNum&gt;&lt;DisplayText&gt;(2008)&lt;/DisplayText&gt;&lt;record&gt;&lt;rec-number&gt;87&lt;/rec-number&gt;&lt;foreign-keys&gt;&lt;key app="EN" db-id="xsexsdeavw900aew9xqxrzzyttv0wxs0rf9r" timestamp="1520464010"&gt;87&lt;/key&gt;&lt;/foreign-keys&gt;&lt;ref-type name="Journal Article"&gt;17&lt;/ref-type&gt;&lt;contributors&gt;&lt;authors&gt;&lt;author&gt;Šimůnek, Jirí&lt;/author&gt;&lt;author&gt;van Genuchten, Martinus Th&lt;/author&gt;&lt;author&gt;Šejna, Miroslav&lt;/author&gt;&lt;/authors&gt;&lt;/contributors&gt;&lt;titles&gt;&lt;title&gt;Development and applications of the HYDRUS and STANMOD software packages and related codes&lt;/title&gt;&lt;secondary-title&gt;Vadose Zone Journal&lt;/secondary-title&gt;&lt;/titles&gt;&lt;periodical&gt;&lt;full-title&gt;Vadose Zone Journal&lt;/full-title&gt;&lt;/periodical&gt;&lt;pages&gt;587-600&lt;/pages&gt;&lt;volume&gt;7&lt;/volume&gt;&lt;number&gt;2&lt;/number&gt;&lt;dates&gt;&lt;year&gt;2008&lt;/year&gt;&lt;/dates&gt;&lt;isbn&gt;1539-1663&lt;/isbn&gt;&lt;urls&gt;&lt;/urls&gt;&lt;/record&gt;&lt;/Cite&gt;&lt;/EndNote&gt;</w:instrText>
      </w:r>
      <w:r w:rsidRPr="006B17BE">
        <w:fldChar w:fldCharType="separate"/>
      </w:r>
      <w:r w:rsidR="00AC3BD2">
        <w:rPr>
          <w:noProof/>
        </w:rPr>
        <w:t>(</w:t>
      </w:r>
      <w:hyperlink w:anchor="_ENREF_6" w:tooltip="Šimůnek, 2008 #87" w:history="1">
        <w:r w:rsidR="00AC3BD2">
          <w:rPr>
            <w:noProof/>
          </w:rPr>
          <w:t>2008</w:t>
        </w:r>
      </w:hyperlink>
      <w:r w:rsidR="00AC3BD2">
        <w:rPr>
          <w:noProof/>
        </w:rPr>
        <w:t>)</w:t>
      </w:r>
      <w:r w:rsidRPr="006B17BE">
        <w:fldChar w:fldCharType="end"/>
      </w:r>
      <w:r w:rsidRPr="006B17BE">
        <w:t>; van Genuchten et al. 2012)</w:t>
      </w:r>
      <w:r w:rsidR="00F21221" w:rsidRPr="006B17BE">
        <w:t>:</w:t>
      </w:r>
    </w:p>
    <w:p w14:paraId="70162ED6" w14:textId="77777777" w:rsidR="00F21221" w:rsidRPr="006B17BE" w:rsidRDefault="00F21221" w:rsidP="00F21221">
      <w:pPr>
        <w:pStyle w:val="BodyText"/>
        <w:rPr>
          <w:rFonts w:asciiTheme="minorHAnsi" w:hAnsiTheme="minorHAnsi"/>
          <w:szCs w:val="24"/>
        </w:rPr>
      </w:pPr>
    </w:p>
    <w:p w14:paraId="1E0FB644" w14:textId="28AFC03C" w:rsidR="00F21221" w:rsidRPr="006B17BE" w:rsidRDefault="00B6712B" w:rsidP="00B6712B">
      <w:pPr>
        <w:pStyle w:val="BodyText"/>
        <w:tabs>
          <w:tab w:val="center" w:pos="3969"/>
          <w:tab w:val="right" w:pos="8222"/>
        </w:tabs>
        <w:rPr>
          <w:rFonts w:asciiTheme="minorHAnsi" w:hAnsiTheme="minorHAnsi"/>
          <w:szCs w:val="24"/>
        </w:rPr>
      </w:pPr>
      <w:r w:rsidRPr="006B17BE">
        <w:rPr>
          <w:rFonts w:asciiTheme="minorHAnsi" w:hAnsiTheme="minorHAnsi"/>
          <w:szCs w:val="24"/>
        </w:rPr>
        <w:tab/>
      </w:r>
      <m:oMath>
        <m:r>
          <w:rPr>
            <w:rFonts w:ascii="Cambria Math" w:hAnsi="Cambria Math"/>
            <w:szCs w:val="24"/>
          </w:rPr>
          <m:t>R</m:t>
        </m:r>
        <m:f>
          <m:fPr>
            <m:ctrlPr>
              <w:rPr>
                <w:rFonts w:ascii="Cambria Math" w:hAnsi="Cambria Math"/>
                <w:i/>
                <w:szCs w:val="24"/>
              </w:rPr>
            </m:ctrlPr>
          </m:fPr>
          <m:num>
            <m:r>
              <w:rPr>
                <w:rFonts w:ascii="Cambria Math" w:hAnsi="Cambria Math"/>
                <w:szCs w:val="24"/>
              </w:rPr>
              <m:t>∂C</m:t>
            </m:r>
          </m:num>
          <m:den>
            <m:r>
              <w:rPr>
                <w:rFonts w:ascii="Cambria Math" w:hAnsi="Cambria Math"/>
                <w:szCs w:val="24"/>
              </w:rPr>
              <m:t>∂t</m:t>
            </m:r>
          </m:den>
        </m:f>
        <m:r>
          <w:rPr>
            <w:rFonts w:ascii="Cambria Math" w:hAnsi="Cambria Math"/>
            <w:szCs w:val="24"/>
          </w:rPr>
          <m:t>=</m:t>
        </m:r>
        <m:r>
          <m:rPr>
            <m:sty m:val="bi"/>
          </m:rPr>
          <w:rPr>
            <w:rFonts w:ascii="Cambria Math" w:hAnsi="Cambria Math"/>
            <w:szCs w:val="24"/>
          </w:rPr>
          <m:t>-</m:t>
        </m:r>
        <m:r>
          <w:rPr>
            <w:rFonts w:ascii="Cambria Math" w:hAnsi="Cambria Math"/>
            <w:szCs w:val="24"/>
          </w:rPr>
          <m:t>v</m:t>
        </m:r>
        <m:f>
          <m:fPr>
            <m:ctrlPr>
              <w:rPr>
                <w:rFonts w:ascii="Cambria Math" w:hAnsi="Cambria Math"/>
                <w:i/>
                <w:szCs w:val="24"/>
              </w:rPr>
            </m:ctrlPr>
          </m:fPr>
          <m:num>
            <m:r>
              <w:rPr>
                <w:rFonts w:ascii="Cambria Math" w:hAnsi="Cambria Math"/>
                <w:szCs w:val="24"/>
              </w:rPr>
              <m:t>∂C</m:t>
            </m:r>
          </m:num>
          <m:den>
            <m:r>
              <w:rPr>
                <w:rFonts w:ascii="Cambria Math" w:hAnsi="Cambria Math"/>
                <w:szCs w:val="24"/>
              </w:rPr>
              <m:t>∂x</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x</m:t>
            </m:r>
          </m:sub>
        </m:sSub>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m:t>
                </m:r>
              </m:e>
              <m:sup>
                <m:r>
                  <w:rPr>
                    <w:rFonts w:ascii="Cambria Math" w:hAnsi="Cambria Math"/>
                    <w:szCs w:val="24"/>
                  </w:rPr>
                  <m:t>2</m:t>
                </m:r>
              </m:sup>
            </m:sSup>
            <m:r>
              <w:rPr>
                <w:rFonts w:ascii="Cambria Math" w:hAnsi="Cambria Math"/>
                <w:szCs w:val="24"/>
              </w:rPr>
              <m:t>C</m:t>
            </m:r>
          </m:num>
          <m:den>
            <m:r>
              <w:rPr>
                <w:rFonts w:ascii="Cambria Math" w:hAnsi="Cambria Math"/>
                <w:szCs w:val="24"/>
              </w:rPr>
              <m:t>∂</m:t>
            </m:r>
            <m:sSup>
              <m:sSupPr>
                <m:ctrlPr>
                  <w:rPr>
                    <w:rFonts w:ascii="Cambria Math" w:hAnsi="Cambria Math"/>
                    <w:i/>
                    <w:szCs w:val="24"/>
                  </w:rPr>
                </m:ctrlPr>
              </m:sSupPr>
              <m:e>
                <m:r>
                  <w:rPr>
                    <w:rFonts w:ascii="Cambria Math" w:hAnsi="Cambria Math"/>
                    <w:szCs w:val="24"/>
                  </w:rPr>
                  <m:t>x</m:t>
                </m:r>
              </m:e>
              <m:sup>
                <m:r>
                  <w:rPr>
                    <w:rFonts w:ascii="Cambria Math" w:hAnsi="Cambria Math"/>
                    <w:szCs w:val="24"/>
                  </w:rPr>
                  <m:t>2</m:t>
                </m:r>
              </m:sup>
            </m:sSup>
          </m:den>
        </m:f>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y</m:t>
            </m:r>
          </m:sub>
        </m:sSub>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m:t>
                </m:r>
              </m:e>
              <m:sup>
                <m:r>
                  <w:rPr>
                    <w:rFonts w:ascii="Cambria Math" w:hAnsi="Cambria Math"/>
                    <w:szCs w:val="24"/>
                  </w:rPr>
                  <m:t>2</m:t>
                </m:r>
              </m:sup>
            </m:sSup>
            <m:r>
              <w:rPr>
                <w:rFonts w:ascii="Cambria Math" w:hAnsi="Cambria Math"/>
                <w:szCs w:val="24"/>
              </w:rPr>
              <m:t>C</m:t>
            </m:r>
          </m:num>
          <m:den>
            <m:r>
              <w:rPr>
                <w:rFonts w:ascii="Cambria Math" w:hAnsi="Cambria Math"/>
                <w:szCs w:val="24"/>
              </w:rPr>
              <m:t>∂</m:t>
            </m:r>
            <m:sSup>
              <m:sSupPr>
                <m:ctrlPr>
                  <w:rPr>
                    <w:rFonts w:ascii="Cambria Math" w:hAnsi="Cambria Math"/>
                    <w:i/>
                    <w:szCs w:val="24"/>
                  </w:rPr>
                </m:ctrlPr>
              </m:sSupPr>
              <m:e>
                <m:r>
                  <w:rPr>
                    <w:rFonts w:ascii="Cambria Math" w:hAnsi="Cambria Math"/>
                    <w:szCs w:val="24"/>
                  </w:rPr>
                  <m:t>y</m:t>
                </m:r>
              </m:e>
              <m:sup>
                <m:r>
                  <w:rPr>
                    <w:rFonts w:ascii="Cambria Math" w:hAnsi="Cambria Math"/>
                    <w:szCs w:val="24"/>
                  </w:rPr>
                  <m:t>2</m:t>
                </m:r>
              </m:sup>
            </m:sSup>
          </m:den>
        </m:f>
        <m:r>
          <w:rPr>
            <w:rFonts w:ascii="Cambria Math" w:hAnsi="Cambria Math"/>
            <w:szCs w:val="24"/>
          </w:rPr>
          <m:t>+</m:t>
        </m:r>
        <m:sSub>
          <m:sSubPr>
            <m:ctrlPr>
              <w:rPr>
                <w:rFonts w:ascii="Cambria Math" w:hAnsi="Cambria Math"/>
                <w:i/>
                <w:szCs w:val="24"/>
              </w:rPr>
            </m:ctrlPr>
          </m:sSubPr>
          <m:e>
            <m:r>
              <w:rPr>
                <w:rFonts w:ascii="Cambria Math" w:hAnsi="Cambria Math"/>
                <w:szCs w:val="24"/>
              </w:rPr>
              <m:t>D</m:t>
            </m:r>
          </m:e>
          <m:sub>
            <m:r>
              <w:rPr>
                <w:rFonts w:ascii="Cambria Math" w:hAnsi="Cambria Math"/>
                <w:szCs w:val="24"/>
              </w:rPr>
              <m:t>z</m:t>
            </m:r>
          </m:sub>
        </m:sSub>
        <m:f>
          <m:fPr>
            <m:ctrlPr>
              <w:rPr>
                <w:rFonts w:ascii="Cambria Math" w:hAnsi="Cambria Math"/>
                <w:i/>
                <w:szCs w:val="24"/>
              </w:rPr>
            </m:ctrlPr>
          </m:fPr>
          <m:num>
            <m:sSup>
              <m:sSupPr>
                <m:ctrlPr>
                  <w:rPr>
                    <w:rFonts w:ascii="Cambria Math" w:hAnsi="Cambria Math"/>
                    <w:i/>
                    <w:szCs w:val="24"/>
                  </w:rPr>
                </m:ctrlPr>
              </m:sSupPr>
              <m:e>
                <m:r>
                  <w:rPr>
                    <w:rFonts w:ascii="Cambria Math" w:hAnsi="Cambria Math"/>
                    <w:szCs w:val="24"/>
                  </w:rPr>
                  <m:t>∂</m:t>
                </m:r>
              </m:e>
              <m:sup>
                <m:r>
                  <w:rPr>
                    <w:rFonts w:ascii="Cambria Math" w:hAnsi="Cambria Math"/>
                    <w:szCs w:val="24"/>
                  </w:rPr>
                  <m:t>2</m:t>
                </m:r>
              </m:sup>
            </m:sSup>
            <m:r>
              <w:rPr>
                <w:rFonts w:ascii="Cambria Math" w:hAnsi="Cambria Math"/>
                <w:szCs w:val="24"/>
              </w:rPr>
              <m:t>C</m:t>
            </m:r>
          </m:num>
          <m:den>
            <m:r>
              <w:rPr>
                <w:rFonts w:ascii="Cambria Math" w:hAnsi="Cambria Math"/>
                <w:szCs w:val="24"/>
              </w:rPr>
              <m:t>∂</m:t>
            </m:r>
            <m:sSup>
              <m:sSupPr>
                <m:ctrlPr>
                  <w:rPr>
                    <w:rFonts w:ascii="Cambria Math" w:hAnsi="Cambria Math"/>
                    <w:i/>
                    <w:szCs w:val="24"/>
                  </w:rPr>
                </m:ctrlPr>
              </m:sSupPr>
              <m:e>
                <m:r>
                  <w:rPr>
                    <w:rFonts w:ascii="Cambria Math" w:hAnsi="Cambria Math"/>
                    <w:szCs w:val="24"/>
                  </w:rPr>
                  <m:t>z</m:t>
                </m:r>
              </m:e>
              <m:sup>
                <m:r>
                  <w:rPr>
                    <w:rFonts w:ascii="Cambria Math" w:hAnsi="Cambria Math"/>
                    <w:szCs w:val="24"/>
                  </w:rPr>
                  <m:t>2</m:t>
                </m:r>
              </m:sup>
            </m:sSup>
          </m:den>
        </m:f>
      </m:oMath>
      <w:r w:rsidR="0024235C">
        <w:rPr>
          <w:rFonts w:asciiTheme="minorHAnsi" w:hAnsiTheme="minorHAnsi"/>
          <w:szCs w:val="24"/>
        </w:rPr>
        <w:t xml:space="preserve"> </w:t>
      </w:r>
      <w:r w:rsidR="0024235C">
        <w:rPr>
          <w:rFonts w:asciiTheme="minorHAnsi" w:hAnsiTheme="minorHAnsi"/>
          <w:szCs w:val="24"/>
        </w:rPr>
        <w:tab/>
      </w:r>
      <w:r w:rsidR="00B5728B">
        <w:rPr>
          <w:rFonts w:asciiTheme="minorHAnsi" w:hAnsiTheme="minorHAnsi"/>
          <w:szCs w:val="24"/>
        </w:rPr>
        <w:t>(2)</w:t>
      </w:r>
    </w:p>
    <w:p w14:paraId="5BCFFF2E" w14:textId="77777777" w:rsidR="00F21221" w:rsidRPr="006B17BE" w:rsidRDefault="00F21221" w:rsidP="00F21221">
      <w:pPr>
        <w:pStyle w:val="BodyText"/>
        <w:rPr>
          <w:rFonts w:asciiTheme="minorHAnsi" w:hAnsiTheme="minorHAnsi"/>
          <w:szCs w:val="24"/>
        </w:rPr>
      </w:pPr>
      <m:oMathPara>
        <m:oMath>
          <m:r>
            <w:rPr>
              <w:rFonts w:ascii="Cambria Math" w:hAnsi="Cambria Math"/>
              <w:szCs w:val="24"/>
            </w:rPr>
            <m:t>for:  t&gt;0,  0≤x&lt;∞,  -∞&lt;y&lt;∞,  -∞&lt;z&lt;∞</m:t>
          </m:r>
        </m:oMath>
      </m:oMathPara>
    </w:p>
    <w:p w14:paraId="4913AD5D" w14:textId="2F952C6C" w:rsidR="00F21221" w:rsidRPr="006B17BE" w:rsidRDefault="00B6712B" w:rsidP="001A0E56">
      <w:pPr>
        <w:pStyle w:val="Body"/>
      </w:pPr>
      <w:r w:rsidRPr="006B17BE">
        <w:t>w</w:t>
      </w:r>
      <w:r w:rsidR="00F21221" w:rsidRPr="006B17BE">
        <w:t xml:space="preserve">here </w:t>
      </w:r>
      <w:r w:rsidR="00F21221" w:rsidRPr="006B17BE">
        <w:rPr>
          <w:i/>
        </w:rPr>
        <w:t>C</w:t>
      </w:r>
      <w:r w:rsidR="00F21221" w:rsidRPr="006B17BE">
        <w:t xml:space="preserve"> is the solute concentration, </w:t>
      </w:r>
      <w:r w:rsidR="00F21221" w:rsidRPr="006B17BE">
        <w:rPr>
          <w:i/>
        </w:rPr>
        <w:t>R</w:t>
      </w:r>
      <w:r w:rsidR="00F21221" w:rsidRPr="006B17BE">
        <w:t xml:space="preserve"> is the retardation factor, </w:t>
      </w:r>
      <w:r w:rsidR="00F21221" w:rsidRPr="006B17BE">
        <w:rPr>
          <w:i/>
        </w:rPr>
        <w:t>t</w:t>
      </w:r>
      <w:r w:rsidR="00F21221" w:rsidRPr="006B17BE">
        <w:t xml:space="preserve"> is time, </w:t>
      </w:r>
      <w:r w:rsidR="00F21221" w:rsidRPr="006B17BE">
        <w:rPr>
          <w:i/>
        </w:rPr>
        <w:t>v</w:t>
      </w:r>
      <w:r w:rsidR="00F21221" w:rsidRPr="006B17BE">
        <w:t xml:space="preserve"> is the </w:t>
      </w:r>
      <w:r w:rsidR="001A0E56" w:rsidRPr="006B17BE">
        <w:t xml:space="preserve">pore-water </w:t>
      </w:r>
      <w:r w:rsidR="00F21221" w:rsidRPr="006B17BE">
        <w:t xml:space="preserve">velocity, and </w:t>
      </w:r>
      <w:r w:rsidR="00F21221" w:rsidRPr="006B17BE">
        <w:rPr>
          <w:i/>
        </w:rPr>
        <w:t>D</w:t>
      </w:r>
      <w:r w:rsidR="00F21221" w:rsidRPr="006B17BE">
        <w:rPr>
          <w:i/>
          <w:vertAlign w:val="subscript"/>
        </w:rPr>
        <w:t>x</w:t>
      </w:r>
      <w:r w:rsidR="00F21221" w:rsidRPr="006B17BE">
        <w:t xml:space="preserve">, </w:t>
      </w:r>
      <w:r w:rsidR="00F21221" w:rsidRPr="006B17BE">
        <w:rPr>
          <w:i/>
        </w:rPr>
        <w:t>D</w:t>
      </w:r>
      <w:r w:rsidR="00F21221" w:rsidRPr="006B17BE">
        <w:rPr>
          <w:i/>
          <w:vertAlign w:val="subscript"/>
        </w:rPr>
        <w:t>y</w:t>
      </w:r>
      <w:r w:rsidR="00F21221" w:rsidRPr="006B17BE">
        <w:t xml:space="preserve"> and </w:t>
      </w:r>
      <w:r w:rsidR="00F21221" w:rsidRPr="006B17BE">
        <w:rPr>
          <w:i/>
        </w:rPr>
        <w:t>D</w:t>
      </w:r>
      <w:r w:rsidR="00F21221" w:rsidRPr="006B17BE">
        <w:rPr>
          <w:i/>
          <w:vertAlign w:val="subscript"/>
        </w:rPr>
        <w:t>z</w:t>
      </w:r>
      <w:r w:rsidR="00F21221" w:rsidRPr="006B17BE">
        <w:t xml:space="preserve"> are the </w:t>
      </w:r>
      <w:r w:rsidR="001A0E56" w:rsidRPr="006B17BE">
        <w:t xml:space="preserve">hydrodynamic </w:t>
      </w:r>
      <w:r w:rsidR="00F21221" w:rsidRPr="006B17BE">
        <w:t>dispersion coefficients in the x, y and z directions respectively.</w:t>
      </w:r>
    </w:p>
    <w:p w14:paraId="4D968D5C" w14:textId="77777777" w:rsidR="001A0E56" w:rsidRPr="006B17BE" w:rsidRDefault="001A0E56" w:rsidP="001A0E56">
      <w:pPr>
        <w:pStyle w:val="Body"/>
      </w:pPr>
    </w:p>
    <w:p w14:paraId="12EEAE64" w14:textId="77777777" w:rsidR="00F21221" w:rsidRPr="006B17BE" w:rsidRDefault="00F21221" w:rsidP="001A0E56">
      <w:pPr>
        <w:pStyle w:val="Heading2"/>
      </w:pPr>
      <w:bookmarkStart w:id="603" w:name="_Toc483567959"/>
      <w:r w:rsidRPr="006B17BE">
        <w:t>Implementation and parameterisation of analytical solutions</w:t>
      </w:r>
      <w:bookmarkEnd w:id="603"/>
    </w:p>
    <w:p w14:paraId="69A4F17E" w14:textId="2282AB33" w:rsidR="00F21221" w:rsidRPr="006B17BE" w:rsidRDefault="00A1682A" w:rsidP="001A0E56">
      <w:pPr>
        <w:pStyle w:val="Body"/>
      </w:pPr>
      <w:r w:rsidRPr="006B17BE">
        <w:t>The advection</w:t>
      </w:r>
      <w:r w:rsidR="0024235C">
        <w:t xml:space="preserve">-dispersion equation (Equation </w:t>
      </w:r>
      <w:r w:rsidR="00B5728B">
        <w:t>2</w:t>
      </w:r>
      <w:r w:rsidRPr="006B17BE">
        <w:t xml:space="preserve">) </w:t>
      </w:r>
      <w:r w:rsidR="001A0E56" w:rsidRPr="006B17BE">
        <w:t>was</w:t>
      </w:r>
      <w:r w:rsidR="00F21221" w:rsidRPr="006B17BE">
        <w:t xml:space="preserve"> solved to find the solute concentration at any time and point in the modelled </w:t>
      </w:r>
      <w:r w:rsidR="001A0E56" w:rsidRPr="006B17BE">
        <w:t xml:space="preserve">3D </w:t>
      </w:r>
      <w:r w:rsidR="00F21221" w:rsidRPr="006B17BE">
        <w:t>domain</w:t>
      </w:r>
      <w:r w:rsidR="001A0E56" w:rsidRPr="006B17BE">
        <w:t xml:space="preserve"> </w:t>
      </w:r>
      <w:r w:rsidR="00F21221" w:rsidRPr="006B17BE">
        <w:t xml:space="preserve">using the STANMOD 3DADE </w:t>
      </w:r>
      <w:r w:rsidR="001A0E56" w:rsidRPr="006B17BE">
        <w:t>(</w:t>
      </w:r>
      <w:r w:rsidR="00F21221" w:rsidRPr="006B17BE">
        <w:t>3D advection</w:t>
      </w:r>
      <w:r w:rsidR="001A0E56" w:rsidRPr="006B17BE">
        <w:t>-</w:t>
      </w:r>
      <w:r w:rsidR="00F21221" w:rsidRPr="006B17BE">
        <w:t xml:space="preserve">dispersion equation) package </w:t>
      </w:r>
      <w:r w:rsidR="001A0E56" w:rsidRPr="006B17BE">
        <w:t>(</w:t>
      </w:r>
      <w:r w:rsidR="00225575" w:rsidRPr="006B17BE">
        <w:t xml:space="preserve">Lei and Bradford (1994); </w:t>
      </w:r>
      <w:hyperlink w:anchor="_ENREF_4" w:tooltip="Šimůnek, 2008 #2682" w:history="1">
        <w:r w:rsidR="00F21221" w:rsidRPr="006B17BE">
          <w:rPr>
            <w:noProof/>
          </w:rPr>
          <w:t>Šimůnek et al.</w:t>
        </w:r>
      </w:hyperlink>
      <w:r w:rsidR="00F21221" w:rsidRPr="006B17BE">
        <w:t xml:space="preserve"> </w:t>
      </w:r>
      <w:r w:rsidR="00F21221" w:rsidRPr="006B17BE">
        <w:fldChar w:fldCharType="begin"/>
      </w:r>
      <w:r w:rsidR="00AC3BD2">
        <w:instrText xml:space="preserve"> ADDIN EN.CITE &lt;EndNote&gt;&lt;Cite ExcludeAuth="1"&gt;&lt;Author&gt;Šimůnek&lt;/Author&gt;&lt;Year&gt;2008&lt;/Year&gt;&lt;RecNum&gt;87&lt;/RecNum&gt;&lt;DisplayText&gt;(2008)&lt;/DisplayText&gt;&lt;record&gt;&lt;rec-number&gt;87&lt;/rec-number&gt;&lt;foreign-keys&gt;&lt;key app="EN" db-id="xsexsdeavw900aew9xqxrzzyttv0wxs0rf9r" timestamp="1520464010"&gt;87&lt;/key&gt;&lt;/foreign-keys&gt;&lt;ref-type name="Journal Article"&gt;17&lt;/ref-type&gt;&lt;contributors&gt;&lt;authors&gt;&lt;author&gt;Šimůnek, Jirí&lt;/author&gt;&lt;author&gt;van Genuchten, Martinus Th&lt;/author&gt;&lt;author&gt;Šejna, Miroslav&lt;/author&gt;&lt;/authors&gt;&lt;/contributors&gt;&lt;titles&gt;&lt;title&gt;Development and applications of the HYDRUS and STANMOD software packages and related codes&lt;/title&gt;&lt;secondary-title&gt;Vadose Zone Journal&lt;/secondary-title&gt;&lt;/titles&gt;&lt;periodical&gt;&lt;full-title&gt;Vadose Zone Journal&lt;/full-title&gt;&lt;/periodical&gt;&lt;pages&gt;587-600&lt;/pages&gt;&lt;volume&gt;7&lt;/volume&gt;&lt;number&gt;2&lt;/number&gt;&lt;dates&gt;&lt;year&gt;2008&lt;/year&gt;&lt;/dates&gt;&lt;isbn&gt;1539-1663&lt;/isbn&gt;&lt;urls&gt;&lt;/urls&gt;&lt;/record&gt;&lt;/Cite&gt;&lt;/EndNote&gt;</w:instrText>
      </w:r>
      <w:r w:rsidR="00F21221" w:rsidRPr="006B17BE">
        <w:fldChar w:fldCharType="separate"/>
      </w:r>
      <w:r w:rsidR="00F21221" w:rsidRPr="006B17BE">
        <w:rPr>
          <w:noProof/>
        </w:rPr>
        <w:t>(</w:t>
      </w:r>
      <w:hyperlink w:anchor="_ENREF_6" w:tooltip="Šimůnek, 2008 #87" w:history="1">
        <w:r w:rsidR="00AC3BD2" w:rsidRPr="006B17BE">
          <w:rPr>
            <w:noProof/>
          </w:rPr>
          <w:t>2008</w:t>
        </w:r>
      </w:hyperlink>
      <w:r w:rsidR="00F21221" w:rsidRPr="006B17BE">
        <w:rPr>
          <w:noProof/>
        </w:rPr>
        <w:t>)</w:t>
      </w:r>
      <w:r w:rsidR="00F21221" w:rsidRPr="006B17BE">
        <w:fldChar w:fldCharType="end"/>
      </w:r>
      <w:r w:rsidR="00F21221" w:rsidRPr="006B17BE">
        <w:t xml:space="preserve">, </w:t>
      </w:r>
      <w:r w:rsidR="001A0E56" w:rsidRPr="006B17BE">
        <w:t>v</w:t>
      </w:r>
      <w:r w:rsidR="00F21221" w:rsidRPr="006B17BE">
        <w:t xml:space="preserve">an Genuchten et al. </w:t>
      </w:r>
      <w:r w:rsidR="002441A5" w:rsidRPr="006B17BE">
        <w:t>(</w:t>
      </w:r>
      <w:r w:rsidR="00F21221" w:rsidRPr="006B17BE">
        <w:fldChar w:fldCharType="begin"/>
      </w:r>
      <w:r w:rsidR="00AC3BD2">
        <w:instrText xml:space="preserve"> ADDIN EN.CITE &lt;EndNote&gt;&lt;Cite ExcludeAuth="1"&gt;&lt;Author&gt;Van Genuchten&lt;/Author&gt;&lt;Year&gt;2012&lt;/Year&gt;&lt;RecNum&gt;88&lt;/RecNum&gt;&lt;DisplayText&gt;(2012)&lt;/DisplayText&gt;&lt;record&gt;&lt;rec-number&gt;88&lt;/rec-number&gt;&lt;foreign-keys&gt;&lt;key app="EN" db-id="xsexsdeavw900aew9xqxrzzyttv0wxs0rf9r" timestamp="1520464010"&gt;88&lt;/key&gt;&lt;/foreign-keys&gt;&lt;ref-type name="Journal Article"&gt;17&lt;/ref-type&gt;&lt;contributors&gt;&lt;authors&gt;&lt;author&gt;Van Genuchten, M Th&lt;/author&gt;&lt;author&gt;Šimunek, J&lt;/author&gt;&lt;author&gt;Leij, FJ&lt;/author&gt;&lt;author&gt;Toride, N&lt;/author&gt;&lt;author&gt;Šejna, M&lt;/author&gt;&lt;/authors&gt;&lt;/contributors&gt;&lt;titles&gt;&lt;title&gt;STANMOD: Model use, calibration, and validation&lt;/title&gt;&lt;secondary-title&gt;Transactions of the ASABE&lt;/secondary-title&gt;&lt;/titles&gt;&lt;periodical&gt;&lt;full-title&gt;Transactions of the ASABE&lt;/full-title&gt;&lt;/periodical&gt;&lt;pages&gt;1355-1366&lt;/pages&gt;&lt;volume&gt;55&lt;/volume&gt;&lt;number&gt;4&lt;/number&gt;&lt;dates&gt;&lt;year&gt;2012&lt;/year&gt;&lt;/dates&gt;&lt;urls&gt;&lt;/urls&gt;&lt;/record&gt;&lt;/Cite&gt;&lt;/EndNote&gt;</w:instrText>
      </w:r>
      <w:r w:rsidR="00F21221" w:rsidRPr="006B17BE">
        <w:fldChar w:fldCharType="separate"/>
      </w:r>
      <w:r w:rsidR="00AC3BD2">
        <w:rPr>
          <w:noProof/>
        </w:rPr>
        <w:t>(</w:t>
      </w:r>
      <w:hyperlink w:anchor="_ENREF_7" w:tooltip="Van Genuchten, 2012 #88" w:history="1">
        <w:r w:rsidR="00AC3BD2">
          <w:rPr>
            <w:noProof/>
          </w:rPr>
          <w:t>2012</w:t>
        </w:r>
      </w:hyperlink>
      <w:r w:rsidR="00AC3BD2">
        <w:rPr>
          <w:noProof/>
        </w:rPr>
        <w:t>)</w:t>
      </w:r>
      <w:r w:rsidR="00F21221" w:rsidRPr="006B17BE">
        <w:fldChar w:fldCharType="end"/>
      </w:r>
      <w:r w:rsidR="00F21221" w:rsidRPr="006B17BE">
        <w:t>.</w:t>
      </w:r>
    </w:p>
    <w:p w14:paraId="77D14D54" w14:textId="133BA1A7" w:rsidR="00F21221" w:rsidRPr="006B17BE" w:rsidRDefault="00F21221" w:rsidP="001A0E56">
      <w:pPr>
        <w:pStyle w:val="Body"/>
      </w:pPr>
      <w:r w:rsidRPr="006B17BE">
        <w:t xml:space="preserve">The </w:t>
      </w:r>
      <w:r w:rsidR="001A0E56" w:rsidRPr="006B17BE">
        <w:t xml:space="preserve">solute </w:t>
      </w:r>
      <w:r w:rsidRPr="006B17BE">
        <w:t xml:space="preserve">source was conceptualised as </w:t>
      </w:r>
      <w:r w:rsidR="001A0E56" w:rsidRPr="006B17BE">
        <w:t xml:space="preserve">a </w:t>
      </w:r>
      <w:r w:rsidRPr="006B17BE">
        <w:t xml:space="preserve">rectangular source at the </w:t>
      </w:r>
      <w:r w:rsidR="001A0E56" w:rsidRPr="006B17BE">
        <w:t xml:space="preserve">well or </w:t>
      </w:r>
      <w:r w:rsidRPr="006B17BE">
        <w:t xml:space="preserve">bore, as indicated in </w:t>
      </w:r>
      <w:r w:rsidRPr="006B17BE">
        <w:fldChar w:fldCharType="begin"/>
      </w:r>
      <w:r w:rsidRPr="006B17BE">
        <w:instrText xml:space="preserve"> REF _Ref454801812 \h  \* MERGEFORMAT </w:instrText>
      </w:r>
      <w:r w:rsidRPr="006B17BE">
        <w:fldChar w:fldCharType="separate"/>
      </w:r>
      <w:r w:rsidR="00086147" w:rsidRPr="00086147">
        <w:t xml:space="preserve">Figure </w:t>
      </w:r>
      <w:r w:rsidR="00086147" w:rsidRPr="00086147">
        <w:rPr>
          <w:noProof/>
        </w:rPr>
        <w:t>5</w:t>
      </w:r>
      <w:r w:rsidR="00086147" w:rsidRPr="00086147">
        <w:rPr>
          <w:noProof/>
        </w:rPr>
        <w:noBreakHyphen/>
        <w:t>3</w:t>
      </w:r>
      <w:r w:rsidRPr="006B17BE">
        <w:fldChar w:fldCharType="end"/>
      </w:r>
      <w:r w:rsidRPr="006B17BE">
        <w:t xml:space="preserve">, but with the x-axis representing flow in the horizontal direction, the y-axis representing vertical flow and the z-axis representing lateral flow. The </w:t>
      </w:r>
      <w:r w:rsidR="00C02A3A" w:rsidRPr="006B17BE">
        <w:t xml:space="preserve">solute </w:t>
      </w:r>
      <w:r w:rsidRPr="006B17BE">
        <w:t>source had dimensions of 0.5 m along the z-axis (</w:t>
      </w:r>
      <w:r w:rsidRPr="006B17BE">
        <w:rPr>
          <w:i/>
        </w:rPr>
        <w:t>b</w:t>
      </w:r>
      <w:r w:rsidRPr="006B17BE">
        <w:t>), representing the diameter of the leaky well</w:t>
      </w:r>
      <w:r w:rsidR="00C02A3A" w:rsidRPr="006B17BE">
        <w:t xml:space="preserve"> or bore</w:t>
      </w:r>
      <w:r w:rsidRPr="006B17BE">
        <w:t>, and either 114 m or 21 m along the y-axis (</w:t>
      </w:r>
      <w:r w:rsidRPr="006B17BE">
        <w:rPr>
          <w:i/>
        </w:rPr>
        <w:t>a</w:t>
      </w:r>
      <w:r w:rsidRPr="006B17BE">
        <w:t>), representing the full thickness of the water bearing aquifer or the production zone</w:t>
      </w:r>
      <w:r w:rsidR="00C02A3A" w:rsidRPr="006B17BE">
        <w:t xml:space="preserve"> of this study area, respectively</w:t>
      </w:r>
      <w:r w:rsidRPr="006B17BE">
        <w:t xml:space="preserve"> (</w:t>
      </w:r>
      <w:r w:rsidRPr="006B17BE">
        <w:fldChar w:fldCharType="begin"/>
      </w:r>
      <w:r w:rsidRPr="006B17BE">
        <w:instrText xml:space="preserve"> REF _Ref456350284 \h  \* MERGEFORMAT </w:instrText>
      </w:r>
      <w:r w:rsidRPr="006B17BE">
        <w:fldChar w:fldCharType="separate"/>
      </w:r>
      <w:r w:rsidR="00086147" w:rsidRPr="006B17BE">
        <w:t xml:space="preserve">Table </w:t>
      </w:r>
      <w:r w:rsidR="00086147">
        <w:rPr>
          <w:noProof/>
        </w:rPr>
        <w:t>5</w:t>
      </w:r>
      <w:r w:rsidR="00086147">
        <w:rPr>
          <w:noProof/>
        </w:rPr>
        <w:noBreakHyphen/>
        <w:t>2</w:t>
      </w:r>
      <w:r w:rsidRPr="006B17BE">
        <w:fldChar w:fldCharType="end"/>
      </w:r>
      <w:r w:rsidRPr="006B17BE">
        <w:t>).</w:t>
      </w:r>
    </w:p>
    <w:p w14:paraId="33909890" w14:textId="77777777" w:rsidR="00F21221" w:rsidRPr="006B17BE" w:rsidRDefault="00F21221" w:rsidP="00C02A3A">
      <w:pPr>
        <w:pStyle w:val="BodyText"/>
        <w:jc w:val="center"/>
        <w:rPr>
          <w:rFonts w:asciiTheme="minorHAnsi" w:hAnsiTheme="minorHAnsi"/>
          <w:szCs w:val="24"/>
        </w:rPr>
      </w:pPr>
      <w:r w:rsidRPr="006B17BE">
        <w:rPr>
          <w:rFonts w:asciiTheme="minorHAnsi" w:hAnsiTheme="minorHAnsi"/>
          <w:noProof/>
          <w:szCs w:val="24"/>
        </w:rPr>
        <w:drawing>
          <wp:inline distT="0" distB="0" distL="0" distR="0" wp14:anchorId="007C00DD" wp14:editId="3039C181">
            <wp:extent cx="2442888" cy="130981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59239" cy="1318583"/>
                    </a:xfrm>
                    <a:prstGeom prst="rect">
                      <a:avLst/>
                    </a:prstGeom>
                    <a:noFill/>
                    <a:ln>
                      <a:noFill/>
                    </a:ln>
                  </pic:spPr>
                </pic:pic>
              </a:graphicData>
            </a:graphic>
          </wp:inline>
        </w:drawing>
      </w:r>
    </w:p>
    <w:p w14:paraId="4D398854" w14:textId="5116E592" w:rsidR="00F21221" w:rsidRPr="006B17BE" w:rsidRDefault="00F21221" w:rsidP="00F21221">
      <w:pPr>
        <w:pStyle w:val="Caption"/>
        <w:rPr>
          <w:rFonts w:asciiTheme="minorHAnsi" w:hAnsiTheme="minorHAnsi" w:cstheme="minorHAnsi"/>
          <w:szCs w:val="20"/>
        </w:rPr>
      </w:pPr>
      <w:bookmarkStart w:id="604" w:name="_Ref454801812"/>
      <w:bookmarkStart w:id="605" w:name="_Toc508267301"/>
      <w:r w:rsidRPr="006B17BE">
        <w:rPr>
          <w:rFonts w:asciiTheme="minorHAnsi" w:hAnsiTheme="minorHAnsi" w:cstheme="minorHAnsi"/>
          <w:szCs w:val="20"/>
        </w:rPr>
        <w:t xml:space="preserve">Figure </w:t>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STYLEREF 1 \s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5</w:t>
      </w:r>
      <w:r w:rsidR="0014612E">
        <w:rPr>
          <w:rFonts w:asciiTheme="minorHAnsi" w:hAnsiTheme="minorHAnsi" w:cstheme="minorHAnsi"/>
          <w:szCs w:val="20"/>
        </w:rPr>
        <w:fldChar w:fldCharType="end"/>
      </w:r>
      <w:r w:rsidR="0014612E">
        <w:rPr>
          <w:rFonts w:asciiTheme="minorHAnsi" w:hAnsiTheme="minorHAnsi" w:cstheme="minorHAnsi"/>
          <w:szCs w:val="20"/>
        </w:rPr>
        <w:noBreakHyphen/>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SEQ Figure \* ARABIC \s 1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3</w:t>
      </w:r>
      <w:r w:rsidR="0014612E">
        <w:rPr>
          <w:rFonts w:asciiTheme="minorHAnsi" w:hAnsiTheme="minorHAnsi" w:cstheme="minorHAnsi"/>
          <w:szCs w:val="20"/>
        </w:rPr>
        <w:fldChar w:fldCharType="end"/>
      </w:r>
      <w:bookmarkEnd w:id="604"/>
      <w:r w:rsidRPr="006B17BE">
        <w:rPr>
          <w:rFonts w:asciiTheme="minorHAnsi" w:hAnsiTheme="minorHAnsi" w:cstheme="minorHAnsi"/>
          <w:szCs w:val="20"/>
        </w:rPr>
        <w:t xml:space="preserve"> Conceptualisation of solute source. For the leaky well problem this figure should be rotated 90° about the z-axis so that the y-axis is vertical and the x-axis is horizontal</w:t>
      </w:r>
      <w:r w:rsidR="00C02A3A" w:rsidRPr="006B17BE">
        <w:rPr>
          <w:rFonts w:asciiTheme="minorHAnsi" w:hAnsiTheme="minorHAnsi" w:cstheme="minorHAnsi"/>
          <w:szCs w:val="20"/>
        </w:rPr>
        <w:t xml:space="preserve"> (</w:t>
      </w:r>
      <w:r w:rsidR="00225575" w:rsidRPr="006B17BE">
        <w:rPr>
          <w:rFonts w:asciiTheme="minorHAnsi" w:hAnsiTheme="minorHAnsi" w:cstheme="minorHAnsi"/>
          <w:szCs w:val="20"/>
        </w:rPr>
        <w:t>Leij and Bradford 1994</w:t>
      </w:r>
      <w:r w:rsidR="00C02A3A" w:rsidRPr="006B17BE">
        <w:rPr>
          <w:rFonts w:asciiTheme="minorHAnsi" w:hAnsiTheme="minorHAnsi" w:cstheme="minorHAnsi"/>
          <w:szCs w:val="20"/>
        </w:rPr>
        <w:t>)</w:t>
      </w:r>
      <w:r w:rsidRPr="006B17BE">
        <w:rPr>
          <w:rFonts w:asciiTheme="minorHAnsi" w:hAnsiTheme="minorHAnsi" w:cstheme="minorHAnsi"/>
          <w:szCs w:val="20"/>
        </w:rPr>
        <w:t>.</w:t>
      </w:r>
      <w:bookmarkEnd w:id="605"/>
    </w:p>
    <w:p w14:paraId="2E27794E" w14:textId="77777777" w:rsidR="0024235C" w:rsidRDefault="0024235C" w:rsidP="00990735">
      <w:pPr>
        <w:pStyle w:val="Body"/>
      </w:pPr>
    </w:p>
    <w:p w14:paraId="50632C03" w14:textId="52A0BAA0" w:rsidR="00F21221" w:rsidRPr="006B17BE" w:rsidRDefault="00F21221" w:rsidP="00990735">
      <w:pPr>
        <w:pStyle w:val="Body"/>
        <w:rPr>
          <w:rFonts w:asciiTheme="minorHAnsi" w:hAnsiTheme="minorHAnsi"/>
          <w:szCs w:val="24"/>
        </w:rPr>
      </w:pPr>
      <w:r w:rsidRPr="006B17BE">
        <w:t xml:space="preserve">The </w:t>
      </w:r>
      <w:r w:rsidR="00225575" w:rsidRPr="006B17BE">
        <w:t xml:space="preserve">advection-dispersion </w:t>
      </w:r>
      <w:r w:rsidRPr="006B17BE">
        <w:t xml:space="preserve">equation was evaluated within a volume representing the thickness of the water bearing aquifer or production zone (114 m or 21 m) in the </w:t>
      </w:r>
      <w:r w:rsidRPr="006B17BE">
        <w:rPr>
          <w:i/>
        </w:rPr>
        <w:t>y</w:t>
      </w:r>
      <w:r w:rsidRPr="006B17BE">
        <w:t xml:space="preserve"> dimension (</w:t>
      </w:r>
      <w:r w:rsidRPr="006B17BE">
        <w:rPr>
          <w:i/>
        </w:rPr>
        <w:t>y</w:t>
      </w:r>
      <w:r w:rsidRPr="006B17BE">
        <w:rPr>
          <w:i/>
          <w:vertAlign w:val="subscript"/>
        </w:rPr>
        <w:t>max</w:t>
      </w:r>
      <w:r w:rsidRPr="006B17BE">
        <w:t>), 1</w:t>
      </w:r>
      <w:r w:rsidR="00990735" w:rsidRPr="006B17BE">
        <w:t>,</w:t>
      </w:r>
      <w:r w:rsidRPr="006B17BE">
        <w:t xml:space="preserve">000 m in the </w:t>
      </w:r>
      <w:r w:rsidRPr="006B17BE">
        <w:rPr>
          <w:i/>
        </w:rPr>
        <w:t>x</w:t>
      </w:r>
      <w:r w:rsidRPr="006B17BE">
        <w:t xml:space="preserve"> dimension away from the leaky well (</w:t>
      </w:r>
      <w:r w:rsidRPr="006B17BE">
        <w:rPr>
          <w:i/>
        </w:rPr>
        <w:t>x</w:t>
      </w:r>
      <w:r w:rsidRPr="006B17BE">
        <w:rPr>
          <w:i/>
          <w:vertAlign w:val="subscript"/>
        </w:rPr>
        <w:t>max</w:t>
      </w:r>
      <w:r w:rsidRPr="006B17BE">
        <w:t>), and 1</w:t>
      </w:r>
      <w:r w:rsidR="00990735" w:rsidRPr="006B17BE">
        <w:t>,</w:t>
      </w:r>
      <w:r w:rsidRPr="006B17BE">
        <w:t xml:space="preserve">000 m in the </w:t>
      </w:r>
      <w:r w:rsidRPr="006B17BE">
        <w:rPr>
          <w:i/>
        </w:rPr>
        <w:t>z</w:t>
      </w:r>
      <w:r w:rsidRPr="006B17BE">
        <w:t xml:space="preserve"> dimension (</w:t>
      </w:r>
      <w:r w:rsidRPr="006B17BE">
        <w:rPr>
          <w:i/>
        </w:rPr>
        <w:t>z</w:t>
      </w:r>
      <w:r w:rsidRPr="006B17BE">
        <w:rPr>
          <w:i/>
          <w:vertAlign w:val="subscript"/>
        </w:rPr>
        <w:t>max</w:t>
      </w:r>
      <w:r w:rsidRPr="006B17BE">
        <w:t>): 500 m either side of the leaky well. The equation was evaluated for 10 years (</w:t>
      </w:r>
      <w:r w:rsidRPr="006B17BE">
        <w:rPr>
          <w:i/>
        </w:rPr>
        <w:t>t</w:t>
      </w:r>
      <w:r w:rsidRPr="006B17BE">
        <w:rPr>
          <w:i/>
          <w:vertAlign w:val="subscript"/>
        </w:rPr>
        <w:t>max</w:t>
      </w:r>
      <w:r w:rsidRPr="006B17BE">
        <w:t xml:space="preserve"> of 3</w:t>
      </w:r>
      <w:r w:rsidR="00990735" w:rsidRPr="006B17BE">
        <w:t>,</w:t>
      </w:r>
      <w:r w:rsidRPr="006B17BE">
        <w:t>650 days) at intervals of 36.5 days (</w:t>
      </w:r>
      <w:r w:rsidRPr="006B17BE">
        <w:fldChar w:fldCharType="begin"/>
      </w:r>
      <w:r w:rsidRPr="006B17BE">
        <w:instrText xml:space="preserve"> REF _Ref456350284 \h  \* MERGEFORMAT </w:instrText>
      </w:r>
      <w:r w:rsidRPr="006B17BE">
        <w:fldChar w:fldCharType="separate"/>
      </w:r>
      <w:r w:rsidR="00086147" w:rsidRPr="006B17BE">
        <w:t xml:space="preserve">Table </w:t>
      </w:r>
      <w:r w:rsidR="00086147">
        <w:rPr>
          <w:noProof/>
        </w:rPr>
        <w:t>5</w:t>
      </w:r>
      <w:r w:rsidR="00086147">
        <w:rPr>
          <w:noProof/>
        </w:rPr>
        <w:noBreakHyphen/>
        <w:t>2</w:t>
      </w:r>
      <w:r w:rsidRPr="006B17BE">
        <w:fldChar w:fldCharType="end"/>
      </w:r>
      <w:r w:rsidRPr="006B17BE">
        <w:t>).</w:t>
      </w:r>
      <w:r w:rsidR="00990735" w:rsidRPr="006B17BE">
        <w:t xml:space="preserve"> </w:t>
      </w:r>
      <w:r w:rsidRPr="006B17BE">
        <w:rPr>
          <w:rFonts w:asciiTheme="minorHAnsi" w:hAnsiTheme="minorHAnsi"/>
          <w:szCs w:val="24"/>
        </w:rPr>
        <w:t>Observation wells were established 10</w:t>
      </w:r>
      <w:r w:rsidR="00990735" w:rsidRPr="006B17BE">
        <w:rPr>
          <w:rFonts w:asciiTheme="minorHAnsi" w:hAnsiTheme="minorHAnsi"/>
          <w:szCs w:val="24"/>
        </w:rPr>
        <w:t xml:space="preserve"> </w:t>
      </w:r>
      <w:r w:rsidRPr="006B17BE">
        <w:rPr>
          <w:rFonts w:asciiTheme="minorHAnsi" w:hAnsiTheme="minorHAnsi"/>
          <w:szCs w:val="24"/>
        </w:rPr>
        <w:t>m, 50</w:t>
      </w:r>
      <w:r w:rsidR="00990735" w:rsidRPr="006B17BE">
        <w:rPr>
          <w:rFonts w:asciiTheme="minorHAnsi" w:hAnsiTheme="minorHAnsi"/>
          <w:szCs w:val="24"/>
        </w:rPr>
        <w:t xml:space="preserve"> </w:t>
      </w:r>
      <w:r w:rsidRPr="006B17BE">
        <w:rPr>
          <w:rFonts w:asciiTheme="minorHAnsi" w:hAnsiTheme="minorHAnsi"/>
          <w:szCs w:val="24"/>
        </w:rPr>
        <w:t>m, 100</w:t>
      </w:r>
      <w:r w:rsidR="00990735" w:rsidRPr="006B17BE">
        <w:rPr>
          <w:rFonts w:asciiTheme="minorHAnsi" w:hAnsiTheme="minorHAnsi"/>
          <w:szCs w:val="24"/>
        </w:rPr>
        <w:t xml:space="preserve"> </w:t>
      </w:r>
      <w:r w:rsidRPr="006B17BE">
        <w:rPr>
          <w:rFonts w:asciiTheme="minorHAnsi" w:hAnsiTheme="minorHAnsi"/>
          <w:szCs w:val="24"/>
        </w:rPr>
        <w:t>m, 500</w:t>
      </w:r>
      <w:r w:rsidR="00990735" w:rsidRPr="006B17BE">
        <w:rPr>
          <w:rFonts w:asciiTheme="minorHAnsi" w:hAnsiTheme="minorHAnsi"/>
          <w:szCs w:val="24"/>
        </w:rPr>
        <w:t xml:space="preserve"> </w:t>
      </w:r>
      <w:r w:rsidRPr="006B17BE">
        <w:rPr>
          <w:rFonts w:asciiTheme="minorHAnsi" w:hAnsiTheme="minorHAnsi"/>
          <w:szCs w:val="24"/>
        </w:rPr>
        <w:t>m and 1</w:t>
      </w:r>
      <w:r w:rsidR="00990735" w:rsidRPr="006B17BE">
        <w:rPr>
          <w:rFonts w:asciiTheme="minorHAnsi" w:hAnsiTheme="minorHAnsi"/>
          <w:szCs w:val="24"/>
        </w:rPr>
        <w:t>,</w:t>
      </w:r>
      <w:r w:rsidRPr="006B17BE">
        <w:rPr>
          <w:rFonts w:asciiTheme="minorHAnsi" w:hAnsiTheme="minorHAnsi"/>
          <w:szCs w:val="24"/>
        </w:rPr>
        <w:t>000</w:t>
      </w:r>
      <w:r w:rsidR="00990735" w:rsidRPr="006B17BE">
        <w:rPr>
          <w:rFonts w:asciiTheme="minorHAnsi" w:hAnsiTheme="minorHAnsi"/>
          <w:szCs w:val="24"/>
        </w:rPr>
        <w:t xml:space="preserve"> </w:t>
      </w:r>
      <w:r w:rsidRPr="006B17BE">
        <w:rPr>
          <w:rFonts w:asciiTheme="minorHAnsi" w:hAnsiTheme="minorHAnsi"/>
          <w:szCs w:val="24"/>
        </w:rPr>
        <w:t>m from the leaky well.</w:t>
      </w:r>
    </w:p>
    <w:p w14:paraId="079C41AA" w14:textId="7671EAD3" w:rsidR="00F21221" w:rsidRPr="006B17BE" w:rsidRDefault="00F21221" w:rsidP="00684F4E">
      <w:pPr>
        <w:pStyle w:val="Caption"/>
      </w:pPr>
      <w:bookmarkStart w:id="606" w:name="_Ref456350284"/>
      <w:bookmarkStart w:id="607" w:name="_Toc508267203"/>
      <w:r w:rsidRPr="006B17BE">
        <w:t xml:space="preserve">Table </w:t>
      </w:r>
      <w:r w:rsidR="00296C49">
        <w:fldChar w:fldCharType="begin"/>
      </w:r>
      <w:r w:rsidR="00296C49">
        <w:instrText xml:space="preserve"> STYLEREF 1 \s </w:instrText>
      </w:r>
      <w:r w:rsidR="00296C49">
        <w:fldChar w:fldCharType="separate"/>
      </w:r>
      <w:r w:rsidR="00086147">
        <w:rPr>
          <w:noProof/>
        </w:rPr>
        <w:t>5</w:t>
      </w:r>
      <w:r w:rsidR="00296C49">
        <w:rPr>
          <w:noProof/>
        </w:rPr>
        <w:fldChar w:fldCharType="end"/>
      </w:r>
      <w:r w:rsidR="0014612E">
        <w:noBreakHyphen/>
      </w:r>
      <w:r w:rsidR="00296C49">
        <w:fldChar w:fldCharType="begin"/>
      </w:r>
      <w:r w:rsidR="00296C49">
        <w:instrText xml:space="preserve"> SEQ Table \* ARABIC \s 1 </w:instrText>
      </w:r>
      <w:r w:rsidR="00296C49">
        <w:fldChar w:fldCharType="separate"/>
      </w:r>
      <w:r w:rsidR="00086147">
        <w:rPr>
          <w:noProof/>
        </w:rPr>
        <w:t>2</w:t>
      </w:r>
      <w:r w:rsidR="00296C49">
        <w:rPr>
          <w:noProof/>
        </w:rPr>
        <w:fldChar w:fldCharType="end"/>
      </w:r>
      <w:bookmarkEnd w:id="606"/>
      <w:r w:rsidRPr="006B17BE">
        <w:t xml:space="preserve"> Parameters used in the 3D advection</w:t>
      </w:r>
      <w:r w:rsidR="005D1E18" w:rsidRPr="006B17BE">
        <w:t>-</w:t>
      </w:r>
      <w:r w:rsidRPr="006B17BE">
        <w:t>dispersion equation</w:t>
      </w:r>
      <w:bookmarkEnd w:id="607"/>
    </w:p>
    <w:tbl>
      <w:tblPr>
        <w:tblW w:w="74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722"/>
        <w:gridCol w:w="2722"/>
      </w:tblGrid>
      <w:tr w:rsidR="00F21221" w:rsidRPr="006B17BE" w14:paraId="1A12004A" w14:textId="77777777" w:rsidTr="00A90B3C">
        <w:trPr>
          <w:trHeight w:val="188"/>
          <w:tblHeader/>
        </w:trPr>
        <w:tc>
          <w:tcPr>
            <w:tcW w:w="1985" w:type="dxa"/>
            <w:tcBorders>
              <w:top w:val="single" w:sz="4" w:space="0" w:color="auto"/>
              <w:left w:val="single" w:sz="4" w:space="0" w:color="auto"/>
              <w:bottom w:val="single" w:sz="4" w:space="0" w:color="auto"/>
              <w:right w:val="single" w:sz="4" w:space="0" w:color="auto"/>
            </w:tcBorders>
            <w:shd w:val="clear" w:color="auto" w:fill="CCCCCC" w:themeFill="text2" w:themeFillTint="33"/>
            <w:hideMark/>
          </w:tcPr>
          <w:p w14:paraId="108FD0AE" w14:textId="77777777" w:rsidR="00F21221" w:rsidRPr="006B17BE" w:rsidRDefault="00F21221" w:rsidP="00237045">
            <w:pPr>
              <w:pStyle w:val="Body"/>
            </w:pPr>
            <w:r w:rsidRPr="006B17BE">
              <w:t>Parameter (units)</w:t>
            </w:r>
          </w:p>
        </w:tc>
        <w:tc>
          <w:tcPr>
            <w:tcW w:w="2722" w:type="dxa"/>
            <w:tcBorders>
              <w:top w:val="single" w:sz="4" w:space="0" w:color="auto"/>
              <w:left w:val="single" w:sz="4" w:space="0" w:color="auto"/>
              <w:bottom w:val="single" w:sz="4" w:space="0" w:color="auto"/>
              <w:right w:val="single" w:sz="4" w:space="0" w:color="auto"/>
            </w:tcBorders>
            <w:shd w:val="clear" w:color="auto" w:fill="CCCCCC" w:themeFill="text2" w:themeFillTint="33"/>
            <w:hideMark/>
          </w:tcPr>
          <w:p w14:paraId="78456658" w14:textId="77777777" w:rsidR="00F21221" w:rsidRPr="006B17BE" w:rsidRDefault="00F21221" w:rsidP="00237045">
            <w:pPr>
              <w:pStyle w:val="Body"/>
              <w:jc w:val="center"/>
            </w:pPr>
            <w:r w:rsidRPr="006B17BE">
              <w:t>Downward flow scenario</w:t>
            </w:r>
          </w:p>
        </w:tc>
        <w:tc>
          <w:tcPr>
            <w:tcW w:w="2722"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19743495" w14:textId="77777777" w:rsidR="00F21221" w:rsidRPr="006B17BE" w:rsidRDefault="00F21221" w:rsidP="00237045">
            <w:pPr>
              <w:pStyle w:val="Body"/>
              <w:jc w:val="center"/>
            </w:pPr>
            <w:r w:rsidRPr="006B17BE">
              <w:t>Upward flow scenario</w:t>
            </w:r>
          </w:p>
        </w:tc>
      </w:tr>
      <w:tr w:rsidR="00F21221" w:rsidRPr="006B17BE" w14:paraId="0D093716"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3FA1C749"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i/>
                <w:noProof/>
                <w:color w:val="auto"/>
                <w:sz w:val="24"/>
                <w:szCs w:val="24"/>
              </w:rPr>
              <w:t>v</w:t>
            </w:r>
            <w:r w:rsidRPr="006B17BE">
              <w:rPr>
                <w:rFonts w:asciiTheme="minorHAnsi" w:hAnsiTheme="minorHAnsi"/>
                <w:noProof/>
                <w:color w:val="auto"/>
                <w:sz w:val="24"/>
                <w:szCs w:val="24"/>
              </w:rPr>
              <w:t xml:space="preserve"> (md</w:t>
            </w:r>
            <w:r w:rsidRPr="006B17BE">
              <w:rPr>
                <w:rFonts w:asciiTheme="minorHAnsi" w:hAnsiTheme="minorHAnsi"/>
                <w:noProof/>
                <w:color w:val="auto"/>
                <w:sz w:val="24"/>
                <w:szCs w:val="24"/>
                <w:vertAlign w:val="superscript"/>
              </w:rPr>
              <w:t>-1</w:t>
            </w:r>
            <w:r w:rsidRPr="006B17BE">
              <w:rPr>
                <w:rFonts w:asciiTheme="minorHAnsi" w:hAnsiTheme="minorHAnsi"/>
                <w:noProof/>
                <w:color w:val="auto"/>
                <w:sz w:val="24"/>
                <w:szCs w:val="24"/>
              </w:rPr>
              <w:t>)</w:t>
            </w:r>
          </w:p>
        </w:tc>
        <w:tc>
          <w:tcPr>
            <w:tcW w:w="2722" w:type="dxa"/>
            <w:tcBorders>
              <w:top w:val="single" w:sz="4" w:space="0" w:color="auto"/>
              <w:left w:val="single" w:sz="4" w:space="0" w:color="auto"/>
              <w:bottom w:val="single" w:sz="4" w:space="0" w:color="auto"/>
              <w:right w:val="single" w:sz="4" w:space="0" w:color="auto"/>
            </w:tcBorders>
          </w:tcPr>
          <w:p w14:paraId="3C672266" w14:textId="77777777" w:rsidR="00F21221" w:rsidRPr="006B17BE" w:rsidRDefault="00F21221" w:rsidP="00237045">
            <w:pPr>
              <w:pStyle w:val="Body"/>
              <w:jc w:val="center"/>
              <w:rPr>
                <w:color w:val="auto"/>
              </w:rPr>
            </w:pPr>
            <w:r w:rsidRPr="006B17BE">
              <w:t>Various scenarios</w:t>
            </w:r>
          </w:p>
        </w:tc>
        <w:tc>
          <w:tcPr>
            <w:tcW w:w="2722" w:type="dxa"/>
            <w:tcBorders>
              <w:top w:val="single" w:sz="4" w:space="0" w:color="auto"/>
              <w:left w:val="single" w:sz="4" w:space="0" w:color="auto"/>
              <w:bottom w:val="single" w:sz="4" w:space="0" w:color="auto"/>
              <w:right w:val="single" w:sz="4" w:space="0" w:color="auto"/>
            </w:tcBorders>
          </w:tcPr>
          <w:p w14:paraId="5B9F6597" w14:textId="77777777" w:rsidR="00F21221" w:rsidRPr="006B17BE" w:rsidRDefault="00F21221" w:rsidP="00237045">
            <w:pPr>
              <w:pStyle w:val="Body"/>
              <w:jc w:val="center"/>
              <w:rPr>
                <w:color w:val="auto"/>
              </w:rPr>
            </w:pPr>
            <w:r w:rsidRPr="006B17BE">
              <w:rPr>
                <w:color w:val="auto"/>
              </w:rPr>
              <w:t>Various scenarios</w:t>
            </w:r>
          </w:p>
        </w:tc>
      </w:tr>
      <w:tr w:rsidR="00F21221" w:rsidRPr="006B17BE" w14:paraId="6425791B"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359309AE"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i/>
                <w:noProof/>
                <w:color w:val="auto"/>
                <w:sz w:val="24"/>
                <w:szCs w:val="24"/>
              </w:rPr>
              <w:t>C</w:t>
            </w:r>
            <w:r w:rsidRPr="006B17BE">
              <w:rPr>
                <w:rFonts w:asciiTheme="minorHAnsi" w:hAnsiTheme="minorHAnsi"/>
                <w:noProof/>
                <w:color w:val="auto"/>
                <w:sz w:val="24"/>
                <w:szCs w:val="24"/>
              </w:rPr>
              <w:t xml:space="preserve"> (mgL</w:t>
            </w:r>
            <w:r w:rsidRPr="006B17BE">
              <w:rPr>
                <w:rFonts w:asciiTheme="minorHAnsi" w:hAnsiTheme="minorHAnsi"/>
                <w:noProof/>
                <w:color w:val="auto"/>
                <w:sz w:val="24"/>
                <w:szCs w:val="24"/>
                <w:vertAlign w:val="superscript"/>
              </w:rPr>
              <w:t>-1</w:t>
            </w:r>
            <w:r w:rsidRPr="006B17BE">
              <w:rPr>
                <w:rFonts w:asciiTheme="minorHAnsi" w:hAnsiTheme="minorHAnsi"/>
                <w:noProof/>
                <w:color w:val="auto"/>
                <w:sz w:val="24"/>
                <w:szCs w:val="24"/>
              </w:rPr>
              <w:t>)</w:t>
            </w:r>
          </w:p>
        </w:tc>
        <w:tc>
          <w:tcPr>
            <w:tcW w:w="2722" w:type="dxa"/>
            <w:tcBorders>
              <w:top w:val="single" w:sz="4" w:space="0" w:color="auto"/>
              <w:left w:val="single" w:sz="4" w:space="0" w:color="auto"/>
              <w:bottom w:val="single" w:sz="4" w:space="0" w:color="auto"/>
              <w:right w:val="single" w:sz="4" w:space="0" w:color="auto"/>
            </w:tcBorders>
          </w:tcPr>
          <w:p w14:paraId="64E72503" w14:textId="77777777" w:rsidR="00F21221" w:rsidRPr="006B17BE" w:rsidRDefault="00F21221" w:rsidP="00237045">
            <w:pPr>
              <w:pStyle w:val="Body"/>
              <w:jc w:val="center"/>
              <w:rPr>
                <w:color w:val="auto"/>
              </w:rPr>
            </w:pPr>
            <w:r w:rsidRPr="006B17BE">
              <w:rPr>
                <w:color w:val="auto"/>
              </w:rPr>
              <w:t>1</w:t>
            </w:r>
          </w:p>
        </w:tc>
        <w:tc>
          <w:tcPr>
            <w:tcW w:w="2722" w:type="dxa"/>
            <w:tcBorders>
              <w:top w:val="single" w:sz="4" w:space="0" w:color="auto"/>
              <w:left w:val="single" w:sz="4" w:space="0" w:color="auto"/>
              <w:bottom w:val="single" w:sz="4" w:space="0" w:color="auto"/>
              <w:right w:val="single" w:sz="4" w:space="0" w:color="auto"/>
            </w:tcBorders>
          </w:tcPr>
          <w:p w14:paraId="1283C4E6" w14:textId="77777777" w:rsidR="00F21221" w:rsidRPr="006B17BE" w:rsidRDefault="00F21221" w:rsidP="00237045">
            <w:pPr>
              <w:pStyle w:val="Body"/>
              <w:jc w:val="center"/>
              <w:rPr>
                <w:color w:val="auto"/>
              </w:rPr>
            </w:pPr>
            <w:r w:rsidRPr="006B17BE">
              <w:rPr>
                <w:color w:val="auto"/>
              </w:rPr>
              <w:t>1</w:t>
            </w:r>
          </w:p>
        </w:tc>
      </w:tr>
      <w:tr w:rsidR="00F21221" w:rsidRPr="006B17BE" w14:paraId="13B7E0A5"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0CA3DA93"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i/>
                <w:noProof/>
                <w:color w:val="auto"/>
                <w:sz w:val="24"/>
                <w:szCs w:val="24"/>
              </w:rPr>
              <w:t>C</w:t>
            </w:r>
            <w:r w:rsidRPr="006B17BE">
              <w:rPr>
                <w:rFonts w:asciiTheme="minorHAnsi" w:hAnsiTheme="minorHAnsi"/>
                <w:noProof/>
                <w:color w:val="auto"/>
                <w:sz w:val="24"/>
                <w:szCs w:val="24"/>
                <w:vertAlign w:val="subscript"/>
              </w:rPr>
              <w:t>b</w:t>
            </w:r>
            <w:r w:rsidRPr="006B17BE">
              <w:rPr>
                <w:rFonts w:asciiTheme="minorHAnsi" w:hAnsiTheme="minorHAnsi"/>
                <w:noProof/>
                <w:color w:val="auto"/>
                <w:sz w:val="24"/>
                <w:szCs w:val="24"/>
              </w:rPr>
              <w:t xml:space="preserve"> (mgL</w:t>
            </w:r>
            <w:r w:rsidRPr="006B17BE">
              <w:rPr>
                <w:rFonts w:asciiTheme="minorHAnsi" w:hAnsiTheme="minorHAnsi"/>
                <w:noProof/>
                <w:color w:val="auto"/>
                <w:sz w:val="24"/>
                <w:szCs w:val="24"/>
                <w:vertAlign w:val="superscript"/>
              </w:rPr>
              <w:t>-1</w:t>
            </w:r>
            <w:r w:rsidRPr="006B17BE">
              <w:rPr>
                <w:rFonts w:asciiTheme="minorHAnsi" w:hAnsiTheme="minorHAnsi"/>
                <w:noProof/>
                <w:color w:val="auto"/>
                <w:sz w:val="24"/>
                <w:szCs w:val="24"/>
              </w:rPr>
              <w:t>)</w:t>
            </w:r>
          </w:p>
        </w:tc>
        <w:tc>
          <w:tcPr>
            <w:tcW w:w="2722" w:type="dxa"/>
            <w:tcBorders>
              <w:top w:val="single" w:sz="4" w:space="0" w:color="auto"/>
              <w:left w:val="single" w:sz="4" w:space="0" w:color="auto"/>
              <w:bottom w:val="single" w:sz="4" w:space="0" w:color="auto"/>
              <w:right w:val="single" w:sz="4" w:space="0" w:color="auto"/>
            </w:tcBorders>
          </w:tcPr>
          <w:p w14:paraId="0505041C" w14:textId="77777777" w:rsidR="00F21221" w:rsidRPr="006B17BE" w:rsidRDefault="00F21221" w:rsidP="00237045">
            <w:pPr>
              <w:pStyle w:val="Body"/>
              <w:jc w:val="center"/>
              <w:rPr>
                <w:color w:val="auto"/>
              </w:rPr>
            </w:pPr>
            <w:r w:rsidRPr="006B17BE">
              <w:rPr>
                <w:color w:val="auto"/>
              </w:rPr>
              <w:t>0</w:t>
            </w:r>
          </w:p>
        </w:tc>
        <w:tc>
          <w:tcPr>
            <w:tcW w:w="2722" w:type="dxa"/>
            <w:tcBorders>
              <w:top w:val="single" w:sz="4" w:space="0" w:color="auto"/>
              <w:left w:val="single" w:sz="4" w:space="0" w:color="auto"/>
              <w:bottom w:val="single" w:sz="4" w:space="0" w:color="auto"/>
              <w:right w:val="single" w:sz="4" w:space="0" w:color="auto"/>
            </w:tcBorders>
          </w:tcPr>
          <w:p w14:paraId="2C7B5D52" w14:textId="77777777" w:rsidR="00F21221" w:rsidRPr="006B17BE" w:rsidRDefault="00F21221" w:rsidP="00237045">
            <w:pPr>
              <w:pStyle w:val="Body"/>
              <w:jc w:val="center"/>
              <w:rPr>
                <w:color w:val="auto"/>
              </w:rPr>
            </w:pPr>
            <w:r w:rsidRPr="006B17BE">
              <w:rPr>
                <w:color w:val="auto"/>
              </w:rPr>
              <w:t>0</w:t>
            </w:r>
          </w:p>
        </w:tc>
      </w:tr>
      <w:tr w:rsidR="00F21221" w:rsidRPr="006B17BE" w14:paraId="11CAAA1A"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1031C2DB"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color w:val="auto"/>
                <w:sz w:val="24"/>
                <w:szCs w:val="24"/>
              </w:rPr>
              <w:t>Pulse length (d)</w:t>
            </w:r>
          </w:p>
        </w:tc>
        <w:tc>
          <w:tcPr>
            <w:tcW w:w="2722" w:type="dxa"/>
            <w:tcBorders>
              <w:top w:val="single" w:sz="4" w:space="0" w:color="auto"/>
              <w:left w:val="single" w:sz="4" w:space="0" w:color="auto"/>
              <w:bottom w:val="single" w:sz="4" w:space="0" w:color="auto"/>
              <w:right w:val="single" w:sz="4" w:space="0" w:color="auto"/>
            </w:tcBorders>
          </w:tcPr>
          <w:p w14:paraId="600D05C7" w14:textId="6BB4F95F" w:rsidR="00F21221" w:rsidRPr="006B17BE" w:rsidRDefault="00F21221" w:rsidP="00237045">
            <w:pPr>
              <w:pStyle w:val="Body"/>
              <w:jc w:val="center"/>
              <w:rPr>
                <w:color w:val="auto"/>
              </w:rPr>
            </w:pPr>
            <w:r w:rsidRPr="006B17BE">
              <w:rPr>
                <w:color w:val="auto"/>
              </w:rPr>
              <w:t>3</w:t>
            </w:r>
            <w:r w:rsidR="00237045" w:rsidRPr="006B17BE">
              <w:rPr>
                <w:color w:val="auto"/>
              </w:rPr>
              <w:t>,</w:t>
            </w:r>
            <w:r w:rsidRPr="006B17BE">
              <w:rPr>
                <w:color w:val="auto"/>
              </w:rPr>
              <w:t>650</w:t>
            </w:r>
          </w:p>
        </w:tc>
        <w:tc>
          <w:tcPr>
            <w:tcW w:w="2722" w:type="dxa"/>
            <w:tcBorders>
              <w:top w:val="single" w:sz="4" w:space="0" w:color="auto"/>
              <w:left w:val="single" w:sz="4" w:space="0" w:color="auto"/>
              <w:bottom w:val="single" w:sz="4" w:space="0" w:color="auto"/>
              <w:right w:val="single" w:sz="4" w:space="0" w:color="auto"/>
            </w:tcBorders>
          </w:tcPr>
          <w:p w14:paraId="6EA3824D" w14:textId="18CFB3F7" w:rsidR="00F21221" w:rsidRPr="006B17BE" w:rsidRDefault="00F21221" w:rsidP="00237045">
            <w:pPr>
              <w:pStyle w:val="Body"/>
              <w:jc w:val="center"/>
            </w:pPr>
            <w:r w:rsidRPr="006B17BE">
              <w:rPr>
                <w:color w:val="auto"/>
              </w:rPr>
              <w:t>3</w:t>
            </w:r>
            <w:r w:rsidR="00237045" w:rsidRPr="006B17BE">
              <w:rPr>
                <w:color w:val="auto"/>
              </w:rPr>
              <w:t>,</w:t>
            </w:r>
            <w:r w:rsidRPr="006B17BE">
              <w:rPr>
                <w:color w:val="auto"/>
              </w:rPr>
              <w:t>650</w:t>
            </w:r>
          </w:p>
        </w:tc>
      </w:tr>
      <w:tr w:rsidR="00F21221" w:rsidRPr="006B17BE" w14:paraId="10941E3B"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26EC711A"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i/>
                <w:noProof/>
                <w:color w:val="auto"/>
                <w:sz w:val="24"/>
                <w:szCs w:val="24"/>
              </w:rPr>
              <w:t>R</w:t>
            </w:r>
            <w:r w:rsidRPr="006B17BE">
              <w:rPr>
                <w:rFonts w:asciiTheme="minorHAnsi" w:hAnsiTheme="minorHAnsi"/>
                <w:noProof/>
                <w:color w:val="auto"/>
                <w:sz w:val="24"/>
                <w:szCs w:val="24"/>
              </w:rPr>
              <w:t xml:space="preserve"> (-)</w:t>
            </w:r>
          </w:p>
        </w:tc>
        <w:tc>
          <w:tcPr>
            <w:tcW w:w="2722" w:type="dxa"/>
            <w:tcBorders>
              <w:top w:val="single" w:sz="4" w:space="0" w:color="auto"/>
              <w:left w:val="single" w:sz="4" w:space="0" w:color="auto"/>
              <w:bottom w:val="single" w:sz="4" w:space="0" w:color="auto"/>
              <w:right w:val="single" w:sz="4" w:space="0" w:color="auto"/>
            </w:tcBorders>
          </w:tcPr>
          <w:p w14:paraId="57BBBB20" w14:textId="77777777" w:rsidR="00F21221" w:rsidRPr="006B17BE" w:rsidRDefault="00F21221" w:rsidP="00237045">
            <w:pPr>
              <w:pStyle w:val="Body"/>
              <w:jc w:val="center"/>
              <w:rPr>
                <w:color w:val="auto"/>
              </w:rPr>
            </w:pPr>
            <w:r w:rsidRPr="006B17BE">
              <w:rPr>
                <w:color w:val="auto"/>
              </w:rPr>
              <w:t>1</w:t>
            </w:r>
          </w:p>
        </w:tc>
        <w:tc>
          <w:tcPr>
            <w:tcW w:w="2722" w:type="dxa"/>
            <w:tcBorders>
              <w:top w:val="single" w:sz="4" w:space="0" w:color="auto"/>
              <w:left w:val="single" w:sz="4" w:space="0" w:color="auto"/>
              <w:bottom w:val="single" w:sz="4" w:space="0" w:color="auto"/>
              <w:right w:val="single" w:sz="4" w:space="0" w:color="auto"/>
            </w:tcBorders>
          </w:tcPr>
          <w:p w14:paraId="58069BCE" w14:textId="77777777" w:rsidR="00F21221" w:rsidRPr="006B17BE" w:rsidRDefault="00F21221" w:rsidP="00237045">
            <w:pPr>
              <w:pStyle w:val="Body"/>
              <w:jc w:val="center"/>
            </w:pPr>
            <w:r w:rsidRPr="006B17BE">
              <w:t>1</w:t>
            </w:r>
          </w:p>
        </w:tc>
      </w:tr>
      <w:tr w:rsidR="00F21221" w:rsidRPr="006B17BE" w14:paraId="07826802"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1D588298" w14:textId="48F572EC" w:rsidR="00F21221" w:rsidRPr="006B17BE" w:rsidRDefault="00F21221" w:rsidP="00A90B3C">
            <w:pPr>
              <w:pStyle w:val="OWSTabletext"/>
              <w:rPr>
                <w:rFonts w:asciiTheme="minorHAnsi" w:hAnsiTheme="minorHAnsi"/>
                <w:noProof/>
                <w:color w:val="auto"/>
                <w:sz w:val="24"/>
                <w:szCs w:val="24"/>
                <w:vertAlign w:val="subscript"/>
              </w:rPr>
            </w:pPr>
            <w:r w:rsidRPr="006B17BE">
              <w:rPr>
                <w:rFonts w:asciiTheme="minorHAnsi" w:hAnsiTheme="minorHAnsi"/>
                <w:i/>
                <w:noProof/>
                <w:color w:val="auto"/>
                <w:sz w:val="24"/>
                <w:szCs w:val="24"/>
              </w:rPr>
              <w:t>D</w:t>
            </w:r>
            <w:r w:rsidRPr="006B17BE">
              <w:rPr>
                <w:rFonts w:asciiTheme="minorHAnsi" w:hAnsiTheme="minorHAnsi"/>
                <w:noProof/>
                <w:color w:val="auto"/>
                <w:sz w:val="24"/>
                <w:szCs w:val="24"/>
                <w:vertAlign w:val="subscript"/>
              </w:rPr>
              <w:t>x</w:t>
            </w:r>
            <w:r w:rsidR="002D58BB" w:rsidRPr="006B17BE">
              <w:rPr>
                <w:rFonts w:asciiTheme="minorHAnsi" w:hAnsiTheme="minorHAnsi"/>
                <w:noProof/>
                <w:color w:val="auto"/>
                <w:sz w:val="24"/>
                <w:szCs w:val="24"/>
                <w:vertAlign w:val="subscript"/>
              </w:rPr>
              <w:t xml:space="preserve"> </w:t>
            </w:r>
            <w:r w:rsidR="002D58BB" w:rsidRPr="006B17BE">
              <w:rPr>
                <w:rFonts w:asciiTheme="minorHAnsi" w:hAnsiTheme="minorHAnsi"/>
                <w:noProof/>
                <w:color w:val="auto"/>
                <w:sz w:val="24"/>
                <w:szCs w:val="24"/>
              </w:rPr>
              <w:t>(m</w:t>
            </w:r>
            <w:r w:rsidR="002D58BB" w:rsidRPr="006B17BE">
              <w:rPr>
                <w:rFonts w:asciiTheme="minorHAnsi" w:hAnsiTheme="minorHAnsi"/>
                <w:noProof/>
                <w:color w:val="auto"/>
                <w:sz w:val="24"/>
                <w:szCs w:val="24"/>
                <w:vertAlign w:val="superscript"/>
              </w:rPr>
              <w:t>2</w:t>
            </w:r>
            <w:r w:rsidR="002D58BB" w:rsidRPr="006B17BE">
              <w:rPr>
                <w:rFonts w:asciiTheme="minorHAnsi" w:hAnsiTheme="minorHAnsi"/>
                <w:noProof/>
                <w:color w:val="auto"/>
                <w:sz w:val="24"/>
                <w:szCs w:val="24"/>
              </w:rPr>
              <w:t>d</w:t>
            </w:r>
            <w:r w:rsidR="002D58BB" w:rsidRPr="006B17BE">
              <w:rPr>
                <w:rFonts w:asciiTheme="minorHAnsi" w:hAnsiTheme="minorHAnsi"/>
                <w:noProof/>
                <w:color w:val="auto"/>
                <w:sz w:val="24"/>
                <w:szCs w:val="24"/>
                <w:vertAlign w:val="superscript"/>
              </w:rPr>
              <w:t>-1</w:t>
            </w:r>
            <w:r w:rsidR="002D58BB" w:rsidRPr="006B17BE">
              <w:rPr>
                <w:rFonts w:asciiTheme="minorHAnsi" w:hAnsiTheme="minorHAnsi"/>
                <w:noProof/>
                <w:color w:val="auto"/>
                <w:sz w:val="24"/>
                <w:szCs w:val="24"/>
              </w:rPr>
              <w:t>)</w:t>
            </w:r>
          </w:p>
        </w:tc>
        <w:tc>
          <w:tcPr>
            <w:tcW w:w="2722" w:type="dxa"/>
            <w:tcBorders>
              <w:top w:val="single" w:sz="4" w:space="0" w:color="auto"/>
              <w:left w:val="single" w:sz="4" w:space="0" w:color="auto"/>
              <w:bottom w:val="single" w:sz="4" w:space="0" w:color="auto"/>
              <w:right w:val="single" w:sz="4" w:space="0" w:color="auto"/>
            </w:tcBorders>
          </w:tcPr>
          <w:p w14:paraId="6796CDCB" w14:textId="77777777" w:rsidR="00F21221" w:rsidRPr="006B17BE" w:rsidRDefault="00F21221" w:rsidP="00237045">
            <w:pPr>
              <w:pStyle w:val="Body"/>
              <w:jc w:val="center"/>
              <w:rPr>
                <w:color w:val="auto"/>
              </w:rPr>
            </w:pPr>
            <w:r w:rsidRPr="006B17BE">
              <w:rPr>
                <w:color w:val="auto"/>
              </w:rPr>
              <w:t>1</w:t>
            </w:r>
          </w:p>
        </w:tc>
        <w:tc>
          <w:tcPr>
            <w:tcW w:w="2722" w:type="dxa"/>
            <w:tcBorders>
              <w:top w:val="single" w:sz="4" w:space="0" w:color="auto"/>
              <w:left w:val="single" w:sz="4" w:space="0" w:color="auto"/>
              <w:bottom w:val="single" w:sz="4" w:space="0" w:color="auto"/>
              <w:right w:val="single" w:sz="4" w:space="0" w:color="auto"/>
            </w:tcBorders>
          </w:tcPr>
          <w:p w14:paraId="1F61D704" w14:textId="77777777" w:rsidR="00F21221" w:rsidRPr="006B17BE" w:rsidRDefault="00F21221" w:rsidP="00237045">
            <w:pPr>
              <w:pStyle w:val="Body"/>
              <w:jc w:val="center"/>
              <w:rPr>
                <w:color w:val="auto"/>
              </w:rPr>
            </w:pPr>
            <w:r w:rsidRPr="006B17BE">
              <w:rPr>
                <w:color w:val="auto"/>
              </w:rPr>
              <w:t>1</w:t>
            </w:r>
          </w:p>
        </w:tc>
      </w:tr>
      <w:tr w:rsidR="00F21221" w:rsidRPr="006B17BE" w14:paraId="04FCC160"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30DCC701" w14:textId="1C03864E" w:rsidR="00F21221" w:rsidRPr="006B17BE" w:rsidRDefault="00F21221" w:rsidP="002D58BB">
            <w:pPr>
              <w:pStyle w:val="OWSTabletext"/>
              <w:rPr>
                <w:rFonts w:asciiTheme="minorHAnsi" w:hAnsiTheme="minorHAnsi"/>
                <w:noProof/>
                <w:color w:val="auto"/>
                <w:sz w:val="24"/>
                <w:szCs w:val="24"/>
              </w:rPr>
            </w:pPr>
            <w:r w:rsidRPr="006B17BE">
              <w:rPr>
                <w:rFonts w:asciiTheme="minorHAnsi" w:hAnsiTheme="minorHAnsi"/>
                <w:i/>
                <w:noProof/>
                <w:color w:val="auto"/>
                <w:sz w:val="24"/>
                <w:szCs w:val="24"/>
              </w:rPr>
              <w:t>D</w:t>
            </w:r>
            <w:r w:rsidRPr="006B17BE">
              <w:rPr>
                <w:rFonts w:asciiTheme="minorHAnsi" w:hAnsiTheme="minorHAnsi"/>
                <w:noProof/>
                <w:color w:val="auto"/>
                <w:sz w:val="24"/>
                <w:szCs w:val="24"/>
                <w:vertAlign w:val="subscript"/>
              </w:rPr>
              <w:t>y</w:t>
            </w:r>
            <w:r w:rsidR="002D58BB" w:rsidRPr="006B17BE">
              <w:rPr>
                <w:rFonts w:asciiTheme="minorHAnsi" w:hAnsiTheme="minorHAnsi"/>
                <w:noProof/>
                <w:color w:val="auto"/>
                <w:sz w:val="24"/>
                <w:szCs w:val="24"/>
                <w:vertAlign w:val="subscript"/>
              </w:rPr>
              <w:t xml:space="preserve"> </w:t>
            </w:r>
            <w:r w:rsidR="002D58BB" w:rsidRPr="006B17BE">
              <w:rPr>
                <w:rFonts w:asciiTheme="minorHAnsi" w:hAnsiTheme="minorHAnsi"/>
                <w:noProof/>
                <w:color w:val="auto"/>
                <w:sz w:val="24"/>
                <w:szCs w:val="24"/>
              </w:rPr>
              <w:t>(m</w:t>
            </w:r>
            <w:r w:rsidR="002D58BB" w:rsidRPr="006B17BE">
              <w:rPr>
                <w:rFonts w:asciiTheme="minorHAnsi" w:hAnsiTheme="minorHAnsi"/>
                <w:noProof/>
                <w:color w:val="auto"/>
                <w:sz w:val="24"/>
                <w:szCs w:val="24"/>
                <w:vertAlign w:val="superscript"/>
              </w:rPr>
              <w:t>2</w:t>
            </w:r>
            <w:r w:rsidR="002D58BB" w:rsidRPr="006B17BE">
              <w:rPr>
                <w:rFonts w:asciiTheme="minorHAnsi" w:hAnsiTheme="minorHAnsi"/>
                <w:noProof/>
                <w:color w:val="auto"/>
                <w:sz w:val="24"/>
                <w:szCs w:val="24"/>
              </w:rPr>
              <w:t>d</w:t>
            </w:r>
            <w:r w:rsidR="002D58BB" w:rsidRPr="006B17BE">
              <w:rPr>
                <w:rFonts w:asciiTheme="minorHAnsi" w:hAnsiTheme="minorHAnsi"/>
                <w:noProof/>
                <w:color w:val="auto"/>
                <w:sz w:val="24"/>
                <w:szCs w:val="24"/>
                <w:vertAlign w:val="superscript"/>
              </w:rPr>
              <w:t>-1</w:t>
            </w:r>
            <w:r w:rsidR="002D58BB" w:rsidRPr="006B17BE">
              <w:rPr>
                <w:rFonts w:asciiTheme="minorHAnsi" w:hAnsiTheme="minorHAnsi"/>
                <w:noProof/>
                <w:color w:val="auto"/>
                <w:sz w:val="24"/>
                <w:szCs w:val="24"/>
              </w:rPr>
              <w:t>)</w:t>
            </w:r>
          </w:p>
        </w:tc>
        <w:tc>
          <w:tcPr>
            <w:tcW w:w="2722" w:type="dxa"/>
            <w:tcBorders>
              <w:top w:val="single" w:sz="4" w:space="0" w:color="auto"/>
              <w:left w:val="single" w:sz="4" w:space="0" w:color="auto"/>
              <w:bottom w:val="single" w:sz="4" w:space="0" w:color="auto"/>
              <w:right w:val="single" w:sz="4" w:space="0" w:color="auto"/>
            </w:tcBorders>
          </w:tcPr>
          <w:p w14:paraId="20CB46A2" w14:textId="77777777" w:rsidR="00F21221" w:rsidRPr="006B17BE" w:rsidRDefault="00F21221" w:rsidP="00237045">
            <w:pPr>
              <w:pStyle w:val="Body"/>
              <w:jc w:val="center"/>
              <w:rPr>
                <w:color w:val="auto"/>
              </w:rPr>
            </w:pPr>
            <w:r w:rsidRPr="006B17BE">
              <w:rPr>
                <w:color w:val="auto"/>
              </w:rPr>
              <w:t>1</w:t>
            </w:r>
          </w:p>
        </w:tc>
        <w:tc>
          <w:tcPr>
            <w:tcW w:w="2722" w:type="dxa"/>
            <w:tcBorders>
              <w:top w:val="single" w:sz="4" w:space="0" w:color="auto"/>
              <w:left w:val="single" w:sz="4" w:space="0" w:color="auto"/>
              <w:bottom w:val="single" w:sz="4" w:space="0" w:color="auto"/>
              <w:right w:val="single" w:sz="4" w:space="0" w:color="auto"/>
            </w:tcBorders>
          </w:tcPr>
          <w:p w14:paraId="31618374" w14:textId="77777777" w:rsidR="00F21221" w:rsidRPr="006B17BE" w:rsidRDefault="00F21221" w:rsidP="00237045">
            <w:pPr>
              <w:pStyle w:val="Body"/>
              <w:jc w:val="center"/>
              <w:rPr>
                <w:color w:val="auto"/>
              </w:rPr>
            </w:pPr>
            <w:r w:rsidRPr="006B17BE">
              <w:rPr>
                <w:color w:val="auto"/>
              </w:rPr>
              <w:t>1</w:t>
            </w:r>
          </w:p>
        </w:tc>
      </w:tr>
      <w:tr w:rsidR="00F21221" w:rsidRPr="006B17BE" w14:paraId="3ADF96B8"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6F93373F" w14:textId="011FBBD5"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i/>
                <w:noProof/>
                <w:color w:val="auto"/>
                <w:sz w:val="24"/>
                <w:szCs w:val="24"/>
              </w:rPr>
              <w:t>D</w:t>
            </w:r>
            <w:r w:rsidRPr="006B17BE">
              <w:rPr>
                <w:rFonts w:asciiTheme="minorHAnsi" w:hAnsiTheme="minorHAnsi"/>
                <w:noProof/>
                <w:color w:val="auto"/>
                <w:sz w:val="24"/>
                <w:szCs w:val="24"/>
                <w:vertAlign w:val="subscript"/>
              </w:rPr>
              <w:t>z</w:t>
            </w:r>
            <w:r w:rsidR="002D58BB" w:rsidRPr="006B17BE">
              <w:rPr>
                <w:rFonts w:asciiTheme="minorHAnsi" w:hAnsiTheme="minorHAnsi"/>
                <w:noProof/>
                <w:color w:val="auto"/>
                <w:sz w:val="24"/>
                <w:szCs w:val="24"/>
                <w:vertAlign w:val="subscript"/>
              </w:rPr>
              <w:t xml:space="preserve"> </w:t>
            </w:r>
            <w:r w:rsidR="002D58BB" w:rsidRPr="006B17BE">
              <w:rPr>
                <w:rFonts w:asciiTheme="minorHAnsi" w:hAnsiTheme="minorHAnsi"/>
                <w:noProof/>
                <w:color w:val="auto"/>
                <w:sz w:val="24"/>
                <w:szCs w:val="24"/>
              </w:rPr>
              <w:t>(m</w:t>
            </w:r>
            <w:r w:rsidR="002D58BB" w:rsidRPr="006B17BE">
              <w:rPr>
                <w:rFonts w:asciiTheme="minorHAnsi" w:hAnsiTheme="minorHAnsi"/>
                <w:noProof/>
                <w:color w:val="auto"/>
                <w:sz w:val="24"/>
                <w:szCs w:val="24"/>
                <w:vertAlign w:val="superscript"/>
              </w:rPr>
              <w:t>2</w:t>
            </w:r>
            <w:r w:rsidR="002D58BB" w:rsidRPr="006B17BE">
              <w:rPr>
                <w:rFonts w:asciiTheme="minorHAnsi" w:hAnsiTheme="minorHAnsi"/>
                <w:noProof/>
                <w:color w:val="auto"/>
                <w:sz w:val="24"/>
                <w:szCs w:val="24"/>
              </w:rPr>
              <w:t>d</w:t>
            </w:r>
            <w:r w:rsidR="002D58BB" w:rsidRPr="006B17BE">
              <w:rPr>
                <w:rFonts w:asciiTheme="minorHAnsi" w:hAnsiTheme="minorHAnsi"/>
                <w:noProof/>
                <w:color w:val="auto"/>
                <w:sz w:val="24"/>
                <w:szCs w:val="24"/>
                <w:vertAlign w:val="superscript"/>
              </w:rPr>
              <w:t>-1</w:t>
            </w:r>
            <w:r w:rsidR="002D58BB" w:rsidRPr="006B17BE">
              <w:rPr>
                <w:rFonts w:asciiTheme="minorHAnsi" w:hAnsiTheme="minorHAnsi"/>
                <w:noProof/>
                <w:color w:val="auto"/>
                <w:sz w:val="24"/>
                <w:szCs w:val="24"/>
              </w:rPr>
              <w:t>)</w:t>
            </w:r>
          </w:p>
        </w:tc>
        <w:tc>
          <w:tcPr>
            <w:tcW w:w="2722" w:type="dxa"/>
            <w:tcBorders>
              <w:top w:val="single" w:sz="4" w:space="0" w:color="auto"/>
              <w:left w:val="single" w:sz="4" w:space="0" w:color="auto"/>
              <w:bottom w:val="single" w:sz="4" w:space="0" w:color="auto"/>
              <w:right w:val="single" w:sz="4" w:space="0" w:color="auto"/>
            </w:tcBorders>
          </w:tcPr>
          <w:p w14:paraId="7DBB4EA4" w14:textId="77777777" w:rsidR="00F21221" w:rsidRPr="006B17BE" w:rsidRDefault="00F21221" w:rsidP="00237045">
            <w:pPr>
              <w:pStyle w:val="Body"/>
              <w:jc w:val="center"/>
              <w:rPr>
                <w:color w:val="auto"/>
              </w:rPr>
            </w:pPr>
            <w:r w:rsidRPr="006B17BE">
              <w:rPr>
                <w:color w:val="auto"/>
              </w:rPr>
              <w:t>1</w:t>
            </w:r>
          </w:p>
        </w:tc>
        <w:tc>
          <w:tcPr>
            <w:tcW w:w="2722" w:type="dxa"/>
            <w:tcBorders>
              <w:top w:val="single" w:sz="4" w:space="0" w:color="auto"/>
              <w:left w:val="single" w:sz="4" w:space="0" w:color="auto"/>
              <w:bottom w:val="single" w:sz="4" w:space="0" w:color="auto"/>
              <w:right w:val="single" w:sz="4" w:space="0" w:color="auto"/>
            </w:tcBorders>
          </w:tcPr>
          <w:p w14:paraId="15C4D301" w14:textId="77777777" w:rsidR="00F21221" w:rsidRPr="006B17BE" w:rsidRDefault="00F21221" w:rsidP="00237045">
            <w:pPr>
              <w:pStyle w:val="Body"/>
              <w:jc w:val="center"/>
              <w:rPr>
                <w:color w:val="auto"/>
              </w:rPr>
            </w:pPr>
            <w:r w:rsidRPr="006B17BE">
              <w:rPr>
                <w:color w:val="auto"/>
              </w:rPr>
              <w:t>1</w:t>
            </w:r>
          </w:p>
        </w:tc>
      </w:tr>
      <w:tr w:rsidR="00F21221" w:rsidRPr="006B17BE" w14:paraId="5B78A6F8"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2EA5E404"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i/>
                <w:noProof/>
                <w:color w:val="auto"/>
                <w:sz w:val="24"/>
                <w:szCs w:val="24"/>
              </w:rPr>
              <w:t>a</w:t>
            </w:r>
            <w:r w:rsidRPr="006B17BE">
              <w:rPr>
                <w:rFonts w:asciiTheme="minorHAnsi" w:hAnsiTheme="minorHAnsi"/>
                <w:noProof/>
                <w:color w:val="auto"/>
                <w:sz w:val="24"/>
                <w:szCs w:val="24"/>
              </w:rPr>
              <w:t xml:space="preserve"> (m)</w:t>
            </w:r>
          </w:p>
        </w:tc>
        <w:tc>
          <w:tcPr>
            <w:tcW w:w="2722" w:type="dxa"/>
            <w:tcBorders>
              <w:top w:val="single" w:sz="4" w:space="0" w:color="auto"/>
              <w:left w:val="single" w:sz="4" w:space="0" w:color="auto"/>
              <w:bottom w:val="single" w:sz="4" w:space="0" w:color="auto"/>
              <w:right w:val="single" w:sz="4" w:space="0" w:color="auto"/>
            </w:tcBorders>
          </w:tcPr>
          <w:p w14:paraId="2D2938C2" w14:textId="77777777" w:rsidR="00F21221" w:rsidRPr="006B17BE" w:rsidRDefault="00F21221" w:rsidP="00237045">
            <w:pPr>
              <w:pStyle w:val="Body"/>
              <w:jc w:val="center"/>
              <w:rPr>
                <w:color w:val="auto"/>
              </w:rPr>
            </w:pPr>
            <w:r w:rsidRPr="006B17BE">
              <w:rPr>
                <w:color w:val="auto"/>
              </w:rPr>
              <w:t>21</w:t>
            </w:r>
          </w:p>
        </w:tc>
        <w:tc>
          <w:tcPr>
            <w:tcW w:w="2722" w:type="dxa"/>
            <w:tcBorders>
              <w:top w:val="single" w:sz="4" w:space="0" w:color="auto"/>
              <w:left w:val="single" w:sz="4" w:space="0" w:color="auto"/>
              <w:bottom w:val="single" w:sz="4" w:space="0" w:color="auto"/>
              <w:right w:val="single" w:sz="4" w:space="0" w:color="auto"/>
            </w:tcBorders>
          </w:tcPr>
          <w:p w14:paraId="21733302" w14:textId="77777777" w:rsidR="00F21221" w:rsidRPr="006B17BE" w:rsidRDefault="00F21221" w:rsidP="00237045">
            <w:pPr>
              <w:pStyle w:val="Body"/>
              <w:jc w:val="center"/>
              <w:rPr>
                <w:noProof/>
                <w:color w:val="auto"/>
              </w:rPr>
            </w:pPr>
            <w:r w:rsidRPr="006B17BE">
              <w:rPr>
                <w:noProof/>
                <w:color w:val="auto"/>
              </w:rPr>
              <w:t>114</w:t>
            </w:r>
          </w:p>
        </w:tc>
      </w:tr>
      <w:tr w:rsidR="00F21221" w:rsidRPr="006B17BE" w14:paraId="2705509B"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3EAA70BB"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i/>
                <w:noProof/>
                <w:color w:val="auto"/>
                <w:sz w:val="24"/>
                <w:szCs w:val="24"/>
              </w:rPr>
              <w:t>b</w:t>
            </w:r>
            <w:r w:rsidRPr="006B17BE">
              <w:rPr>
                <w:rFonts w:asciiTheme="minorHAnsi" w:hAnsiTheme="minorHAnsi"/>
                <w:noProof/>
                <w:color w:val="auto"/>
                <w:sz w:val="24"/>
                <w:szCs w:val="24"/>
              </w:rPr>
              <w:t xml:space="preserve"> (m)</w:t>
            </w:r>
          </w:p>
        </w:tc>
        <w:tc>
          <w:tcPr>
            <w:tcW w:w="2722" w:type="dxa"/>
            <w:tcBorders>
              <w:top w:val="single" w:sz="4" w:space="0" w:color="auto"/>
              <w:left w:val="single" w:sz="4" w:space="0" w:color="auto"/>
              <w:bottom w:val="single" w:sz="4" w:space="0" w:color="auto"/>
              <w:right w:val="single" w:sz="4" w:space="0" w:color="auto"/>
            </w:tcBorders>
          </w:tcPr>
          <w:p w14:paraId="2BB37A58" w14:textId="77777777" w:rsidR="00F21221" w:rsidRPr="006B17BE" w:rsidRDefault="00F21221" w:rsidP="00237045">
            <w:pPr>
              <w:pStyle w:val="Body"/>
              <w:jc w:val="center"/>
              <w:rPr>
                <w:color w:val="auto"/>
              </w:rPr>
            </w:pPr>
            <w:r w:rsidRPr="006B17BE">
              <w:rPr>
                <w:color w:val="auto"/>
              </w:rPr>
              <w:t>0.5</w:t>
            </w:r>
          </w:p>
        </w:tc>
        <w:tc>
          <w:tcPr>
            <w:tcW w:w="2722" w:type="dxa"/>
            <w:tcBorders>
              <w:top w:val="single" w:sz="4" w:space="0" w:color="auto"/>
              <w:left w:val="single" w:sz="4" w:space="0" w:color="auto"/>
              <w:bottom w:val="single" w:sz="4" w:space="0" w:color="auto"/>
              <w:right w:val="single" w:sz="4" w:space="0" w:color="auto"/>
            </w:tcBorders>
          </w:tcPr>
          <w:p w14:paraId="1F695597" w14:textId="77777777" w:rsidR="00F21221" w:rsidRPr="006B17BE" w:rsidRDefault="00F21221" w:rsidP="00237045">
            <w:pPr>
              <w:pStyle w:val="Body"/>
              <w:jc w:val="center"/>
              <w:rPr>
                <w:color w:val="auto"/>
              </w:rPr>
            </w:pPr>
            <w:r w:rsidRPr="006B17BE">
              <w:rPr>
                <w:color w:val="auto"/>
              </w:rPr>
              <w:t>0.5</w:t>
            </w:r>
          </w:p>
        </w:tc>
      </w:tr>
      <w:tr w:rsidR="00F21221" w:rsidRPr="006B17BE" w14:paraId="4DDC4668"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11F2207B" w14:textId="77777777" w:rsidR="00F21221" w:rsidRPr="006B17BE" w:rsidRDefault="00F21221" w:rsidP="00A90B3C">
            <w:pPr>
              <w:pStyle w:val="OWSTabletext"/>
              <w:rPr>
                <w:rFonts w:asciiTheme="minorHAnsi" w:hAnsiTheme="minorHAnsi"/>
                <w:noProof/>
                <w:color w:val="auto"/>
                <w:sz w:val="24"/>
                <w:szCs w:val="24"/>
                <w:vertAlign w:val="subscript"/>
              </w:rPr>
            </w:pPr>
            <w:r w:rsidRPr="006B17BE">
              <w:rPr>
                <w:rFonts w:asciiTheme="minorHAnsi" w:hAnsiTheme="minorHAnsi"/>
                <w:i/>
                <w:noProof/>
                <w:color w:val="auto"/>
                <w:sz w:val="24"/>
                <w:szCs w:val="24"/>
              </w:rPr>
              <w:t>t</w:t>
            </w:r>
            <w:r w:rsidRPr="006B17BE">
              <w:rPr>
                <w:rFonts w:asciiTheme="minorHAnsi" w:hAnsiTheme="minorHAnsi"/>
                <w:noProof/>
                <w:color w:val="auto"/>
                <w:sz w:val="24"/>
                <w:szCs w:val="24"/>
                <w:vertAlign w:val="subscript"/>
              </w:rPr>
              <w:t>max</w:t>
            </w:r>
          </w:p>
        </w:tc>
        <w:tc>
          <w:tcPr>
            <w:tcW w:w="2722" w:type="dxa"/>
            <w:tcBorders>
              <w:top w:val="single" w:sz="4" w:space="0" w:color="auto"/>
              <w:left w:val="single" w:sz="4" w:space="0" w:color="auto"/>
              <w:bottom w:val="single" w:sz="4" w:space="0" w:color="auto"/>
              <w:right w:val="single" w:sz="4" w:space="0" w:color="auto"/>
            </w:tcBorders>
          </w:tcPr>
          <w:p w14:paraId="10D4BDD1" w14:textId="4EE2559F" w:rsidR="00F21221" w:rsidRPr="006B17BE" w:rsidRDefault="00F21221" w:rsidP="00237045">
            <w:pPr>
              <w:pStyle w:val="Body"/>
              <w:jc w:val="center"/>
            </w:pPr>
            <w:r w:rsidRPr="006B17BE">
              <w:t>3</w:t>
            </w:r>
            <w:r w:rsidR="00237045" w:rsidRPr="006B17BE">
              <w:t>,</w:t>
            </w:r>
            <w:r w:rsidRPr="006B17BE">
              <w:t>650</w:t>
            </w:r>
          </w:p>
        </w:tc>
        <w:tc>
          <w:tcPr>
            <w:tcW w:w="2722" w:type="dxa"/>
            <w:tcBorders>
              <w:top w:val="single" w:sz="4" w:space="0" w:color="auto"/>
              <w:left w:val="single" w:sz="4" w:space="0" w:color="auto"/>
              <w:bottom w:val="single" w:sz="4" w:space="0" w:color="auto"/>
              <w:right w:val="single" w:sz="4" w:space="0" w:color="auto"/>
            </w:tcBorders>
          </w:tcPr>
          <w:p w14:paraId="4C82B811" w14:textId="01BBCAAD" w:rsidR="00F21221" w:rsidRPr="006B17BE" w:rsidRDefault="00F21221" w:rsidP="00237045">
            <w:pPr>
              <w:pStyle w:val="Body"/>
              <w:jc w:val="center"/>
            </w:pPr>
            <w:r w:rsidRPr="006B17BE">
              <w:t>3</w:t>
            </w:r>
            <w:r w:rsidR="00237045" w:rsidRPr="006B17BE">
              <w:t>,</w:t>
            </w:r>
            <w:r w:rsidRPr="006B17BE">
              <w:t>650</w:t>
            </w:r>
          </w:p>
        </w:tc>
      </w:tr>
      <w:tr w:rsidR="00F21221" w:rsidRPr="006B17BE" w14:paraId="56F4C54A"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1685E2A5" w14:textId="77777777" w:rsidR="00F21221" w:rsidRPr="006B17BE" w:rsidRDefault="00F21221" w:rsidP="00A90B3C">
            <w:pPr>
              <w:pStyle w:val="OWSTabletext"/>
              <w:rPr>
                <w:rFonts w:asciiTheme="minorHAnsi" w:hAnsiTheme="minorHAnsi"/>
                <w:noProof/>
                <w:color w:val="auto"/>
                <w:sz w:val="24"/>
                <w:szCs w:val="24"/>
                <w:vertAlign w:val="subscript"/>
              </w:rPr>
            </w:pPr>
            <w:r w:rsidRPr="006B17BE">
              <w:rPr>
                <w:rFonts w:asciiTheme="minorHAnsi" w:hAnsiTheme="minorHAnsi"/>
                <w:i/>
                <w:noProof/>
                <w:color w:val="auto"/>
                <w:sz w:val="24"/>
                <w:szCs w:val="24"/>
              </w:rPr>
              <w:t>x</w:t>
            </w:r>
            <w:r w:rsidRPr="006B17BE">
              <w:rPr>
                <w:rFonts w:asciiTheme="minorHAnsi" w:hAnsiTheme="minorHAnsi"/>
                <w:noProof/>
                <w:color w:val="auto"/>
                <w:sz w:val="24"/>
                <w:szCs w:val="24"/>
                <w:vertAlign w:val="subscript"/>
              </w:rPr>
              <w:t>max</w:t>
            </w:r>
          </w:p>
        </w:tc>
        <w:tc>
          <w:tcPr>
            <w:tcW w:w="2722" w:type="dxa"/>
            <w:tcBorders>
              <w:top w:val="single" w:sz="4" w:space="0" w:color="auto"/>
              <w:left w:val="single" w:sz="4" w:space="0" w:color="auto"/>
              <w:bottom w:val="single" w:sz="4" w:space="0" w:color="auto"/>
              <w:right w:val="single" w:sz="4" w:space="0" w:color="auto"/>
            </w:tcBorders>
          </w:tcPr>
          <w:p w14:paraId="295485C5" w14:textId="5BFBA12E" w:rsidR="00F21221" w:rsidRPr="006B17BE" w:rsidRDefault="00F21221" w:rsidP="00237045">
            <w:pPr>
              <w:pStyle w:val="Body"/>
              <w:jc w:val="center"/>
            </w:pPr>
            <w:r w:rsidRPr="006B17BE">
              <w:t>1</w:t>
            </w:r>
            <w:r w:rsidR="00237045" w:rsidRPr="006B17BE">
              <w:t>,</w:t>
            </w:r>
            <w:r w:rsidRPr="006B17BE">
              <w:t>000</w:t>
            </w:r>
          </w:p>
        </w:tc>
        <w:tc>
          <w:tcPr>
            <w:tcW w:w="2722" w:type="dxa"/>
            <w:tcBorders>
              <w:top w:val="single" w:sz="4" w:space="0" w:color="auto"/>
              <w:left w:val="single" w:sz="4" w:space="0" w:color="auto"/>
              <w:bottom w:val="single" w:sz="4" w:space="0" w:color="auto"/>
              <w:right w:val="single" w:sz="4" w:space="0" w:color="auto"/>
            </w:tcBorders>
          </w:tcPr>
          <w:p w14:paraId="2A9CA864" w14:textId="1C5B06E6" w:rsidR="00F21221" w:rsidRPr="006B17BE" w:rsidRDefault="00F21221" w:rsidP="00237045">
            <w:pPr>
              <w:pStyle w:val="Body"/>
              <w:jc w:val="center"/>
            </w:pPr>
            <w:r w:rsidRPr="006B17BE">
              <w:t>1</w:t>
            </w:r>
            <w:r w:rsidR="00237045" w:rsidRPr="006B17BE">
              <w:t>,</w:t>
            </w:r>
            <w:r w:rsidRPr="006B17BE">
              <w:t>000</w:t>
            </w:r>
          </w:p>
        </w:tc>
      </w:tr>
      <w:tr w:rsidR="00F21221" w:rsidRPr="006B17BE" w14:paraId="6DE9AE4B"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0741943C" w14:textId="77777777" w:rsidR="00F21221" w:rsidRPr="006B17BE" w:rsidRDefault="00F21221" w:rsidP="00A90B3C">
            <w:pPr>
              <w:pStyle w:val="OWSTabletext"/>
              <w:rPr>
                <w:rFonts w:asciiTheme="minorHAnsi" w:hAnsiTheme="minorHAnsi"/>
                <w:noProof/>
                <w:color w:val="auto"/>
                <w:sz w:val="24"/>
                <w:szCs w:val="24"/>
                <w:vertAlign w:val="subscript"/>
              </w:rPr>
            </w:pPr>
            <w:r w:rsidRPr="006B17BE">
              <w:rPr>
                <w:rFonts w:asciiTheme="minorHAnsi" w:hAnsiTheme="minorHAnsi"/>
                <w:i/>
                <w:noProof/>
                <w:color w:val="auto"/>
                <w:sz w:val="24"/>
                <w:szCs w:val="24"/>
              </w:rPr>
              <w:t>y</w:t>
            </w:r>
            <w:r w:rsidRPr="006B17BE">
              <w:rPr>
                <w:rFonts w:asciiTheme="minorHAnsi" w:hAnsiTheme="minorHAnsi"/>
                <w:noProof/>
                <w:color w:val="auto"/>
                <w:sz w:val="24"/>
                <w:szCs w:val="24"/>
                <w:vertAlign w:val="subscript"/>
              </w:rPr>
              <w:t>max</w:t>
            </w:r>
          </w:p>
        </w:tc>
        <w:tc>
          <w:tcPr>
            <w:tcW w:w="2722" w:type="dxa"/>
            <w:tcBorders>
              <w:top w:val="single" w:sz="4" w:space="0" w:color="auto"/>
              <w:left w:val="single" w:sz="4" w:space="0" w:color="auto"/>
              <w:bottom w:val="single" w:sz="4" w:space="0" w:color="auto"/>
              <w:right w:val="single" w:sz="4" w:space="0" w:color="auto"/>
            </w:tcBorders>
          </w:tcPr>
          <w:p w14:paraId="79E067EF" w14:textId="77777777" w:rsidR="00F21221" w:rsidRPr="006B17BE" w:rsidRDefault="00F21221" w:rsidP="00237045">
            <w:pPr>
              <w:pStyle w:val="Body"/>
              <w:jc w:val="center"/>
            </w:pPr>
            <w:r w:rsidRPr="006B17BE">
              <w:t>21</w:t>
            </w:r>
          </w:p>
        </w:tc>
        <w:tc>
          <w:tcPr>
            <w:tcW w:w="2722" w:type="dxa"/>
            <w:tcBorders>
              <w:top w:val="single" w:sz="4" w:space="0" w:color="auto"/>
              <w:left w:val="single" w:sz="4" w:space="0" w:color="auto"/>
              <w:bottom w:val="single" w:sz="4" w:space="0" w:color="auto"/>
              <w:right w:val="single" w:sz="4" w:space="0" w:color="auto"/>
            </w:tcBorders>
          </w:tcPr>
          <w:p w14:paraId="3100271F" w14:textId="77777777" w:rsidR="00F21221" w:rsidRPr="006B17BE" w:rsidRDefault="00F21221" w:rsidP="00237045">
            <w:pPr>
              <w:pStyle w:val="Body"/>
              <w:jc w:val="center"/>
            </w:pPr>
            <w:r w:rsidRPr="006B17BE">
              <w:t>114</w:t>
            </w:r>
          </w:p>
        </w:tc>
      </w:tr>
      <w:tr w:rsidR="00F21221" w:rsidRPr="006B17BE" w14:paraId="6F84945E" w14:textId="77777777" w:rsidTr="00A90B3C">
        <w:trPr>
          <w:trHeight w:val="84"/>
        </w:trPr>
        <w:tc>
          <w:tcPr>
            <w:tcW w:w="1985" w:type="dxa"/>
            <w:tcBorders>
              <w:top w:val="single" w:sz="4" w:space="0" w:color="auto"/>
              <w:left w:val="single" w:sz="4" w:space="0" w:color="auto"/>
              <w:bottom w:val="single" w:sz="4" w:space="0" w:color="auto"/>
              <w:right w:val="single" w:sz="4" w:space="0" w:color="auto"/>
            </w:tcBorders>
          </w:tcPr>
          <w:p w14:paraId="38D071E0" w14:textId="77777777" w:rsidR="00F21221" w:rsidRPr="006B17BE" w:rsidRDefault="00F21221" w:rsidP="00A90B3C">
            <w:pPr>
              <w:pStyle w:val="OWSTabletext"/>
              <w:rPr>
                <w:rFonts w:asciiTheme="minorHAnsi" w:hAnsiTheme="minorHAnsi"/>
                <w:noProof/>
                <w:color w:val="auto"/>
                <w:sz w:val="24"/>
                <w:szCs w:val="24"/>
                <w:vertAlign w:val="subscript"/>
              </w:rPr>
            </w:pPr>
            <w:r w:rsidRPr="006B17BE">
              <w:rPr>
                <w:rFonts w:asciiTheme="minorHAnsi" w:hAnsiTheme="minorHAnsi"/>
                <w:i/>
                <w:noProof/>
                <w:color w:val="auto"/>
                <w:sz w:val="24"/>
                <w:szCs w:val="24"/>
              </w:rPr>
              <w:t>z</w:t>
            </w:r>
            <w:r w:rsidRPr="006B17BE">
              <w:rPr>
                <w:rFonts w:asciiTheme="minorHAnsi" w:hAnsiTheme="minorHAnsi"/>
                <w:noProof/>
                <w:color w:val="auto"/>
                <w:sz w:val="24"/>
                <w:szCs w:val="24"/>
                <w:vertAlign w:val="subscript"/>
              </w:rPr>
              <w:t>max</w:t>
            </w:r>
          </w:p>
        </w:tc>
        <w:tc>
          <w:tcPr>
            <w:tcW w:w="2722" w:type="dxa"/>
            <w:tcBorders>
              <w:top w:val="single" w:sz="4" w:space="0" w:color="auto"/>
              <w:left w:val="single" w:sz="4" w:space="0" w:color="auto"/>
              <w:bottom w:val="single" w:sz="4" w:space="0" w:color="auto"/>
              <w:right w:val="single" w:sz="4" w:space="0" w:color="auto"/>
            </w:tcBorders>
          </w:tcPr>
          <w:p w14:paraId="2FAD7751" w14:textId="5F635B8B" w:rsidR="00F21221" w:rsidRPr="006B17BE" w:rsidRDefault="00F21221" w:rsidP="00237045">
            <w:pPr>
              <w:pStyle w:val="Body"/>
              <w:jc w:val="center"/>
            </w:pPr>
            <w:r w:rsidRPr="006B17BE">
              <w:t>1</w:t>
            </w:r>
            <w:r w:rsidR="00237045" w:rsidRPr="006B17BE">
              <w:t>,</w:t>
            </w:r>
            <w:r w:rsidRPr="006B17BE">
              <w:t>000</w:t>
            </w:r>
          </w:p>
        </w:tc>
        <w:tc>
          <w:tcPr>
            <w:tcW w:w="2722" w:type="dxa"/>
            <w:tcBorders>
              <w:top w:val="single" w:sz="4" w:space="0" w:color="auto"/>
              <w:left w:val="single" w:sz="4" w:space="0" w:color="auto"/>
              <w:bottom w:val="single" w:sz="4" w:space="0" w:color="auto"/>
              <w:right w:val="single" w:sz="4" w:space="0" w:color="auto"/>
            </w:tcBorders>
          </w:tcPr>
          <w:p w14:paraId="2CC72935" w14:textId="6B2453EF" w:rsidR="00F21221" w:rsidRPr="006B17BE" w:rsidRDefault="00F21221" w:rsidP="00237045">
            <w:pPr>
              <w:pStyle w:val="Body"/>
              <w:jc w:val="center"/>
            </w:pPr>
            <w:r w:rsidRPr="006B17BE">
              <w:t>1</w:t>
            </w:r>
            <w:r w:rsidR="00237045" w:rsidRPr="006B17BE">
              <w:t>,</w:t>
            </w:r>
            <w:r w:rsidRPr="006B17BE">
              <w:t>000</w:t>
            </w:r>
          </w:p>
        </w:tc>
      </w:tr>
    </w:tbl>
    <w:p w14:paraId="7337C758" w14:textId="77777777" w:rsidR="00237045" w:rsidRPr="006B17BE" w:rsidRDefault="00237045" w:rsidP="00F21221">
      <w:pPr>
        <w:pStyle w:val="BodyText"/>
        <w:rPr>
          <w:rFonts w:asciiTheme="minorHAnsi" w:hAnsiTheme="minorHAnsi"/>
          <w:szCs w:val="24"/>
        </w:rPr>
      </w:pPr>
    </w:p>
    <w:p w14:paraId="4C3CCA3E" w14:textId="032FD6BC" w:rsidR="00F21221" w:rsidRPr="006B17BE" w:rsidRDefault="00F21221" w:rsidP="00237045">
      <w:pPr>
        <w:pStyle w:val="Body"/>
      </w:pPr>
      <w:r w:rsidRPr="006B17BE">
        <w:t xml:space="preserve">The background concentration, </w:t>
      </w:r>
      <w:r w:rsidRPr="006B17BE">
        <w:rPr>
          <w:i/>
        </w:rPr>
        <w:t>C</w:t>
      </w:r>
      <w:r w:rsidRPr="006B17BE">
        <w:rPr>
          <w:i/>
          <w:vertAlign w:val="subscript"/>
        </w:rPr>
        <w:t>b</w:t>
      </w:r>
      <w:r w:rsidRPr="006B17BE">
        <w:t>, for the analysis of relative change in TDS was 0 mgL</w:t>
      </w:r>
      <w:r w:rsidRPr="006B17BE">
        <w:rPr>
          <w:vertAlign w:val="superscript"/>
        </w:rPr>
        <w:t>-1</w:t>
      </w:r>
      <w:r w:rsidRPr="006B17BE">
        <w:t>, and the concentration of the water leaking through the open well was 1 mgL</w:t>
      </w:r>
      <w:r w:rsidRPr="006B17BE">
        <w:rPr>
          <w:vertAlign w:val="superscript"/>
        </w:rPr>
        <w:t>-1</w:t>
      </w:r>
      <w:r w:rsidRPr="006B17BE">
        <w:t xml:space="preserve">. This provided a unit response function for the contamination break through curves that could be scaled according to the relative difference in TDS concentration. The pulse length or duration of leaking was the full ten years or 3650 days of analysis. The retardation factor </w:t>
      </w:r>
      <w:r w:rsidR="002D58BB" w:rsidRPr="006B17BE">
        <w:rPr>
          <w:i/>
        </w:rPr>
        <w:t>R</w:t>
      </w:r>
      <w:r w:rsidR="002D58BB" w:rsidRPr="006B17BE">
        <w:t xml:space="preserve"> </w:t>
      </w:r>
      <w:r w:rsidRPr="006B17BE">
        <w:t>was 1</w:t>
      </w:r>
      <w:r w:rsidR="002D58BB" w:rsidRPr="006B17BE">
        <w:t>, which corresponds to a non-reactive chemical</w:t>
      </w:r>
      <w:r w:rsidRPr="006B17BE">
        <w:t xml:space="preserve">. </w:t>
      </w:r>
      <w:r w:rsidR="002D58BB" w:rsidRPr="006B17BE">
        <w:t>T</w:t>
      </w:r>
      <w:r w:rsidRPr="006B17BE">
        <w:t>he dispersi</w:t>
      </w:r>
      <w:r w:rsidR="002D58BB" w:rsidRPr="006B17BE">
        <w:t>on coefficients</w:t>
      </w:r>
      <w:r w:rsidRPr="006B17BE">
        <w:t xml:space="preserve"> in the x, y and z directions </w:t>
      </w:r>
      <w:r w:rsidR="002D58BB" w:rsidRPr="006B17BE">
        <w:t>are</w:t>
      </w:r>
      <w:r w:rsidRPr="006B17BE">
        <w:t xml:space="preserve"> 1</w:t>
      </w:r>
      <w:r w:rsidR="002D58BB" w:rsidRPr="006B17BE">
        <w:t xml:space="preserve"> m</w:t>
      </w:r>
      <w:r w:rsidR="002D58BB" w:rsidRPr="006B17BE">
        <w:rPr>
          <w:vertAlign w:val="superscript"/>
        </w:rPr>
        <w:t>2</w:t>
      </w:r>
      <w:r w:rsidR="002D58BB" w:rsidRPr="006B17BE">
        <w:t>d</w:t>
      </w:r>
      <w:r w:rsidR="002D58BB" w:rsidRPr="006B17BE">
        <w:rPr>
          <w:vertAlign w:val="superscript"/>
        </w:rPr>
        <w:t>-1</w:t>
      </w:r>
      <w:r w:rsidRPr="006B17BE">
        <w:t>.</w:t>
      </w:r>
    </w:p>
    <w:p w14:paraId="53277C2C" w14:textId="3102B6ED" w:rsidR="00F21221" w:rsidRPr="006B17BE" w:rsidRDefault="00F21221" w:rsidP="002D58BB">
      <w:pPr>
        <w:pStyle w:val="Body"/>
      </w:pPr>
      <w:r w:rsidRPr="006B17BE">
        <w:t xml:space="preserve">Example solute concentrations were obtained from the CDM Smith </w:t>
      </w:r>
      <w:r w:rsidRPr="006B17BE">
        <w:fldChar w:fldCharType="begin"/>
      </w:r>
      <w:r w:rsidR="00AC3BD2">
        <w:instrText xml:space="preserve"> ADDIN EN.CITE &lt;EndNote&gt;&lt;Cite ExcludeAuth="1"&gt;&lt;Author&gt;CDM Smith&lt;/Author&gt;&lt;Year&gt;2014&lt;/Year&gt;&lt;RecNum&gt;86&lt;/RecNum&gt;&lt;DisplayText&gt;(2014)&lt;/DisplayText&gt;&lt;record&gt;&lt;rec-number&gt;86&lt;/rec-number&gt;&lt;foreign-keys&gt;&lt;key app="EN" db-id="xsexsdeavw900aew9xqxrzzyttv0wxs0rf9r" timestamp="1520464010"&gt;86&lt;/key&gt;&lt;/foreign-keys&gt;&lt;ref-type name="Report"&gt;27&lt;/ref-type&gt;&lt;contributors&gt;&lt;authors&gt;&lt;author&gt;CDM Smith,&lt;/author&gt;&lt;/authors&gt;&lt;/contributors&gt;&lt;titles&gt;&lt;title&gt;Santos Narrabri Gas Project: Groundwater modelling report. &lt;/title&gt;&lt;/titles&gt;&lt;pages&gt;291&lt;/pages&gt;&lt;dates&gt;&lt;year&gt;2014&lt;/year&gt;&lt;/dates&gt;&lt;pub-location&gt;Subiaco, WA&lt;/pub-location&gt;&lt;urls&gt;&lt;/urls&gt;&lt;/record&gt;&lt;/Cite&gt;&lt;/EndNote&gt;</w:instrText>
      </w:r>
      <w:r w:rsidRPr="006B17BE">
        <w:fldChar w:fldCharType="separate"/>
      </w:r>
      <w:r w:rsidRPr="006B17BE">
        <w:rPr>
          <w:noProof/>
        </w:rPr>
        <w:t>(</w:t>
      </w:r>
      <w:hyperlink w:anchor="_ENREF_1" w:tooltip="CDM Smith, 2014 #86" w:history="1">
        <w:r w:rsidR="00AC3BD2" w:rsidRPr="006B17BE">
          <w:rPr>
            <w:noProof/>
          </w:rPr>
          <w:t>2014</w:t>
        </w:r>
      </w:hyperlink>
      <w:r w:rsidRPr="006B17BE">
        <w:rPr>
          <w:noProof/>
        </w:rPr>
        <w:t>)</w:t>
      </w:r>
      <w:r w:rsidRPr="006B17BE">
        <w:fldChar w:fldCharType="end"/>
      </w:r>
      <w:r w:rsidRPr="006B17BE">
        <w:t xml:space="preserve"> summary of field measured TDS in the Narrabri aquifer systems (</w:t>
      </w:r>
      <w:r w:rsidRPr="006B17BE">
        <w:fldChar w:fldCharType="begin"/>
      </w:r>
      <w:r w:rsidRPr="006B17BE">
        <w:instrText xml:space="preserve"> REF _Ref456783049 \h  \* MERGEFORMAT </w:instrText>
      </w:r>
      <w:r w:rsidRPr="006B17BE">
        <w:fldChar w:fldCharType="separate"/>
      </w:r>
      <w:r w:rsidR="00086147" w:rsidRPr="006B17BE">
        <w:t xml:space="preserve">Table </w:t>
      </w:r>
      <w:r w:rsidR="00086147">
        <w:rPr>
          <w:noProof/>
        </w:rPr>
        <w:t>5</w:t>
      </w:r>
      <w:r w:rsidR="00086147">
        <w:rPr>
          <w:noProof/>
        </w:rPr>
        <w:noBreakHyphen/>
        <w:t>3</w:t>
      </w:r>
      <w:r w:rsidRPr="006B17BE">
        <w:fldChar w:fldCharType="end"/>
      </w:r>
      <w:r w:rsidRPr="006B17BE">
        <w:t xml:space="preserve">). Maximum, minimum and median TDS concentrations were used for two scenarios: (i) the median difference in TDS concentration between the Pilliga Sandstone and Maules Creek formation, and maximum difference in TDS concentration, given by the maximum concentration in the Maules Creek formation and the minimum concentration in the Pilliga Sandstone. </w:t>
      </w:r>
    </w:p>
    <w:p w14:paraId="2CD3810C" w14:textId="4B1797F3" w:rsidR="00F21221" w:rsidRPr="006B17BE" w:rsidRDefault="00F21221" w:rsidP="005D1E18">
      <w:pPr>
        <w:pStyle w:val="Body"/>
      </w:pPr>
      <w:r w:rsidRPr="006B17BE">
        <w:t xml:space="preserve">The background groundwater velocity varied for each of the scenarios and was calculated using cell-to-cell flow information extracted from the CDM Smith </w:t>
      </w:r>
      <w:r w:rsidRPr="006B17BE">
        <w:fldChar w:fldCharType="begin"/>
      </w:r>
      <w:r w:rsidR="00AC3BD2">
        <w:instrText xml:space="preserve"> ADDIN EN.CITE &lt;EndNote&gt;&lt;Cite ExcludeAuth="1"&gt;&lt;Author&gt;CDM Smith&lt;/Author&gt;&lt;Year&gt;2014&lt;/Year&gt;&lt;RecNum&gt;86&lt;/RecNum&gt;&lt;DisplayText&gt;(2014)&lt;/DisplayText&gt;&lt;record&gt;&lt;rec-number&gt;86&lt;/rec-number&gt;&lt;foreign-keys&gt;&lt;key app="EN" db-id="xsexsdeavw900aew9xqxrzzyttv0wxs0rf9r" timestamp="1520464010"&gt;86&lt;/key&gt;&lt;/foreign-keys&gt;&lt;ref-type name="Report"&gt;27&lt;/ref-type&gt;&lt;contributors&gt;&lt;authors&gt;&lt;author&gt;CDM Smith,&lt;/author&gt;&lt;/authors&gt;&lt;/contributors&gt;&lt;titles&gt;&lt;title&gt;Santos Narrabri Gas Project: Groundwater modelling report. &lt;/title&gt;&lt;/titles&gt;&lt;pages&gt;291&lt;/pages&gt;&lt;dates&gt;&lt;year&gt;2014&lt;/year&gt;&lt;/dates&gt;&lt;pub-location&gt;Subiaco, WA&lt;/pub-location&gt;&lt;urls&gt;&lt;/urls&gt;&lt;/record&gt;&lt;/Cite&gt;&lt;/EndNote&gt;</w:instrText>
      </w:r>
      <w:r w:rsidRPr="006B17BE">
        <w:fldChar w:fldCharType="separate"/>
      </w:r>
      <w:r w:rsidRPr="006B17BE">
        <w:rPr>
          <w:noProof/>
        </w:rPr>
        <w:t>(</w:t>
      </w:r>
      <w:hyperlink w:anchor="_ENREF_1" w:tooltip="CDM Smith, 2014 #86" w:history="1">
        <w:r w:rsidR="00AC3BD2" w:rsidRPr="006B17BE">
          <w:rPr>
            <w:noProof/>
          </w:rPr>
          <w:t>2014</w:t>
        </w:r>
      </w:hyperlink>
      <w:r w:rsidRPr="006B17BE">
        <w:rPr>
          <w:noProof/>
        </w:rPr>
        <w:t>)</w:t>
      </w:r>
      <w:r w:rsidRPr="006B17BE">
        <w:fldChar w:fldCharType="end"/>
      </w:r>
      <w:r w:rsidRPr="006B17BE">
        <w:t xml:space="preserve"> groundwater model. The groun</w:t>
      </w:r>
      <w:r w:rsidR="00A30F18" w:rsidRPr="006B17BE">
        <w:t>dwater velocity in the Pilliga S</w:t>
      </w:r>
      <w:r w:rsidRPr="006B17BE">
        <w:t xml:space="preserve">andstone </w:t>
      </w:r>
      <w:r w:rsidR="00A30F18" w:rsidRPr="006B17BE">
        <w:t xml:space="preserve">aquifer </w:t>
      </w:r>
      <w:r w:rsidRPr="006B17BE">
        <w:t>was predicted to be more variable than that in the Maules Creek formation, with a median velocity two orders of magnitude lower than the Maules Creek formation, but a maximum velocity two orders of magnitude higher. This is thought to be because horizontal flow within the Pilliga is affected by spatially variable localised recharge and topography, whereas variability of groundwater flow into and out of the Maules Creek formation is damped by the lag time between infiltration and water reaching the formation.</w:t>
      </w:r>
    </w:p>
    <w:p w14:paraId="490A73C3" w14:textId="3246D94D" w:rsidR="00F21221" w:rsidRPr="006B17BE" w:rsidRDefault="00620399" w:rsidP="00A30F18">
      <w:pPr>
        <w:pStyle w:val="Body"/>
      </w:pPr>
      <w:r w:rsidRPr="006B17BE">
        <w:t>Wherever groundwater flows out of leaky well or bore in the receiving aquifer, the</w:t>
      </w:r>
      <w:r w:rsidR="00F21221" w:rsidRPr="006B17BE">
        <w:t xml:space="preserve"> groundwater velocity around </w:t>
      </w:r>
      <w:r w:rsidRPr="006B17BE">
        <w:t xml:space="preserve">such </w:t>
      </w:r>
      <w:r w:rsidR="00F21221" w:rsidRPr="006B17BE">
        <w:t>a leaky well</w:t>
      </w:r>
      <w:r w:rsidRPr="006B17BE">
        <w:t xml:space="preserve"> will likely be higher than the background velocity of the receiving aquifer</w:t>
      </w:r>
      <w:r w:rsidR="00F21221" w:rsidRPr="006B17BE">
        <w:t xml:space="preserve">. The velocity will </w:t>
      </w:r>
      <w:r w:rsidRPr="006B17BE">
        <w:t>decrease</w:t>
      </w:r>
      <w:r w:rsidR="00F21221" w:rsidRPr="006B17BE">
        <w:t xml:space="preserve"> further out from the well as the cross sectional area perpendicular to flow increases. As a </w:t>
      </w:r>
      <w:r w:rsidR="00933BC6" w:rsidRPr="006B17BE">
        <w:t>worst-case scenario</w:t>
      </w:r>
      <w:r w:rsidR="00F21221" w:rsidRPr="006B17BE">
        <w:t xml:space="preserve">, the velocity of water flowing out of a leaky well, immediately adjacent the well, was calculated for the two examples outlined in Doble et al. </w:t>
      </w:r>
      <w:r w:rsidR="00F21221" w:rsidRPr="006B17BE">
        <w:fldChar w:fldCharType="begin"/>
      </w:r>
      <w:r w:rsidR="00AC3BD2">
        <w:instrText xml:space="preserve"> ADDIN EN.CITE &lt;EndNote&gt;&lt;Cite ExcludeAuth="1"&gt;&lt;Author&gt;Doble&lt;/Author&gt;&lt;Year&gt;2018&lt;/Year&gt;&lt;RecNum&gt;89&lt;/RecNum&gt;&lt;DisplayText&gt;(2018)&lt;/DisplayText&gt;&lt;record&gt;&lt;rec-number&gt;89&lt;/rec-number&gt;&lt;foreign-keys&gt;&lt;key app="EN" db-id="xsexsdeavw900aew9xqxrzzyttv0wxs0rf9r" timestamp="1520464011"&gt;89&lt;/key&gt;&lt;/foreign-keys&gt;&lt;ref-type name="Report"&gt;27&lt;/ref-type&gt;&lt;contributors&gt;&lt;authors&gt;&lt;author&gt;Doble, R&lt;/author&gt;&lt;author&gt;McCallum, J&lt;/author&gt;&lt;author&gt;Turnadge, C&lt;/author&gt;&lt;author&gt;Peeters, L&lt;/author&gt;&lt;author&gt;Wu, B&lt;/author&gt;&lt;author&gt;Mallants, D&lt;/author&gt;&lt;/authors&gt;&lt;/contributors&gt;&lt;titles&gt;&lt;title&gt;Modelling inter-aquifer leakage associated with well integrity failure, prepared by the Commonwealth Scientific and Industrial Research Organisation (CSIRO), Canberra.&lt;/title&gt;&lt;/titles&gt;&lt;dates&gt;&lt;year&gt;2018&lt;/year&gt;&lt;/dates&gt;&lt;urls&gt;&lt;/urls&gt;&lt;/record&gt;&lt;/Cite&gt;&lt;/EndNote&gt;</w:instrText>
      </w:r>
      <w:r w:rsidR="00F21221" w:rsidRPr="006B17BE">
        <w:fldChar w:fldCharType="separate"/>
      </w:r>
      <w:r w:rsidR="00AC3BD2">
        <w:rPr>
          <w:noProof/>
        </w:rPr>
        <w:t>(</w:t>
      </w:r>
      <w:hyperlink w:anchor="_ENREF_2" w:tooltip="Doble, 2018 #89" w:history="1">
        <w:r w:rsidR="00AC3BD2">
          <w:rPr>
            <w:noProof/>
          </w:rPr>
          <w:t>2018</w:t>
        </w:r>
      </w:hyperlink>
      <w:r w:rsidR="00AC3BD2">
        <w:rPr>
          <w:noProof/>
        </w:rPr>
        <w:t>)</w:t>
      </w:r>
      <w:r w:rsidR="00F21221" w:rsidRPr="006B17BE">
        <w:fldChar w:fldCharType="end"/>
      </w:r>
      <w:r w:rsidR="00F21221" w:rsidRPr="006B17BE">
        <w:t xml:space="preserve">, </w:t>
      </w:r>
      <w:r w:rsidR="004A12AF" w:rsidRPr="006B17BE">
        <w:t xml:space="preserve">i.e. </w:t>
      </w:r>
      <w:r w:rsidR="00F21221" w:rsidRPr="006B17BE">
        <w:t xml:space="preserve">flow through a leaky well and flow through an open, uncased </w:t>
      </w:r>
      <w:r w:rsidR="004A12AF" w:rsidRPr="006B17BE">
        <w:t>borehole</w:t>
      </w:r>
      <w:r w:rsidR="00F21221" w:rsidRPr="006B17BE">
        <w:t>. The flow velocity was calculated by dividing the flow rate through the well by the cross sectional area of the well surface area adjoining the hydrogeological unit (</w:t>
      </w:r>
      <w:r w:rsidR="00F21221" w:rsidRPr="006B17BE">
        <w:fldChar w:fldCharType="begin"/>
      </w:r>
      <w:r w:rsidR="00F21221" w:rsidRPr="006B17BE">
        <w:instrText xml:space="preserve"> REF _Ref456783049 \h  \* MERGEFORMAT </w:instrText>
      </w:r>
      <w:r w:rsidR="00F21221" w:rsidRPr="006B17BE">
        <w:fldChar w:fldCharType="separate"/>
      </w:r>
      <w:r w:rsidR="00086147" w:rsidRPr="006B17BE">
        <w:t xml:space="preserve">Table </w:t>
      </w:r>
      <w:r w:rsidR="00086147">
        <w:rPr>
          <w:noProof/>
        </w:rPr>
        <w:t>5</w:t>
      </w:r>
      <w:r w:rsidR="00086147">
        <w:rPr>
          <w:noProof/>
        </w:rPr>
        <w:noBreakHyphen/>
        <w:t>3</w:t>
      </w:r>
      <w:r w:rsidR="00F21221" w:rsidRPr="006B17BE">
        <w:fldChar w:fldCharType="end"/>
      </w:r>
      <w:r w:rsidR="00F21221" w:rsidRPr="006B17BE">
        <w:t xml:space="preserve">). </w:t>
      </w:r>
    </w:p>
    <w:p w14:paraId="17560171" w14:textId="7FBF9247" w:rsidR="00F21221" w:rsidRPr="006B17BE" w:rsidRDefault="004A12AF" w:rsidP="004A12AF">
      <w:pPr>
        <w:pStyle w:val="BodyText"/>
        <w:tabs>
          <w:tab w:val="center" w:pos="3686"/>
          <w:tab w:val="right" w:pos="8222"/>
        </w:tabs>
        <w:rPr>
          <w:rFonts w:asciiTheme="minorHAnsi" w:hAnsiTheme="minorHAnsi"/>
          <w:szCs w:val="24"/>
        </w:rPr>
      </w:pPr>
      <w:r w:rsidRPr="006B17BE">
        <w:rPr>
          <w:rFonts w:eastAsiaTheme="minorEastAsia" w:cs="Calibri"/>
          <w:szCs w:val="24"/>
        </w:rPr>
        <w:tab/>
      </w:r>
      <m:oMath>
        <m:r>
          <w:rPr>
            <w:rFonts w:ascii="Cambria Math" w:hAnsi="Cambria Math"/>
            <w:szCs w:val="24"/>
          </w:rPr>
          <m:t>v=Q/2πry</m:t>
        </m:r>
      </m:oMath>
      <w:r w:rsidRPr="006B17BE">
        <w:rPr>
          <w:rFonts w:eastAsiaTheme="minorEastAsia" w:cs="Calibri"/>
          <w:szCs w:val="24"/>
        </w:rPr>
        <w:tab/>
      </w:r>
      <w:r w:rsidR="00B5728B">
        <w:rPr>
          <w:rFonts w:asciiTheme="minorHAnsi" w:hAnsiTheme="minorHAnsi"/>
          <w:szCs w:val="24"/>
        </w:rPr>
        <w:t>(3)</w:t>
      </w:r>
    </w:p>
    <w:p w14:paraId="598219D3" w14:textId="5C89F4FD" w:rsidR="00F21221" w:rsidRPr="006B17BE" w:rsidRDefault="004A12AF" w:rsidP="004A12AF">
      <w:pPr>
        <w:pStyle w:val="Body"/>
      </w:pPr>
      <w:r w:rsidRPr="006B17BE">
        <w:t>w</w:t>
      </w:r>
      <w:r w:rsidR="00F21221" w:rsidRPr="006B17BE">
        <w:t xml:space="preserve">here </w:t>
      </w:r>
      <w:r w:rsidR="00F21221" w:rsidRPr="006B17BE">
        <w:rPr>
          <w:i/>
        </w:rPr>
        <w:t>v</w:t>
      </w:r>
      <w:r w:rsidR="00F21221" w:rsidRPr="006B17BE">
        <w:t xml:space="preserve"> is the groundwater velocity</w:t>
      </w:r>
      <w:r w:rsidR="00620399" w:rsidRPr="006B17BE">
        <w:t xml:space="preserve"> attributed to flow out of well or borehole</w:t>
      </w:r>
      <w:r w:rsidR="00F21221" w:rsidRPr="006B17BE">
        <w:t xml:space="preserve">, </w:t>
      </w:r>
      <w:r w:rsidR="00F21221" w:rsidRPr="006B17BE">
        <w:rPr>
          <w:i/>
        </w:rPr>
        <w:t>Q</w:t>
      </w:r>
      <w:r w:rsidR="00F21221" w:rsidRPr="006B17BE">
        <w:t xml:space="preserve"> is the volumetric flow rate of water through the leaky or open well, </w:t>
      </w:r>
      <w:r w:rsidR="00F21221" w:rsidRPr="006B17BE">
        <w:rPr>
          <w:i/>
        </w:rPr>
        <w:t>r</w:t>
      </w:r>
      <w:r w:rsidR="00F21221" w:rsidRPr="006B17BE">
        <w:t xml:space="preserve"> is the radius of the well and </w:t>
      </w:r>
      <w:r w:rsidR="00F21221" w:rsidRPr="006B17BE">
        <w:rPr>
          <w:i/>
        </w:rPr>
        <w:t>y</w:t>
      </w:r>
      <w:r w:rsidR="00F21221" w:rsidRPr="006B17BE">
        <w:t xml:space="preserve"> is the thickness of the aquifer receiving the water.</w:t>
      </w:r>
    </w:p>
    <w:p w14:paraId="6F25A252" w14:textId="1CC40FB0" w:rsidR="00F21221" w:rsidRPr="006B17BE" w:rsidRDefault="00620399" w:rsidP="00883C4E">
      <w:pPr>
        <w:pStyle w:val="Body"/>
      </w:pPr>
      <w:r w:rsidRPr="006B17BE">
        <w:t>Wh</w:t>
      </w:r>
      <w:r w:rsidR="0024235C">
        <w:t xml:space="preserve">en Equation </w:t>
      </w:r>
      <w:r w:rsidR="00B5728B">
        <w:t>3</w:t>
      </w:r>
      <w:r w:rsidRPr="006B17BE">
        <w:t xml:space="preserve"> was used to calculate </w:t>
      </w:r>
      <w:r w:rsidR="00F21221" w:rsidRPr="006B17BE">
        <w:t xml:space="preserve">the groundwater velocity </w:t>
      </w:r>
      <w:r w:rsidRPr="006B17BE">
        <w:rPr>
          <w:i/>
        </w:rPr>
        <w:t>v</w:t>
      </w:r>
      <w:r w:rsidRPr="006B17BE">
        <w:t xml:space="preserve"> </w:t>
      </w:r>
      <w:r w:rsidR="00F21221" w:rsidRPr="006B17BE">
        <w:t>from the leaky well</w:t>
      </w:r>
      <w:r w:rsidRPr="006B17BE">
        <w:t>,</w:t>
      </w:r>
      <w:r w:rsidR="00F21221" w:rsidRPr="006B17BE">
        <w:t xml:space="preserve"> </w:t>
      </w:r>
      <w:r w:rsidRPr="006B17BE">
        <w:t xml:space="preserve">it </w:t>
      </w:r>
      <w:r w:rsidR="00F21221" w:rsidRPr="006B17BE">
        <w:t>was found to be less than or equal to the median background groundwater velocity.</w:t>
      </w:r>
      <w:r w:rsidRPr="006B17BE">
        <w:t xml:space="preserve"> Therefore, for the leaky well the background velocity was used to calculate solute migration.</w:t>
      </w:r>
      <w:r w:rsidR="00F21221" w:rsidRPr="006B17BE">
        <w:t xml:space="preserve"> </w:t>
      </w:r>
      <w:r w:rsidRPr="006B17BE">
        <w:t xml:space="preserve">The solute transport </w:t>
      </w:r>
      <w:r w:rsidR="0024235C">
        <w:t xml:space="preserve">Equation </w:t>
      </w:r>
      <w:r w:rsidR="00B5728B">
        <w:t>2</w:t>
      </w:r>
      <w:r w:rsidR="002441A5" w:rsidRPr="006B17BE">
        <w:t xml:space="preserve"> </w:t>
      </w:r>
      <w:r w:rsidR="00F21221" w:rsidRPr="006B17BE">
        <w:t>was evaluated for three velocity conditions: (i) the median background velocity in the aquifer, (ii) the maximum background velocity in the aquifer and (iii) the localised i</w:t>
      </w:r>
      <w:r w:rsidR="00B6712B" w:rsidRPr="006B17BE">
        <w:t>nflow velocity from an open borehole</w:t>
      </w:r>
      <w:r w:rsidR="00F21221" w:rsidRPr="006B17BE">
        <w:t>.</w:t>
      </w:r>
    </w:p>
    <w:p w14:paraId="1B3FA869" w14:textId="703CEA26" w:rsidR="00F21221" w:rsidRPr="006B17BE" w:rsidRDefault="00F21221" w:rsidP="00684F4E">
      <w:pPr>
        <w:pStyle w:val="Caption"/>
      </w:pPr>
      <w:bookmarkStart w:id="608" w:name="_Ref456783049"/>
      <w:bookmarkStart w:id="609" w:name="_Toc508267204"/>
      <w:r w:rsidRPr="006B17BE">
        <w:t xml:space="preserve">Table </w:t>
      </w:r>
      <w:r w:rsidR="00296C49">
        <w:fldChar w:fldCharType="begin"/>
      </w:r>
      <w:r w:rsidR="00296C49">
        <w:instrText xml:space="preserve"> STYLEREF 1 \s </w:instrText>
      </w:r>
      <w:r w:rsidR="00296C49">
        <w:fldChar w:fldCharType="separate"/>
      </w:r>
      <w:r w:rsidR="00086147">
        <w:rPr>
          <w:noProof/>
        </w:rPr>
        <w:t>5</w:t>
      </w:r>
      <w:r w:rsidR="00296C49">
        <w:rPr>
          <w:noProof/>
        </w:rPr>
        <w:fldChar w:fldCharType="end"/>
      </w:r>
      <w:r w:rsidR="0014612E">
        <w:noBreakHyphen/>
      </w:r>
      <w:r w:rsidR="00296C49">
        <w:fldChar w:fldCharType="begin"/>
      </w:r>
      <w:r w:rsidR="00296C49">
        <w:instrText xml:space="preserve"> SEQ Table \* ARABIC \s 1 </w:instrText>
      </w:r>
      <w:r w:rsidR="00296C49">
        <w:fldChar w:fldCharType="separate"/>
      </w:r>
      <w:r w:rsidR="00086147">
        <w:rPr>
          <w:noProof/>
        </w:rPr>
        <w:t>3</w:t>
      </w:r>
      <w:r w:rsidR="00296C49">
        <w:rPr>
          <w:noProof/>
        </w:rPr>
        <w:fldChar w:fldCharType="end"/>
      </w:r>
      <w:bookmarkEnd w:id="608"/>
      <w:r w:rsidRPr="006B17BE">
        <w:t xml:space="preserve"> Water quality and hydrogeological parameters from the CDM Smith </w:t>
      </w:r>
      <w:r w:rsidRPr="006B17BE">
        <w:fldChar w:fldCharType="begin"/>
      </w:r>
      <w:r w:rsidR="00AC3BD2">
        <w:instrText xml:space="preserve"> ADDIN EN.CITE &lt;EndNote&gt;&lt;Cite ExcludeAuth="1"&gt;&lt;Author&gt;CDM Smith&lt;/Author&gt;&lt;Year&gt;2014&lt;/Year&gt;&lt;RecNum&gt;86&lt;/RecNum&gt;&lt;DisplayText&gt;(2014)&lt;/DisplayText&gt;&lt;record&gt;&lt;rec-number&gt;86&lt;/rec-number&gt;&lt;foreign-keys&gt;&lt;key app="EN" db-id="xsexsdeavw900aew9xqxrzzyttv0wxs0rf9r" timestamp="1520464010"&gt;86&lt;/key&gt;&lt;/foreign-keys&gt;&lt;ref-type name="Report"&gt;27&lt;/ref-type&gt;&lt;contributors&gt;&lt;authors&gt;&lt;author&gt;CDM Smith,&lt;/author&gt;&lt;/authors&gt;&lt;/contributors&gt;&lt;titles&gt;&lt;title&gt;Santos Narrabri Gas Project: Groundwater modelling report. &lt;/title&gt;&lt;/titles&gt;&lt;pages&gt;291&lt;/pages&gt;&lt;dates&gt;&lt;year&gt;2014&lt;/year&gt;&lt;/dates&gt;&lt;pub-location&gt;Subiaco, WA&lt;/pub-location&gt;&lt;urls&gt;&lt;/urls&gt;&lt;/record&gt;&lt;/Cite&gt;&lt;/EndNote&gt;</w:instrText>
      </w:r>
      <w:r w:rsidRPr="006B17BE">
        <w:fldChar w:fldCharType="separate"/>
      </w:r>
      <w:r w:rsidRPr="006B17BE">
        <w:rPr>
          <w:noProof/>
        </w:rPr>
        <w:t>(</w:t>
      </w:r>
      <w:hyperlink w:anchor="_ENREF_1" w:tooltip="CDM Smith, 2014 #86" w:history="1">
        <w:r w:rsidR="00AC3BD2" w:rsidRPr="006B17BE">
          <w:rPr>
            <w:noProof/>
          </w:rPr>
          <w:t>2014</w:t>
        </w:r>
      </w:hyperlink>
      <w:r w:rsidRPr="006B17BE">
        <w:rPr>
          <w:noProof/>
        </w:rPr>
        <w:t>)</w:t>
      </w:r>
      <w:r w:rsidRPr="006B17BE">
        <w:fldChar w:fldCharType="end"/>
      </w:r>
      <w:r w:rsidRPr="006B17BE">
        <w:t xml:space="preserve"> model and expected well leakage flow rates and flow velocities from </w:t>
      </w:r>
      <w:r w:rsidRPr="006B17BE">
        <w:fldChar w:fldCharType="begin"/>
      </w:r>
      <w:r w:rsidR="00AC3BD2">
        <w:instrText xml:space="preserve"> ADDIN EN.CITE &lt;EndNote&gt;&lt;Cite&gt;&lt;Author&gt;Doble&lt;/Author&gt;&lt;Year&gt;2018&lt;/Year&gt;&lt;RecNum&gt;89&lt;/RecNum&gt;&lt;DisplayText&gt;(Doble et al., 2018)&lt;/DisplayText&gt;&lt;record&gt;&lt;rec-number&gt;89&lt;/rec-number&gt;&lt;foreign-keys&gt;&lt;key app="EN" db-id="xsexsdeavw900aew9xqxrzzyttv0wxs0rf9r" timestamp="1520464011"&gt;89&lt;/key&gt;&lt;/foreign-keys&gt;&lt;ref-type name="Report"&gt;27&lt;/ref-type&gt;&lt;contributors&gt;&lt;authors&gt;&lt;author&gt;Doble, R&lt;/author&gt;&lt;author&gt;McCallum, J&lt;/author&gt;&lt;author&gt;Turnadge, C&lt;/author&gt;&lt;author&gt;Peeters, L&lt;/author&gt;&lt;author&gt;Wu, B&lt;/author&gt;&lt;author&gt;Mallants, D&lt;/author&gt;&lt;/authors&gt;&lt;/contributors&gt;&lt;titles&gt;&lt;title&gt;Modelling inter-aquifer leakage associated with well integrity failure, prepared by the Commonwealth Scientific and Industrial Research Organisation (CSIRO), Canberra.&lt;/title&gt;&lt;/titles&gt;&lt;dates&gt;&lt;year&gt;2018&lt;/year&gt;&lt;/dates&gt;&lt;urls&gt;&lt;/urls&gt;&lt;/record&gt;&lt;/Cite&gt;&lt;/EndNote&gt;</w:instrText>
      </w:r>
      <w:r w:rsidRPr="006B17BE">
        <w:fldChar w:fldCharType="separate"/>
      </w:r>
      <w:r w:rsidR="00AC3BD2">
        <w:rPr>
          <w:noProof/>
        </w:rPr>
        <w:t>(</w:t>
      </w:r>
      <w:hyperlink w:anchor="_ENREF_2" w:tooltip="Doble, 2018 #89" w:history="1">
        <w:r w:rsidR="00AC3BD2">
          <w:rPr>
            <w:noProof/>
          </w:rPr>
          <w:t>Doble et al., 2018</w:t>
        </w:r>
      </w:hyperlink>
      <w:r w:rsidR="00AC3BD2">
        <w:rPr>
          <w:noProof/>
        </w:rPr>
        <w:t>)</w:t>
      </w:r>
      <w:r w:rsidRPr="006B17BE">
        <w:fldChar w:fldCharType="end"/>
      </w:r>
      <w:r w:rsidRPr="006B17BE">
        <w:t>.</w:t>
      </w:r>
      <w:bookmarkEnd w:id="609"/>
    </w:p>
    <w:tbl>
      <w:tblPr>
        <w:tblW w:w="4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9"/>
        <w:gridCol w:w="1276"/>
        <w:gridCol w:w="1275"/>
      </w:tblGrid>
      <w:tr w:rsidR="00F21221" w:rsidRPr="006B17BE" w14:paraId="1C75C470" w14:textId="77777777" w:rsidTr="000B1D82">
        <w:trPr>
          <w:trHeight w:val="188"/>
          <w:tblHeader/>
        </w:trPr>
        <w:tc>
          <w:tcPr>
            <w:tcW w:w="2439" w:type="dxa"/>
            <w:tcBorders>
              <w:top w:val="single" w:sz="4" w:space="0" w:color="auto"/>
              <w:left w:val="single" w:sz="4" w:space="0" w:color="auto"/>
              <w:bottom w:val="single" w:sz="4" w:space="0" w:color="auto"/>
              <w:right w:val="single" w:sz="4" w:space="0" w:color="auto"/>
            </w:tcBorders>
            <w:shd w:val="clear" w:color="auto" w:fill="CCCCCC" w:themeFill="text2" w:themeFillTint="33"/>
            <w:hideMark/>
          </w:tcPr>
          <w:p w14:paraId="742C876D" w14:textId="77777777" w:rsidR="00F21221" w:rsidRPr="006B17BE" w:rsidRDefault="00F21221" w:rsidP="00D43FC3">
            <w:pPr>
              <w:pStyle w:val="Body"/>
              <w:jc w:val="center"/>
            </w:pPr>
            <w:r w:rsidRPr="006B17BE">
              <w:t>Parameter (units)</w:t>
            </w:r>
          </w:p>
        </w:tc>
        <w:tc>
          <w:tcPr>
            <w:tcW w:w="1276"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6B546525" w14:textId="68913C6F" w:rsidR="00F21221" w:rsidRPr="006B17BE" w:rsidRDefault="00F21221" w:rsidP="00D43FC3">
            <w:pPr>
              <w:pStyle w:val="Body"/>
              <w:jc w:val="center"/>
            </w:pPr>
            <w:r w:rsidRPr="006B17BE">
              <w:t>Pilliga Sandstone</w:t>
            </w:r>
            <w:r w:rsidR="00D43FC3" w:rsidRPr="006B17BE">
              <w:t xml:space="preserve"> aquifer</w:t>
            </w:r>
          </w:p>
        </w:tc>
        <w:tc>
          <w:tcPr>
            <w:tcW w:w="1275"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1FB922B9" w14:textId="77777777" w:rsidR="00F21221" w:rsidRPr="006B17BE" w:rsidRDefault="00F21221" w:rsidP="00D43FC3">
            <w:pPr>
              <w:pStyle w:val="Body"/>
              <w:jc w:val="center"/>
            </w:pPr>
            <w:r w:rsidRPr="006B17BE">
              <w:t>Maules Creek formation</w:t>
            </w:r>
          </w:p>
        </w:tc>
      </w:tr>
      <w:tr w:rsidR="00F21221" w:rsidRPr="006B17BE" w14:paraId="0DF58F60"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6CFDBD20"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Median TDS (mgL</w:t>
            </w:r>
            <w:r w:rsidRPr="006B17BE">
              <w:rPr>
                <w:rFonts w:asciiTheme="minorHAnsi" w:hAnsiTheme="minorHAnsi"/>
                <w:noProof/>
                <w:sz w:val="24"/>
                <w:szCs w:val="24"/>
                <w:vertAlign w:val="superscript"/>
                <w:lang w:val="en-GB"/>
              </w:rPr>
              <w:t>-1</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5D4D568E" w14:textId="77777777" w:rsidR="00F21221" w:rsidRPr="006B17BE" w:rsidRDefault="00F21221" w:rsidP="00D43FC3">
            <w:pPr>
              <w:pStyle w:val="Body"/>
              <w:jc w:val="center"/>
              <w:rPr>
                <w:color w:val="auto"/>
              </w:rPr>
            </w:pPr>
            <w:r w:rsidRPr="006B17BE">
              <w:t>600</w:t>
            </w:r>
          </w:p>
        </w:tc>
        <w:tc>
          <w:tcPr>
            <w:tcW w:w="1275" w:type="dxa"/>
            <w:tcBorders>
              <w:top w:val="single" w:sz="4" w:space="0" w:color="auto"/>
              <w:left w:val="single" w:sz="4" w:space="0" w:color="auto"/>
              <w:bottom w:val="single" w:sz="4" w:space="0" w:color="auto"/>
              <w:right w:val="single" w:sz="4" w:space="0" w:color="auto"/>
            </w:tcBorders>
            <w:vAlign w:val="center"/>
          </w:tcPr>
          <w:p w14:paraId="7AFE6F02" w14:textId="73D506FE" w:rsidR="00F21221" w:rsidRPr="006B17BE" w:rsidRDefault="00F21221" w:rsidP="00D43FC3">
            <w:pPr>
              <w:pStyle w:val="Body"/>
              <w:jc w:val="center"/>
              <w:rPr>
                <w:color w:val="auto"/>
              </w:rPr>
            </w:pPr>
            <w:r w:rsidRPr="006B17BE">
              <w:t>11</w:t>
            </w:r>
            <w:r w:rsidR="00D43FC3" w:rsidRPr="006B17BE">
              <w:t>,</w:t>
            </w:r>
            <w:r w:rsidRPr="006B17BE">
              <w:t>000</w:t>
            </w:r>
          </w:p>
        </w:tc>
      </w:tr>
      <w:tr w:rsidR="00F21221" w:rsidRPr="006B17BE" w14:paraId="6BB355DC"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2089FBDE"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Max TDS (mgL</w:t>
            </w:r>
            <w:r w:rsidRPr="006B17BE">
              <w:rPr>
                <w:rFonts w:asciiTheme="minorHAnsi" w:hAnsiTheme="minorHAnsi"/>
                <w:noProof/>
                <w:sz w:val="24"/>
                <w:szCs w:val="24"/>
                <w:vertAlign w:val="superscript"/>
                <w:lang w:val="en-GB"/>
              </w:rPr>
              <w:t>-1</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68902AA5" w14:textId="2750F9F0" w:rsidR="00F21221" w:rsidRPr="006B17BE" w:rsidRDefault="00F21221" w:rsidP="00D43FC3">
            <w:pPr>
              <w:pStyle w:val="Body"/>
              <w:jc w:val="center"/>
              <w:rPr>
                <w:color w:val="auto"/>
              </w:rPr>
            </w:pPr>
            <w:r w:rsidRPr="006B17BE">
              <w:t>5</w:t>
            </w:r>
            <w:r w:rsidR="00D43FC3" w:rsidRPr="006B17BE">
              <w:t>,</w:t>
            </w:r>
            <w:r w:rsidRPr="006B17BE">
              <w:t>000</w:t>
            </w:r>
          </w:p>
        </w:tc>
        <w:tc>
          <w:tcPr>
            <w:tcW w:w="1275" w:type="dxa"/>
            <w:tcBorders>
              <w:top w:val="single" w:sz="4" w:space="0" w:color="auto"/>
              <w:left w:val="single" w:sz="4" w:space="0" w:color="auto"/>
              <w:bottom w:val="single" w:sz="4" w:space="0" w:color="auto"/>
              <w:right w:val="single" w:sz="4" w:space="0" w:color="auto"/>
            </w:tcBorders>
            <w:vAlign w:val="center"/>
          </w:tcPr>
          <w:p w14:paraId="7DC0E237" w14:textId="4E7A3808" w:rsidR="00F21221" w:rsidRPr="006B17BE" w:rsidRDefault="00F21221" w:rsidP="00D43FC3">
            <w:pPr>
              <w:pStyle w:val="Body"/>
              <w:jc w:val="center"/>
              <w:rPr>
                <w:color w:val="auto"/>
              </w:rPr>
            </w:pPr>
            <w:r w:rsidRPr="006B17BE">
              <w:t>17</w:t>
            </w:r>
            <w:r w:rsidR="00D43FC3" w:rsidRPr="006B17BE">
              <w:t>,</w:t>
            </w:r>
            <w:r w:rsidRPr="006B17BE">
              <w:t>000</w:t>
            </w:r>
          </w:p>
        </w:tc>
      </w:tr>
      <w:tr w:rsidR="00F21221" w:rsidRPr="006B17BE" w14:paraId="5C668B85"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59F1B8C1"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Min TDS (mgL</w:t>
            </w:r>
            <w:r w:rsidRPr="006B17BE">
              <w:rPr>
                <w:rFonts w:asciiTheme="minorHAnsi" w:hAnsiTheme="minorHAnsi"/>
                <w:noProof/>
                <w:sz w:val="24"/>
                <w:szCs w:val="24"/>
                <w:vertAlign w:val="superscript"/>
                <w:lang w:val="en-GB"/>
              </w:rPr>
              <w:t>-1</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2949AA3E" w14:textId="77777777" w:rsidR="00F21221" w:rsidRPr="006B17BE" w:rsidRDefault="00F21221" w:rsidP="00D43FC3">
            <w:pPr>
              <w:pStyle w:val="Body"/>
              <w:jc w:val="center"/>
              <w:rPr>
                <w:color w:val="auto"/>
              </w:rPr>
            </w:pPr>
            <w:r w:rsidRPr="006B17BE">
              <w:t>500</w:t>
            </w:r>
          </w:p>
        </w:tc>
        <w:tc>
          <w:tcPr>
            <w:tcW w:w="1275" w:type="dxa"/>
            <w:tcBorders>
              <w:top w:val="single" w:sz="4" w:space="0" w:color="auto"/>
              <w:left w:val="single" w:sz="4" w:space="0" w:color="auto"/>
              <w:bottom w:val="single" w:sz="4" w:space="0" w:color="auto"/>
              <w:right w:val="single" w:sz="4" w:space="0" w:color="auto"/>
            </w:tcBorders>
            <w:vAlign w:val="center"/>
          </w:tcPr>
          <w:p w14:paraId="0A14D61B" w14:textId="41C46B30" w:rsidR="00F21221" w:rsidRPr="006B17BE" w:rsidRDefault="00F21221" w:rsidP="00D43FC3">
            <w:pPr>
              <w:pStyle w:val="Body"/>
              <w:jc w:val="center"/>
              <w:rPr>
                <w:color w:val="auto"/>
              </w:rPr>
            </w:pPr>
            <w:r w:rsidRPr="006B17BE">
              <w:t>5</w:t>
            </w:r>
            <w:r w:rsidR="00D43FC3" w:rsidRPr="006B17BE">
              <w:t>,</w:t>
            </w:r>
            <w:r w:rsidRPr="006B17BE">
              <w:t>200</w:t>
            </w:r>
          </w:p>
        </w:tc>
      </w:tr>
      <w:tr w:rsidR="00F21221" w:rsidRPr="006B17BE" w14:paraId="5D68CE67"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6503529E"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Median velocity (md</w:t>
            </w:r>
            <w:r w:rsidRPr="006B17BE">
              <w:rPr>
                <w:rFonts w:asciiTheme="minorHAnsi" w:hAnsiTheme="minorHAnsi"/>
                <w:noProof/>
                <w:sz w:val="24"/>
                <w:szCs w:val="24"/>
                <w:vertAlign w:val="superscript"/>
                <w:lang w:val="en-GB"/>
              </w:rPr>
              <w:t>-1</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4B85676A" w14:textId="77777777" w:rsidR="00F21221" w:rsidRPr="006B17BE" w:rsidRDefault="00F21221" w:rsidP="00D43FC3">
            <w:pPr>
              <w:pStyle w:val="Body"/>
              <w:jc w:val="center"/>
              <w:rPr>
                <w:color w:val="auto"/>
              </w:rPr>
            </w:pPr>
            <w:r w:rsidRPr="006B17BE">
              <w:t>2.93E-06</w:t>
            </w:r>
          </w:p>
        </w:tc>
        <w:tc>
          <w:tcPr>
            <w:tcW w:w="1275" w:type="dxa"/>
            <w:tcBorders>
              <w:top w:val="single" w:sz="4" w:space="0" w:color="auto"/>
              <w:left w:val="single" w:sz="4" w:space="0" w:color="auto"/>
              <w:bottom w:val="single" w:sz="4" w:space="0" w:color="auto"/>
              <w:right w:val="single" w:sz="4" w:space="0" w:color="auto"/>
            </w:tcBorders>
            <w:vAlign w:val="center"/>
          </w:tcPr>
          <w:p w14:paraId="57DD3C8D" w14:textId="77777777" w:rsidR="00F21221" w:rsidRPr="006B17BE" w:rsidRDefault="00F21221" w:rsidP="00D43FC3">
            <w:pPr>
              <w:pStyle w:val="Body"/>
              <w:jc w:val="center"/>
            </w:pPr>
            <w:r w:rsidRPr="006B17BE">
              <w:t>1.83E-04</w:t>
            </w:r>
          </w:p>
        </w:tc>
      </w:tr>
      <w:tr w:rsidR="00F21221" w:rsidRPr="006B17BE" w14:paraId="7E88B4EB"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18C335D0"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Max velocity (md</w:t>
            </w:r>
            <w:r w:rsidRPr="006B17BE">
              <w:rPr>
                <w:rFonts w:asciiTheme="minorHAnsi" w:hAnsiTheme="minorHAnsi"/>
                <w:noProof/>
                <w:sz w:val="24"/>
                <w:szCs w:val="24"/>
                <w:vertAlign w:val="superscript"/>
                <w:lang w:val="en-GB"/>
              </w:rPr>
              <w:t>-1</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13F431B9" w14:textId="77777777" w:rsidR="00F21221" w:rsidRPr="006B17BE" w:rsidRDefault="00F21221" w:rsidP="00D43FC3">
            <w:pPr>
              <w:pStyle w:val="Body"/>
              <w:jc w:val="center"/>
            </w:pPr>
            <w:r w:rsidRPr="006B17BE">
              <w:t>2.92E-02</w:t>
            </w:r>
          </w:p>
        </w:tc>
        <w:tc>
          <w:tcPr>
            <w:tcW w:w="1275" w:type="dxa"/>
            <w:tcBorders>
              <w:top w:val="single" w:sz="4" w:space="0" w:color="auto"/>
              <w:left w:val="single" w:sz="4" w:space="0" w:color="auto"/>
              <w:bottom w:val="single" w:sz="4" w:space="0" w:color="auto"/>
              <w:right w:val="single" w:sz="4" w:space="0" w:color="auto"/>
            </w:tcBorders>
            <w:vAlign w:val="center"/>
          </w:tcPr>
          <w:p w14:paraId="1A2452C9" w14:textId="77777777" w:rsidR="00F21221" w:rsidRPr="006B17BE" w:rsidRDefault="00F21221" w:rsidP="00D43FC3">
            <w:pPr>
              <w:pStyle w:val="Body"/>
              <w:jc w:val="center"/>
            </w:pPr>
            <w:r w:rsidRPr="006B17BE">
              <w:t>5.70E-04</w:t>
            </w:r>
          </w:p>
        </w:tc>
      </w:tr>
      <w:tr w:rsidR="00F21221" w:rsidRPr="006B17BE" w14:paraId="0D056DAD"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5D919BA6"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Inflow flow leaky well (m</w:t>
            </w:r>
            <w:r w:rsidRPr="006B17BE">
              <w:rPr>
                <w:rFonts w:asciiTheme="minorHAnsi" w:hAnsiTheme="minorHAnsi"/>
                <w:noProof/>
                <w:sz w:val="24"/>
                <w:szCs w:val="24"/>
                <w:vertAlign w:val="superscript"/>
                <w:lang w:val="en-GB"/>
              </w:rPr>
              <w:t>3</w:t>
            </w:r>
            <w:r w:rsidRPr="006B17BE">
              <w:rPr>
                <w:rFonts w:asciiTheme="minorHAnsi" w:hAnsiTheme="minorHAnsi"/>
                <w:noProof/>
                <w:sz w:val="24"/>
                <w:szCs w:val="24"/>
                <w:lang w:val="en-GB"/>
              </w:rPr>
              <w:t>d</w:t>
            </w:r>
            <w:r w:rsidRPr="006B17BE">
              <w:rPr>
                <w:rFonts w:asciiTheme="minorHAnsi" w:hAnsiTheme="minorHAnsi"/>
                <w:noProof/>
                <w:sz w:val="24"/>
                <w:szCs w:val="24"/>
                <w:vertAlign w:val="superscript"/>
                <w:lang w:val="en-GB"/>
              </w:rPr>
              <w:t>-1</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360D07F2" w14:textId="77777777" w:rsidR="00F21221" w:rsidRPr="006B17BE" w:rsidRDefault="00F21221" w:rsidP="00D43FC3">
            <w:pPr>
              <w:pStyle w:val="Body"/>
              <w:jc w:val="center"/>
            </w:pPr>
            <w:r w:rsidRPr="006B17BE">
              <w:t>4.20E-03</w:t>
            </w:r>
          </w:p>
        </w:tc>
        <w:tc>
          <w:tcPr>
            <w:tcW w:w="1275" w:type="dxa"/>
            <w:tcBorders>
              <w:top w:val="single" w:sz="4" w:space="0" w:color="auto"/>
              <w:left w:val="single" w:sz="4" w:space="0" w:color="auto"/>
              <w:bottom w:val="single" w:sz="4" w:space="0" w:color="auto"/>
              <w:right w:val="single" w:sz="4" w:space="0" w:color="auto"/>
            </w:tcBorders>
            <w:vAlign w:val="center"/>
          </w:tcPr>
          <w:p w14:paraId="2CF6A42F" w14:textId="77777777" w:rsidR="00F21221" w:rsidRPr="006B17BE" w:rsidRDefault="00F21221" w:rsidP="00D43FC3">
            <w:pPr>
              <w:pStyle w:val="Body"/>
              <w:jc w:val="center"/>
            </w:pPr>
            <w:r w:rsidRPr="006B17BE">
              <w:t>1.70E-02</w:t>
            </w:r>
          </w:p>
        </w:tc>
      </w:tr>
      <w:tr w:rsidR="00F21221" w:rsidRPr="006B17BE" w14:paraId="1573FA64"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244D4E15" w14:textId="1E7CD9AC" w:rsidR="00F21221" w:rsidRPr="006B17BE" w:rsidRDefault="00F21221" w:rsidP="00D43FC3">
            <w:pPr>
              <w:pStyle w:val="OWSTabletext"/>
              <w:rPr>
                <w:rFonts w:asciiTheme="minorHAnsi" w:hAnsiTheme="minorHAnsi"/>
                <w:noProof/>
                <w:color w:val="auto"/>
                <w:sz w:val="24"/>
                <w:szCs w:val="24"/>
              </w:rPr>
            </w:pPr>
            <w:r w:rsidRPr="006B17BE">
              <w:rPr>
                <w:rFonts w:asciiTheme="minorHAnsi" w:hAnsiTheme="minorHAnsi"/>
                <w:noProof/>
                <w:sz w:val="24"/>
                <w:szCs w:val="24"/>
                <w:lang w:val="en-GB"/>
              </w:rPr>
              <w:t xml:space="preserve">Inflow </w:t>
            </w:r>
            <w:r w:rsidR="00D43FC3" w:rsidRPr="006B17BE">
              <w:rPr>
                <w:rFonts w:asciiTheme="minorHAnsi" w:hAnsiTheme="minorHAnsi"/>
                <w:noProof/>
                <w:sz w:val="24"/>
                <w:szCs w:val="24"/>
                <w:lang w:val="en-GB"/>
              </w:rPr>
              <w:t>o</w:t>
            </w:r>
            <w:r w:rsidRPr="006B17BE">
              <w:rPr>
                <w:rFonts w:asciiTheme="minorHAnsi" w:hAnsiTheme="minorHAnsi"/>
                <w:noProof/>
                <w:sz w:val="24"/>
                <w:szCs w:val="24"/>
                <w:lang w:val="en-GB"/>
              </w:rPr>
              <w:t xml:space="preserve">pen </w:t>
            </w:r>
            <w:r w:rsidR="00D43FC3" w:rsidRPr="006B17BE">
              <w:rPr>
                <w:rFonts w:asciiTheme="minorHAnsi" w:hAnsiTheme="minorHAnsi"/>
                <w:noProof/>
                <w:sz w:val="24"/>
                <w:szCs w:val="24"/>
                <w:lang w:val="en-GB"/>
              </w:rPr>
              <w:t>borehole</w:t>
            </w:r>
            <w:r w:rsidRPr="006B17BE">
              <w:rPr>
                <w:rFonts w:asciiTheme="minorHAnsi" w:hAnsiTheme="minorHAnsi"/>
                <w:noProof/>
                <w:sz w:val="24"/>
                <w:szCs w:val="24"/>
                <w:lang w:val="en-GB"/>
              </w:rPr>
              <w:t xml:space="preserve"> (m</w:t>
            </w:r>
            <w:r w:rsidRPr="006B17BE">
              <w:rPr>
                <w:rFonts w:asciiTheme="minorHAnsi" w:hAnsiTheme="minorHAnsi"/>
                <w:noProof/>
                <w:sz w:val="24"/>
                <w:szCs w:val="24"/>
                <w:vertAlign w:val="superscript"/>
                <w:lang w:val="en-GB"/>
              </w:rPr>
              <w:t>3</w:t>
            </w:r>
            <w:r w:rsidRPr="006B17BE">
              <w:rPr>
                <w:rFonts w:asciiTheme="minorHAnsi" w:hAnsiTheme="minorHAnsi"/>
                <w:noProof/>
                <w:sz w:val="24"/>
                <w:szCs w:val="24"/>
                <w:lang w:val="en-GB"/>
              </w:rPr>
              <w:t>d</w:t>
            </w:r>
            <w:r w:rsidRPr="006B17BE">
              <w:rPr>
                <w:rFonts w:asciiTheme="minorHAnsi" w:hAnsiTheme="minorHAnsi"/>
                <w:noProof/>
                <w:sz w:val="24"/>
                <w:szCs w:val="24"/>
                <w:vertAlign w:val="superscript"/>
                <w:lang w:val="en-GB"/>
              </w:rPr>
              <w:t>-1</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44B93300" w14:textId="77777777" w:rsidR="00F21221" w:rsidRPr="006B17BE" w:rsidRDefault="00F21221" w:rsidP="00D43FC3">
            <w:pPr>
              <w:pStyle w:val="Body"/>
              <w:jc w:val="center"/>
            </w:pPr>
            <w:r w:rsidRPr="006B17BE">
              <w:t>11.6</w:t>
            </w:r>
          </w:p>
        </w:tc>
        <w:tc>
          <w:tcPr>
            <w:tcW w:w="1275" w:type="dxa"/>
            <w:tcBorders>
              <w:top w:val="single" w:sz="4" w:space="0" w:color="auto"/>
              <w:left w:val="single" w:sz="4" w:space="0" w:color="auto"/>
              <w:bottom w:val="single" w:sz="4" w:space="0" w:color="auto"/>
              <w:right w:val="single" w:sz="4" w:space="0" w:color="auto"/>
            </w:tcBorders>
            <w:vAlign w:val="center"/>
          </w:tcPr>
          <w:p w14:paraId="0FE669C2" w14:textId="77777777" w:rsidR="00F21221" w:rsidRPr="006B17BE" w:rsidRDefault="00F21221" w:rsidP="00D43FC3">
            <w:pPr>
              <w:pStyle w:val="Body"/>
              <w:jc w:val="center"/>
            </w:pPr>
            <w:r w:rsidRPr="006B17BE">
              <w:t>51.4</w:t>
            </w:r>
          </w:p>
        </w:tc>
      </w:tr>
      <w:tr w:rsidR="00F21221" w:rsidRPr="006B17BE" w14:paraId="556C99EA"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1D5989AC"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Leaky well surface area (m</w:t>
            </w:r>
            <w:r w:rsidRPr="006B17BE">
              <w:rPr>
                <w:rFonts w:asciiTheme="minorHAnsi" w:hAnsiTheme="minorHAnsi"/>
                <w:noProof/>
                <w:sz w:val="24"/>
                <w:szCs w:val="24"/>
                <w:vertAlign w:val="superscript"/>
                <w:lang w:val="en-GB"/>
              </w:rPr>
              <w:t>2</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0F035FEF" w14:textId="77777777" w:rsidR="00F21221" w:rsidRPr="006B17BE" w:rsidRDefault="00F21221" w:rsidP="00D43FC3">
            <w:pPr>
              <w:pStyle w:val="Body"/>
              <w:jc w:val="center"/>
            </w:pPr>
            <w:r w:rsidRPr="006B17BE">
              <w:t>179</w:t>
            </w:r>
          </w:p>
        </w:tc>
        <w:tc>
          <w:tcPr>
            <w:tcW w:w="1275" w:type="dxa"/>
            <w:tcBorders>
              <w:top w:val="single" w:sz="4" w:space="0" w:color="auto"/>
              <w:left w:val="single" w:sz="4" w:space="0" w:color="auto"/>
              <w:bottom w:val="single" w:sz="4" w:space="0" w:color="auto"/>
              <w:right w:val="single" w:sz="4" w:space="0" w:color="auto"/>
            </w:tcBorders>
            <w:vAlign w:val="center"/>
          </w:tcPr>
          <w:p w14:paraId="0F83FC24" w14:textId="77777777" w:rsidR="00F21221" w:rsidRPr="006B17BE" w:rsidRDefault="00F21221" w:rsidP="00D43FC3">
            <w:pPr>
              <w:pStyle w:val="Body"/>
              <w:jc w:val="center"/>
            </w:pPr>
            <w:r w:rsidRPr="006B17BE">
              <w:t>33</w:t>
            </w:r>
          </w:p>
        </w:tc>
      </w:tr>
      <w:tr w:rsidR="00F21221" w:rsidRPr="006B17BE" w14:paraId="0FC45262"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42597F9F" w14:textId="77777777" w:rsidR="00F21221" w:rsidRPr="006B17BE" w:rsidRDefault="00F21221"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Inflow velocity leaky well (md</w:t>
            </w:r>
            <w:r w:rsidRPr="006B17BE">
              <w:rPr>
                <w:rFonts w:asciiTheme="minorHAnsi" w:hAnsiTheme="minorHAnsi"/>
                <w:noProof/>
                <w:sz w:val="24"/>
                <w:szCs w:val="24"/>
                <w:vertAlign w:val="superscript"/>
                <w:lang w:val="en-GB"/>
              </w:rPr>
              <w:t>-1</w:t>
            </w:r>
            <w:r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7E81D9E3" w14:textId="77777777" w:rsidR="00F21221" w:rsidRPr="006B17BE" w:rsidRDefault="00F21221" w:rsidP="00D43FC3">
            <w:pPr>
              <w:pStyle w:val="Body"/>
              <w:jc w:val="center"/>
            </w:pPr>
            <w:r w:rsidRPr="006B17BE">
              <w:t>2.35E-05</w:t>
            </w:r>
          </w:p>
        </w:tc>
        <w:tc>
          <w:tcPr>
            <w:tcW w:w="1275" w:type="dxa"/>
            <w:tcBorders>
              <w:top w:val="single" w:sz="4" w:space="0" w:color="auto"/>
              <w:left w:val="single" w:sz="4" w:space="0" w:color="auto"/>
              <w:bottom w:val="single" w:sz="4" w:space="0" w:color="auto"/>
              <w:right w:val="single" w:sz="4" w:space="0" w:color="auto"/>
            </w:tcBorders>
            <w:vAlign w:val="center"/>
          </w:tcPr>
          <w:p w14:paraId="5690E594" w14:textId="77777777" w:rsidR="00F21221" w:rsidRPr="006B17BE" w:rsidRDefault="00F21221" w:rsidP="00D43FC3">
            <w:pPr>
              <w:pStyle w:val="Body"/>
              <w:jc w:val="center"/>
            </w:pPr>
            <w:r w:rsidRPr="006B17BE">
              <w:t>5.15E-04</w:t>
            </w:r>
          </w:p>
        </w:tc>
      </w:tr>
      <w:tr w:rsidR="00F21221" w:rsidRPr="006B17BE" w14:paraId="4351290C" w14:textId="77777777" w:rsidTr="000B1D82">
        <w:trPr>
          <w:trHeight w:val="84"/>
        </w:trPr>
        <w:tc>
          <w:tcPr>
            <w:tcW w:w="2439" w:type="dxa"/>
            <w:tcBorders>
              <w:top w:val="single" w:sz="4" w:space="0" w:color="auto"/>
              <w:left w:val="single" w:sz="4" w:space="0" w:color="auto"/>
              <w:bottom w:val="single" w:sz="4" w:space="0" w:color="auto"/>
              <w:right w:val="single" w:sz="4" w:space="0" w:color="auto"/>
            </w:tcBorders>
            <w:vAlign w:val="center"/>
          </w:tcPr>
          <w:p w14:paraId="7999377D" w14:textId="53548E9E" w:rsidR="00F21221" w:rsidRPr="006B17BE" w:rsidRDefault="000B1D82" w:rsidP="00A90B3C">
            <w:pPr>
              <w:pStyle w:val="OWSTabletext"/>
              <w:rPr>
                <w:rFonts w:asciiTheme="minorHAnsi" w:hAnsiTheme="minorHAnsi"/>
                <w:noProof/>
                <w:color w:val="auto"/>
                <w:sz w:val="24"/>
                <w:szCs w:val="24"/>
              </w:rPr>
            </w:pPr>
            <w:r w:rsidRPr="006B17BE">
              <w:rPr>
                <w:rFonts w:asciiTheme="minorHAnsi" w:hAnsiTheme="minorHAnsi"/>
                <w:noProof/>
                <w:sz w:val="24"/>
                <w:szCs w:val="24"/>
                <w:lang w:val="en-GB"/>
              </w:rPr>
              <w:t>Inflow velocity open borehole</w:t>
            </w:r>
            <w:r w:rsidR="00F21221" w:rsidRPr="006B17BE">
              <w:rPr>
                <w:rFonts w:asciiTheme="minorHAnsi" w:hAnsiTheme="minorHAnsi"/>
                <w:noProof/>
                <w:sz w:val="24"/>
                <w:szCs w:val="24"/>
                <w:lang w:val="en-GB"/>
              </w:rPr>
              <w:t xml:space="preserve"> (md</w:t>
            </w:r>
            <w:r w:rsidR="00F21221" w:rsidRPr="006B17BE">
              <w:rPr>
                <w:rFonts w:asciiTheme="minorHAnsi" w:hAnsiTheme="minorHAnsi"/>
                <w:noProof/>
                <w:sz w:val="24"/>
                <w:szCs w:val="24"/>
                <w:vertAlign w:val="superscript"/>
                <w:lang w:val="en-GB"/>
              </w:rPr>
              <w:t>-1</w:t>
            </w:r>
            <w:r w:rsidR="00F21221" w:rsidRPr="006B17BE">
              <w:rPr>
                <w:rFonts w:asciiTheme="minorHAnsi" w:hAnsiTheme="minorHAnsi"/>
                <w:noProof/>
                <w:sz w:val="24"/>
                <w:szCs w:val="24"/>
                <w:lang w:val="en-GB"/>
              </w:rPr>
              <w:t>)</w:t>
            </w:r>
          </w:p>
        </w:tc>
        <w:tc>
          <w:tcPr>
            <w:tcW w:w="1276" w:type="dxa"/>
            <w:tcBorders>
              <w:top w:val="single" w:sz="4" w:space="0" w:color="auto"/>
              <w:left w:val="single" w:sz="4" w:space="0" w:color="auto"/>
              <w:bottom w:val="single" w:sz="4" w:space="0" w:color="auto"/>
              <w:right w:val="single" w:sz="4" w:space="0" w:color="auto"/>
            </w:tcBorders>
            <w:vAlign w:val="center"/>
          </w:tcPr>
          <w:p w14:paraId="05F2B7F7" w14:textId="77777777" w:rsidR="00F21221" w:rsidRPr="006B17BE" w:rsidRDefault="00F21221" w:rsidP="00D43FC3">
            <w:pPr>
              <w:pStyle w:val="Body"/>
              <w:jc w:val="center"/>
            </w:pPr>
            <w:r w:rsidRPr="006B17BE">
              <w:t>0.06</w:t>
            </w:r>
          </w:p>
        </w:tc>
        <w:tc>
          <w:tcPr>
            <w:tcW w:w="1275" w:type="dxa"/>
            <w:tcBorders>
              <w:top w:val="single" w:sz="4" w:space="0" w:color="auto"/>
              <w:left w:val="single" w:sz="4" w:space="0" w:color="auto"/>
              <w:bottom w:val="single" w:sz="4" w:space="0" w:color="auto"/>
              <w:right w:val="single" w:sz="4" w:space="0" w:color="auto"/>
            </w:tcBorders>
            <w:vAlign w:val="center"/>
          </w:tcPr>
          <w:p w14:paraId="4B883474" w14:textId="77777777" w:rsidR="00F21221" w:rsidRPr="006B17BE" w:rsidRDefault="00F21221" w:rsidP="00D43FC3">
            <w:pPr>
              <w:pStyle w:val="Body"/>
              <w:jc w:val="center"/>
            </w:pPr>
            <w:r w:rsidRPr="006B17BE">
              <w:t>1.56</w:t>
            </w:r>
          </w:p>
        </w:tc>
      </w:tr>
    </w:tbl>
    <w:p w14:paraId="1BA08236" w14:textId="77777777" w:rsidR="00F21221" w:rsidRPr="006B17BE" w:rsidRDefault="00F21221" w:rsidP="00F21221">
      <w:pPr>
        <w:pStyle w:val="BodyText"/>
        <w:rPr>
          <w:rFonts w:asciiTheme="minorHAnsi" w:hAnsiTheme="minorHAnsi"/>
          <w:szCs w:val="24"/>
        </w:rPr>
      </w:pPr>
    </w:p>
    <w:p w14:paraId="77B004B7" w14:textId="739E065A" w:rsidR="00F21221" w:rsidRPr="006B17BE" w:rsidRDefault="00F21221" w:rsidP="00C37990">
      <w:pPr>
        <w:pStyle w:val="Heading2"/>
      </w:pPr>
      <w:bookmarkStart w:id="610" w:name="_Toc483567960"/>
      <w:r w:rsidRPr="006B17BE">
        <w:t xml:space="preserve">Simulated concentrations </w:t>
      </w:r>
      <w:r w:rsidR="00016E7C" w:rsidRPr="006B17BE">
        <w:t>linked to</w:t>
      </w:r>
      <w:r w:rsidRPr="006B17BE">
        <w:t xml:space="preserve"> leaky pathway</w:t>
      </w:r>
      <w:r w:rsidR="00016E7C" w:rsidRPr="006B17BE">
        <w:t>s</w:t>
      </w:r>
      <w:bookmarkEnd w:id="610"/>
    </w:p>
    <w:p w14:paraId="17512F3C" w14:textId="5A5D35CB" w:rsidR="003F3CF6" w:rsidRPr="006B17BE" w:rsidRDefault="00620399" w:rsidP="00016E7C">
      <w:pPr>
        <w:pStyle w:val="Body"/>
      </w:pPr>
      <w:r w:rsidRPr="006B17BE">
        <w:t xml:space="preserve">Concentrations have been simulated for a leaky well at median and maximum groundwater velocity and </w:t>
      </w:r>
      <w:r w:rsidR="00ED49B1" w:rsidRPr="006B17BE">
        <w:t xml:space="preserve">for </w:t>
      </w:r>
      <w:r w:rsidRPr="006B17BE">
        <w:t>an open borehole</w:t>
      </w:r>
      <w:r w:rsidR="00ED49B1" w:rsidRPr="006B17BE">
        <w:t xml:space="preserve"> (for velocity values see </w:t>
      </w:r>
      <w:r w:rsidR="00ED49B1" w:rsidRPr="006B17BE">
        <w:fldChar w:fldCharType="begin"/>
      </w:r>
      <w:r w:rsidR="00ED49B1" w:rsidRPr="006B17BE">
        <w:instrText xml:space="preserve"> REF _Ref456783049 \h  \* MERGEFORMAT </w:instrText>
      </w:r>
      <w:r w:rsidR="00ED49B1" w:rsidRPr="006B17BE">
        <w:fldChar w:fldCharType="separate"/>
      </w:r>
      <w:r w:rsidR="00086147" w:rsidRPr="006B17BE">
        <w:t xml:space="preserve">Table </w:t>
      </w:r>
      <w:r w:rsidR="00086147">
        <w:t>5</w:t>
      </w:r>
      <w:r w:rsidR="00086147">
        <w:noBreakHyphen/>
        <w:t>3</w:t>
      </w:r>
      <w:r w:rsidR="00ED49B1" w:rsidRPr="006B17BE">
        <w:fldChar w:fldCharType="end"/>
      </w:r>
      <w:r w:rsidR="00ED49B1" w:rsidRPr="006B17BE">
        <w:t>)</w:t>
      </w:r>
      <w:r w:rsidRPr="006B17BE">
        <w:t xml:space="preserve">. </w:t>
      </w:r>
      <w:r w:rsidR="00ED49B1" w:rsidRPr="006B17BE">
        <w:t>For both the leaky well and the open borehole, upward and downward flow was considered (</w:t>
      </w:r>
      <w:r w:rsidR="00ED49B1" w:rsidRPr="006B17BE">
        <w:fldChar w:fldCharType="begin"/>
      </w:r>
      <w:r w:rsidR="00ED49B1" w:rsidRPr="006B17BE">
        <w:instrText xml:space="preserve"> REF _Ref456791330 \h </w:instrText>
      </w:r>
      <w:r w:rsidR="006B17BE">
        <w:instrText xml:space="preserve"> \* MERGEFORMAT </w:instrText>
      </w:r>
      <w:r w:rsidR="00ED49B1"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5</w:t>
      </w:r>
      <w:r w:rsidR="00086147">
        <w:rPr>
          <w:rFonts w:asciiTheme="minorHAnsi" w:hAnsiTheme="minorHAnsi" w:cstheme="minorHAnsi"/>
          <w:noProof/>
          <w:szCs w:val="20"/>
        </w:rPr>
        <w:noBreakHyphen/>
        <w:t>4</w:t>
      </w:r>
      <w:r w:rsidR="00ED49B1" w:rsidRPr="006B17BE">
        <w:fldChar w:fldCharType="end"/>
      </w:r>
      <w:r w:rsidR="00ED49B1" w:rsidRPr="006B17BE">
        <w:t xml:space="preserve">). </w:t>
      </w:r>
      <w:r w:rsidR="003F3CF6" w:rsidRPr="006B17BE">
        <w:t xml:space="preserve">The condition of a leaky well is discussed first. </w:t>
      </w:r>
      <w:r w:rsidR="00F21221" w:rsidRPr="006B17BE">
        <w:t xml:space="preserve">A relative change in TDS concentration for upward and downward flow through a leaky well was observed only at distances of up to 10 m downgradient of </w:t>
      </w:r>
      <w:r w:rsidR="003F3CF6" w:rsidRPr="006B17BE">
        <w:t xml:space="preserve">a leaky </w:t>
      </w:r>
      <w:r w:rsidR="00F21221" w:rsidRPr="006B17BE">
        <w:t>well for all conditions</w:t>
      </w:r>
      <w:r w:rsidR="003F3CF6" w:rsidRPr="006B17BE">
        <w:t>, with concentrations slightly less than 4% of the inflow concentration. The upward flow scenario results in slightly larger concentrations than the downward flow scenario.</w:t>
      </w:r>
      <w:r w:rsidR="006421E7" w:rsidRPr="006B17BE">
        <w:t xml:space="preserve"> </w:t>
      </w:r>
    </w:p>
    <w:p w14:paraId="36B1DC0A" w14:textId="373799D5" w:rsidR="00F21221" w:rsidRPr="006B17BE" w:rsidRDefault="006421E7" w:rsidP="00016E7C">
      <w:pPr>
        <w:pStyle w:val="Body"/>
      </w:pPr>
      <w:r w:rsidRPr="006B17BE">
        <w:t>For the open borehole under conditions of upward flow results are similar to those for the leaky well.</w:t>
      </w:r>
      <w:r w:rsidR="00F21221" w:rsidRPr="006B17BE">
        <w:t xml:space="preserve"> </w:t>
      </w:r>
      <w:r w:rsidRPr="006B17BE">
        <w:t>F</w:t>
      </w:r>
      <w:r w:rsidR="00F21221" w:rsidRPr="006B17BE">
        <w:t xml:space="preserve">or downward flow through a fully open </w:t>
      </w:r>
      <w:r w:rsidR="003F3CF6" w:rsidRPr="006B17BE">
        <w:t>borehole</w:t>
      </w:r>
      <w:r w:rsidR="00F21221" w:rsidRPr="006B17BE">
        <w:t xml:space="preserve">, with a head difference representing the hydrogeological conditions immediately after </w:t>
      </w:r>
      <w:r w:rsidR="003F3CF6" w:rsidRPr="006B17BE">
        <w:t xml:space="preserve">gas </w:t>
      </w:r>
      <w:r w:rsidR="00F21221" w:rsidRPr="006B17BE">
        <w:t>production ceased (</w:t>
      </w:r>
      <w:r w:rsidR="00F21221" w:rsidRPr="006B17BE">
        <w:fldChar w:fldCharType="begin"/>
      </w:r>
      <w:r w:rsidR="00F21221" w:rsidRPr="006B17BE">
        <w:instrText xml:space="preserve"> REF _Ref456791330 \h  \* MERGEFORMAT </w:instrText>
      </w:r>
      <w:r w:rsidR="00F21221" w:rsidRPr="006B17BE">
        <w:fldChar w:fldCharType="separate"/>
      </w:r>
      <w:r w:rsidR="00086147" w:rsidRPr="00086147">
        <w:t xml:space="preserve">Figure </w:t>
      </w:r>
      <w:r w:rsidR="00086147" w:rsidRPr="00086147">
        <w:rPr>
          <w:noProof/>
        </w:rPr>
        <w:t>5</w:t>
      </w:r>
      <w:r w:rsidR="00086147" w:rsidRPr="00086147">
        <w:rPr>
          <w:noProof/>
        </w:rPr>
        <w:noBreakHyphen/>
        <w:t>4</w:t>
      </w:r>
      <w:r w:rsidR="00F21221" w:rsidRPr="006B17BE">
        <w:fldChar w:fldCharType="end"/>
      </w:r>
      <w:r w:rsidR="00F21221" w:rsidRPr="006B17BE">
        <w:t>)</w:t>
      </w:r>
      <w:r w:rsidRPr="006B17BE">
        <w:t>, the concentrations are much larger</w:t>
      </w:r>
      <w:r w:rsidR="00F21221" w:rsidRPr="006B17BE">
        <w:t xml:space="preserve">. In this extreme case, the relative change in TDS at </w:t>
      </w:r>
      <w:r w:rsidRPr="006B17BE">
        <w:t xml:space="preserve">10 m is nearly 12% of the inflow concentration. </w:t>
      </w:r>
      <w:r w:rsidR="001D76F5" w:rsidRPr="006B17BE">
        <w:t xml:space="preserve">The higher velocity results in a larger solute mass flux </w:t>
      </w:r>
      <w:r w:rsidR="002E46B4" w:rsidRPr="006B17BE">
        <w:t xml:space="preserve">bringer more solutes into the aquifer per unit of time. </w:t>
      </w:r>
      <w:r w:rsidRPr="006B17BE">
        <w:t xml:space="preserve">At </w:t>
      </w:r>
      <w:r w:rsidR="00F21221" w:rsidRPr="006B17BE">
        <w:t xml:space="preserve">distances of 500 m and further from the well </w:t>
      </w:r>
      <w:r w:rsidRPr="006B17BE">
        <w:t xml:space="preserve">the concentration has decreased to </w:t>
      </w:r>
      <w:r w:rsidR="00F21221" w:rsidRPr="006B17BE">
        <w:t xml:space="preserve">less than 1% of the inflow concentration. </w:t>
      </w:r>
      <w:r w:rsidR="002E7535">
        <w:t>Further research is needed to determine what this means in terms of concentrations for individual contaminants of concern.</w:t>
      </w:r>
    </w:p>
    <w:p w14:paraId="60533356" w14:textId="7886CC38" w:rsidR="00F21221" w:rsidRPr="006B17BE" w:rsidRDefault="00F21221" w:rsidP="00896942">
      <w:pPr>
        <w:pStyle w:val="Body"/>
      </w:pPr>
      <w:r w:rsidRPr="006B17BE">
        <w:t xml:space="preserve">When the </w:t>
      </w:r>
      <w:r w:rsidR="002E46B4" w:rsidRPr="006B17BE">
        <w:t>absolute</w:t>
      </w:r>
      <w:r w:rsidRPr="006B17BE">
        <w:t xml:space="preserve"> TDS concentrations are considered</w:t>
      </w:r>
      <w:r w:rsidR="002E46B4" w:rsidRPr="006B17BE">
        <w:t xml:space="preserve"> (</w:t>
      </w:r>
      <w:r w:rsidR="002E46B4" w:rsidRPr="006B17BE">
        <w:fldChar w:fldCharType="begin"/>
      </w:r>
      <w:r w:rsidR="002E46B4" w:rsidRPr="006B17BE">
        <w:instrText xml:space="preserve"> REF _Ref456792588 \h </w:instrText>
      </w:r>
      <w:r w:rsidR="006B17BE">
        <w:instrText xml:space="preserve"> \* MERGEFORMAT </w:instrText>
      </w:r>
      <w:r w:rsidR="002E46B4"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5</w:t>
      </w:r>
      <w:r w:rsidR="00086147">
        <w:rPr>
          <w:rFonts w:asciiTheme="minorHAnsi" w:hAnsiTheme="minorHAnsi" w:cstheme="minorHAnsi"/>
          <w:noProof/>
          <w:szCs w:val="20"/>
        </w:rPr>
        <w:noBreakHyphen/>
        <w:t>5</w:t>
      </w:r>
      <w:r w:rsidR="002E46B4" w:rsidRPr="006B17BE">
        <w:fldChar w:fldCharType="end"/>
      </w:r>
      <w:r w:rsidR="002E46B4" w:rsidRPr="006B17BE">
        <w:t>)</w:t>
      </w:r>
      <w:r w:rsidRPr="006B17BE">
        <w:t xml:space="preserve">, </w:t>
      </w:r>
      <w:r w:rsidR="002E46B4" w:rsidRPr="006B17BE">
        <w:t xml:space="preserve">the combination of </w:t>
      </w:r>
      <w:r w:rsidRPr="006B17BE">
        <w:t>a median background groundwater velocity and median difference in TDS concentrations (scenario 1a) will lead to an increase in TDS concentration in the Pilliga Sandstone of 330 mgL</w:t>
      </w:r>
      <w:r w:rsidRPr="006B17BE">
        <w:rPr>
          <w:vertAlign w:val="superscript"/>
        </w:rPr>
        <w:t>-1</w:t>
      </w:r>
      <w:r w:rsidRPr="006B17BE">
        <w:t xml:space="preserve">, </w:t>
      </w:r>
      <w:r w:rsidR="002E46B4" w:rsidRPr="006B17BE">
        <w:t xml:space="preserve">i.e. </w:t>
      </w:r>
      <w:r w:rsidRPr="006B17BE">
        <w:t>from 600 mgL</w:t>
      </w:r>
      <w:r w:rsidRPr="006B17BE">
        <w:rPr>
          <w:vertAlign w:val="superscript"/>
        </w:rPr>
        <w:t>-1</w:t>
      </w:r>
      <w:r w:rsidRPr="006B17BE">
        <w:t xml:space="preserve"> baseline to 930 mgL</w:t>
      </w:r>
      <w:r w:rsidRPr="006B17BE">
        <w:rPr>
          <w:vertAlign w:val="superscript"/>
        </w:rPr>
        <w:t>-1</w:t>
      </w:r>
      <w:r w:rsidRPr="006B17BE">
        <w:t xml:space="preserve"> at a distance of 10 metres from the leaky well (</w:t>
      </w:r>
      <w:r w:rsidRPr="006B17BE">
        <w:fldChar w:fldCharType="begin"/>
      </w:r>
      <w:r w:rsidRPr="006B17BE">
        <w:instrText xml:space="preserve"> REF _Ref456792588 \h  \* MERGEFORMAT </w:instrText>
      </w:r>
      <w:r w:rsidRPr="006B17BE">
        <w:fldChar w:fldCharType="separate"/>
      </w:r>
      <w:r w:rsidR="00086147" w:rsidRPr="00086147">
        <w:t xml:space="preserve">Figure </w:t>
      </w:r>
      <w:r w:rsidR="00086147" w:rsidRPr="00086147">
        <w:rPr>
          <w:noProof/>
        </w:rPr>
        <w:t>5</w:t>
      </w:r>
      <w:r w:rsidR="00086147" w:rsidRPr="00086147">
        <w:rPr>
          <w:noProof/>
        </w:rPr>
        <w:noBreakHyphen/>
        <w:t>5</w:t>
      </w:r>
      <w:r w:rsidRPr="006B17BE">
        <w:fldChar w:fldCharType="end"/>
      </w:r>
      <w:r w:rsidRPr="006B17BE">
        <w:t xml:space="preserve">). At distances of 50 m from the well the increase is </w:t>
      </w:r>
      <w:r w:rsidR="002E46B4" w:rsidRPr="006B17BE">
        <w:t xml:space="preserve">only </w:t>
      </w:r>
      <w:r w:rsidRPr="006B17BE">
        <w:t>54 mgL</w:t>
      </w:r>
      <w:r w:rsidRPr="006B17BE">
        <w:rPr>
          <w:vertAlign w:val="superscript"/>
        </w:rPr>
        <w:t>-1</w:t>
      </w:r>
      <w:r w:rsidRPr="006B17BE">
        <w:t>, and at 100 m it is 16 mgL</w:t>
      </w:r>
      <w:r w:rsidRPr="006B17BE">
        <w:rPr>
          <w:vertAlign w:val="superscript"/>
        </w:rPr>
        <w:t>-1</w:t>
      </w:r>
      <w:r w:rsidRPr="006B17BE">
        <w:t xml:space="preserve">. </w:t>
      </w:r>
      <w:r w:rsidR="00DD71FF">
        <w:t>At the next distance where concentrations were modell</w:t>
      </w:r>
      <w:r w:rsidR="008753AF">
        <w:t>ed (i.e. 500 m)</w:t>
      </w:r>
      <w:r w:rsidR="00DD71FF">
        <w:t xml:space="preserve"> the </w:t>
      </w:r>
      <w:r w:rsidRPr="006B17BE">
        <w:t>changes in TDS are no</w:t>
      </w:r>
      <w:r w:rsidR="00DD71FF">
        <w:t xml:space="preserve"> longer </w:t>
      </w:r>
      <w:r w:rsidR="008753AF">
        <w:t>detectable</w:t>
      </w:r>
      <w:r w:rsidRPr="006B17BE">
        <w:t>.</w:t>
      </w:r>
    </w:p>
    <w:p w14:paraId="72E563EC" w14:textId="7A3400F7" w:rsidR="00F21221" w:rsidRPr="006B17BE" w:rsidRDefault="00F21221" w:rsidP="00514AFC">
      <w:pPr>
        <w:pStyle w:val="Body"/>
      </w:pPr>
      <w:r w:rsidRPr="006B17BE">
        <w:t>For maximum background groundwater velocity and maximum difference in TDS concentration (scenario 1d), the increase in TDS in the Pilliga Sandstone was 590 mgL</w:t>
      </w:r>
      <w:r w:rsidRPr="006B17BE">
        <w:rPr>
          <w:vertAlign w:val="superscript"/>
        </w:rPr>
        <w:t>-1</w:t>
      </w:r>
      <w:r w:rsidRPr="006B17BE">
        <w:t>, from a baseline of 500 </w:t>
      </w:r>
      <w:r w:rsidR="00921E76" w:rsidRPr="006B17BE">
        <w:br/>
      </w:r>
      <w:r w:rsidRPr="006B17BE">
        <w:t>mgL</w:t>
      </w:r>
      <w:r w:rsidRPr="006B17BE">
        <w:rPr>
          <w:vertAlign w:val="superscript"/>
        </w:rPr>
        <w:t>-1</w:t>
      </w:r>
      <w:r w:rsidRPr="006B17BE">
        <w:t xml:space="preserve"> to 1090 mgL</w:t>
      </w:r>
      <w:r w:rsidRPr="006B17BE">
        <w:rPr>
          <w:vertAlign w:val="superscript"/>
        </w:rPr>
        <w:t>-1</w:t>
      </w:r>
      <w:r w:rsidRPr="006B17BE">
        <w:t>. The increase in TDS concentration declines rapidly with distance from the well, and the impact is limited to within 100 m of the leaky well</w:t>
      </w:r>
      <w:r w:rsidR="00F57BE4" w:rsidRPr="006B17BE">
        <w:t xml:space="preserve"> (</w:t>
      </w:r>
      <w:r w:rsidR="00F57BE4" w:rsidRPr="006B17BE">
        <w:fldChar w:fldCharType="begin"/>
      </w:r>
      <w:r w:rsidR="00F57BE4" w:rsidRPr="006B17BE">
        <w:instrText xml:space="preserve"> REF _Ref456792588 \h </w:instrText>
      </w:r>
      <w:r w:rsidR="006B17BE">
        <w:instrText xml:space="preserve"> \* MERGEFORMAT </w:instrText>
      </w:r>
      <w:r w:rsidR="00F57BE4"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5</w:t>
      </w:r>
      <w:r w:rsidR="00086147">
        <w:rPr>
          <w:rFonts w:asciiTheme="minorHAnsi" w:hAnsiTheme="minorHAnsi" w:cstheme="minorHAnsi"/>
          <w:noProof/>
          <w:szCs w:val="20"/>
        </w:rPr>
        <w:noBreakHyphen/>
        <w:t>5</w:t>
      </w:r>
      <w:r w:rsidR="00F57BE4" w:rsidRPr="006B17BE">
        <w:fldChar w:fldCharType="end"/>
      </w:r>
      <w:r w:rsidR="00F57BE4" w:rsidRPr="006B17BE">
        <w:t>)</w:t>
      </w:r>
      <w:r w:rsidRPr="006B17BE">
        <w:t>.</w:t>
      </w:r>
    </w:p>
    <w:p w14:paraId="65375456" w14:textId="3CC4BA7A" w:rsidR="00F21221" w:rsidRPr="006B17BE" w:rsidRDefault="00F21221" w:rsidP="00921E76">
      <w:pPr>
        <w:pStyle w:val="Body"/>
      </w:pPr>
      <w:r w:rsidRPr="006B17BE">
        <w:t>The most extreme combination of conditions – a velocity equal to that of water exiting an open bore, and a maximum difference in TDS conditions still only relates to an increase in TDS concentration of 650 mgL</w:t>
      </w:r>
      <w:r w:rsidRPr="006B17BE">
        <w:rPr>
          <w:vertAlign w:val="superscript"/>
        </w:rPr>
        <w:t>-1</w:t>
      </w:r>
      <w:r w:rsidRPr="006B17BE">
        <w:t xml:space="preserve"> (</w:t>
      </w:r>
      <w:r w:rsidR="00F57BE4" w:rsidRPr="006B17BE">
        <w:t xml:space="preserve">from </w:t>
      </w:r>
      <w:r w:rsidRPr="006B17BE">
        <w:t>500 mgL</w:t>
      </w:r>
      <w:r w:rsidRPr="006B17BE">
        <w:rPr>
          <w:vertAlign w:val="superscript"/>
        </w:rPr>
        <w:t>-1</w:t>
      </w:r>
      <w:r w:rsidRPr="006B17BE">
        <w:t xml:space="preserve"> to 1150 mgL</w:t>
      </w:r>
      <w:r w:rsidRPr="006B17BE">
        <w:rPr>
          <w:vertAlign w:val="superscript"/>
        </w:rPr>
        <w:t>-1</w:t>
      </w:r>
      <w:r w:rsidRPr="006B17BE">
        <w:t>)</w:t>
      </w:r>
      <w:r w:rsidR="00F57BE4" w:rsidRPr="006B17BE">
        <w:t xml:space="preserve"> (</w:t>
      </w:r>
      <w:r w:rsidR="00F57BE4" w:rsidRPr="006B17BE">
        <w:fldChar w:fldCharType="begin"/>
      </w:r>
      <w:r w:rsidR="00F57BE4" w:rsidRPr="006B17BE">
        <w:instrText xml:space="preserve"> REF _Ref456792588 \h </w:instrText>
      </w:r>
      <w:r w:rsidR="006B17BE">
        <w:instrText xml:space="preserve"> \* MERGEFORMAT </w:instrText>
      </w:r>
      <w:r w:rsidR="00F57BE4" w:rsidRPr="006B17BE">
        <w:fldChar w:fldCharType="separate"/>
      </w:r>
      <w:r w:rsidR="00086147" w:rsidRPr="006B17BE">
        <w:rPr>
          <w:rFonts w:asciiTheme="minorHAnsi" w:hAnsiTheme="minorHAnsi" w:cstheme="minorHAnsi"/>
          <w:szCs w:val="20"/>
        </w:rPr>
        <w:t xml:space="preserve">Figure </w:t>
      </w:r>
      <w:r w:rsidR="00086147">
        <w:rPr>
          <w:rFonts w:asciiTheme="minorHAnsi" w:hAnsiTheme="minorHAnsi" w:cstheme="minorHAnsi"/>
          <w:noProof/>
          <w:szCs w:val="20"/>
        </w:rPr>
        <w:t>5</w:t>
      </w:r>
      <w:r w:rsidR="00086147">
        <w:rPr>
          <w:rFonts w:asciiTheme="minorHAnsi" w:hAnsiTheme="minorHAnsi" w:cstheme="minorHAnsi"/>
          <w:noProof/>
          <w:szCs w:val="20"/>
        </w:rPr>
        <w:noBreakHyphen/>
        <w:t>5</w:t>
      </w:r>
      <w:r w:rsidR="00F57BE4" w:rsidRPr="006B17BE">
        <w:fldChar w:fldCharType="end"/>
      </w:r>
      <w:r w:rsidR="00F57BE4" w:rsidRPr="006B17BE">
        <w:t>)</w:t>
      </w:r>
      <w:r w:rsidRPr="006B17BE">
        <w:t>. While this may have an impact on salt sensitive water uses where water extraction bores were within 100 m downgradient of a leaky bore, it is unlikely that it will cause an impact at a regional scale.</w:t>
      </w:r>
    </w:p>
    <w:p w14:paraId="16AB4DF9" w14:textId="0174CFDE" w:rsidR="00F21221" w:rsidRPr="006B17BE" w:rsidRDefault="00BC1993" w:rsidP="004B0571">
      <w:pPr>
        <w:pStyle w:val="Body"/>
      </w:pPr>
      <w:r w:rsidRPr="006B17BE">
        <w:t>When downward solute transport is considered, dilution within the Maules Creek formation occurs owing to inflow of less saline groundwater from the overlying Pilliga Sandstone aquifer. T</w:t>
      </w:r>
      <w:r w:rsidR="00F21221" w:rsidRPr="006B17BE">
        <w:t>he maximum dilution of the Maules Creek formation groundwater TDS concentration was 2</w:t>
      </w:r>
      <w:r w:rsidR="00F57BE4" w:rsidRPr="006B17BE">
        <w:t>,</w:t>
      </w:r>
      <w:r w:rsidR="00F21221" w:rsidRPr="006B17BE">
        <w:t>000 mgL</w:t>
      </w:r>
      <w:r w:rsidR="00F21221" w:rsidRPr="006B17BE">
        <w:rPr>
          <w:vertAlign w:val="superscript"/>
        </w:rPr>
        <w:t>-1</w:t>
      </w:r>
      <w:r w:rsidR="00F21221" w:rsidRPr="006B17BE">
        <w:t xml:space="preserve"> (from 17</w:t>
      </w:r>
      <w:r w:rsidR="00F57BE4" w:rsidRPr="006B17BE">
        <w:t>,</w:t>
      </w:r>
      <w:r w:rsidR="00F21221" w:rsidRPr="006B17BE">
        <w:t>000 mgL</w:t>
      </w:r>
      <w:r w:rsidR="00F21221" w:rsidRPr="006B17BE">
        <w:rPr>
          <w:vertAlign w:val="superscript"/>
        </w:rPr>
        <w:t>-1</w:t>
      </w:r>
      <w:r w:rsidR="00F21221" w:rsidRPr="006B17BE">
        <w:t xml:space="preserve"> to 15</w:t>
      </w:r>
      <w:r w:rsidR="00F57BE4" w:rsidRPr="006B17BE">
        <w:t>,</w:t>
      </w:r>
      <w:r w:rsidR="00F21221" w:rsidRPr="006B17BE">
        <w:t>000 mgL</w:t>
      </w:r>
      <w:r w:rsidR="00F21221" w:rsidRPr="006B17BE">
        <w:rPr>
          <w:vertAlign w:val="superscript"/>
        </w:rPr>
        <w:t>-1</w:t>
      </w:r>
      <w:r w:rsidR="00F21221" w:rsidRPr="006B17BE">
        <w:t xml:space="preserve">) at a distance of 10 m from an open well. This will not impact water users accessing the upper aquifers, but there is a possibility that the change in chemistry </w:t>
      </w:r>
      <w:r w:rsidRPr="006B17BE">
        <w:t xml:space="preserve">(if it contains corrosive elements) </w:t>
      </w:r>
      <w:r w:rsidR="00F21221" w:rsidRPr="006B17BE">
        <w:t xml:space="preserve">may accelerate </w:t>
      </w:r>
      <w:r w:rsidRPr="006B17BE">
        <w:t xml:space="preserve">degradation (corrosion or clogging) </w:t>
      </w:r>
      <w:r w:rsidR="00F21221" w:rsidRPr="006B17BE">
        <w:t xml:space="preserve">of any valuable </w:t>
      </w:r>
      <w:r w:rsidR="002441A5" w:rsidRPr="006B17BE">
        <w:t>coal seam gas</w:t>
      </w:r>
      <w:r w:rsidR="00F21221" w:rsidRPr="006B17BE">
        <w:t xml:space="preserve"> infrastructure at that depth. At distances of more than 500 m downgradient from a leaky well, the dilution decreases to 152 mgL</w:t>
      </w:r>
      <w:r w:rsidR="00F21221" w:rsidRPr="006B17BE">
        <w:rPr>
          <w:vertAlign w:val="superscript"/>
        </w:rPr>
        <w:t>-1</w:t>
      </w:r>
      <w:r w:rsidR="00F21221" w:rsidRPr="006B17BE">
        <w:t xml:space="preserve"> less than the original 17</w:t>
      </w:r>
      <w:r w:rsidRPr="006B17BE">
        <w:t>,</w:t>
      </w:r>
      <w:r w:rsidR="00F21221" w:rsidRPr="006B17BE">
        <w:t>000 mgL</w:t>
      </w:r>
      <w:r w:rsidR="00F21221" w:rsidRPr="006B17BE">
        <w:rPr>
          <w:vertAlign w:val="superscript"/>
        </w:rPr>
        <w:t>-1</w:t>
      </w:r>
      <w:r w:rsidR="00F21221" w:rsidRPr="006B17BE">
        <w:t>. As CGS wells are generally spaced more than 500 m apart, it is unlikely</w:t>
      </w:r>
      <w:r w:rsidRPr="006B17BE">
        <w:t xml:space="preserve"> that the dilution effect from one</w:t>
      </w:r>
      <w:r w:rsidR="00F21221" w:rsidRPr="006B17BE">
        <w:t xml:space="preserve"> failed </w:t>
      </w:r>
      <w:r w:rsidR="002441A5" w:rsidRPr="006B17BE">
        <w:t>coal seam gas</w:t>
      </w:r>
      <w:r w:rsidR="00F21221" w:rsidRPr="006B17BE">
        <w:t xml:space="preserve"> well will impact one of its neighbouring wells. There is a possibility that decommissioned </w:t>
      </w:r>
      <w:r w:rsidR="009E152D" w:rsidRPr="006B17BE">
        <w:t>coal seam gas</w:t>
      </w:r>
      <w:r w:rsidR="00F21221" w:rsidRPr="006B17BE">
        <w:t xml:space="preserve"> wells may be impacted by nearby exploration bores that have not been appropriately decommissioned. </w:t>
      </w:r>
    </w:p>
    <w:p w14:paraId="44DAFE0F" w14:textId="77777777" w:rsidR="00F21221" w:rsidRPr="006B17BE" w:rsidRDefault="00F21221" w:rsidP="00F21221">
      <w:pPr>
        <w:pStyle w:val="BodyText"/>
        <w:rPr>
          <w:rFonts w:asciiTheme="minorHAnsi" w:hAnsiTheme="minorHAnsi"/>
          <w:szCs w:val="24"/>
        </w:rPr>
      </w:pPr>
    </w:p>
    <w:p w14:paraId="20514C8F" w14:textId="77777777" w:rsidR="00F21221" w:rsidRPr="006B17BE" w:rsidRDefault="00F21221" w:rsidP="00F21221">
      <w:pPr>
        <w:pStyle w:val="BodyText"/>
        <w:rPr>
          <w:rFonts w:asciiTheme="minorHAnsi" w:hAnsiTheme="minorHAnsi"/>
          <w:szCs w:val="24"/>
        </w:rPr>
      </w:pPr>
    </w:p>
    <w:p w14:paraId="69F2CBE2" w14:textId="77777777" w:rsidR="00F21221" w:rsidRPr="006B17BE" w:rsidRDefault="00F21221" w:rsidP="00F21221">
      <w:pPr>
        <w:pStyle w:val="BodyText"/>
        <w:rPr>
          <w:rFonts w:asciiTheme="minorHAnsi" w:hAnsiTheme="minorHAnsi"/>
          <w:szCs w:val="24"/>
        </w:rPr>
        <w:sectPr w:rsidR="00F21221" w:rsidRPr="006B17BE" w:rsidSect="00F60987">
          <w:footerReference w:type="default" r:id="rId55"/>
          <w:pgSz w:w="11906" w:h="16838"/>
          <w:pgMar w:top="1440" w:right="1440" w:bottom="1440" w:left="1440" w:header="708" w:footer="708" w:gutter="0"/>
          <w:pgNumType w:start="1"/>
          <w:cols w:space="708"/>
          <w:docGrid w:linePitch="360"/>
        </w:sectPr>
      </w:pPr>
    </w:p>
    <w:p w14:paraId="22849750" w14:textId="7A09C5EC" w:rsidR="00F21221" w:rsidRPr="006B17BE" w:rsidRDefault="00E14CB3" w:rsidP="00F21221">
      <w:pPr>
        <w:pStyle w:val="BodyText"/>
        <w:rPr>
          <w:rFonts w:asciiTheme="minorHAnsi" w:hAnsiTheme="minorHAnsi"/>
          <w:szCs w:val="24"/>
        </w:rPr>
      </w:pPr>
      <w:r>
        <w:rPr>
          <w:rFonts w:asciiTheme="minorHAnsi" w:hAnsiTheme="minorHAnsi"/>
          <w:noProof/>
          <w:szCs w:val="24"/>
        </w:rPr>
        <w:drawing>
          <wp:inline distT="0" distB="0" distL="0" distR="0" wp14:anchorId="3487F5F5" wp14:editId="74423B97">
            <wp:extent cx="5782235" cy="3913499"/>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RelativeTDS2.jpeg"/>
                    <pic:cNvPicPr/>
                  </pic:nvPicPr>
                  <pic:blipFill>
                    <a:blip r:embed="rId56">
                      <a:extLst>
                        <a:ext uri="{28A0092B-C50C-407E-A947-70E740481C1C}">
                          <a14:useLocalDpi xmlns:a14="http://schemas.microsoft.com/office/drawing/2010/main" val="0"/>
                        </a:ext>
                      </a:extLst>
                    </a:blip>
                    <a:stretch>
                      <a:fillRect/>
                    </a:stretch>
                  </pic:blipFill>
                  <pic:spPr>
                    <a:xfrm>
                      <a:off x="0" y="0"/>
                      <a:ext cx="5806508" cy="3929928"/>
                    </a:xfrm>
                    <a:prstGeom prst="rect">
                      <a:avLst/>
                    </a:prstGeom>
                  </pic:spPr>
                </pic:pic>
              </a:graphicData>
            </a:graphic>
          </wp:inline>
        </w:drawing>
      </w:r>
    </w:p>
    <w:p w14:paraId="5456889E" w14:textId="05FDEAD5" w:rsidR="00E85946" w:rsidRDefault="00F21221" w:rsidP="00E85946">
      <w:pPr>
        <w:pStyle w:val="Caption"/>
        <w:rPr>
          <w:rFonts w:asciiTheme="minorHAnsi" w:hAnsiTheme="minorHAnsi" w:cstheme="minorHAnsi"/>
          <w:szCs w:val="20"/>
        </w:rPr>
      </w:pPr>
      <w:bookmarkStart w:id="611" w:name="_Ref456791330"/>
      <w:bookmarkStart w:id="612" w:name="_Toc508267302"/>
      <w:r w:rsidRPr="006B17BE">
        <w:rPr>
          <w:rFonts w:asciiTheme="minorHAnsi" w:hAnsiTheme="minorHAnsi" w:cstheme="minorHAnsi"/>
          <w:szCs w:val="20"/>
        </w:rPr>
        <w:t xml:space="preserve">Figure </w:t>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STYLEREF 1 \s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5</w:t>
      </w:r>
      <w:r w:rsidR="0014612E">
        <w:rPr>
          <w:rFonts w:asciiTheme="minorHAnsi" w:hAnsiTheme="minorHAnsi" w:cstheme="minorHAnsi"/>
          <w:szCs w:val="20"/>
        </w:rPr>
        <w:fldChar w:fldCharType="end"/>
      </w:r>
      <w:r w:rsidR="0014612E">
        <w:rPr>
          <w:rFonts w:asciiTheme="minorHAnsi" w:hAnsiTheme="minorHAnsi" w:cstheme="minorHAnsi"/>
          <w:szCs w:val="20"/>
        </w:rPr>
        <w:noBreakHyphen/>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SEQ Figure \* ARABIC \s 1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4</w:t>
      </w:r>
      <w:r w:rsidR="0014612E">
        <w:rPr>
          <w:rFonts w:asciiTheme="minorHAnsi" w:hAnsiTheme="minorHAnsi" w:cstheme="minorHAnsi"/>
          <w:szCs w:val="20"/>
        </w:rPr>
        <w:fldChar w:fldCharType="end"/>
      </w:r>
      <w:bookmarkEnd w:id="611"/>
      <w:r w:rsidRPr="006B17BE">
        <w:rPr>
          <w:rFonts w:asciiTheme="minorHAnsi" w:hAnsiTheme="minorHAnsi" w:cstheme="minorHAnsi"/>
          <w:szCs w:val="20"/>
        </w:rPr>
        <w:t xml:space="preserve"> Relative change in TDS concentration with time at 10 m, 50 m, 100 m, 500 m and 1</w:t>
      </w:r>
      <w:r w:rsidR="002E1546" w:rsidRPr="006B17BE">
        <w:rPr>
          <w:rFonts w:asciiTheme="minorHAnsi" w:hAnsiTheme="minorHAnsi" w:cstheme="minorHAnsi"/>
          <w:szCs w:val="20"/>
        </w:rPr>
        <w:t>,</w:t>
      </w:r>
      <w:r w:rsidRPr="006B17BE">
        <w:rPr>
          <w:rFonts w:asciiTheme="minorHAnsi" w:hAnsiTheme="minorHAnsi" w:cstheme="minorHAnsi"/>
          <w:szCs w:val="20"/>
        </w:rPr>
        <w:t>000 </w:t>
      </w:r>
      <w:r w:rsidR="002E1546" w:rsidRPr="006B17BE">
        <w:rPr>
          <w:rFonts w:asciiTheme="minorHAnsi" w:hAnsiTheme="minorHAnsi" w:cstheme="minorHAnsi"/>
          <w:szCs w:val="20"/>
        </w:rPr>
        <w:t>m observation points</w:t>
      </w:r>
      <w:r w:rsidRPr="006B17BE">
        <w:rPr>
          <w:rFonts w:asciiTheme="minorHAnsi" w:hAnsiTheme="minorHAnsi" w:cstheme="minorHAnsi"/>
          <w:szCs w:val="20"/>
        </w:rPr>
        <w:t xml:space="preserve">, for upward </w:t>
      </w:r>
      <w:r w:rsidR="002E1546" w:rsidRPr="006B17BE">
        <w:rPr>
          <w:rFonts w:asciiTheme="minorHAnsi" w:hAnsiTheme="minorHAnsi" w:cstheme="minorHAnsi"/>
          <w:szCs w:val="20"/>
        </w:rPr>
        <w:t xml:space="preserve">(top row) </w:t>
      </w:r>
      <w:r w:rsidRPr="006B17BE">
        <w:rPr>
          <w:rFonts w:asciiTheme="minorHAnsi" w:hAnsiTheme="minorHAnsi" w:cstheme="minorHAnsi"/>
          <w:szCs w:val="20"/>
        </w:rPr>
        <w:t xml:space="preserve">and downward </w:t>
      </w:r>
      <w:r w:rsidR="002E1546" w:rsidRPr="006B17BE">
        <w:rPr>
          <w:rFonts w:asciiTheme="minorHAnsi" w:hAnsiTheme="minorHAnsi" w:cstheme="minorHAnsi"/>
          <w:szCs w:val="20"/>
        </w:rPr>
        <w:t xml:space="preserve">(bottom row) </w:t>
      </w:r>
      <w:r w:rsidRPr="006B17BE">
        <w:rPr>
          <w:rFonts w:asciiTheme="minorHAnsi" w:hAnsiTheme="minorHAnsi" w:cstheme="minorHAnsi"/>
          <w:szCs w:val="20"/>
        </w:rPr>
        <w:t xml:space="preserve">flow scenarios through a leaky well using median </w:t>
      </w:r>
      <w:r w:rsidR="002E1546" w:rsidRPr="006B17BE">
        <w:rPr>
          <w:rFonts w:asciiTheme="minorHAnsi" w:hAnsiTheme="minorHAnsi" w:cstheme="minorHAnsi"/>
          <w:szCs w:val="20"/>
        </w:rPr>
        <w:t xml:space="preserve">(first column) and maximum (second column) </w:t>
      </w:r>
      <w:r w:rsidRPr="006B17BE">
        <w:rPr>
          <w:rFonts w:asciiTheme="minorHAnsi" w:hAnsiTheme="minorHAnsi" w:cstheme="minorHAnsi"/>
          <w:szCs w:val="20"/>
        </w:rPr>
        <w:t xml:space="preserve">aquifer velocity and the flow velocity through </w:t>
      </w:r>
      <w:r w:rsidR="002E1546" w:rsidRPr="006B17BE">
        <w:rPr>
          <w:rFonts w:asciiTheme="minorHAnsi" w:hAnsiTheme="minorHAnsi" w:cstheme="minorHAnsi"/>
          <w:szCs w:val="20"/>
        </w:rPr>
        <w:t>an</w:t>
      </w:r>
      <w:r w:rsidRPr="006B17BE">
        <w:rPr>
          <w:rFonts w:asciiTheme="minorHAnsi" w:hAnsiTheme="minorHAnsi" w:cstheme="minorHAnsi"/>
          <w:szCs w:val="20"/>
        </w:rPr>
        <w:t xml:space="preserve"> open </w:t>
      </w:r>
      <w:r w:rsidR="002E1546" w:rsidRPr="006B17BE">
        <w:rPr>
          <w:rFonts w:asciiTheme="minorHAnsi" w:hAnsiTheme="minorHAnsi" w:cstheme="minorHAnsi"/>
          <w:szCs w:val="20"/>
        </w:rPr>
        <w:t>bore (third column)</w:t>
      </w:r>
      <w:r w:rsidRPr="006B17BE">
        <w:rPr>
          <w:rFonts w:asciiTheme="minorHAnsi" w:hAnsiTheme="minorHAnsi" w:cstheme="minorHAnsi"/>
          <w:szCs w:val="20"/>
        </w:rPr>
        <w:t>.</w:t>
      </w:r>
      <w:r w:rsidR="002E46B4" w:rsidRPr="006B17BE">
        <w:rPr>
          <w:rFonts w:asciiTheme="minorHAnsi" w:hAnsiTheme="minorHAnsi" w:cstheme="minorHAnsi"/>
          <w:szCs w:val="20"/>
        </w:rPr>
        <w:t xml:space="preserve"> Hypothetical unit input concentration used.</w:t>
      </w:r>
      <w:r w:rsidR="00E85946">
        <w:rPr>
          <w:rFonts w:asciiTheme="minorHAnsi" w:hAnsiTheme="minorHAnsi" w:cstheme="minorHAnsi"/>
          <w:szCs w:val="20"/>
        </w:rPr>
        <w:t xml:space="preserve"> Concentration </w:t>
      </w:r>
      <w:r w:rsidR="00E85946" w:rsidRPr="000F6A1C">
        <w:rPr>
          <w:rFonts w:asciiTheme="minorHAnsi" w:hAnsiTheme="minorHAnsi" w:cstheme="minorHAnsi"/>
          <w:szCs w:val="20"/>
        </w:rPr>
        <w:t>calculated as (</w:t>
      </w:r>
      <w:r w:rsidR="00E85946" w:rsidRPr="00E85946">
        <w:rPr>
          <w:rFonts w:asciiTheme="minorHAnsi" w:hAnsiTheme="minorHAnsi" w:cstheme="minorHAnsi"/>
          <w:i/>
          <w:szCs w:val="20"/>
        </w:rPr>
        <w:t>C</w:t>
      </w:r>
      <w:r w:rsidR="00E85946" w:rsidRPr="00E85946">
        <w:rPr>
          <w:rFonts w:asciiTheme="minorHAnsi" w:hAnsiTheme="minorHAnsi" w:cstheme="minorHAnsi"/>
          <w:szCs w:val="20"/>
          <w:vertAlign w:val="subscript"/>
        </w:rPr>
        <w:t>x</w:t>
      </w:r>
      <w:r w:rsidR="00E85946" w:rsidRPr="000F6A1C">
        <w:rPr>
          <w:rFonts w:asciiTheme="minorHAnsi" w:hAnsiTheme="minorHAnsi" w:cstheme="minorHAnsi"/>
          <w:szCs w:val="20"/>
        </w:rPr>
        <w:t>-</w:t>
      </w:r>
      <w:r w:rsidR="00E85946" w:rsidRPr="00E85946">
        <w:rPr>
          <w:rFonts w:asciiTheme="minorHAnsi" w:hAnsiTheme="minorHAnsi" w:cstheme="minorHAnsi"/>
          <w:i/>
          <w:szCs w:val="20"/>
        </w:rPr>
        <w:t>C</w:t>
      </w:r>
      <w:r w:rsidR="00E85946" w:rsidRPr="00E85946">
        <w:rPr>
          <w:rFonts w:asciiTheme="minorHAnsi" w:hAnsiTheme="minorHAnsi" w:cstheme="minorHAnsi"/>
          <w:szCs w:val="20"/>
          <w:vertAlign w:val="subscript"/>
        </w:rPr>
        <w:t>b</w:t>
      </w:r>
      <w:r w:rsidR="00E85946" w:rsidRPr="000F6A1C">
        <w:rPr>
          <w:rFonts w:asciiTheme="minorHAnsi" w:hAnsiTheme="minorHAnsi" w:cstheme="minorHAnsi"/>
          <w:szCs w:val="20"/>
        </w:rPr>
        <w:t>)/</w:t>
      </w:r>
      <w:r w:rsidR="00E85946" w:rsidRPr="00E85946">
        <w:rPr>
          <w:rFonts w:asciiTheme="minorHAnsi" w:hAnsiTheme="minorHAnsi" w:cstheme="minorHAnsi"/>
          <w:i/>
          <w:szCs w:val="20"/>
        </w:rPr>
        <w:t>C</w:t>
      </w:r>
      <w:r w:rsidR="00E85946" w:rsidRPr="00E85946">
        <w:rPr>
          <w:rFonts w:asciiTheme="minorHAnsi" w:hAnsiTheme="minorHAnsi" w:cstheme="minorHAnsi"/>
          <w:szCs w:val="20"/>
          <w:vertAlign w:val="subscript"/>
        </w:rPr>
        <w:t>b</w:t>
      </w:r>
      <w:r w:rsidR="00E85946" w:rsidRPr="000F6A1C">
        <w:rPr>
          <w:rFonts w:asciiTheme="minorHAnsi" w:hAnsiTheme="minorHAnsi" w:cstheme="minorHAnsi"/>
          <w:szCs w:val="20"/>
        </w:rPr>
        <w:t xml:space="preserve">, where </w:t>
      </w:r>
      <w:r w:rsidR="00E85946" w:rsidRPr="00E85946">
        <w:rPr>
          <w:rFonts w:asciiTheme="minorHAnsi" w:hAnsiTheme="minorHAnsi" w:cstheme="minorHAnsi"/>
          <w:i/>
          <w:szCs w:val="20"/>
        </w:rPr>
        <w:t>C</w:t>
      </w:r>
      <w:r w:rsidR="00E85946" w:rsidRPr="00E85946">
        <w:rPr>
          <w:rFonts w:asciiTheme="minorHAnsi" w:hAnsiTheme="minorHAnsi" w:cstheme="minorHAnsi"/>
          <w:szCs w:val="20"/>
          <w:vertAlign w:val="subscript"/>
        </w:rPr>
        <w:t>x</w:t>
      </w:r>
      <w:r w:rsidR="00E85946" w:rsidRPr="000F6A1C">
        <w:rPr>
          <w:rFonts w:asciiTheme="minorHAnsi" w:hAnsiTheme="minorHAnsi" w:cstheme="minorHAnsi"/>
          <w:szCs w:val="20"/>
        </w:rPr>
        <w:t xml:space="preserve"> is the solute concentration estimated at a point at distance </w:t>
      </w:r>
      <w:r w:rsidR="00E85946" w:rsidRPr="00E85946">
        <w:rPr>
          <w:rFonts w:asciiTheme="minorHAnsi" w:hAnsiTheme="minorHAnsi" w:cstheme="minorHAnsi"/>
          <w:i/>
          <w:szCs w:val="20"/>
        </w:rPr>
        <w:t>x</w:t>
      </w:r>
      <w:r w:rsidR="00E85946" w:rsidRPr="000F6A1C">
        <w:rPr>
          <w:rFonts w:asciiTheme="minorHAnsi" w:hAnsiTheme="minorHAnsi" w:cstheme="minorHAnsi"/>
          <w:szCs w:val="20"/>
        </w:rPr>
        <w:t xml:space="preserve"> metres downgradient from the well, and </w:t>
      </w:r>
      <w:r w:rsidR="00E85946" w:rsidRPr="00E85946">
        <w:rPr>
          <w:rFonts w:asciiTheme="minorHAnsi" w:hAnsiTheme="minorHAnsi" w:cstheme="minorHAnsi"/>
          <w:i/>
          <w:szCs w:val="20"/>
        </w:rPr>
        <w:t>C</w:t>
      </w:r>
      <w:r w:rsidR="00E85946" w:rsidRPr="00E85946">
        <w:rPr>
          <w:rFonts w:asciiTheme="minorHAnsi" w:hAnsiTheme="minorHAnsi" w:cstheme="minorHAnsi"/>
          <w:szCs w:val="20"/>
          <w:vertAlign w:val="subscript"/>
        </w:rPr>
        <w:t>b</w:t>
      </w:r>
      <w:r w:rsidR="00E85946" w:rsidRPr="000F6A1C">
        <w:rPr>
          <w:rFonts w:asciiTheme="minorHAnsi" w:hAnsiTheme="minorHAnsi" w:cstheme="minorHAnsi"/>
          <w:szCs w:val="20"/>
        </w:rPr>
        <w:t xml:space="preserve"> is the background solute concentration of the aquifer in a location unaffected by the leaky well.</w:t>
      </w:r>
      <w:r w:rsidR="00E85946">
        <w:rPr>
          <w:rFonts w:asciiTheme="minorHAnsi" w:hAnsiTheme="minorHAnsi" w:cstheme="minorHAnsi"/>
          <w:szCs w:val="20"/>
        </w:rPr>
        <w:t xml:space="preserve"> Top row represents typical </w:t>
      </w:r>
      <w:r w:rsidR="00E85946" w:rsidRPr="00E85946">
        <w:rPr>
          <w:rFonts w:asciiTheme="minorHAnsi" w:hAnsiTheme="minorHAnsi" w:cstheme="minorHAnsi"/>
          <w:szCs w:val="20"/>
        </w:rPr>
        <w:t xml:space="preserve">baseline pre-CSG conditions where the shallow aquifer </w:t>
      </w:r>
      <w:r w:rsidR="00E85946">
        <w:rPr>
          <w:rFonts w:asciiTheme="minorHAnsi" w:hAnsiTheme="minorHAnsi" w:cstheme="minorHAnsi"/>
          <w:szCs w:val="20"/>
        </w:rPr>
        <w:t>becomes</w:t>
      </w:r>
      <w:r w:rsidR="00E85946" w:rsidRPr="00E85946">
        <w:rPr>
          <w:rFonts w:asciiTheme="minorHAnsi" w:hAnsiTheme="minorHAnsi" w:cstheme="minorHAnsi"/>
          <w:szCs w:val="20"/>
        </w:rPr>
        <w:t xml:space="preserve"> more saline</w:t>
      </w:r>
      <w:r w:rsidR="00E85946">
        <w:rPr>
          <w:rFonts w:asciiTheme="minorHAnsi" w:hAnsiTheme="minorHAnsi" w:cstheme="minorHAnsi"/>
          <w:szCs w:val="20"/>
        </w:rPr>
        <w:t>. Bottom row represents typical p</w:t>
      </w:r>
      <w:r w:rsidR="00E85946" w:rsidRPr="00E85946">
        <w:rPr>
          <w:rFonts w:asciiTheme="minorHAnsi" w:hAnsiTheme="minorHAnsi" w:cstheme="minorHAnsi"/>
          <w:szCs w:val="20"/>
        </w:rPr>
        <w:t>ost</w:t>
      </w:r>
      <w:r w:rsidR="00E85946">
        <w:rPr>
          <w:rFonts w:asciiTheme="minorHAnsi" w:hAnsiTheme="minorHAnsi" w:cstheme="minorHAnsi"/>
          <w:szCs w:val="20"/>
        </w:rPr>
        <w:t>-</w:t>
      </w:r>
      <w:r w:rsidR="00E85946" w:rsidRPr="00E85946">
        <w:rPr>
          <w:rFonts w:asciiTheme="minorHAnsi" w:hAnsiTheme="minorHAnsi" w:cstheme="minorHAnsi"/>
          <w:szCs w:val="20"/>
        </w:rPr>
        <w:t xml:space="preserve">CSG </w:t>
      </w:r>
      <w:r w:rsidR="00E85946">
        <w:rPr>
          <w:rFonts w:asciiTheme="minorHAnsi" w:hAnsiTheme="minorHAnsi" w:cstheme="minorHAnsi"/>
          <w:szCs w:val="20"/>
        </w:rPr>
        <w:t xml:space="preserve">conditions </w:t>
      </w:r>
      <w:r w:rsidR="00E85946" w:rsidRPr="00E85946">
        <w:rPr>
          <w:rFonts w:asciiTheme="minorHAnsi" w:hAnsiTheme="minorHAnsi" w:cstheme="minorHAnsi"/>
          <w:szCs w:val="20"/>
        </w:rPr>
        <w:t xml:space="preserve">where the CSG </w:t>
      </w:r>
      <w:r w:rsidR="00E85946">
        <w:rPr>
          <w:rFonts w:asciiTheme="minorHAnsi" w:hAnsiTheme="minorHAnsi" w:cstheme="minorHAnsi"/>
          <w:szCs w:val="20"/>
        </w:rPr>
        <w:t xml:space="preserve">production </w:t>
      </w:r>
      <w:r w:rsidR="00E85946" w:rsidRPr="00E85946">
        <w:rPr>
          <w:rFonts w:asciiTheme="minorHAnsi" w:hAnsiTheme="minorHAnsi" w:cstheme="minorHAnsi"/>
          <w:szCs w:val="20"/>
        </w:rPr>
        <w:t xml:space="preserve">zone </w:t>
      </w:r>
      <w:r w:rsidR="00E85946">
        <w:rPr>
          <w:rFonts w:asciiTheme="minorHAnsi" w:hAnsiTheme="minorHAnsi" w:cstheme="minorHAnsi"/>
          <w:szCs w:val="20"/>
        </w:rPr>
        <w:t>become</w:t>
      </w:r>
      <w:r w:rsidR="00E85946" w:rsidRPr="00E85946">
        <w:rPr>
          <w:rFonts w:asciiTheme="minorHAnsi" w:hAnsiTheme="minorHAnsi" w:cstheme="minorHAnsi"/>
          <w:szCs w:val="20"/>
        </w:rPr>
        <w:t>s diluted</w:t>
      </w:r>
      <w:r w:rsidR="00E85946">
        <w:rPr>
          <w:rFonts w:asciiTheme="minorHAnsi" w:hAnsiTheme="minorHAnsi" w:cstheme="minorHAnsi"/>
          <w:szCs w:val="20"/>
        </w:rPr>
        <w:t>.</w:t>
      </w:r>
      <w:bookmarkEnd w:id="612"/>
    </w:p>
    <w:p w14:paraId="22A2EB4F" w14:textId="05913837" w:rsidR="00684F4E" w:rsidRDefault="00684F4E" w:rsidP="00684F4E">
      <w:pPr>
        <w:pStyle w:val="BodyText"/>
        <w:jc w:val="right"/>
      </w:pPr>
    </w:p>
    <w:p w14:paraId="651A2DE6" w14:textId="77777777" w:rsidR="00F21221" w:rsidRPr="006B17BE" w:rsidRDefault="00F21221" w:rsidP="00F21221">
      <w:pPr>
        <w:pStyle w:val="BodyText"/>
        <w:rPr>
          <w:rFonts w:asciiTheme="minorHAnsi" w:hAnsiTheme="minorHAnsi"/>
          <w:szCs w:val="24"/>
        </w:rPr>
      </w:pPr>
      <w:r w:rsidRPr="006B17BE">
        <w:rPr>
          <w:rFonts w:asciiTheme="minorHAnsi" w:hAnsiTheme="minorHAnsi"/>
          <w:noProof/>
          <w:szCs w:val="24"/>
        </w:rPr>
        <w:drawing>
          <wp:inline distT="0" distB="0" distL="0" distR="0" wp14:anchorId="30F0EC8F" wp14:editId="4E0BA67B">
            <wp:extent cx="6283105" cy="4034416"/>
            <wp:effectExtent l="0" t="0" r="381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Upflow.jpeg"/>
                    <pic:cNvPicPr/>
                  </pic:nvPicPr>
                  <pic:blipFill>
                    <a:blip r:embed="rId57">
                      <a:extLst>
                        <a:ext uri="{28A0092B-C50C-407E-A947-70E740481C1C}">
                          <a14:useLocalDpi xmlns:a14="http://schemas.microsoft.com/office/drawing/2010/main" val="0"/>
                        </a:ext>
                      </a:extLst>
                    </a:blip>
                    <a:stretch>
                      <a:fillRect/>
                    </a:stretch>
                  </pic:blipFill>
                  <pic:spPr>
                    <a:xfrm>
                      <a:off x="0" y="0"/>
                      <a:ext cx="6317916" cy="4056769"/>
                    </a:xfrm>
                    <a:prstGeom prst="rect">
                      <a:avLst/>
                    </a:prstGeom>
                  </pic:spPr>
                </pic:pic>
              </a:graphicData>
            </a:graphic>
          </wp:inline>
        </w:drawing>
      </w:r>
    </w:p>
    <w:p w14:paraId="385FCFDC" w14:textId="7542A918" w:rsidR="00F21221" w:rsidRPr="006B17BE" w:rsidRDefault="00F21221" w:rsidP="00F21221">
      <w:pPr>
        <w:pStyle w:val="Caption"/>
        <w:rPr>
          <w:rFonts w:asciiTheme="minorHAnsi" w:hAnsiTheme="minorHAnsi"/>
          <w:sz w:val="24"/>
          <w:szCs w:val="24"/>
        </w:rPr>
      </w:pPr>
      <w:bookmarkStart w:id="613" w:name="_Ref456792588"/>
      <w:bookmarkStart w:id="614" w:name="_Toc508267303"/>
      <w:r w:rsidRPr="006B17BE">
        <w:rPr>
          <w:rFonts w:asciiTheme="minorHAnsi" w:hAnsiTheme="minorHAnsi" w:cstheme="minorHAnsi"/>
          <w:szCs w:val="20"/>
        </w:rPr>
        <w:t xml:space="preserve">Figure </w:t>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STYLEREF 1 \s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5</w:t>
      </w:r>
      <w:r w:rsidR="0014612E">
        <w:rPr>
          <w:rFonts w:asciiTheme="minorHAnsi" w:hAnsiTheme="minorHAnsi" w:cstheme="minorHAnsi"/>
          <w:szCs w:val="20"/>
        </w:rPr>
        <w:fldChar w:fldCharType="end"/>
      </w:r>
      <w:r w:rsidR="0014612E">
        <w:rPr>
          <w:rFonts w:asciiTheme="minorHAnsi" w:hAnsiTheme="minorHAnsi" w:cstheme="minorHAnsi"/>
          <w:szCs w:val="20"/>
        </w:rPr>
        <w:noBreakHyphen/>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SEQ Figure \* ARABIC \s 1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5</w:t>
      </w:r>
      <w:r w:rsidR="0014612E">
        <w:rPr>
          <w:rFonts w:asciiTheme="minorHAnsi" w:hAnsiTheme="minorHAnsi" w:cstheme="minorHAnsi"/>
          <w:szCs w:val="20"/>
        </w:rPr>
        <w:fldChar w:fldCharType="end"/>
      </w:r>
      <w:bookmarkEnd w:id="613"/>
      <w:r w:rsidRPr="006B17BE">
        <w:rPr>
          <w:rFonts w:asciiTheme="minorHAnsi" w:hAnsiTheme="minorHAnsi" w:cstheme="minorHAnsi"/>
          <w:szCs w:val="20"/>
        </w:rPr>
        <w:t xml:space="preserve"> Increases in TDS concentration in the Pilliga Sandstone aquifer with time at the five observation </w:t>
      </w:r>
      <w:r w:rsidR="002E46B4" w:rsidRPr="006B17BE">
        <w:rPr>
          <w:rFonts w:asciiTheme="minorHAnsi" w:hAnsiTheme="minorHAnsi" w:cstheme="minorHAnsi"/>
          <w:szCs w:val="20"/>
        </w:rPr>
        <w:t>points</w:t>
      </w:r>
      <w:r w:rsidRPr="006B17BE">
        <w:rPr>
          <w:rFonts w:asciiTheme="minorHAnsi" w:hAnsiTheme="minorHAnsi" w:cstheme="minorHAnsi"/>
          <w:szCs w:val="20"/>
        </w:rPr>
        <w:t xml:space="preserve"> due to higher TDS water from the Maules Creek formation leaking through a compromised well. Examples shown represent aquifer velocities calculated from median modelled velocity, maximum modelled velocity and maximum velocity of water leaking from an open </w:t>
      </w:r>
      <w:r w:rsidR="002E46B4" w:rsidRPr="006B17BE">
        <w:rPr>
          <w:rFonts w:asciiTheme="minorHAnsi" w:hAnsiTheme="minorHAnsi" w:cstheme="minorHAnsi"/>
          <w:szCs w:val="20"/>
        </w:rPr>
        <w:t>borehole</w:t>
      </w:r>
      <w:r w:rsidRPr="006B17BE">
        <w:rPr>
          <w:rFonts w:asciiTheme="minorHAnsi" w:hAnsiTheme="minorHAnsi" w:cstheme="minorHAnsi"/>
          <w:szCs w:val="20"/>
        </w:rPr>
        <w:t>, and for aquifer TDS differences selected from the median TDS observed in each of the units, and the maximum and minimum TDS differences in each of the units.</w:t>
      </w:r>
      <w:r w:rsidR="00E85946">
        <w:rPr>
          <w:rFonts w:asciiTheme="minorHAnsi" w:hAnsiTheme="minorHAnsi" w:cstheme="minorHAnsi"/>
          <w:szCs w:val="20"/>
        </w:rPr>
        <w:t xml:space="preserve"> Both top and bottom rows represent typical </w:t>
      </w:r>
      <w:r w:rsidR="00E85946" w:rsidRPr="00E85946">
        <w:rPr>
          <w:rFonts w:asciiTheme="minorHAnsi" w:hAnsiTheme="minorHAnsi" w:cstheme="minorHAnsi"/>
          <w:szCs w:val="20"/>
        </w:rPr>
        <w:t>baseline pre-CSG condition</w:t>
      </w:r>
      <w:r w:rsidR="00E85946">
        <w:rPr>
          <w:rFonts w:asciiTheme="minorHAnsi" w:hAnsiTheme="minorHAnsi" w:cstheme="minorHAnsi"/>
          <w:szCs w:val="20"/>
        </w:rPr>
        <w:t>s where the shallow aquifer becomes</w:t>
      </w:r>
      <w:r w:rsidR="00E85946" w:rsidRPr="00E85946">
        <w:rPr>
          <w:rFonts w:asciiTheme="minorHAnsi" w:hAnsiTheme="minorHAnsi" w:cstheme="minorHAnsi"/>
          <w:szCs w:val="20"/>
        </w:rPr>
        <w:t xml:space="preserve"> more saline</w:t>
      </w:r>
      <w:r w:rsidR="00E85946">
        <w:rPr>
          <w:rFonts w:asciiTheme="minorHAnsi" w:hAnsiTheme="minorHAnsi" w:cstheme="minorHAnsi"/>
          <w:szCs w:val="20"/>
        </w:rPr>
        <w:t>.</w:t>
      </w:r>
      <w:bookmarkEnd w:id="614"/>
      <w:r w:rsidR="00E85946">
        <w:rPr>
          <w:rFonts w:asciiTheme="minorHAnsi" w:hAnsiTheme="minorHAnsi" w:cstheme="minorHAnsi"/>
          <w:szCs w:val="20"/>
        </w:rPr>
        <w:t xml:space="preserve"> </w:t>
      </w:r>
    </w:p>
    <w:p w14:paraId="4EB5F5B3" w14:textId="77777777" w:rsidR="00F21221" w:rsidRPr="006B17BE" w:rsidRDefault="00F21221" w:rsidP="00F21221">
      <w:pPr>
        <w:pStyle w:val="BodyText"/>
        <w:rPr>
          <w:rFonts w:asciiTheme="minorHAnsi" w:hAnsiTheme="minorHAnsi"/>
          <w:szCs w:val="24"/>
        </w:rPr>
      </w:pPr>
    </w:p>
    <w:p w14:paraId="359FB882" w14:textId="77777777" w:rsidR="00F21221" w:rsidRPr="006B17BE" w:rsidRDefault="00F21221" w:rsidP="00F21221">
      <w:pPr>
        <w:pStyle w:val="BodyText"/>
        <w:rPr>
          <w:rFonts w:asciiTheme="minorHAnsi" w:hAnsiTheme="minorHAnsi"/>
          <w:noProof/>
          <w:szCs w:val="24"/>
        </w:rPr>
      </w:pPr>
      <w:r w:rsidRPr="006B17BE">
        <w:rPr>
          <w:rFonts w:asciiTheme="minorHAnsi" w:hAnsiTheme="minorHAnsi"/>
          <w:noProof/>
          <w:szCs w:val="24"/>
        </w:rPr>
        <w:drawing>
          <wp:inline distT="0" distB="0" distL="0" distR="0" wp14:anchorId="6A0D2AE4" wp14:editId="7BE9EF97">
            <wp:extent cx="6577285" cy="4223309"/>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enario2TDSgroup.jpeg"/>
                    <pic:cNvPicPr/>
                  </pic:nvPicPr>
                  <pic:blipFill>
                    <a:blip r:embed="rId58">
                      <a:extLst>
                        <a:ext uri="{28A0092B-C50C-407E-A947-70E740481C1C}">
                          <a14:useLocalDpi xmlns:a14="http://schemas.microsoft.com/office/drawing/2010/main" val="0"/>
                        </a:ext>
                      </a:extLst>
                    </a:blip>
                    <a:stretch>
                      <a:fillRect/>
                    </a:stretch>
                  </pic:blipFill>
                  <pic:spPr>
                    <a:xfrm>
                      <a:off x="0" y="0"/>
                      <a:ext cx="6627346" cy="4255453"/>
                    </a:xfrm>
                    <a:prstGeom prst="rect">
                      <a:avLst/>
                    </a:prstGeom>
                  </pic:spPr>
                </pic:pic>
              </a:graphicData>
            </a:graphic>
          </wp:inline>
        </w:drawing>
      </w:r>
    </w:p>
    <w:p w14:paraId="4828EC37" w14:textId="6FBF2F22" w:rsidR="00BC1993" w:rsidRPr="006B17BE" w:rsidRDefault="00F21221" w:rsidP="00BC1993">
      <w:pPr>
        <w:pStyle w:val="Caption"/>
        <w:rPr>
          <w:rFonts w:asciiTheme="minorHAnsi" w:hAnsiTheme="minorHAnsi" w:cstheme="minorHAnsi"/>
          <w:szCs w:val="20"/>
        </w:rPr>
        <w:sectPr w:rsidR="00BC1993" w:rsidRPr="006B17BE" w:rsidSect="00F60987">
          <w:pgSz w:w="16838" w:h="11906" w:orient="landscape"/>
          <w:pgMar w:top="1440" w:right="1440" w:bottom="1440" w:left="1440" w:header="708" w:footer="708" w:gutter="0"/>
          <w:cols w:space="708"/>
          <w:docGrid w:linePitch="360"/>
        </w:sectPr>
      </w:pPr>
      <w:bookmarkStart w:id="615" w:name="_Toc508267304"/>
      <w:r w:rsidRPr="006B17BE">
        <w:rPr>
          <w:rFonts w:asciiTheme="minorHAnsi" w:hAnsiTheme="minorHAnsi" w:cstheme="minorHAnsi"/>
          <w:szCs w:val="20"/>
        </w:rPr>
        <w:t xml:space="preserve">Figure </w:t>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STYLEREF 1 \s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5</w:t>
      </w:r>
      <w:r w:rsidR="0014612E">
        <w:rPr>
          <w:rFonts w:asciiTheme="minorHAnsi" w:hAnsiTheme="minorHAnsi" w:cstheme="minorHAnsi"/>
          <w:szCs w:val="20"/>
        </w:rPr>
        <w:fldChar w:fldCharType="end"/>
      </w:r>
      <w:r w:rsidR="0014612E">
        <w:rPr>
          <w:rFonts w:asciiTheme="minorHAnsi" w:hAnsiTheme="minorHAnsi" w:cstheme="minorHAnsi"/>
          <w:szCs w:val="20"/>
        </w:rPr>
        <w:noBreakHyphen/>
      </w:r>
      <w:r w:rsidR="0014612E">
        <w:rPr>
          <w:rFonts w:asciiTheme="minorHAnsi" w:hAnsiTheme="minorHAnsi" w:cstheme="minorHAnsi"/>
          <w:szCs w:val="20"/>
        </w:rPr>
        <w:fldChar w:fldCharType="begin"/>
      </w:r>
      <w:r w:rsidR="0014612E">
        <w:rPr>
          <w:rFonts w:asciiTheme="minorHAnsi" w:hAnsiTheme="minorHAnsi" w:cstheme="minorHAnsi"/>
          <w:szCs w:val="20"/>
        </w:rPr>
        <w:instrText xml:space="preserve"> SEQ Figure \* ARABIC \s 1 </w:instrText>
      </w:r>
      <w:r w:rsidR="0014612E">
        <w:rPr>
          <w:rFonts w:asciiTheme="minorHAnsi" w:hAnsiTheme="minorHAnsi" w:cstheme="minorHAnsi"/>
          <w:szCs w:val="20"/>
        </w:rPr>
        <w:fldChar w:fldCharType="separate"/>
      </w:r>
      <w:r w:rsidR="00086147">
        <w:rPr>
          <w:rFonts w:asciiTheme="minorHAnsi" w:hAnsiTheme="minorHAnsi" w:cstheme="minorHAnsi"/>
          <w:noProof/>
          <w:szCs w:val="20"/>
        </w:rPr>
        <w:t>6</w:t>
      </w:r>
      <w:r w:rsidR="0014612E">
        <w:rPr>
          <w:rFonts w:asciiTheme="minorHAnsi" w:hAnsiTheme="minorHAnsi" w:cstheme="minorHAnsi"/>
          <w:szCs w:val="20"/>
        </w:rPr>
        <w:fldChar w:fldCharType="end"/>
      </w:r>
      <w:r w:rsidRPr="006B17BE">
        <w:rPr>
          <w:rFonts w:asciiTheme="minorHAnsi" w:hAnsiTheme="minorHAnsi" w:cstheme="minorHAnsi"/>
          <w:szCs w:val="20"/>
        </w:rPr>
        <w:t xml:space="preserve"> Dilution of TDS concentration in the Maules Creek production zone (lower aquifer) with time at the five observation </w:t>
      </w:r>
      <w:r w:rsidR="00E1653C" w:rsidRPr="006B17BE">
        <w:rPr>
          <w:rFonts w:asciiTheme="minorHAnsi" w:hAnsiTheme="minorHAnsi" w:cstheme="minorHAnsi"/>
          <w:szCs w:val="20"/>
        </w:rPr>
        <w:t>points</w:t>
      </w:r>
      <w:r w:rsidRPr="006B17BE">
        <w:rPr>
          <w:rFonts w:asciiTheme="minorHAnsi" w:hAnsiTheme="minorHAnsi" w:cstheme="minorHAnsi"/>
          <w:szCs w:val="20"/>
        </w:rPr>
        <w:t xml:space="preserve"> due to lower TDS water from the Pilliga Sandstone leaking through a compromised well. Examples shown represent aquifer velocities calculated from median modelled velocity, maximum modelled velocity and maximum velocity of water leaking from an open well, and for aquifer TDS differences selected from the median TDS observed in each of the units, and the maximum and minimum TDS differences in each of the units.</w:t>
      </w:r>
      <w:r w:rsidR="00BC1993" w:rsidRPr="006B17BE">
        <w:rPr>
          <w:rFonts w:asciiTheme="minorHAnsi" w:hAnsiTheme="minorHAnsi" w:cstheme="minorHAnsi"/>
          <w:szCs w:val="20"/>
        </w:rPr>
        <w:t xml:space="preserve"> Maules Creek minimum, median, and maximum TDS is 5,200, 11,000 and 17,000 mg/L. Pilliga Sandstone minimum, median, and maximum TDS is 500, 600 and 5,000 mg/L.</w:t>
      </w:r>
      <w:r w:rsidR="00E85946">
        <w:rPr>
          <w:rFonts w:asciiTheme="minorHAnsi" w:hAnsiTheme="minorHAnsi" w:cstheme="minorHAnsi"/>
          <w:szCs w:val="20"/>
        </w:rPr>
        <w:t xml:space="preserve"> Both top and bottom rows represent typical p</w:t>
      </w:r>
      <w:r w:rsidR="00E85946" w:rsidRPr="00E85946">
        <w:rPr>
          <w:rFonts w:asciiTheme="minorHAnsi" w:hAnsiTheme="minorHAnsi" w:cstheme="minorHAnsi"/>
          <w:szCs w:val="20"/>
        </w:rPr>
        <w:t>ost</w:t>
      </w:r>
      <w:r w:rsidR="00E85946">
        <w:rPr>
          <w:rFonts w:asciiTheme="minorHAnsi" w:hAnsiTheme="minorHAnsi" w:cstheme="minorHAnsi"/>
          <w:szCs w:val="20"/>
        </w:rPr>
        <w:t>-</w:t>
      </w:r>
      <w:r w:rsidR="00E85946" w:rsidRPr="00E85946">
        <w:rPr>
          <w:rFonts w:asciiTheme="minorHAnsi" w:hAnsiTheme="minorHAnsi" w:cstheme="minorHAnsi"/>
          <w:szCs w:val="20"/>
        </w:rPr>
        <w:t xml:space="preserve">CSG </w:t>
      </w:r>
      <w:r w:rsidR="00E85946">
        <w:rPr>
          <w:rFonts w:asciiTheme="minorHAnsi" w:hAnsiTheme="minorHAnsi" w:cstheme="minorHAnsi"/>
          <w:szCs w:val="20"/>
        </w:rPr>
        <w:t xml:space="preserve">conditions </w:t>
      </w:r>
      <w:r w:rsidR="00E85946" w:rsidRPr="00E85946">
        <w:rPr>
          <w:rFonts w:asciiTheme="minorHAnsi" w:hAnsiTheme="minorHAnsi" w:cstheme="minorHAnsi"/>
          <w:szCs w:val="20"/>
        </w:rPr>
        <w:t xml:space="preserve">where the CSG </w:t>
      </w:r>
      <w:r w:rsidR="00E85946">
        <w:rPr>
          <w:rFonts w:asciiTheme="minorHAnsi" w:hAnsiTheme="minorHAnsi" w:cstheme="minorHAnsi"/>
          <w:szCs w:val="20"/>
        </w:rPr>
        <w:t>production zone becomes</w:t>
      </w:r>
      <w:r w:rsidR="00E85946" w:rsidRPr="00E85946">
        <w:rPr>
          <w:rFonts w:asciiTheme="minorHAnsi" w:hAnsiTheme="minorHAnsi" w:cstheme="minorHAnsi"/>
          <w:szCs w:val="20"/>
        </w:rPr>
        <w:t xml:space="preserve"> diluted</w:t>
      </w:r>
      <w:r w:rsidR="00E85946">
        <w:rPr>
          <w:rFonts w:asciiTheme="minorHAnsi" w:hAnsiTheme="minorHAnsi" w:cstheme="minorHAnsi"/>
          <w:szCs w:val="20"/>
        </w:rPr>
        <w:t>.</w:t>
      </w:r>
      <w:bookmarkEnd w:id="615"/>
    </w:p>
    <w:p w14:paraId="2C6F8DBB" w14:textId="77777777" w:rsidR="00F21221" w:rsidRPr="006B17BE" w:rsidRDefault="00F21221" w:rsidP="00BC1993">
      <w:pPr>
        <w:pStyle w:val="Heading2"/>
      </w:pPr>
      <w:bookmarkStart w:id="616" w:name="_Toc483567961"/>
      <w:r w:rsidRPr="006B17BE">
        <w:t>Discussion</w:t>
      </w:r>
      <w:bookmarkEnd w:id="616"/>
    </w:p>
    <w:p w14:paraId="4E9D0956" w14:textId="7FC60217" w:rsidR="00F21221" w:rsidRDefault="00F21221" w:rsidP="00E85946">
      <w:pPr>
        <w:autoSpaceDE w:val="0"/>
        <w:autoSpaceDN w:val="0"/>
        <w:adjustRightInd w:val="0"/>
        <w:spacing w:after="0"/>
        <w:rPr>
          <w:rFonts w:asciiTheme="minorHAnsi" w:hAnsiTheme="minorHAnsi"/>
          <w:szCs w:val="24"/>
        </w:rPr>
      </w:pPr>
      <w:r w:rsidRPr="006B17BE">
        <w:rPr>
          <w:rFonts w:asciiTheme="minorHAnsi" w:hAnsiTheme="minorHAnsi"/>
          <w:szCs w:val="24"/>
        </w:rPr>
        <w:t xml:space="preserve">The </w:t>
      </w:r>
      <w:r w:rsidR="00BC1993" w:rsidRPr="006B17BE">
        <w:rPr>
          <w:rFonts w:asciiTheme="minorHAnsi" w:hAnsiTheme="minorHAnsi"/>
          <w:szCs w:val="24"/>
        </w:rPr>
        <w:t>solute transport model</w:t>
      </w:r>
      <w:r w:rsidRPr="006B17BE">
        <w:rPr>
          <w:rFonts w:asciiTheme="minorHAnsi" w:hAnsiTheme="minorHAnsi"/>
          <w:szCs w:val="24"/>
        </w:rPr>
        <w:t xml:space="preserve"> used in this analysis assume</w:t>
      </w:r>
      <w:r w:rsidR="00BC1993" w:rsidRPr="006B17BE">
        <w:rPr>
          <w:rFonts w:asciiTheme="minorHAnsi" w:hAnsiTheme="minorHAnsi"/>
          <w:szCs w:val="24"/>
        </w:rPr>
        <w:t>s</w:t>
      </w:r>
      <w:r w:rsidRPr="006B17BE">
        <w:rPr>
          <w:rFonts w:asciiTheme="minorHAnsi" w:hAnsiTheme="minorHAnsi"/>
          <w:szCs w:val="24"/>
        </w:rPr>
        <w:t xml:space="preserve"> that the two sources of water</w:t>
      </w:r>
      <w:r w:rsidR="00BC1993" w:rsidRPr="006B17BE">
        <w:rPr>
          <w:rFonts w:asciiTheme="minorHAnsi" w:hAnsiTheme="minorHAnsi"/>
          <w:szCs w:val="24"/>
        </w:rPr>
        <w:t>, i.e. the background groundwater and the inflowing water from the leaky well or open borehole,</w:t>
      </w:r>
      <w:r w:rsidRPr="006B17BE">
        <w:rPr>
          <w:rFonts w:asciiTheme="minorHAnsi" w:hAnsiTheme="minorHAnsi"/>
          <w:szCs w:val="24"/>
        </w:rPr>
        <w:t xml:space="preserve"> are fully mixed. They do not account for density dependent flow. If the TDS concentrations of the water in the upper aquifer and lower production zone are significantly different, then water leaking upward from the production unit will preferentially settle at the base of the water bearing aquifer, leading to higher than predicted concentrations</w:t>
      </w:r>
      <w:r w:rsidR="00F326BC">
        <w:rPr>
          <w:rFonts w:asciiTheme="minorHAnsi" w:hAnsiTheme="minorHAnsi"/>
          <w:szCs w:val="24"/>
        </w:rPr>
        <w:t xml:space="preserve"> (</w:t>
      </w:r>
      <w:r w:rsidR="00F326BC" w:rsidRPr="00F326BC">
        <w:rPr>
          <w:rFonts w:asciiTheme="minorHAnsi" w:hAnsiTheme="minorHAnsi"/>
          <w:szCs w:val="24"/>
        </w:rPr>
        <w:t>assuming that the TDS is higher in the coal than in the upper aquifer)</w:t>
      </w:r>
      <w:r w:rsidRPr="006B17BE">
        <w:rPr>
          <w:rFonts w:asciiTheme="minorHAnsi" w:hAnsiTheme="minorHAnsi"/>
          <w:szCs w:val="24"/>
        </w:rPr>
        <w:t xml:space="preserve">. </w:t>
      </w:r>
      <w:r w:rsidR="00E85946">
        <w:rPr>
          <w:rFonts w:asciiTheme="minorHAnsi" w:hAnsiTheme="minorHAnsi"/>
          <w:szCs w:val="24"/>
        </w:rPr>
        <w:t xml:space="preserve">Such a situation would exist during the </w:t>
      </w:r>
      <w:r w:rsidR="00E85946" w:rsidRPr="00E85946">
        <w:rPr>
          <w:rFonts w:asciiTheme="minorHAnsi" w:hAnsiTheme="minorHAnsi"/>
          <w:szCs w:val="24"/>
        </w:rPr>
        <w:t>pre-CSG development phase.</w:t>
      </w:r>
      <w:r w:rsidR="00E85946">
        <w:rPr>
          <w:rFonts w:asciiTheme="minorHAnsi" w:hAnsiTheme="minorHAnsi"/>
          <w:szCs w:val="24"/>
        </w:rPr>
        <w:t xml:space="preserve"> </w:t>
      </w:r>
      <w:r w:rsidR="00A9465E" w:rsidRPr="006B17BE">
        <w:rPr>
          <w:rFonts w:asciiTheme="minorHAnsi" w:hAnsiTheme="minorHAnsi"/>
          <w:szCs w:val="24"/>
        </w:rPr>
        <w:t xml:space="preserve">However, the plume will therefore spread over a smaller downstream distance from the leaky well or bore. </w:t>
      </w:r>
      <w:r w:rsidRPr="006B17BE">
        <w:rPr>
          <w:rFonts w:asciiTheme="minorHAnsi" w:hAnsiTheme="minorHAnsi"/>
          <w:szCs w:val="24"/>
        </w:rPr>
        <w:t xml:space="preserve">Similarly, water leaking downward from the water bearing aquifer will preferentially be distributed to the top of the production zone, leading to higher than predicted dilution. </w:t>
      </w:r>
      <w:r w:rsidR="00F326BC">
        <w:rPr>
          <w:rFonts w:asciiTheme="minorHAnsi" w:hAnsiTheme="minorHAnsi"/>
          <w:szCs w:val="24"/>
        </w:rPr>
        <w:t>This represents a condition typical of post-CSG development</w:t>
      </w:r>
      <w:r w:rsidR="00A269A7">
        <w:rPr>
          <w:rFonts w:asciiTheme="minorHAnsi" w:hAnsiTheme="minorHAnsi"/>
          <w:szCs w:val="24"/>
        </w:rPr>
        <w:t>.</w:t>
      </w:r>
    </w:p>
    <w:p w14:paraId="6AA9664A" w14:textId="77777777" w:rsidR="00A269A7" w:rsidRPr="006B17BE" w:rsidRDefault="00A269A7" w:rsidP="00E85946">
      <w:pPr>
        <w:autoSpaceDE w:val="0"/>
        <w:autoSpaceDN w:val="0"/>
        <w:adjustRightInd w:val="0"/>
        <w:spacing w:after="0"/>
        <w:rPr>
          <w:rFonts w:asciiTheme="minorHAnsi" w:hAnsiTheme="minorHAnsi"/>
          <w:szCs w:val="24"/>
        </w:rPr>
      </w:pPr>
    </w:p>
    <w:p w14:paraId="797C103D" w14:textId="77777777" w:rsidR="00F21221" w:rsidRPr="006B17BE" w:rsidRDefault="00F21221" w:rsidP="00A269A7">
      <w:pPr>
        <w:autoSpaceDE w:val="0"/>
        <w:autoSpaceDN w:val="0"/>
        <w:adjustRightInd w:val="0"/>
        <w:spacing w:after="0"/>
        <w:rPr>
          <w:rFonts w:asciiTheme="minorHAnsi" w:hAnsiTheme="minorHAnsi"/>
          <w:szCs w:val="24"/>
        </w:rPr>
      </w:pPr>
      <w:r w:rsidRPr="006B17BE">
        <w:rPr>
          <w:rFonts w:asciiTheme="minorHAnsi" w:hAnsiTheme="minorHAnsi"/>
          <w:szCs w:val="24"/>
        </w:rPr>
        <w:t>The highest potential for contamination of the water bearing aquifer will be associated with extraction wells that are within 100 m of, and downgradient from the leaky well. For high differences in TDS concentrations between the aquifers, potential contamination will also be highest for water bores that are screened close to the bottom of the aquifer.</w:t>
      </w:r>
    </w:p>
    <w:p w14:paraId="2787F8DC" w14:textId="77777777" w:rsidR="00F21221" w:rsidRPr="006B17BE" w:rsidRDefault="00F21221" w:rsidP="00F21221">
      <w:pPr>
        <w:pStyle w:val="BodyText"/>
        <w:rPr>
          <w:rFonts w:asciiTheme="minorHAnsi" w:hAnsiTheme="minorHAnsi"/>
          <w:szCs w:val="24"/>
        </w:rPr>
      </w:pPr>
    </w:p>
    <w:p w14:paraId="49313474" w14:textId="151F18E2" w:rsidR="00E50573" w:rsidRDefault="00E50573" w:rsidP="00A261C1">
      <w:pPr>
        <w:pStyle w:val="Body"/>
        <w:rPr>
          <w:rFonts w:asciiTheme="minorHAnsi" w:hAnsiTheme="minorHAnsi"/>
          <w:sz w:val="24"/>
          <w:szCs w:val="24"/>
        </w:rPr>
      </w:pPr>
    </w:p>
    <w:p w14:paraId="6EB16728" w14:textId="77777777" w:rsidR="00E50573" w:rsidRPr="00E50573" w:rsidRDefault="00E50573" w:rsidP="00E50573">
      <w:pPr>
        <w:rPr>
          <w:lang w:val="en-GB" w:eastAsia="ja-JP"/>
        </w:rPr>
      </w:pPr>
    </w:p>
    <w:p w14:paraId="7C94146D" w14:textId="77777777" w:rsidR="00E50573" w:rsidRPr="00E50573" w:rsidRDefault="00E50573" w:rsidP="00E50573">
      <w:pPr>
        <w:rPr>
          <w:lang w:val="en-GB" w:eastAsia="ja-JP"/>
        </w:rPr>
      </w:pPr>
    </w:p>
    <w:p w14:paraId="5B8AE10C" w14:textId="77777777" w:rsidR="00E50573" w:rsidRPr="00E50573" w:rsidRDefault="00E50573" w:rsidP="00E50573">
      <w:pPr>
        <w:rPr>
          <w:lang w:val="en-GB" w:eastAsia="ja-JP"/>
        </w:rPr>
      </w:pPr>
    </w:p>
    <w:p w14:paraId="656E7376" w14:textId="77777777" w:rsidR="00E50573" w:rsidRPr="00E50573" w:rsidRDefault="00E50573" w:rsidP="00E50573">
      <w:pPr>
        <w:rPr>
          <w:lang w:val="en-GB" w:eastAsia="ja-JP"/>
        </w:rPr>
      </w:pPr>
    </w:p>
    <w:p w14:paraId="7C953BD0" w14:textId="77777777" w:rsidR="00E50573" w:rsidRPr="00E50573" w:rsidRDefault="00E50573" w:rsidP="00E50573">
      <w:pPr>
        <w:rPr>
          <w:lang w:val="en-GB" w:eastAsia="ja-JP"/>
        </w:rPr>
      </w:pPr>
    </w:p>
    <w:p w14:paraId="0CCD91E2" w14:textId="77777777" w:rsidR="00E50573" w:rsidRPr="00E50573" w:rsidRDefault="00E50573" w:rsidP="00E50573">
      <w:pPr>
        <w:rPr>
          <w:lang w:val="en-GB" w:eastAsia="ja-JP"/>
        </w:rPr>
      </w:pPr>
    </w:p>
    <w:p w14:paraId="64F92615" w14:textId="77777777" w:rsidR="00E50573" w:rsidRPr="00E50573" w:rsidRDefault="00E50573" w:rsidP="00E50573">
      <w:pPr>
        <w:rPr>
          <w:lang w:val="en-GB" w:eastAsia="ja-JP"/>
        </w:rPr>
      </w:pPr>
    </w:p>
    <w:p w14:paraId="657A837A" w14:textId="77777777" w:rsidR="00E50573" w:rsidRPr="00E50573" w:rsidRDefault="00E50573" w:rsidP="00E50573">
      <w:pPr>
        <w:rPr>
          <w:lang w:val="en-GB" w:eastAsia="ja-JP"/>
        </w:rPr>
      </w:pPr>
    </w:p>
    <w:p w14:paraId="71DD457C" w14:textId="77777777" w:rsidR="00E50573" w:rsidRPr="00E50573" w:rsidRDefault="00E50573" w:rsidP="00E50573">
      <w:pPr>
        <w:rPr>
          <w:lang w:val="en-GB" w:eastAsia="ja-JP"/>
        </w:rPr>
      </w:pPr>
    </w:p>
    <w:p w14:paraId="63009AEE" w14:textId="77777777" w:rsidR="00E50573" w:rsidRPr="00E50573" w:rsidRDefault="00E50573" w:rsidP="00E50573">
      <w:pPr>
        <w:rPr>
          <w:lang w:val="en-GB" w:eastAsia="ja-JP"/>
        </w:rPr>
      </w:pPr>
    </w:p>
    <w:p w14:paraId="444FC490" w14:textId="77777777" w:rsidR="00E50573" w:rsidRPr="00E50573" w:rsidRDefault="00E50573" w:rsidP="00E50573">
      <w:pPr>
        <w:rPr>
          <w:lang w:val="en-GB" w:eastAsia="ja-JP"/>
        </w:rPr>
      </w:pPr>
    </w:p>
    <w:p w14:paraId="57FDC427" w14:textId="77777777" w:rsidR="00E50573" w:rsidRPr="00E50573" w:rsidRDefault="00E50573" w:rsidP="00E50573">
      <w:pPr>
        <w:rPr>
          <w:lang w:val="en-GB" w:eastAsia="ja-JP"/>
        </w:rPr>
      </w:pPr>
    </w:p>
    <w:p w14:paraId="6710A00A" w14:textId="77777777" w:rsidR="00E50573" w:rsidRPr="00E50573" w:rsidRDefault="00E50573" w:rsidP="00E50573">
      <w:pPr>
        <w:rPr>
          <w:lang w:val="en-GB" w:eastAsia="ja-JP"/>
        </w:rPr>
      </w:pPr>
    </w:p>
    <w:p w14:paraId="238ABF31" w14:textId="77777777" w:rsidR="00E50573" w:rsidRPr="00E50573" w:rsidRDefault="00E50573" w:rsidP="00E50573">
      <w:pPr>
        <w:rPr>
          <w:lang w:val="en-GB" w:eastAsia="ja-JP"/>
        </w:rPr>
      </w:pPr>
    </w:p>
    <w:p w14:paraId="650A5783" w14:textId="03D87EF2" w:rsidR="00F21221" w:rsidRPr="00E50573" w:rsidRDefault="00F21221" w:rsidP="00E50573">
      <w:pPr>
        <w:jc w:val="right"/>
        <w:rPr>
          <w:lang w:val="en-GB" w:eastAsia="ja-JP"/>
        </w:rPr>
      </w:pPr>
    </w:p>
    <w:p w14:paraId="47BCDFE6" w14:textId="23C534F2" w:rsidR="006A4B53" w:rsidRPr="006B17BE" w:rsidRDefault="006A4B53">
      <w:pPr>
        <w:pStyle w:val="Heading1"/>
      </w:pPr>
      <w:bookmarkStart w:id="617" w:name="_Ref479676622"/>
      <w:bookmarkStart w:id="618" w:name="_Toc483567962"/>
      <w:r w:rsidRPr="006B17BE">
        <w:t>Proposed approaches to well integrity monitoring</w:t>
      </w:r>
      <w:bookmarkEnd w:id="617"/>
      <w:bookmarkEnd w:id="618"/>
    </w:p>
    <w:p w14:paraId="159FCBD5" w14:textId="1E5918C9" w:rsidR="00385CC7" w:rsidRPr="006B17BE" w:rsidRDefault="00385CC7" w:rsidP="00A9465E">
      <w:pPr>
        <w:pStyle w:val="Body"/>
      </w:pPr>
      <w:r w:rsidRPr="006B17BE">
        <w:t xml:space="preserve">Wells, like any constructed asset, </w:t>
      </w:r>
      <w:r w:rsidR="00393DF8">
        <w:t>will</w:t>
      </w:r>
      <w:r w:rsidRPr="006B17BE">
        <w:t xml:space="preserve"> deteriorate with age, </w:t>
      </w:r>
      <w:r w:rsidR="00393DF8">
        <w:t xml:space="preserve">with </w:t>
      </w:r>
      <w:r w:rsidRPr="006B17BE">
        <w:t>operational and site specific conditions</w:t>
      </w:r>
      <w:r w:rsidR="00393DF8">
        <w:t xml:space="preserve"> influencing the rate of deterioration</w:t>
      </w:r>
      <w:r w:rsidRPr="006B17BE">
        <w:t>. This can lead to the well no longer being suitable for the intended use</w:t>
      </w:r>
      <w:r w:rsidR="00393DF8">
        <w:t>, and/or may result in contamination of groundwater</w:t>
      </w:r>
      <w:r w:rsidRPr="006B17BE">
        <w:t>. Well monitoring and maintenance is required to preserve the well and its component parts in good repair for the life of the well (DTI 2012</w:t>
      </w:r>
      <w:r w:rsidR="00635FF5">
        <w:t>;</w:t>
      </w:r>
      <w:r w:rsidRPr="006B17BE">
        <w:t xml:space="preserve"> DNRM 2013). Potential well failure mechanisms for petroleum well</w:t>
      </w:r>
      <w:r w:rsidR="00857104">
        <w:t>s</w:t>
      </w:r>
      <w:r w:rsidRPr="006B17BE">
        <w:t xml:space="preserve"> </w:t>
      </w:r>
      <w:r w:rsidR="00857104">
        <w:t>and</w:t>
      </w:r>
      <w:r w:rsidRPr="006B17BE">
        <w:t xml:space="preserve"> coal seam gas well</w:t>
      </w:r>
      <w:r w:rsidR="00857104">
        <w:t>s</w:t>
      </w:r>
      <w:r w:rsidRPr="006B17BE">
        <w:t xml:space="preserve"> in </w:t>
      </w:r>
      <w:r w:rsidR="00857104">
        <w:t>their</w:t>
      </w:r>
      <w:r w:rsidRPr="006B17BE">
        <w:t xml:space="preserve"> entire life span were </w:t>
      </w:r>
      <w:r w:rsidR="00857104">
        <w:t>discussed</w:t>
      </w:r>
      <w:r w:rsidRPr="006B17BE">
        <w:t xml:space="preserve"> in Wu et al. (201</w:t>
      </w:r>
      <w:r w:rsidR="00AC3BD2">
        <w:t>8</w:t>
      </w:r>
      <w:r w:rsidRPr="006B17BE">
        <w:t xml:space="preserve">), some of which could lead to </w:t>
      </w:r>
      <w:r w:rsidR="00857104">
        <w:t xml:space="preserve">enhanced </w:t>
      </w:r>
      <w:r w:rsidRPr="006B17BE">
        <w:t xml:space="preserve">inter-aquifer leakage. </w:t>
      </w:r>
      <w:r w:rsidR="00635FF5">
        <w:t xml:space="preserve">While additional failure pathways were discussed in Section </w:t>
      </w:r>
      <w:r w:rsidR="00635FF5">
        <w:fldChar w:fldCharType="begin"/>
      </w:r>
      <w:r w:rsidR="00635FF5">
        <w:instrText xml:space="preserve"> REF _Ref479676999 \r \h </w:instrText>
      </w:r>
      <w:r w:rsidR="00635FF5">
        <w:fldChar w:fldCharType="separate"/>
      </w:r>
      <w:r w:rsidR="00086147">
        <w:t>2</w:t>
      </w:r>
      <w:r w:rsidR="00635FF5">
        <w:fldChar w:fldCharType="end"/>
      </w:r>
      <w:r w:rsidR="00635FF5">
        <w:t xml:space="preserve">, the focus here is on coal seam gas wells throughout different stages of a gas project. </w:t>
      </w:r>
      <w:r w:rsidRPr="006B17BE">
        <w:t>Th</w:t>
      </w:r>
      <w:r w:rsidR="00635FF5">
        <w:t>e subsequent</w:t>
      </w:r>
      <w:r w:rsidRPr="006B17BE">
        <w:t xml:space="preserve"> section</w:t>
      </w:r>
      <w:r w:rsidR="00635FF5">
        <w:t>s</w:t>
      </w:r>
      <w:r w:rsidRPr="006B17BE">
        <w:t xml:space="preserve"> discuss possible </w:t>
      </w:r>
      <w:r w:rsidR="00857104">
        <w:t>strateg</w:t>
      </w:r>
      <w:r w:rsidR="00635FF5">
        <w:t>ies</w:t>
      </w:r>
      <w:r w:rsidR="00857104">
        <w:t xml:space="preserve">, </w:t>
      </w:r>
      <w:r w:rsidRPr="006B17BE">
        <w:t>tools and technologies, and an outline of a proposed experimental program for monitoring inter-aquifer leakage in a coal seam gas field.</w:t>
      </w:r>
      <w:r w:rsidR="00093D4D">
        <w:t xml:space="preserve"> The </w:t>
      </w:r>
      <w:r w:rsidR="00D727D7">
        <w:t xml:space="preserve">specific </w:t>
      </w:r>
      <w:r w:rsidR="00093D4D">
        <w:t xml:space="preserve">goal is to develop a monitoring approach that is preventive (or at least identify loss of integrity soon after it occurred) </w:t>
      </w:r>
      <w:r w:rsidR="00D727D7">
        <w:t xml:space="preserve">rather </w:t>
      </w:r>
      <w:r w:rsidR="00093D4D">
        <w:t xml:space="preserve">than corrective, and that is aimed at maintaining </w:t>
      </w:r>
      <w:r w:rsidR="00711980">
        <w:t>CSG</w:t>
      </w:r>
      <w:r w:rsidR="00D727D7">
        <w:t xml:space="preserve"> </w:t>
      </w:r>
      <w:r w:rsidR="00093D4D">
        <w:t>well integrity beyond the well decommissioning phase.</w:t>
      </w:r>
      <w:r w:rsidR="00D727D7">
        <w:t xml:space="preserve"> Although the focus is on </w:t>
      </w:r>
      <w:r w:rsidR="00711980">
        <w:t>CSG</w:t>
      </w:r>
      <w:r w:rsidR="00D727D7">
        <w:t xml:space="preserve"> wells, several of the tools and technologies can also be used to investigate failure pathways associated with water bores or exploration bores.</w:t>
      </w:r>
    </w:p>
    <w:p w14:paraId="7DFA79CE" w14:textId="17336B1C" w:rsidR="00393DF8" w:rsidRDefault="00393DF8" w:rsidP="00B908B1">
      <w:pPr>
        <w:pStyle w:val="Heading2"/>
      </w:pPr>
      <w:bookmarkStart w:id="619" w:name="_Toc483567963"/>
      <w:r>
        <w:t>Monitoring strategy</w:t>
      </w:r>
      <w:bookmarkEnd w:id="619"/>
    </w:p>
    <w:p w14:paraId="0D1FC774" w14:textId="72E37808" w:rsidR="00393DF8" w:rsidRDefault="00393DF8" w:rsidP="00393DF8">
      <w:pPr>
        <w:pStyle w:val="Heading3"/>
        <w:rPr>
          <w:rFonts w:asciiTheme="minorHAnsi" w:hAnsiTheme="minorHAnsi"/>
          <w:sz w:val="24"/>
          <w:szCs w:val="24"/>
        </w:rPr>
      </w:pPr>
      <w:bookmarkStart w:id="620" w:name="_Toc483567964"/>
      <w:r w:rsidRPr="00393DF8">
        <w:rPr>
          <w:rFonts w:asciiTheme="minorHAnsi" w:hAnsiTheme="minorHAnsi"/>
          <w:sz w:val="24"/>
          <w:szCs w:val="24"/>
        </w:rPr>
        <w:t>Assumptions</w:t>
      </w:r>
      <w:r w:rsidR="00A37F08">
        <w:rPr>
          <w:rFonts w:asciiTheme="minorHAnsi" w:hAnsiTheme="minorHAnsi"/>
          <w:sz w:val="24"/>
          <w:szCs w:val="24"/>
        </w:rPr>
        <w:t xml:space="preserve"> relevant to loss of well integrity and its monitoring</w:t>
      </w:r>
      <w:bookmarkEnd w:id="620"/>
    </w:p>
    <w:p w14:paraId="38049F35" w14:textId="46229341" w:rsidR="00A37F08" w:rsidRDefault="00A37F08" w:rsidP="00A37F08">
      <w:pPr>
        <w:pStyle w:val="Body"/>
      </w:pPr>
      <w:r>
        <w:t>A comprehensive definition of loss of bore or well integrity</w:t>
      </w:r>
      <w:r w:rsidR="00AC3BD2">
        <w:t xml:space="preserve"> was provided in Wu et al. (2018)</w:t>
      </w:r>
      <w:r>
        <w:t>:</w:t>
      </w:r>
    </w:p>
    <w:p w14:paraId="7474328A" w14:textId="4E5948B3" w:rsidR="00A37F08" w:rsidRPr="00A710A5" w:rsidRDefault="00A37F08" w:rsidP="00A37F08">
      <w:pPr>
        <w:pStyle w:val="OWSNormal9pt"/>
        <w:rPr>
          <w:i/>
          <w:szCs w:val="18"/>
        </w:rPr>
      </w:pPr>
      <w:r w:rsidRPr="00A37F08">
        <w:rPr>
          <w:i/>
          <w:szCs w:val="18"/>
        </w:rPr>
        <w:t xml:space="preserve">bore or well failure (or loss of integrity) is specifically defined </w:t>
      </w:r>
      <w:r>
        <w:rPr>
          <w:i/>
          <w:szCs w:val="18"/>
        </w:rPr>
        <w:t>[…]</w:t>
      </w:r>
      <w:r w:rsidRPr="00A37F08">
        <w:rPr>
          <w:i/>
          <w:szCs w:val="18"/>
        </w:rPr>
        <w:t xml:space="preserve"> as: </w:t>
      </w:r>
      <w:r w:rsidRPr="00A710A5">
        <w:rPr>
          <w:i/>
          <w:szCs w:val="18"/>
        </w:rPr>
        <w:t>failure to safely contain and control the flow of all fluids within or connected to a well. It can be caused by any of various forms of 'well breach' (including failure of cement sheaths/plugs/bonds, casing, and downhole and surface sealing components) and may result in hydrological breach (fluid movement between geological formations</w:t>
      </w:r>
      <w:r>
        <w:rPr>
          <w:i/>
          <w:szCs w:val="18"/>
        </w:rPr>
        <w:t xml:space="preserve"> </w:t>
      </w:r>
      <w:r w:rsidRPr="000811A9">
        <w:rPr>
          <w:szCs w:val="18"/>
        </w:rPr>
        <w:t>–</w:t>
      </w:r>
      <w:r w:rsidRPr="00A710A5">
        <w:rPr>
          <w:i/>
          <w:szCs w:val="18"/>
        </w:rPr>
        <w:t xml:space="preserve"> including formations not targeted for exploitation) and environmental breach (contaminat</w:t>
      </w:r>
      <w:r>
        <w:rPr>
          <w:i/>
          <w:szCs w:val="18"/>
        </w:rPr>
        <w:t>i</w:t>
      </w:r>
      <w:r w:rsidRPr="00A710A5">
        <w:rPr>
          <w:i/>
          <w:szCs w:val="18"/>
        </w:rPr>
        <w:t xml:space="preserve">on of or water balance impact to water resources). </w:t>
      </w:r>
    </w:p>
    <w:p w14:paraId="76EA5E1A" w14:textId="5127D1BB" w:rsidR="00A37F08" w:rsidRDefault="00A37F08" w:rsidP="00A37F08">
      <w:pPr>
        <w:pStyle w:val="Body"/>
      </w:pPr>
      <w:r>
        <w:t>It is important to clarify that the loss of integrity does not require environmental change to be detected, reported, and legal liability proven in court</w:t>
      </w:r>
      <w:r w:rsidR="00BA0331">
        <w:t>, although it does require all the barriers (</w:t>
      </w:r>
      <w:r w:rsidR="00BA0331" w:rsidRPr="00BA0331">
        <w:t>e.g. production tubing, casing, cement</w:t>
      </w:r>
      <w:r w:rsidR="00BA0331">
        <w:t>) to fail</w:t>
      </w:r>
      <w:r w:rsidR="00BA0331" w:rsidRPr="00BA0331">
        <w:t xml:space="preserve"> and the establishment of a pathway that enables leakage into the surrounding environment</w:t>
      </w:r>
      <w:r w:rsidR="00BA0331">
        <w:t xml:space="preserve">. </w:t>
      </w:r>
    </w:p>
    <w:p w14:paraId="116C798D" w14:textId="7F40E5BE" w:rsidR="00BA0331" w:rsidRPr="00BA0331" w:rsidRDefault="00BA0331" w:rsidP="00BA0331">
      <w:pPr>
        <w:pStyle w:val="Body"/>
      </w:pPr>
      <w:r w:rsidRPr="000811A9">
        <w:t>Well</w:t>
      </w:r>
      <w:r w:rsidR="000403DA">
        <w:t>/bore</w:t>
      </w:r>
      <w:r w:rsidRPr="000811A9">
        <w:t>,</w:t>
      </w:r>
      <w:r w:rsidRPr="00BA0331">
        <w:t xml:space="preserve"> hydrological and environmental breaches are closely linked to each other where well</w:t>
      </w:r>
      <w:r w:rsidR="000403DA">
        <w:t>/bore</w:t>
      </w:r>
      <w:r w:rsidRPr="00BA0331">
        <w:t xml:space="preserve"> breach may cause hydrological breach and possibly </w:t>
      </w:r>
      <w:r>
        <w:t xml:space="preserve">even </w:t>
      </w:r>
      <w:r w:rsidRPr="00BA0331">
        <w:t xml:space="preserve">environmental breach. If the hydrologic breach results in significant changes in an aquifer’s baseline hydrochemistry and/or changes to an aquifer’s </w:t>
      </w:r>
      <w:r w:rsidRPr="00A710A5">
        <w:t>water balance,</w:t>
      </w:r>
      <w:r w:rsidRPr="00BA0331">
        <w:t xml:space="preserve"> an environmental breach has occurred.</w:t>
      </w:r>
      <w:r>
        <w:t xml:space="preserve"> Therefore</w:t>
      </w:r>
      <w:r w:rsidRPr="00BA0331">
        <w:t xml:space="preserve">, hydrological and environmental breaches would not occur if the mechanisms responsible for well breach are eliminated or properly managed. </w:t>
      </w:r>
      <w:r w:rsidR="000403DA">
        <w:t>W</w:t>
      </w:r>
      <w:r w:rsidR="000403DA" w:rsidRPr="00BA0331">
        <w:t xml:space="preserve">ell and hydrological breaches and their potential environmental </w:t>
      </w:r>
      <w:r w:rsidR="000403DA">
        <w:t xml:space="preserve">impact across the </w:t>
      </w:r>
      <w:r w:rsidR="000403DA" w:rsidRPr="00BA0331">
        <w:t xml:space="preserve">entire life span of a well </w:t>
      </w:r>
      <w:r w:rsidR="000403DA">
        <w:t>(</w:t>
      </w:r>
      <w:r w:rsidR="000403DA" w:rsidRPr="00BA0331">
        <w:t>design and/or construction, production and abandonment</w:t>
      </w:r>
      <w:r w:rsidR="000403DA">
        <w:t xml:space="preserve"> phase) </w:t>
      </w:r>
      <w:r w:rsidR="004A13C9">
        <w:t>are</w:t>
      </w:r>
      <w:r w:rsidR="000403DA">
        <w:t xml:space="preserve"> reported by Wu et al. (201</w:t>
      </w:r>
      <w:r w:rsidR="00AC3BD2">
        <w:t>8</w:t>
      </w:r>
      <w:r w:rsidR="000403DA">
        <w:t xml:space="preserve">). </w:t>
      </w:r>
      <w:r w:rsidR="004A13C9">
        <w:t xml:space="preserve">Without proper management and given enough time, all the barriers put in place to ensure well integrity will degrade, including cement plugs (see Section </w:t>
      </w:r>
      <w:r w:rsidR="004A13C9">
        <w:fldChar w:fldCharType="begin"/>
      </w:r>
      <w:r w:rsidR="004A13C9">
        <w:instrText xml:space="preserve"> REF _Ref479683832 \r \h </w:instrText>
      </w:r>
      <w:r w:rsidR="004A13C9">
        <w:fldChar w:fldCharType="separate"/>
      </w:r>
      <w:r w:rsidR="00086147">
        <w:t>1.4</w:t>
      </w:r>
      <w:r w:rsidR="004A13C9">
        <w:fldChar w:fldCharType="end"/>
      </w:r>
      <w:r w:rsidR="004A13C9">
        <w:t xml:space="preserve">). The more aggressive the pore-waters </w:t>
      </w:r>
      <w:r w:rsidR="0085147E">
        <w:t>(CO</w:t>
      </w:r>
      <w:r w:rsidR="0085147E" w:rsidRPr="0085147E">
        <w:rPr>
          <w:vertAlign w:val="subscript"/>
        </w:rPr>
        <w:t>2</w:t>
      </w:r>
      <w:r w:rsidR="0085147E">
        <w:t>, H</w:t>
      </w:r>
      <w:r w:rsidR="0085147E" w:rsidRPr="0085147E">
        <w:rPr>
          <w:vertAlign w:val="subscript"/>
        </w:rPr>
        <w:t>2</w:t>
      </w:r>
      <w:r w:rsidR="0085147E">
        <w:t xml:space="preserve">S, salinity, etc.) </w:t>
      </w:r>
      <w:r w:rsidR="004A13C9">
        <w:t>that come in contact with well casing material, including steel and cement, the faster the degradation (</w:t>
      </w:r>
      <w:r w:rsidR="00E950AA" w:rsidRPr="00E950AA">
        <w:t>Bazzari 1989,</w:t>
      </w:r>
      <w:r w:rsidR="00E950AA">
        <w:rPr>
          <w:noProof/>
          <w:sz w:val="18"/>
        </w:rPr>
        <w:t xml:space="preserve"> </w:t>
      </w:r>
      <w:r w:rsidR="00E950AA">
        <w:t>Kreis 1991,</w:t>
      </w:r>
      <w:r w:rsidR="00E950AA" w:rsidRPr="002B3F50">
        <w:rPr>
          <w:sz w:val="18"/>
        </w:rPr>
        <w:t xml:space="preserve"> </w:t>
      </w:r>
      <w:r w:rsidR="00E950AA" w:rsidRPr="002B3F50">
        <w:rPr>
          <w:noProof/>
          <w:color w:val="auto"/>
        </w:rPr>
        <w:t>Lyons and Plisga 2004</w:t>
      </w:r>
      <w:r w:rsidR="00E950AA">
        <w:rPr>
          <w:noProof/>
          <w:color w:val="auto"/>
        </w:rPr>
        <w:t xml:space="preserve">, </w:t>
      </w:r>
      <w:r w:rsidR="004A13C9">
        <w:t>Elsener 2005).</w:t>
      </w:r>
    </w:p>
    <w:p w14:paraId="1C230763" w14:textId="4BA74DC4" w:rsidR="00EE1219" w:rsidRDefault="00D257A3" w:rsidP="00C26524">
      <w:pPr>
        <w:pStyle w:val="Body"/>
      </w:pPr>
      <w:r>
        <w:t>As discussed in detail by Wu et al. (201</w:t>
      </w:r>
      <w:r w:rsidR="00AC3BD2">
        <w:t>8</w:t>
      </w:r>
      <w:r>
        <w:t xml:space="preserve">), overseas experience with conventional oil and gas wells and coal seam gas wells shows that gas production wells do lose integrity across all of the three main phases of a well. In Section </w:t>
      </w:r>
      <w:r>
        <w:fldChar w:fldCharType="begin"/>
      </w:r>
      <w:r>
        <w:instrText xml:space="preserve"> REF _Ref479685179 \r \h </w:instrText>
      </w:r>
      <w:r>
        <w:fldChar w:fldCharType="separate"/>
      </w:r>
      <w:r w:rsidR="00086147">
        <w:t>6.2</w:t>
      </w:r>
      <w:r>
        <w:fldChar w:fldCharType="end"/>
      </w:r>
      <w:r>
        <w:t xml:space="preserve"> an overview is given of various monitoring techniques that can be applied to detect loss of barrier (one or more) or well (all barriers) integrity as long as access to the borehole can be secured. </w:t>
      </w:r>
      <w:r w:rsidR="003E2872">
        <w:t>Monitoring of well integrity will be focussed around hydraulic fracturing (prior to), during remedial/maintenance works (e.g. pump repairs, well deepening, plugging back, pulling and resetting liners, squeeze cementing and re-perforating) and before decommissioning.</w:t>
      </w:r>
      <w:r w:rsidR="00F857BE">
        <w:t xml:space="preserve"> Because access to the wellbore is facilitat</w:t>
      </w:r>
      <w:r w:rsidR="00663DE3">
        <w:t>ed after such operations, the down</w:t>
      </w:r>
      <w:r w:rsidR="00F857BE">
        <w:t xml:space="preserve">-hole monitoring devices discussed in Section </w:t>
      </w:r>
      <w:r w:rsidR="00F857BE">
        <w:fldChar w:fldCharType="begin"/>
      </w:r>
      <w:r w:rsidR="00F857BE">
        <w:instrText xml:space="preserve"> REF _Ref479685865 \r \h </w:instrText>
      </w:r>
      <w:r w:rsidR="00EE1219">
        <w:instrText xml:space="preserve"> \* MERGEFORMAT </w:instrText>
      </w:r>
      <w:r w:rsidR="00F857BE">
        <w:fldChar w:fldCharType="separate"/>
      </w:r>
      <w:r w:rsidR="00086147">
        <w:t>6.2</w:t>
      </w:r>
      <w:r w:rsidR="00F857BE">
        <w:fldChar w:fldCharType="end"/>
      </w:r>
      <w:r w:rsidR="00F857BE">
        <w:t xml:space="preserve"> are relevant.</w:t>
      </w:r>
      <w:r w:rsidR="00EE1219">
        <w:t xml:space="preserve"> </w:t>
      </w:r>
    </w:p>
    <w:p w14:paraId="00F30543" w14:textId="6C1D0B1F" w:rsidR="006D3A94" w:rsidRDefault="00EE1219" w:rsidP="00C26524">
      <w:pPr>
        <w:pStyle w:val="Body"/>
      </w:pPr>
      <w:r>
        <w:t>During active gas production, however, access to the boreholes will be very limited and therefore detection of well failure requires other techniques such as gas monitoring at the well head</w:t>
      </w:r>
      <w:r w:rsidR="000F6B30">
        <w:t xml:space="preserve"> (</w:t>
      </w:r>
      <w:r w:rsidR="000F6B30" w:rsidRPr="00EE1219">
        <w:rPr>
          <w:szCs w:val="22"/>
        </w:rPr>
        <w:t>surface-casing-vent flow</w:t>
      </w:r>
      <w:r w:rsidR="000F6B30">
        <w:t>), casing head pressure testing, and measurement of fugitive gas emissions from well casings</w:t>
      </w:r>
      <w:r w:rsidR="00C26524">
        <w:t xml:space="preserve"> (see further)</w:t>
      </w:r>
      <w:r>
        <w:t xml:space="preserve">. </w:t>
      </w:r>
    </w:p>
    <w:p w14:paraId="6388D156" w14:textId="13D3E61D" w:rsidR="000F6B30" w:rsidRPr="00A56F18" w:rsidRDefault="00663ADC" w:rsidP="004F6468">
      <w:pPr>
        <w:autoSpaceDE w:val="0"/>
        <w:autoSpaceDN w:val="0"/>
        <w:adjustRightInd w:val="0"/>
        <w:spacing w:after="0"/>
      </w:pPr>
      <w:r>
        <w:t xml:space="preserve">The most challenging phase for monitoring well integrity evolution is after decommissioning, when </w:t>
      </w:r>
      <w:r w:rsidR="00663DE3">
        <w:t>down</w:t>
      </w:r>
      <w:r>
        <w:t xml:space="preserve">-hole access is no longer possible. Direct measurement of fugitive emission of methane remains an option, e.g. through use of the gas flux chamber installed next to a decommissioned well (see Section </w:t>
      </w:r>
      <w:r>
        <w:fldChar w:fldCharType="begin"/>
      </w:r>
      <w:r>
        <w:instrText xml:space="preserve"> REF _Ref479691663 \r \h </w:instrText>
      </w:r>
      <w:r>
        <w:fldChar w:fldCharType="separate"/>
      </w:r>
      <w:r w:rsidR="00086147">
        <w:t>6.2.5</w:t>
      </w:r>
      <w:r>
        <w:fldChar w:fldCharType="end"/>
      </w:r>
      <w:r>
        <w:t xml:space="preserve">). </w:t>
      </w:r>
    </w:p>
    <w:p w14:paraId="0FDB895A" w14:textId="17C6ED4D" w:rsidR="00393DF8" w:rsidRDefault="00393DF8" w:rsidP="00393DF8">
      <w:pPr>
        <w:pStyle w:val="Heading3"/>
        <w:rPr>
          <w:rFonts w:asciiTheme="minorHAnsi" w:hAnsiTheme="minorHAnsi"/>
          <w:sz w:val="24"/>
          <w:szCs w:val="24"/>
        </w:rPr>
      </w:pPr>
      <w:bookmarkStart w:id="621" w:name="_Toc483567965"/>
      <w:r w:rsidRPr="00393DF8">
        <w:rPr>
          <w:rFonts w:asciiTheme="minorHAnsi" w:hAnsiTheme="minorHAnsi"/>
          <w:sz w:val="24"/>
          <w:szCs w:val="24"/>
        </w:rPr>
        <w:t>Scope for monitoring</w:t>
      </w:r>
      <w:bookmarkEnd w:id="621"/>
    </w:p>
    <w:p w14:paraId="35890E17" w14:textId="6DC9CDDB" w:rsidR="001A1516" w:rsidRDefault="001A1516" w:rsidP="00C144CB">
      <w:pPr>
        <w:pStyle w:val="Body"/>
      </w:pPr>
      <w:r>
        <w:t>Some general principles for well integrity monitoring are discussed as a basis for developing a monitoring approach that is preventive rather (or at least identify loss of integrity soon after it occurred) than corrective, and that is aimed at maintaining well integrity beyond the well decommissioning phase.</w:t>
      </w:r>
      <w:r w:rsidR="00C144CB">
        <w:t xml:space="preserve"> This requires, as a minimum, that well integrity monitoring is applied across the entire lifecycle of a well. </w:t>
      </w:r>
    </w:p>
    <w:p w14:paraId="60D1DAF5" w14:textId="6FBEA087" w:rsidR="00C144CB" w:rsidRDefault="00C144CB" w:rsidP="00C144CB">
      <w:pPr>
        <w:pStyle w:val="Body"/>
      </w:pPr>
      <w:r>
        <w:t>The following principles are considered key to an effective monitoring strategy:</w:t>
      </w:r>
    </w:p>
    <w:p w14:paraId="69195D36" w14:textId="01F2004D" w:rsidR="00C144CB" w:rsidRDefault="00C144CB" w:rsidP="00C144CB">
      <w:pPr>
        <w:pStyle w:val="Body"/>
        <w:numPr>
          <w:ilvl w:val="0"/>
          <w:numId w:val="34"/>
        </w:numPr>
      </w:pPr>
      <w:r>
        <w:t>Establishment of an agreed conceptual understanding of failure mechanisms and their evolution throughout and beyond the lifecycle of a well; a reasonable escalating conceptual model would include progressive failure from an initial pressure build-up in an inner annulus, to containment breach, followed by leakage of gas and fluids</w:t>
      </w:r>
      <w:r w:rsidR="00F31F2F">
        <w:t>,</w:t>
      </w:r>
      <w:r>
        <w:t xml:space="preserve"> </w:t>
      </w:r>
    </w:p>
    <w:p w14:paraId="7B4998C0" w14:textId="3C022E04" w:rsidR="00F31F2F" w:rsidRDefault="00F31F2F" w:rsidP="00C144CB">
      <w:pPr>
        <w:pStyle w:val="Body"/>
        <w:numPr>
          <w:ilvl w:val="0"/>
          <w:numId w:val="34"/>
        </w:numPr>
      </w:pPr>
      <w:r>
        <w:t>Establish baseline conditions regarding groundwater hydrochemistry against which potential leaks can be compared,</w:t>
      </w:r>
    </w:p>
    <w:p w14:paraId="1250416E" w14:textId="3AAC1118" w:rsidR="00C144CB" w:rsidRDefault="00C144CB" w:rsidP="00C144CB">
      <w:pPr>
        <w:pStyle w:val="Body"/>
        <w:numPr>
          <w:ilvl w:val="0"/>
          <w:numId w:val="34"/>
        </w:numPr>
      </w:pPr>
      <w:r>
        <w:t>Routine surveillance monitoring or bore integrity would seem a reasonable precautionary measure</w:t>
      </w:r>
      <w:r w:rsidR="00F31F2F">
        <w:t>,</w:t>
      </w:r>
    </w:p>
    <w:p w14:paraId="768BB0B9" w14:textId="761894B1" w:rsidR="00B8340F" w:rsidRDefault="00B8340F" w:rsidP="00C144CB">
      <w:pPr>
        <w:pStyle w:val="Body"/>
        <w:numPr>
          <w:ilvl w:val="0"/>
          <w:numId w:val="34"/>
        </w:numPr>
      </w:pPr>
      <w:r>
        <w:t>Design a monitoring approach that facilitates early detection and remediation of leaks</w:t>
      </w:r>
      <w:r w:rsidR="00F31F2F">
        <w:t>,</w:t>
      </w:r>
    </w:p>
    <w:p w14:paraId="4F537D7A" w14:textId="1787107C" w:rsidR="00B8340F" w:rsidRDefault="00663DE3" w:rsidP="00C144CB">
      <w:pPr>
        <w:pStyle w:val="Body"/>
        <w:numPr>
          <w:ilvl w:val="0"/>
          <w:numId w:val="34"/>
        </w:numPr>
      </w:pPr>
      <w:r>
        <w:t>Consider a combination of down</w:t>
      </w:r>
      <w:r w:rsidR="00B8340F">
        <w:t>-hole and other monitoring techniques for us</w:t>
      </w:r>
      <w:r w:rsidR="00F31F2F">
        <w:t>e</w:t>
      </w:r>
      <w:r w:rsidR="00B8340F">
        <w:t xml:space="preserve"> prior to decommissioning (</w:t>
      </w:r>
      <w:r w:rsidR="00F31F2F" w:rsidRPr="00BA0331">
        <w:t xml:space="preserve">design and/or construction, </w:t>
      </w:r>
      <w:r w:rsidR="00F31F2F">
        <w:t xml:space="preserve">active </w:t>
      </w:r>
      <w:r w:rsidR="00F31F2F" w:rsidRPr="00BA0331">
        <w:t xml:space="preserve">production </w:t>
      </w:r>
      <w:r w:rsidR="00F31F2F">
        <w:t xml:space="preserve">and work-over </w:t>
      </w:r>
      <w:r w:rsidR="00F31F2F" w:rsidRPr="00BA0331">
        <w:t xml:space="preserve">and </w:t>
      </w:r>
      <w:r w:rsidR="00F31F2F">
        <w:t>decommissioning phase), and after decommissioning,</w:t>
      </w:r>
    </w:p>
    <w:p w14:paraId="5D21AB89" w14:textId="1A25BE97" w:rsidR="00C144CB" w:rsidRDefault="00C144CB" w:rsidP="00C144CB">
      <w:pPr>
        <w:pStyle w:val="Body"/>
        <w:numPr>
          <w:ilvl w:val="0"/>
          <w:numId w:val="34"/>
        </w:numPr>
      </w:pPr>
      <w:r>
        <w:t>To optimise efficiencies and limited regulatory and financial resource, a tiered approach of escalating intensi</w:t>
      </w:r>
      <w:r w:rsidR="00B8340F">
        <w:t>ty</w:t>
      </w:r>
      <w:r>
        <w:t xml:space="preserve"> and increasing specificity would seem to be a reasonable approach </w:t>
      </w:r>
      <w:r w:rsidR="00B8340F">
        <w:t>(see for example the tiered Decision Support System for analysis of increased gas in water bores developed by Mallants et al. 2016).</w:t>
      </w:r>
    </w:p>
    <w:p w14:paraId="7431062D" w14:textId="458A6DAD" w:rsidR="00393DF8" w:rsidRDefault="00393DF8" w:rsidP="00C144CB">
      <w:pPr>
        <w:pStyle w:val="Heading3"/>
        <w:rPr>
          <w:rFonts w:asciiTheme="minorHAnsi" w:hAnsiTheme="minorHAnsi"/>
          <w:sz w:val="24"/>
          <w:szCs w:val="24"/>
        </w:rPr>
      </w:pPr>
      <w:bookmarkStart w:id="622" w:name="_Toc483567966"/>
      <w:r w:rsidRPr="00C144CB">
        <w:rPr>
          <w:rFonts w:asciiTheme="minorHAnsi" w:hAnsiTheme="minorHAnsi"/>
          <w:sz w:val="24"/>
          <w:szCs w:val="24"/>
        </w:rPr>
        <w:t>Preferred monitoring</w:t>
      </w:r>
      <w:r w:rsidRPr="00393DF8">
        <w:rPr>
          <w:rFonts w:asciiTheme="minorHAnsi" w:hAnsiTheme="minorHAnsi"/>
          <w:sz w:val="24"/>
          <w:szCs w:val="24"/>
        </w:rPr>
        <w:t xml:space="preserve"> approach</w:t>
      </w:r>
      <w:bookmarkEnd w:id="622"/>
    </w:p>
    <w:p w14:paraId="32D97DAA" w14:textId="34635A17" w:rsidR="001A1516" w:rsidRDefault="00F31F2F" w:rsidP="00F31F2F">
      <w:pPr>
        <w:pStyle w:val="Body"/>
      </w:pPr>
      <w:r>
        <w:t xml:space="preserve">The preferred monitoring approach is applicable to the following four phases: well construction and completion, well production and work-over, decommissioning, and after </w:t>
      </w:r>
      <w:r w:rsidR="00663DE3">
        <w:t>decommissioning</w:t>
      </w:r>
      <w:r>
        <w:t xml:space="preserve">. </w:t>
      </w:r>
      <w:r w:rsidR="001E7F0B">
        <w:t xml:space="preserve">A non-exhaustive list of monitoring equipment for each phase is provided in </w:t>
      </w:r>
      <w:r w:rsidR="001E7F0B">
        <w:fldChar w:fldCharType="begin"/>
      </w:r>
      <w:r w:rsidR="001E7F0B">
        <w:instrText xml:space="preserve"> REF _Ref479695720 \h </w:instrText>
      </w:r>
      <w:r w:rsidR="001E7F0B">
        <w:fldChar w:fldCharType="separate"/>
      </w:r>
      <w:r w:rsidR="00086147">
        <w:t xml:space="preserve">Table </w:t>
      </w:r>
      <w:r w:rsidR="00086147">
        <w:rPr>
          <w:noProof/>
        </w:rPr>
        <w:t>6</w:t>
      </w:r>
      <w:r w:rsidR="00086147">
        <w:noBreakHyphen/>
      </w:r>
      <w:r w:rsidR="00086147">
        <w:rPr>
          <w:noProof/>
        </w:rPr>
        <w:t>1</w:t>
      </w:r>
      <w:r w:rsidR="001E7F0B">
        <w:fldChar w:fldCharType="end"/>
      </w:r>
      <w:r w:rsidR="00BF4C9D">
        <w:t xml:space="preserve">; details of the tools are provided in Section </w:t>
      </w:r>
      <w:r w:rsidR="00BF4C9D">
        <w:fldChar w:fldCharType="begin"/>
      </w:r>
      <w:r w:rsidR="00BF4C9D">
        <w:instrText xml:space="preserve"> REF _Ref479696682 \r \h </w:instrText>
      </w:r>
      <w:r w:rsidR="00BF4C9D">
        <w:fldChar w:fldCharType="separate"/>
      </w:r>
      <w:r w:rsidR="00086147">
        <w:t>6.2</w:t>
      </w:r>
      <w:r w:rsidR="00BF4C9D">
        <w:fldChar w:fldCharType="end"/>
      </w:r>
      <w:r w:rsidR="001E7F0B">
        <w:t>. The following phases are considered:</w:t>
      </w:r>
    </w:p>
    <w:p w14:paraId="5E72827A" w14:textId="0664ECD6" w:rsidR="001E7F0B" w:rsidRDefault="001E7F0B" w:rsidP="001E7F0B">
      <w:pPr>
        <w:pStyle w:val="Body"/>
        <w:numPr>
          <w:ilvl w:val="0"/>
          <w:numId w:val="36"/>
        </w:numPr>
      </w:pPr>
      <w:r>
        <w:t>Well construction and completion: tools that measure mechanical integrity to provide a baseline assessment of integrity,</w:t>
      </w:r>
    </w:p>
    <w:p w14:paraId="3A056AD5" w14:textId="77777777" w:rsidR="009A555D" w:rsidRDefault="001E7F0B" w:rsidP="001E7F0B">
      <w:pPr>
        <w:pStyle w:val="Body"/>
        <w:numPr>
          <w:ilvl w:val="0"/>
          <w:numId w:val="36"/>
        </w:numPr>
      </w:pPr>
      <w:r>
        <w:t xml:space="preserve">Well production and work-over: </w:t>
      </w:r>
    </w:p>
    <w:p w14:paraId="423E8AD8" w14:textId="77777777" w:rsidR="009A555D" w:rsidRDefault="001E7F0B" w:rsidP="009A555D">
      <w:pPr>
        <w:pStyle w:val="Body"/>
        <w:numPr>
          <w:ilvl w:val="1"/>
          <w:numId w:val="36"/>
        </w:numPr>
      </w:pPr>
      <w:r>
        <w:t xml:space="preserve">tools that measure inter-annulus pressure build-up </w:t>
      </w:r>
      <w:r w:rsidR="009A555D">
        <w:t xml:space="preserve">and/or surface casing vent flow </w:t>
      </w:r>
      <w:r>
        <w:t>to provide episodic assessments of integrity</w:t>
      </w:r>
      <w:r w:rsidR="009A555D">
        <w:t xml:space="preserve">; </w:t>
      </w:r>
    </w:p>
    <w:p w14:paraId="56B85006" w14:textId="77777777" w:rsidR="009A555D" w:rsidRDefault="009A555D" w:rsidP="009A555D">
      <w:pPr>
        <w:pStyle w:val="Body"/>
        <w:numPr>
          <w:ilvl w:val="1"/>
          <w:numId w:val="36"/>
        </w:numPr>
      </w:pPr>
      <w:r>
        <w:t xml:space="preserve">tools that measure mechanical integrity after work-over operations (e.g. pump repairs, well deepening, plugging back, pulling and resetting liners, squeeze cementing and re-perforating); </w:t>
      </w:r>
    </w:p>
    <w:p w14:paraId="0880C8CB" w14:textId="723758FD" w:rsidR="009248DC" w:rsidRPr="009248DC" w:rsidRDefault="009A555D" w:rsidP="009248DC">
      <w:pPr>
        <w:pStyle w:val="Body"/>
        <w:numPr>
          <w:ilvl w:val="1"/>
          <w:numId w:val="36"/>
        </w:numPr>
      </w:pPr>
      <w:r>
        <w:t>tools that measure gas leaks around well head infrastructure</w:t>
      </w:r>
      <w:r w:rsidR="00D727D7">
        <w:t xml:space="preserve">. Although the impact calculations in Section 4 and 5 did not consider multi-phase flow and gas transport, monitoring gas leaks is </w:t>
      </w:r>
      <w:r w:rsidR="009248DC">
        <w:t xml:space="preserve">probably one of the easiest ways to detect the presence of a leakage pathway. Gas leaks </w:t>
      </w:r>
      <w:r w:rsidR="009248DC" w:rsidRPr="009248DC">
        <w:t>may be early warnings of a hydrological breach (fluid movement between geological formations), which may potentially lead to an environmental breach (</w:t>
      </w:r>
      <w:r w:rsidR="009248DC">
        <w:t xml:space="preserve">i.e., </w:t>
      </w:r>
      <w:r w:rsidR="009248DC" w:rsidRPr="009248DC">
        <w:t>contamination of or water bala</w:t>
      </w:r>
      <w:r w:rsidR="009248DC">
        <w:t>nce impact to water resources);</w:t>
      </w:r>
    </w:p>
    <w:p w14:paraId="1754F3A6" w14:textId="4AE85FA6" w:rsidR="009A555D" w:rsidRDefault="009248DC" w:rsidP="009248DC">
      <w:pPr>
        <w:pStyle w:val="Body"/>
        <w:numPr>
          <w:ilvl w:val="1"/>
          <w:numId w:val="36"/>
        </w:numPr>
      </w:pPr>
      <w:r>
        <w:t xml:space="preserve"> </w:t>
      </w:r>
      <w:r w:rsidR="009A555D">
        <w:t xml:space="preserve">tools that measure changes in groundwater hydrochemistry, contaminant concentrations or environmental isotopes. These ‘tracers’ may be indicators of leakage pathways through coal seam gas wells, poor-integrity water bores, open coal exploration holes, or natural pathways.  </w:t>
      </w:r>
    </w:p>
    <w:p w14:paraId="5EDCCD3A" w14:textId="6770A131" w:rsidR="001E7F0B" w:rsidRDefault="001E7F0B" w:rsidP="001E7F0B">
      <w:pPr>
        <w:pStyle w:val="Body"/>
        <w:numPr>
          <w:ilvl w:val="0"/>
          <w:numId w:val="36"/>
        </w:numPr>
      </w:pPr>
      <w:r>
        <w:t>Well decommissioning:</w:t>
      </w:r>
      <w:r w:rsidR="009A555D">
        <w:t xml:space="preserve"> tools that measure inter-annulus pressure build-up and mechanical integrity to inform well decommissioning design and operation,</w:t>
      </w:r>
    </w:p>
    <w:p w14:paraId="033E4C80" w14:textId="48D4EA32" w:rsidR="001E7F0B" w:rsidRDefault="001E7F0B" w:rsidP="001E7F0B">
      <w:pPr>
        <w:pStyle w:val="Body"/>
        <w:numPr>
          <w:ilvl w:val="0"/>
          <w:numId w:val="36"/>
        </w:numPr>
      </w:pPr>
      <w:r>
        <w:t>After well decommissioning:</w:t>
      </w:r>
      <w:r w:rsidR="009A555D">
        <w:t xml:space="preserve"> tools that measure gas leaks around remains of well head infrastructure; tools that measure changes in groundwater hydrochemistry, environmental tracers and/or contaminants. </w:t>
      </w:r>
    </w:p>
    <w:p w14:paraId="6DCEFA20" w14:textId="77777777" w:rsidR="007632A4" w:rsidRDefault="007632A4" w:rsidP="00F31F2F">
      <w:pPr>
        <w:pStyle w:val="Body"/>
      </w:pPr>
    </w:p>
    <w:p w14:paraId="385E8E51" w14:textId="2817A6D4" w:rsidR="007632A4" w:rsidRDefault="001E7F0B" w:rsidP="001E7F0B">
      <w:pPr>
        <w:pStyle w:val="Caption"/>
      </w:pPr>
      <w:bookmarkStart w:id="623" w:name="_Ref479695720"/>
      <w:bookmarkStart w:id="624" w:name="_Toc508267205"/>
      <w:r>
        <w:t xml:space="preserve">Table </w:t>
      </w:r>
      <w:r w:rsidR="00296C49">
        <w:fldChar w:fldCharType="begin"/>
      </w:r>
      <w:r w:rsidR="00296C49">
        <w:instrText xml:space="preserve"> STYLEREF 1 \s </w:instrText>
      </w:r>
      <w:r w:rsidR="00296C49">
        <w:fldChar w:fldCharType="separate"/>
      </w:r>
      <w:r w:rsidR="00086147">
        <w:rPr>
          <w:noProof/>
        </w:rPr>
        <w:t>6</w:t>
      </w:r>
      <w:r w:rsidR="00296C49">
        <w:rPr>
          <w:noProof/>
        </w:rPr>
        <w:fldChar w:fldCharType="end"/>
      </w:r>
      <w:r w:rsidR="0014612E">
        <w:noBreakHyphen/>
      </w:r>
      <w:r w:rsidR="00296C49">
        <w:fldChar w:fldCharType="begin"/>
      </w:r>
      <w:r w:rsidR="00296C49">
        <w:instrText xml:space="preserve"> SEQ Table \* ARABIC \s 1 </w:instrText>
      </w:r>
      <w:r w:rsidR="00296C49">
        <w:fldChar w:fldCharType="separate"/>
      </w:r>
      <w:r w:rsidR="00086147">
        <w:rPr>
          <w:noProof/>
        </w:rPr>
        <w:t>1</w:t>
      </w:r>
      <w:r w:rsidR="00296C49">
        <w:rPr>
          <w:noProof/>
        </w:rPr>
        <w:fldChar w:fldCharType="end"/>
      </w:r>
      <w:bookmarkEnd w:id="623"/>
      <w:r>
        <w:t xml:space="preserve"> Possible monitoring tools for different phases of a well lifecycle.</w:t>
      </w:r>
      <w:bookmarkEnd w:id="624"/>
    </w:p>
    <w:tbl>
      <w:tblPr>
        <w:tblW w:w="921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8"/>
        <w:gridCol w:w="3147"/>
        <w:gridCol w:w="1843"/>
        <w:gridCol w:w="2127"/>
      </w:tblGrid>
      <w:tr w:rsidR="00B42BFF" w:rsidRPr="006B17BE" w14:paraId="64FCE479" w14:textId="375F14A6" w:rsidTr="00BF4C9D">
        <w:trPr>
          <w:trHeight w:val="188"/>
          <w:tblHeader/>
        </w:trPr>
        <w:tc>
          <w:tcPr>
            <w:tcW w:w="2098"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08C8D09A" w14:textId="2959ED5A" w:rsidR="00B42BFF" w:rsidRPr="006B17BE" w:rsidRDefault="00B42BFF" w:rsidP="00140201">
            <w:pPr>
              <w:pStyle w:val="Body"/>
            </w:pPr>
            <w:r>
              <w:t>Monitoring tool</w:t>
            </w:r>
          </w:p>
        </w:tc>
        <w:tc>
          <w:tcPr>
            <w:tcW w:w="3147"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1AF766A2" w14:textId="01C979FF" w:rsidR="00B42BFF" w:rsidRPr="006B17BE" w:rsidRDefault="00B42BFF" w:rsidP="00140201">
            <w:pPr>
              <w:pStyle w:val="Body"/>
              <w:jc w:val="center"/>
            </w:pPr>
            <w:r>
              <w:t>Construction-completion-production-decommissioning</w:t>
            </w:r>
          </w:p>
        </w:tc>
        <w:tc>
          <w:tcPr>
            <w:tcW w:w="1843"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202921A8" w14:textId="2A591FFB" w:rsidR="00B42BFF" w:rsidRPr="006B17BE" w:rsidRDefault="00BF4C9D" w:rsidP="00663DE3">
            <w:pPr>
              <w:pStyle w:val="Body"/>
              <w:jc w:val="center"/>
            </w:pPr>
            <w:r>
              <w:t xml:space="preserve">Post </w:t>
            </w:r>
            <w:r w:rsidR="00B42BFF">
              <w:t>decommissioning</w:t>
            </w:r>
          </w:p>
        </w:tc>
        <w:tc>
          <w:tcPr>
            <w:tcW w:w="2127" w:type="dxa"/>
            <w:tcBorders>
              <w:top w:val="single" w:sz="4" w:space="0" w:color="auto"/>
              <w:left w:val="single" w:sz="4" w:space="0" w:color="auto"/>
              <w:bottom w:val="single" w:sz="4" w:space="0" w:color="auto"/>
              <w:right w:val="single" w:sz="4" w:space="0" w:color="auto"/>
            </w:tcBorders>
            <w:shd w:val="clear" w:color="auto" w:fill="CCCCCC" w:themeFill="text2" w:themeFillTint="33"/>
          </w:tcPr>
          <w:p w14:paraId="55A7F05B" w14:textId="4E1C16A5" w:rsidR="00B42BFF" w:rsidRDefault="00B42BFF" w:rsidP="00663DE3">
            <w:pPr>
              <w:pStyle w:val="Body"/>
              <w:jc w:val="center"/>
            </w:pPr>
            <w:r>
              <w:t>Requirements</w:t>
            </w:r>
          </w:p>
        </w:tc>
      </w:tr>
      <w:tr w:rsidR="00B42BFF" w:rsidRPr="006B17BE" w14:paraId="5992B125" w14:textId="26BCBAE9" w:rsidTr="001E7F0B">
        <w:trPr>
          <w:trHeight w:val="84"/>
        </w:trPr>
        <w:tc>
          <w:tcPr>
            <w:tcW w:w="9215" w:type="dxa"/>
            <w:gridSpan w:val="4"/>
            <w:tcBorders>
              <w:top w:val="single" w:sz="4" w:space="0" w:color="auto"/>
              <w:left w:val="single" w:sz="4" w:space="0" w:color="auto"/>
              <w:bottom w:val="single" w:sz="4" w:space="0" w:color="auto"/>
              <w:right w:val="single" w:sz="4" w:space="0" w:color="auto"/>
            </w:tcBorders>
          </w:tcPr>
          <w:p w14:paraId="315B4D0B" w14:textId="4AEF0D99" w:rsidR="00B42BFF" w:rsidRPr="00B42BFF" w:rsidRDefault="00B42BFF" w:rsidP="00140201">
            <w:pPr>
              <w:pStyle w:val="Body"/>
              <w:jc w:val="center"/>
              <w:rPr>
                <w:i/>
                <w:color w:val="auto"/>
              </w:rPr>
            </w:pPr>
            <w:r w:rsidRPr="00B42BFF">
              <w:rPr>
                <w:rFonts w:asciiTheme="minorHAnsi" w:hAnsiTheme="minorHAnsi"/>
                <w:i/>
                <w:noProof/>
                <w:color w:val="auto"/>
                <w:sz w:val="24"/>
                <w:szCs w:val="24"/>
              </w:rPr>
              <w:t>Down-hole</w:t>
            </w:r>
          </w:p>
        </w:tc>
      </w:tr>
      <w:tr w:rsidR="00B42BFF" w:rsidRPr="006B17BE" w14:paraId="65EEFE1F" w14:textId="16A77504" w:rsidTr="00BF4C9D">
        <w:trPr>
          <w:trHeight w:val="84"/>
        </w:trPr>
        <w:tc>
          <w:tcPr>
            <w:tcW w:w="2098" w:type="dxa"/>
            <w:tcBorders>
              <w:top w:val="single" w:sz="4" w:space="0" w:color="auto"/>
              <w:left w:val="single" w:sz="4" w:space="0" w:color="auto"/>
              <w:bottom w:val="single" w:sz="4" w:space="0" w:color="auto"/>
              <w:right w:val="single" w:sz="4" w:space="0" w:color="auto"/>
            </w:tcBorders>
          </w:tcPr>
          <w:p w14:paraId="6BA2CCA7" w14:textId="6C61DC77" w:rsidR="00B42BFF" w:rsidRPr="00B42BFF" w:rsidRDefault="00B42BFF" w:rsidP="00B42BFF">
            <w:pPr>
              <w:pStyle w:val="Body"/>
              <w:jc w:val="center"/>
              <w:rPr>
                <w:color w:val="auto"/>
              </w:rPr>
            </w:pPr>
            <w:r w:rsidRPr="00B42BFF">
              <w:rPr>
                <w:color w:val="auto"/>
              </w:rPr>
              <w:t>Wire-line and ultrasonic logging</w:t>
            </w:r>
          </w:p>
        </w:tc>
        <w:tc>
          <w:tcPr>
            <w:tcW w:w="3147" w:type="dxa"/>
            <w:tcBorders>
              <w:top w:val="single" w:sz="4" w:space="0" w:color="auto"/>
              <w:left w:val="single" w:sz="4" w:space="0" w:color="auto"/>
              <w:bottom w:val="single" w:sz="4" w:space="0" w:color="auto"/>
              <w:right w:val="single" w:sz="4" w:space="0" w:color="auto"/>
            </w:tcBorders>
          </w:tcPr>
          <w:p w14:paraId="5F92184E" w14:textId="03CE0154" w:rsidR="00B42BFF" w:rsidRPr="006B17BE" w:rsidRDefault="00B42BFF" w:rsidP="00140201">
            <w:pPr>
              <w:pStyle w:val="Body"/>
              <w:jc w:val="center"/>
              <w:rPr>
                <w:color w:val="auto"/>
              </w:rPr>
            </w:pPr>
            <w:r>
              <w:rPr>
                <w:color w:val="auto"/>
              </w:rPr>
              <w:t>Highly suitable</w:t>
            </w:r>
          </w:p>
        </w:tc>
        <w:tc>
          <w:tcPr>
            <w:tcW w:w="1843" w:type="dxa"/>
            <w:tcBorders>
              <w:top w:val="single" w:sz="4" w:space="0" w:color="auto"/>
              <w:left w:val="single" w:sz="4" w:space="0" w:color="auto"/>
              <w:bottom w:val="single" w:sz="4" w:space="0" w:color="auto"/>
              <w:right w:val="single" w:sz="4" w:space="0" w:color="auto"/>
            </w:tcBorders>
          </w:tcPr>
          <w:p w14:paraId="02BB4913" w14:textId="5AFC6F17" w:rsidR="00B42BFF" w:rsidRPr="006B17BE" w:rsidRDefault="00B42BFF" w:rsidP="00140201">
            <w:pPr>
              <w:pStyle w:val="Body"/>
              <w:jc w:val="center"/>
              <w:rPr>
                <w:color w:val="auto"/>
              </w:rPr>
            </w:pPr>
            <w:r>
              <w:rPr>
                <w:color w:val="auto"/>
              </w:rPr>
              <w:t>Not suitable</w:t>
            </w:r>
          </w:p>
        </w:tc>
        <w:tc>
          <w:tcPr>
            <w:tcW w:w="2127" w:type="dxa"/>
            <w:tcBorders>
              <w:top w:val="single" w:sz="4" w:space="0" w:color="auto"/>
              <w:left w:val="single" w:sz="4" w:space="0" w:color="auto"/>
              <w:bottom w:val="single" w:sz="4" w:space="0" w:color="auto"/>
              <w:right w:val="single" w:sz="4" w:space="0" w:color="auto"/>
            </w:tcBorders>
          </w:tcPr>
          <w:p w14:paraId="3140E203" w14:textId="7E204D65" w:rsidR="00B42BFF" w:rsidRPr="006B17BE" w:rsidRDefault="00B42BFF" w:rsidP="00140201">
            <w:pPr>
              <w:pStyle w:val="Body"/>
              <w:jc w:val="center"/>
              <w:rPr>
                <w:color w:val="auto"/>
              </w:rPr>
            </w:pPr>
            <w:r>
              <w:rPr>
                <w:color w:val="auto"/>
              </w:rPr>
              <w:t>Headworks are off</w:t>
            </w:r>
          </w:p>
        </w:tc>
      </w:tr>
      <w:tr w:rsidR="00B42BFF" w:rsidRPr="006B17BE" w14:paraId="14184C7E" w14:textId="212B527A" w:rsidTr="00BF4C9D">
        <w:trPr>
          <w:trHeight w:val="84"/>
        </w:trPr>
        <w:tc>
          <w:tcPr>
            <w:tcW w:w="2098" w:type="dxa"/>
            <w:tcBorders>
              <w:top w:val="single" w:sz="4" w:space="0" w:color="auto"/>
              <w:left w:val="single" w:sz="4" w:space="0" w:color="auto"/>
              <w:bottom w:val="single" w:sz="4" w:space="0" w:color="auto"/>
              <w:right w:val="single" w:sz="4" w:space="0" w:color="auto"/>
            </w:tcBorders>
          </w:tcPr>
          <w:p w14:paraId="1C97C927" w14:textId="0153BCDE" w:rsidR="00B42BFF" w:rsidRPr="00B42BFF" w:rsidRDefault="00B42BFF" w:rsidP="00B42BFF">
            <w:pPr>
              <w:pStyle w:val="Body"/>
              <w:jc w:val="center"/>
              <w:rPr>
                <w:color w:val="auto"/>
              </w:rPr>
            </w:pPr>
            <w:r w:rsidRPr="00B42BFF">
              <w:rPr>
                <w:color w:val="auto"/>
              </w:rPr>
              <w:t>Testing and sampling</w:t>
            </w:r>
          </w:p>
        </w:tc>
        <w:tc>
          <w:tcPr>
            <w:tcW w:w="3147" w:type="dxa"/>
            <w:tcBorders>
              <w:top w:val="single" w:sz="4" w:space="0" w:color="auto"/>
              <w:left w:val="single" w:sz="4" w:space="0" w:color="auto"/>
              <w:bottom w:val="single" w:sz="4" w:space="0" w:color="auto"/>
              <w:right w:val="single" w:sz="4" w:space="0" w:color="auto"/>
            </w:tcBorders>
          </w:tcPr>
          <w:p w14:paraId="060C9824" w14:textId="08E1D6DC" w:rsidR="00B42BFF" w:rsidRPr="006B17BE" w:rsidRDefault="00B42BFF" w:rsidP="00140201">
            <w:pPr>
              <w:pStyle w:val="Body"/>
              <w:jc w:val="center"/>
              <w:rPr>
                <w:color w:val="auto"/>
              </w:rPr>
            </w:pPr>
            <w:r>
              <w:rPr>
                <w:color w:val="auto"/>
              </w:rPr>
              <w:t>Highly suitable</w:t>
            </w:r>
          </w:p>
        </w:tc>
        <w:tc>
          <w:tcPr>
            <w:tcW w:w="1843" w:type="dxa"/>
            <w:tcBorders>
              <w:top w:val="single" w:sz="4" w:space="0" w:color="auto"/>
              <w:left w:val="single" w:sz="4" w:space="0" w:color="auto"/>
              <w:bottom w:val="single" w:sz="4" w:space="0" w:color="auto"/>
              <w:right w:val="single" w:sz="4" w:space="0" w:color="auto"/>
            </w:tcBorders>
          </w:tcPr>
          <w:p w14:paraId="2C354EAF" w14:textId="712CCA00" w:rsidR="00B42BFF" w:rsidRPr="006B17BE" w:rsidRDefault="00B42BFF" w:rsidP="00140201">
            <w:pPr>
              <w:pStyle w:val="Body"/>
              <w:jc w:val="center"/>
              <w:rPr>
                <w:color w:val="auto"/>
              </w:rPr>
            </w:pPr>
            <w:r>
              <w:rPr>
                <w:color w:val="auto"/>
              </w:rPr>
              <w:t>Not suitable</w:t>
            </w:r>
          </w:p>
        </w:tc>
        <w:tc>
          <w:tcPr>
            <w:tcW w:w="2127" w:type="dxa"/>
            <w:tcBorders>
              <w:top w:val="single" w:sz="4" w:space="0" w:color="auto"/>
              <w:left w:val="single" w:sz="4" w:space="0" w:color="auto"/>
              <w:bottom w:val="single" w:sz="4" w:space="0" w:color="auto"/>
              <w:right w:val="single" w:sz="4" w:space="0" w:color="auto"/>
            </w:tcBorders>
          </w:tcPr>
          <w:p w14:paraId="1607CD71" w14:textId="5D136626" w:rsidR="00B42BFF" w:rsidRPr="006B17BE" w:rsidRDefault="00B42BFF" w:rsidP="00140201">
            <w:pPr>
              <w:pStyle w:val="Body"/>
              <w:jc w:val="center"/>
              <w:rPr>
                <w:color w:val="auto"/>
              </w:rPr>
            </w:pPr>
            <w:r>
              <w:rPr>
                <w:color w:val="auto"/>
              </w:rPr>
              <w:t>Headworks are off</w:t>
            </w:r>
          </w:p>
        </w:tc>
      </w:tr>
      <w:tr w:rsidR="00B42BFF" w:rsidRPr="006B17BE" w14:paraId="4522DBBC" w14:textId="0D368B53" w:rsidTr="001E7F0B">
        <w:trPr>
          <w:trHeight w:val="84"/>
        </w:trPr>
        <w:tc>
          <w:tcPr>
            <w:tcW w:w="9215" w:type="dxa"/>
            <w:gridSpan w:val="4"/>
            <w:tcBorders>
              <w:top w:val="single" w:sz="4" w:space="0" w:color="auto"/>
              <w:left w:val="single" w:sz="4" w:space="0" w:color="auto"/>
              <w:bottom w:val="single" w:sz="4" w:space="0" w:color="auto"/>
              <w:right w:val="single" w:sz="4" w:space="0" w:color="auto"/>
            </w:tcBorders>
          </w:tcPr>
          <w:p w14:paraId="008BA8ED" w14:textId="6846BF04" w:rsidR="00B42BFF" w:rsidRPr="006B17BE" w:rsidRDefault="00B42BFF" w:rsidP="00140201">
            <w:pPr>
              <w:pStyle w:val="Body"/>
              <w:jc w:val="center"/>
              <w:rPr>
                <w:color w:val="auto"/>
              </w:rPr>
            </w:pPr>
            <w:r w:rsidRPr="00B42BFF">
              <w:rPr>
                <w:rFonts w:asciiTheme="minorHAnsi" w:hAnsiTheme="minorHAnsi"/>
                <w:i/>
                <w:noProof/>
                <w:color w:val="auto"/>
                <w:sz w:val="24"/>
                <w:szCs w:val="24"/>
              </w:rPr>
              <w:t>Other</w:t>
            </w:r>
          </w:p>
        </w:tc>
      </w:tr>
      <w:tr w:rsidR="00B42BFF" w:rsidRPr="006B17BE" w14:paraId="2A20B945" w14:textId="08DC414D" w:rsidTr="00BF4C9D">
        <w:trPr>
          <w:trHeight w:val="84"/>
        </w:trPr>
        <w:tc>
          <w:tcPr>
            <w:tcW w:w="2098" w:type="dxa"/>
            <w:tcBorders>
              <w:top w:val="single" w:sz="4" w:space="0" w:color="auto"/>
              <w:left w:val="single" w:sz="4" w:space="0" w:color="auto"/>
              <w:bottom w:val="single" w:sz="4" w:space="0" w:color="auto"/>
              <w:right w:val="single" w:sz="4" w:space="0" w:color="auto"/>
            </w:tcBorders>
          </w:tcPr>
          <w:p w14:paraId="655487CC" w14:textId="29E74079" w:rsidR="00B42BFF" w:rsidRPr="00B42BFF" w:rsidRDefault="00B42BFF" w:rsidP="00B42BFF">
            <w:pPr>
              <w:pStyle w:val="Body"/>
              <w:jc w:val="center"/>
              <w:rPr>
                <w:color w:val="auto"/>
              </w:rPr>
            </w:pPr>
            <w:r w:rsidRPr="00B42BFF">
              <w:rPr>
                <w:color w:val="auto"/>
              </w:rPr>
              <w:t>Surface-casing-vent flow</w:t>
            </w:r>
          </w:p>
        </w:tc>
        <w:tc>
          <w:tcPr>
            <w:tcW w:w="3147" w:type="dxa"/>
            <w:tcBorders>
              <w:top w:val="single" w:sz="4" w:space="0" w:color="auto"/>
              <w:left w:val="single" w:sz="4" w:space="0" w:color="auto"/>
              <w:bottom w:val="single" w:sz="4" w:space="0" w:color="auto"/>
              <w:right w:val="single" w:sz="4" w:space="0" w:color="auto"/>
            </w:tcBorders>
          </w:tcPr>
          <w:p w14:paraId="76EA8867" w14:textId="2C9AA93E" w:rsidR="00B42BFF" w:rsidRPr="006B17BE" w:rsidRDefault="00B42BFF" w:rsidP="00140201">
            <w:pPr>
              <w:pStyle w:val="Body"/>
              <w:jc w:val="center"/>
              <w:rPr>
                <w:color w:val="auto"/>
              </w:rPr>
            </w:pPr>
            <w:r>
              <w:rPr>
                <w:color w:val="auto"/>
              </w:rPr>
              <w:t>Highly suitable</w:t>
            </w:r>
          </w:p>
        </w:tc>
        <w:tc>
          <w:tcPr>
            <w:tcW w:w="1843" w:type="dxa"/>
            <w:tcBorders>
              <w:top w:val="single" w:sz="4" w:space="0" w:color="auto"/>
              <w:left w:val="single" w:sz="4" w:space="0" w:color="auto"/>
              <w:bottom w:val="single" w:sz="4" w:space="0" w:color="auto"/>
              <w:right w:val="single" w:sz="4" w:space="0" w:color="auto"/>
            </w:tcBorders>
          </w:tcPr>
          <w:p w14:paraId="1E7FDBD2" w14:textId="2D67196E" w:rsidR="00B42BFF" w:rsidRPr="006B17BE" w:rsidRDefault="00907373" w:rsidP="00140201">
            <w:pPr>
              <w:pStyle w:val="Body"/>
              <w:jc w:val="center"/>
              <w:rPr>
                <w:color w:val="auto"/>
              </w:rPr>
            </w:pPr>
            <w:r>
              <w:rPr>
                <w:color w:val="auto"/>
              </w:rPr>
              <w:t>Not suitable</w:t>
            </w:r>
          </w:p>
        </w:tc>
        <w:tc>
          <w:tcPr>
            <w:tcW w:w="2127" w:type="dxa"/>
            <w:tcBorders>
              <w:top w:val="single" w:sz="4" w:space="0" w:color="auto"/>
              <w:left w:val="single" w:sz="4" w:space="0" w:color="auto"/>
              <w:bottom w:val="single" w:sz="4" w:space="0" w:color="auto"/>
              <w:right w:val="single" w:sz="4" w:space="0" w:color="auto"/>
            </w:tcBorders>
          </w:tcPr>
          <w:p w14:paraId="04C1D91B" w14:textId="48796C1F" w:rsidR="00B42BFF" w:rsidRPr="006B17BE" w:rsidRDefault="001E7F0B" w:rsidP="00140201">
            <w:pPr>
              <w:pStyle w:val="Body"/>
              <w:jc w:val="center"/>
              <w:rPr>
                <w:color w:val="auto"/>
              </w:rPr>
            </w:pPr>
            <w:r>
              <w:rPr>
                <w:color w:val="auto"/>
              </w:rPr>
              <w:t>Do not require heads to be taken off</w:t>
            </w:r>
          </w:p>
        </w:tc>
      </w:tr>
      <w:tr w:rsidR="00B42BFF" w:rsidRPr="006B17BE" w14:paraId="4620D155" w14:textId="1BB28D48" w:rsidTr="00BF4C9D">
        <w:trPr>
          <w:trHeight w:val="84"/>
        </w:trPr>
        <w:tc>
          <w:tcPr>
            <w:tcW w:w="2098" w:type="dxa"/>
            <w:tcBorders>
              <w:top w:val="single" w:sz="4" w:space="0" w:color="auto"/>
              <w:left w:val="single" w:sz="4" w:space="0" w:color="auto"/>
              <w:bottom w:val="single" w:sz="4" w:space="0" w:color="auto"/>
              <w:right w:val="single" w:sz="4" w:space="0" w:color="auto"/>
            </w:tcBorders>
          </w:tcPr>
          <w:p w14:paraId="44704576" w14:textId="336F7C8D" w:rsidR="00B42BFF" w:rsidRPr="00B42BFF" w:rsidRDefault="00B42BFF" w:rsidP="00B42BFF">
            <w:pPr>
              <w:pStyle w:val="Body"/>
              <w:jc w:val="center"/>
              <w:rPr>
                <w:color w:val="auto"/>
              </w:rPr>
            </w:pPr>
            <w:r w:rsidRPr="00B42BFF">
              <w:rPr>
                <w:color w:val="auto"/>
              </w:rPr>
              <w:t>Casing head pressure test</w:t>
            </w:r>
          </w:p>
        </w:tc>
        <w:tc>
          <w:tcPr>
            <w:tcW w:w="3147" w:type="dxa"/>
            <w:tcBorders>
              <w:top w:val="single" w:sz="4" w:space="0" w:color="auto"/>
              <w:left w:val="single" w:sz="4" w:space="0" w:color="auto"/>
              <w:bottom w:val="single" w:sz="4" w:space="0" w:color="auto"/>
              <w:right w:val="single" w:sz="4" w:space="0" w:color="auto"/>
            </w:tcBorders>
          </w:tcPr>
          <w:p w14:paraId="22259EF4" w14:textId="05C706B2" w:rsidR="00B42BFF" w:rsidRPr="006B17BE" w:rsidRDefault="00B42BFF" w:rsidP="00140201">
            <w:pPr>
              <w:pStyle w:val="Body"/>
              <w:jc w:val="center"/>
              <w:rPr>
                <w:color w:val="auto"/>
              </w:rPr>
            </w:pPr>
            <w:r>
              <w:rPr>
                <w:color w:val="auto"/>
              </w:rPr>
              <w:t>Highly suitable</w:t>
            </w:r>
          </w:p>
        </w:tc>
        <w:tc>
          <w:tcPr>
            <w:tcW w:w="1843" w:type="dxa"/>
            <w:tcBorders>
              <w:top w:val="single" w:sz="4" w:space="0" w:color="auto"/>
              <w:left w:val="single" w:sz="4" w:space="0" w:color="auto"/>
              <w:bottom w:val="single" w:sz="4" w:space="0" w:color="auto"/>
              <w:right w:val="single" w:sz="4" w:space="0" w:color="auto"/>
            </w:tcBorders>
          </w:tcPr>
          <w:p w14:paraId="184FBD60" w14:textId="67474AE1" w:rsidR="00B42BFF" w:rsidRPr="006B17BE" w:rsidRDefault="00907373" w:rsidP="00140201">
            <w:pPr>
              <w:pStyle w:val="Body"/>
              <w:jc w:val="center"/>
              <w:rPr>
                <w:color w:val="auto"/>
              </w:rPr>
            </w:pPr>
            <w:r>
              <w:rPr>
                <w:color w:val="auto"/>
              </w:rPr>
              <w:t>Not suitable</w:t>
            </w:r>
          </w:p>
        </w:tc>
        <w:tc>
          <w:tcPr>
            <w:tcW w:w="2127" w:type="dxa"/>
            <w:tcBorders>
              <w:top w:val="single" w:sz="4" w:space="0" w:color="auto"/>
              <w:left w:val="single" w:sz="4" w:space="0" w:color="auto"/>
              <w:bottom w:val="single" w:sz="4" w:space="0" w:color="auto"/>
              <w:right w:val="single" w:sz="4" w:space="0" w:color="auto"/>
            </w:tcBorders>
          </w:tcPr>
          <w:p w14:paraId="2BE2C249" w14:textId="31D95DC3" w:rsidR="00B42BFF" w:rsidRPr="006B17BE" w:rsidRDefault="00B42BFF" w:rsidP="00140201">
            <w:pPr>
              <w:pStyle w:val="Body"/>
              <w:jc w:val="center"/>
              <w:rPr>
                <w:color w:val="auto"/>
              </w:rPr>
            </w:pPr>
            <w:r>
              <w:rPr>
                <w:szCs w:val="22"/>
                <w:lang w:val="en-AU"/>
              </w:rPr>
              <w:t>B</w:t>
            </w:r>
            <w:r w:rsidRPr="00A56F18">
              <w:rPr>
                <w:szCs w:val="22"/>
                <w:lang w:val="en-AU"/>
              </w:rPr>
              <w:t>radenhead testing</w:t>
            </w:r>
            <w:r>
              <w:rPr>
                <w:szCs w:val="22"/>
                <w:lang w:val="en-AU"/>
              </w:rPr>
              <w:t xml:space="preserve"> valve</w:t>
            </w:r>
            <w:r w:rsidR="001E7F0B">
              <w:rPr>
                <w:szCs w:val="22"/>
                <w:lang w:val="en-AU"/>
              </w:rPr>
              <w:t xml:space="preserve">; </w:t>
            </w:r>
            <w:r w:rsidR="001E7F0B">
              <w:rPr>
                <w:color w:val="auto"/>
              </w:rPr>
              <w:t>Do not require heads to be taken off</w:t>
            </w:r>
          </w:p>
        </w:tc>
      </w:tr>
      <w:tr w:rsidR="00B42BFF" w:rsidRPr="006B17BE" w14:paraId="4D1A85AE" w14:textId="3544326A" w:rsidTr="00BF4C9D">
        <w:trPr>
          <w:trHeight w:val="84"/>
        </w:trPr>
        <w:tc>
          <w:tcPr>
            <w:tcW w:w="2098" w:type="dxa"/>
            <w:tcBorders>
              <w:top w:val="single" w:sz="4" w:space="0" w:color="auto"/>
              <w:left w:val="single" w:sz="4" w:space="0" w:color="auto"/>
              <w:bottom w:val="single" w:sz="4" w:space="0" w:color="auto"/>
              <w:right w:val="single" w:sz="4" w:space="0" w:color="auto"/>
            </w:tcBorders>
          </w:tcPr>
          <w:p w14:paraId="740B9253" w14:textId="5709F41B" w:rsidR="00B42BFF" w:rsidRPr="00B42BFF" w:rsidRDefault="00B42BFF" w:rsidP="00B42BFF">
            <w:pPr>
              <w:pStyle w:val="Body"/>
              <w:jc w:val="center"/>
              <w:rPr>
                <w:color w:val="auto"/>
              </w:rPr>
            </w:pPr>
            <w:r w:rsidRPr="00B42BFF">
              <w:rPr>
                <w:color w:val="auto"/>
              </w:rPr>
              <w:t>Fugitive emissions of methane</w:t>
            </w:r>
          </w:p>
        </w:tc>
        <w:tc>
          <w:tcPr>
            <w:tcW w:w="3147" w:type="dxa"/>
            <w:tcBorders>
              <w:top w:val="single" w:sz="4" w:space="0" w:color="auto"/>
              <w:left w:val="single" w:sz="4" w:space="0" w:color="auto"/>
              <w:bottom w:val="single" w:sz="4" w:space="0" w:color="auto"/>
              <w:right w:val="single" w:sz="4" w:space="0" w:color="auto"/>
            </w:tcBorders>
          </w:tcPr>
          <w:p w14:paraId="7AF9824B" w14:textId="3F587BA3" w:rsidR="00B42BFF" w:rsidRPr="006B17BE" w:rsidRDefault="00B42BFF" w:rsidP="00140201">
            <w:pPr>
              <w:pStyle w:val="Body"/>
              <w:jc w:val="center"/>
              <w:rPr>
                <w:color w:val="auto"/>
              </w:rPr>
            </w:pPr>
            <w:r>
              <w:rPr>
                <w:color w:val="auto"/>
              </w:rPr>
              <w:t>Highly suitable</w:t>
            </w:r>
          </w:p>
        </w:tc>
        <w:tc>
          <w:tcPr>
            <w:tcW w:w="1843" w:type="dxa"/>
            <w:tcBorders>
              <w:top w:val="single" w:sz="4" w:space="0" w:color="auto"/>
              <w:left w:val="single" w:sz="4" w:space="0" w:color="auto"/>
              <w:bottom w:val="single" w:sz="4" w:space="0" w:color="auto"/>
              <w:right w:val="single" w:sz="4" w:space="0" w:color="auto"/>
            </w:tcBorders>
          </w:tcPr>
          <w:p w14:paraId="51087919" w14:textId="408BE3B0" w:rsidR="00B42BFF" w:rsidRPr="006B17BE" w:rsidRDefault="00B42BFF" w:rsidP="00140201">
            <w:pPr>
              <w:pStyle w:val="Body"/>
              <w:jc w:val="center"/>
              <w:rPr>
                <w:noProof/>
                <w:color w:val="auto"/>
              </w:rPr>
            </w:pPr>
            <w:r>
              <w:rPr>
                <w:noProof/>
                <w:color w:val="auto"/>
              </w:rPr>
              <w:t>Suitable</w:t>
            </w:r>
          </w:p>
        </w:tc>
        <w:tc>
          <w:tcPr>
            <w:tcW w:w="2127" w:type="dxa"/>
            <w:tcBorders>
              <w:top w:val="single" w:sz="4" w:space="0" w:color="auto"/>
              <w:left w:val="single" w:sz="4" w:space="0" w:color="auto"/>
              <w:bottom w:val="single" w:sz="4" w:space="0" w:color="auto"/>
              <w:right w:val="single" w:sz="4" w:space="0" w:color="auto"/>
            </w:tcBorders>
          </w:tcPr>
          <w:p w14:paraId="144EDE12" w14:textId="4E07C847" w:rsidR="00B42BFF" w:rsidRPr="006B17BE" w:rsidRDefault="00B42BFF" w:rsidP="00140201">
            <w:pPr>
              <w:pStyle w:val="Body"/>
              <w:jc w:val="center"/>
              <w:rPr>
                <w:noProof/>
                <w:color w:val="auto"/>
              </w:rPr>
            </w:pPr>
            <w:r>
              <w:rPr>
                <w:noProof/>
                <w:color w:val="auto"/>
              </w:rPr>
              <w:t>Gas flux chamber for post-decommissioning phase</w:t>
            </w:r>
          </w:p>
        </w:tc>
      </w:tr>
      <w:tr w:rsidR="00B42BFF" w:rsidRPr="006B17BE" w14:paraId="3C7F95C8" w14:textId="30AA144C" w:rsidTr="00BF4C9D">
        <w:trPr>
          <w:trHeight w:val="84"/>
        </w:trPr>
        <w:tc>
          <w:tcPr>
            <w:tcW w:w="2098" w:type="dxa"/>
            <w:tcBorders>
              <w:top w:val="single" w:sz="4" w:space="0" w:color="auto"/>
              <w:left w:val="single" w:sz="4" w:space="0" w:color="auto"/>
              <w:bottom w:val="single" w:sz="4" w:space="0" w:color="auto"/>
              <w:right w:val="single" w:sz="4" w:space="0" w:color="auto"/>
            </w:tcBorders>
          </w:tcPr>
          <w:p w14:paraId="0D8736A3" w14:textId="0EC743EB" w:rsidR="00B42BFF" w:rsidRPr="00B42BFF" w:rsidRDefault="00B42BFF" w:rsidP="00B42BFF">
            <w:pPr>
              <w:pStyle w:val="Body"/>
              <w:jc w:val="center"/>
              <w:rPr>
                <w:color w:val="auto"/>
              </w:rPr>
            </w:pPr>
            <w:r w:rsidRPr="00B42BFF">
              <w:rPr>
                <w:color w:val="auto"/>
              </w:rPr>
              <w:t>Hydrochemistry, environmental isotopes</w:t>
            </w:r>
            <w:r w:rsidR="00861973">
              <w:rPr>
                <w:color w:val="auto"/>
              </w:rPr>
              <w:t>, contaminants</w:t>
            </w:r>
          </w:p>
        </w:tc>
        <w:tc>
          <w:tcPr>
            <w:tcW w:w="3147" w:type="dxa"/>
            <w:tcBorders>
              <w:top w:val="single" w:sz="4" w:space="0" w:color="auto"/>
              <w:left w:val="single" w:sz="4" w:space="0" w:color="auto"/>
              <w:bottom w:val="single" w:sz="4" w:space="0" w:color="auto"/>
              <w:right w:val="single" w:sz="4" w:space="0" w:color="auto"/>
            </w:tcBorders>
          </w:tcPr>
          <w:p w14:paraId="1747B733" w14:textId="44E14676" w:rsidR="00B42BFF" w:rsidRPr="006B17BE" w:rsidRDefault="00B42BFF" w:rsidP="00140201">
            <w:pPr>
              <w:pStyle w:val="Body"/>
              <w:jc w:val="center"/>
              <w:rPr>
                <w:color w:val="auto"/>
              </w:rPr>
            </w:pPr>
            <w:r>
              <w:rPr>
                <w:noProof/>
                <w:color w:val="auto"/>
              </w:rPr>
              <w:t>Suitable</w:t>
            </w:r>
          </w:p>
        </w:tc>
        <w:tc>
          <w:tcPr>
            <w:tcW w:w="1843" w:type="dxa"/>
            <w:tcBorders>
              <w:top w:val="single" w:sz="4" w:space="0" w:color="auto"/>
              <w:left w:val="single" w:sz="4" w:space="0" w:color="auto"/>
              <w:bottom w:val="single" w:sz="4" w:space="0" w:color="auto"/>
              <w:right w:val="single" w:sz="4" w:space="0" w:color="auto"/>
            </w:tcBorders>
          </w:tcPr>
          <w:p w14:paraId="354BEAE8" w14:textId="17896061" w:rsidR="00B42BFF" w:rsidRPr="006B17BE" w:rsidRDefault="00B42BFF" w:rsidP="00140201">
            <w:pPr>
              <w:pStyle w:val="Body"/>
              <w:jc w:val="center"/>
              <w:rPr>
                <w:color w:val="auto"/>
              </w:rPr>
            </w:pPr>
            <w:r>
              <w:rPr>
                <w:noProof/>
                <w:color w:val="auto"/>
              </w:rPr>
              <w:t>Suitable</w:t>
            </w:r>
          </w:p>
        </w:tc>
        <w:tc>
          <w:tcPr>
            <w:tcW w:w="2127" w:type="dxa"/>
            <w:tcBorders>
              <w:top w:val="single" w:sz="4" w:space="0" w:color="auto"/>
              <w:left w:val="single" w:sz="4" w:space="0" w:color="auto"/>
              <w:bottom w:val="single" w:sz="4" w:space="0" w:color="auto"/>
              <w:right w:val="single" w:sz="4" w:space="0" w:color="auto"/>
            </w:tcBorders>
          </w:tcPr>
          <w:p w14:paraId="07D968D7" w14:textId="43CC89A0" w:rsidR="00B42BFF" w:rsidRPr="006B17BE" w:rsidRDefault="00B42BFF" w:rsidP="00711980">
            <w:pPr>
              <w:pStyle w:val="Body"/>
              <w:jc w:val="center"/>
              <w:rPr>
                <w:color w:val="auto"/>
              </w:rPr>
            </w:pPr>
            <w:r>
              <w:rPr>
                <w:color w:val="auto"/>
              </w:rPr>
              <w:t xml:space="preserve">Detectable chemical compound in produced </w:t>
            </w:r>
            <w:r w:rsidR="00711980">
              <w:rPr>
                <w:color w:val="auto"/>
              </w:rPr>
              <w:t>CSG</w:t>
            </w:r>
            <w:r w:rsidR="001E7F0B">
              <w:rPr>
                <w:color w:val="auto"/>
              </w:rPr>
              <w:t xml:space="preserve"> </w:t>
            </w:r>
            <w:r>
              <w:rPr>
                <w:color w:val="auto"/>
              </w:rPr>
              <w:t>water or monitoring bores</w:t>
            </w:r>
          </w:p>
        </w:tc>
      </w:tr>
    </w:tbl>
    <w:p w14:paraId="2E5B5F95" w14:textId="77777777" w:rsidR="00385CC7" w:rsidRPr="006B17BE" w:rsidRDefault="00385CC7" w:rsidP="00B908B1">
      <w:pPr>
        <w:pStyle w:val="Heading2"/>
      </w:pPr>
      <w:bookmarkStart w:id="625" w:name="_Ref479685179"/>
      <w:bookmarkStart w:id="626" w:name="_Ref479685865"/>
      <w:bookmarkStart w:id="627" w:name="_Ref479696682"/>
      <w:bookmarkStart w:id="628" w:name="_Toc483567967"/>
      <w:r w:rsidRPr="006B17BE">
        <w:t>Tools and technologies for monitoring inter-aquifer leakage</w:t>
      </w:r>
      <w:bookmarkEnd w:id="625"/>
      <w:bookmarkEnd w:id="626"/>
      <w:bookmarkEnd w:id="627"/>
      <w:bookmarkEnd w:id="628"/>
    </w:p>
    <w:p w14:paraId="026E94C3" w14:textId="06917EEA" w:rsidR="00385CC7" w:rsidRDefault="00385CC7" w:rsidP="00480224">
      <w:pPr>
        <w:pStyle w:val="Body"/>
      </w:pPr>
      <w:r w:rsidRPr="006B17BE">
        <w:t xml:space="preserve">Conventional and coal seam gas wells </w:t>
      </w:r>
      <w:r w:rsidR="006B1054" w:rsidRPr="006B17BE">
        <w:t>have</w:t>
      </w:r>
      <w:r w:rsidRPr="006B17BE">
        <w:t xml:space="preserve"> typically a series of nested casings and cement</w:t>
      </w:r>
      <w:r w:rsidR="006B1054" w:rsidRPr="006B17BE">
        <w:t>ed</w:t>
      </w:r>
      <w:r w:rsidRPr="006B17BE">
        <w:t xml:space="preserve"> </w:t>
      </w:r>
      <w:r w:rsidR="006B1054" w:rsidRPr="006B17BE">
        <w:t xml:space="preserve">well annulus </w:t>
      </w:r>
      <w:r w:rsidR="00651817">
        <w:t>(</w:t>
      </w:r>
      <w:r w:rsidR="00651817">
        <w:fldChar w:fldCharType="begin"/>
      </w:r>
      <w:r w:rsidR="00651817">
        <w:instrText xml:space="preserve"> REF _Ref479702012 \h </w:instrText>
      </w:r>
      <w:r w:rsidR="00651817">
        <w:fldChar w:fldCharType="separate"/>
      </w:r>
      <w:r w:rsidR="00086147">
        <w:t xml:space="preserve">Figure </w:t>
      </w:r>
      <w:r w:rsidR="00086147">
        <w:rPr>
          <w:noProof/>
        </w:rPr>
        <w:t>6</w:t>
      </w:r>
      <w:r w:rsidR="00086147">
        <w:noBreakHyphen/>
      </w:r>
      <w:r w:rsidR="00086147">
        <w:rPr>
          <w:noProof/>
        </w:rPr>
        <w:t>1</w:t>
      </w:r>
      <w:r w:rsidR="00651817">
        <w:fldChar w:fldCharType="end"/>
      </w:r>
      <w:r w:rsidRPr="006B17BE">
        <w:t>). The cement sheath placed between the casing and wellbore is expected to provide the zonal isolation and prevent inter-aquifer leakage throughout and beyond the life of the well. However, this depends on the proper placement of the cement, the mechanical and physical properties of the cement and the stress, and pressure and temperature conditions in the wellbore. Duguid and Tombari (2007) outlined a number of cased well logging technologies and tests for measuring well integrity in CO</w:t>
      </w:r>
      <w:r w:rsidRPr="006B17BE">
        <w:rPr>
          <w:vertAlign w:val="subscript"/>
        </w:rPr>
        <w:t>2</w:t>
      </w:r>
      <w:r w:rsidRPr="006B17BE">
        <w:t xml:space="preserve"> injection wells. Some of these technologies may also be applicable to monitor inter-aquifer leakage through the well annulus in a coal seam gas production well. </w:t>
      </w:r>
    </w:p>
    <w:p w14:paraId="3863D985" w14:textId="77777777" w:rsidR="00651817" w:rsidRDefault="00651817" w:rsidP="00480224">
      <w:pPr>
        <w:pStyle w:val="Body"/>
      </w:pPr>
    </w:p>
    <w:p w14:paraId="1F5D07F3" w14:textId="77777777" w:rsidR="00651817" w:rsidRPr="006B17BE" w:rsidRDefault="00651817" w:rsidP="00651817">
      <w:pPr>
        <w:pStyle w:val="Body"/>
        <w:jc w:val="center"/>
      </w:pPr>
      <w:r w:rsidRPr="006B17BE">
        <w:rPr>
          <w:noProof/>
          <w:lang w:val="en-AU" w:eastAsia="en-AU"/>
        </w:rPr>
        <w:drawing>
          <wp:inline distT="0" distB="0" distL="0" distR="0" wp14:anchorId="519DF695" wp14:editId="1268D716">
            <wp:extent cx="2480650" cy="3249463"/>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513142" cy="3292026"/>
                    </a:xfrm>
                    <a:prstGeom prst="rect">
                      <a:avLst/>
                    </a:prstGeom>
                    <a:noFill/>
                    <a:ln>
                      <a:noFill/>
                    </a:ln>
                  </pic:spPr>
                </pic:pic>
              </a:graphicData>
            </a:graphic>
          </wp:inline>
        </w:drawing>
      </w:r>
    </w:p>
    <w:p w14:paraId="4F06C41A" w14:textId="76C32A17" w:rsidR="00651817" w:rsidRDefault="00651817" w:rsidP="00651817">
      <w:pPr>
        <w:pStyle w:val="Caption"/>
        <w:rPr>
          <w:rFonts w:asciiTheme="minorHAnsi" w:hAnsiTheme="minorHAnsi" w:cstheme="minorHAnsi"/>
          <w:szCs w:val="20"/>
        </w:rPr>
      </w:pPr>
      <w:bookmarkStart w:id="629" w:name="_Ref479702012"/>
      <w:bookmarkStart w:id="630" w:name="_Toc508267305"/>
      <w:r>
        <w:t xml:space="preserve">Figure </w:t>
      </w:r>
      <w:r w:rsidR="00296C49">
        <w:fldChar w:fldCharType="begin"/>
      </w:r>
      <w:r w:rsidR="00296C49">
        <w:instrText xml:space="preserve"> STYLEREF 1 \s </w:instrText>
      </w:r>
      <w:r w:rsidR="00296C49">
        <w:fldChar w:fldCharType="separate"/>
      </w:r>
      <w:r w:rsidR="00086147">
        <w:rPr>
          <w:noProof/>
        </w:rPr>
        <w:t>6</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1</w:t>
      </w:r>
      <w:r w:rsidR="00296C49">
        <w:rPr>
          <w:noProof/>
        </w:rPr>
        <w:fldChar w:fldCharType="end"/>
      </w:r>
      <w:bookmarkEnd w:id="629"/>
      <w:r>
        <w:t xml:space="preserve"> </w:t>
      </w:r>
      <w:r w:rsidRPr="006B17BE">
        <w:rPr>
          <w:rFonts w:asciiTheme="minorHAnsi" w:hAnsiTheme="minorHAnsi" w:cstheme="minorHAnsi"/>
          <w:szCs w:val="20"/>
        </w:rPr>
        <w:t>A schematics of typical coal seam gas well (Arrow Energy, 2011).</w:t>
      </w:r>
      <w:bookmarkEnd w:id="630"/>
    </w:p>
    <w:p w14:paraId="239A6CE4" w14:textId="77777777" w:rsidR="009248DC" w:rsidRPr="009248DC" w:rsidRDefault="009248DC" w:rsidP="009248DC">
      <w:pPr>
        <w:pStyle w:val="BodyText"/>
      </w:pPr>
    </w:p>
    <w:p w14:paraId="674DAC74" w14:textId="77777777" w:rsidR="00385CC7" w:rsidRPr="006B17BE" w:rsidRDefault="00385CC7" w:rsidP="00385CC7">
      <w:pPr>
        <w:pStyle w:val="Heading3"/>
        <w:rPr>
          <w:rFonts w:asciiTheme="minorHAnsi" w:hAnsiTheme="minorHAnsi"/>
          <w:sz w:val="24"/>
          <w:szCs w:val="24"/>
        </w:rPr>
      </w:pPr>
      <w:bookmarkStart w:id="631" w:name="_Toc483567968"/>
      <w:r w:rsidRPr="006B17BE">
        <w:rPr>
          <w:rFonts w:asciiTheme="minorHAnsi" w:hAnsiTheme="minorHAnsi"/>
          <w:sz w:val="24"/>
          <w:szCs w:val="24"/>
        </w:rPr>
        <w:t>Wireline sonic and ultrasonic logging tools</w:t>
      </w:r>
      <w:bookmarkEnd w:id="631"/>
    </w:p>
    <w:p w14:paraId="29DDDBC3" w14:textId="77777777" w:rsidR="00385CC7" w:rsidRPr="006B17BE" w:rsidRDefault="00385CC7" w:rsidP="00385CC7">
      <w:pPr>
        <w:pStyle w:val="Heading4"/>
        <w:rPr>
          <w:rFonts w:asciiTheme="minorHAnsi" w:hAnsiTheme="minorHAnsi"/>
          <w:szCs w:val="24"/>
        </w:rPr>
      </w:pPr>
      <w:r w:rsidRPr="006B17BE">
        <w:rPr>
          <w:rFonts w:asciiTheme="minorHAnsi" w:hAnsiTheme="minorHAnsi"/>
          <w:szCs w:val="24"/>
        </w:rPr>
        <w:t>CBL and VDL tool</w:t>
      </w:r>
    </w:p>
    <w:p w14:paraId="3F449311" w14:textId="505DD167" w:rsidR="00385CC7" w:rsidRPr="006B17BE" w:rsidRDefault="00385CC7" w:rsidP="006B1054">
      <w:pPr>
        <w:pStyle w:val="Body"/>
      </w:pPr>
      <w:r w:rsidRPr="006B17BE">
        <w:t>The cement bond log (CBL) is based on the principle that a sonic signal transmitted through a casing unsupported by cement will ring strongly and the waveform will attenuate slowly; while that same signal will ring weakly and attenuate quickly when transmitted through a well casing supported by cement (Bellabarba et al.</w:t>
      </w:r>
      <w:r w:rsidR="006B17BE" w:rsidRPr="006B17BE">
        <w:t xml:space="preserve"> </w:t>
      </w:r>
      <w:r w:rsidRPr="006B17BE">
        <w:t xml:space="preserve">2008). The measurement is omni-directional, responding to the average of contributions from around the circumference of the casing. The measurement is normally accompanied by a variable density log (VDL). This VDL may also yield an indication of cement bond to the formation. Increased attenuation indicates better quality bonding of the cement to the outer casing wall. In simple cases, the interpreted log response can provide good information about cement quality. </w:t>
      </w:r>
    </w:p>
    <w:p w14:paraId="34A542CD" w14:textId="6ECAE4AB" w:rsidR="00385CC7" w:rsidRPr="006B17BE" w:rsidRDefault="00385CC7" w:rsidP="0085584B">
      <w:pPr>
        <w:pStyle w:val="Body"/>
      </w:pPr>
      <w:r w:rsidRPr="006B17BE">
        <w:t>The CBL-VDL logging tool is routinely applied to well cement evaluation. The measurement responds well to solidity, works well in most fluids in the hole, is unaffected by internal</w:t>
      </w:r>
      <w:r w:rsidR="0085584B" w:rsidRPr="006B17BE">
        <w:t xml:space="preserve"> </w:t>
      </w:r>
      <w:r w:rsidRPr="006B17BE">
        <w:t>casing condition and provides an indication of cement-formation bond. However, the traditional sonic CBL-VDL tool does not provide radial or azimuthal information to differentiate among channels, contaminated cement, micro</w:t>
      </w:r>
      <w:r w:rsidR="00964F93" w:rsidRPr="006B17BE">
        <w:t>-</w:t>
      </w:r>
      <w:r w:rsidRPr="006B17BE">
        <w:t xml:space="preserve">annuli and tool eccentricity. </w:t>
      </w:r>
    </w:p>
    <w:p w14:paraId="43007456" w14:textId="77777777" w:rsidR="00385CC7" w:rsidRPr="006B17BE" w:rsidRDefault="00385CC7" w:rsidP="00385CC7">
      <w:pPr>
        <w:pStyle w:val="Heading4"/>
        <w:rPr>
          <w:rFonts w:asciiTheme="minorHAnsi" w:hAnsiTheme="minorHAnsi"/>
          <w:szCs w:val="24"/>
        </w:rPr>
      </w:pPr>
      <w:r w:rsidRPr="006B17BE">
        <w:rPr>
          <w:rFonts w:asciiTheme="minorHAnsi" w:hAnsiTheme="minorHAnsi"/>
          <w:szCs w:val="24"/>
        </w:rPr>
        <w:t>Ultrasonic imaging tool (USI)</w:t>
      </w:r>
    </w:p>
    <w:p w14:paraId="752DD5EE" w14:textId="4E0278BA" w:rsidR="00385CC7" w:rsidRDefault="00651817" w:rsidP="00F60D3A">
      <w:pPr>
        <w:pStyle w:val="Body"/>
      </w:pPr>
      <w:r w:rsidRPr="001A6CD6">
        <w:fldChar w:fldCharType="begin"/>
      </w:r>
      <w:r w:rsidRPr="001A6CD6">
        <w:instrText xml:space="preserve"> REF _Ref479701901 \h </w:instrText>
      </w:r>
      <w:r w:rsidR="001A6CD6">
        <w:instrText xml:space="preserve"> \* MERGEFORMAT </w:instrText>
      </w:r>
      <w:r w:rsidRPr="001A6CD6">
        <w:fldChar w:fldCharType="separate"/>
      </w:r>
      <w:r w:rsidR="00086147">
        <w:t>Figure 6</w:t>
      </w:r>
      <w:r w:rsidR="00086147">
        <w:noBreakHyphen/>
        <w:t>2</w:t>
      </w:r>
      <w:r w:rsidRPr="001A6CD6">
        <w:fldChar w:fldCharType="end"/>
      </w:r>
      <w:r w:rsidRPr="001A6CD6">
        <w:t xml:space="preserve"> </w:t>
      </w:r>
      <w:r w:rsidR="00385CC7" w:rsidRPr="001A6CD6">
        <w:t xml:space="preserve">shows the cased hole ultrasonic imaging tool basics. This tool addresses the CBL-VDL tool’s weaknesses to evaluate cement quality azimuthally, using a high frequency pulse-echo technique (Morris et al. 2007). A single rotating transducer is used and rotated at high speed and operates at high frequencies. The tool evaluates cement around the entire circumference of the casing, and provides the added benefit of corrosion and wear information on the casing. The tool yields 36 or 72 separate waveforms at each depth. These are processed to yield the casing thickness, internal radius and inner wall smoothness as well as an azimuthal image of the cement acoustic impedance (essentially the quality of the cement sheath). </w:t>
      </w:r>
    </w:p>
    <w:p w14:paraId="0AB5DC1B" w14:textId="77777777" w:rsidR="001A6CD6" w:rsidRPr="001A6CD6" w:rsidRDefault="001A6CD6" w:rsidP="00F60D3A">
      <w:pPr>
        <w:pStyle w:val="Body"/>
      </w:pPr>
    </w:p>
    <w:p w14:paraId="7A74F901" w14:textId="252FAFA5" w:rsidR="00385CC7" w:rsidRPr="006B17BE" w:rsidRDefault="00964F93" w:rsidP="0085584B">
      <w:pPr>
        <w:pStyle w:val="BodyText"/>
        <w:jc w:val="center"/>
        <w:rPr>
          <w:rFonts w:asciiTheme="minorHAnsi" w:hAnsiTheme="minorHAnsi"/>
          <w:szCs w:val="24"/>
        </w:rPr>
      </w:pPr>
      <w:r w:rsidRPr="006B17BE">
        <w:rPr>
          <w:noProof/>
        </w:rPr>
        <w:drawing>
          <wp:inline distT="0" distB="0" distL="0" distR="0" wp14:anchorId="3172268F" wp14:editId="033DF8B8">
            <wp:extent cx="3649649" cy="3685408"/>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652984" cy="3688775"/>
                    </a:xfrm>
                    <a:prstGeom prst="rect">
                      <a:avLst/>
                    </a:prstGeom>
                    <a:noFill/>
                    <a:ln>
                      <a:noFill/>
                    </a:ln>
                  </pic:spPr>
                </pic:pic>
              </a:graphicData>
            </a:graphic>
          </wp:inline>
        </w:drawing>
      </w:r>
    </w:p>
    <w:p w14:paraId="74818AC7" w14:textId="363B0478" w:rsidR="00385CC7" w:rsidRDefault="00BF4C9D" w:rsidP="00385CC7">
      <w:pPr>
        <w:pStyle w:val="Caption"/>
        <w:rPr>
          <w:rFonts w:asciiTheme="minorHAnsi" w:hAnsiTheme="minorHAnsi" w:cstheme="minorHAnsi"/>
          <w:szCs w:val="20"/>
        </w:rPr>
      </w:pPr>
      <w:bookmarkStart w:id="632" w:name="_Ref479701901"/>
      <w:bookmarkStart w:id="633" w:name="_Toc508267306"/>
      <w:r>
        <w:t xml:space="preserve">Figure </w:t>
      </w:r>
      <w:r w:rsidR="00296C49">
        <w:fldChar w:fldCharType="begin"/>
      </w:r>
      <w:r w:rsidR="00296C49">
        <w:instrText xml:space="preserve"> STYLEREF 1 \s </w:instrText>
      </w:r>
      <w:r w:rsidR="00296C49">
        <w:fldChar w:fldCharType="separate"/>
      </w:r>
      <w:r w:rsidR="00086147">
        <w:rPr>
          <w:noProof/>
        </w:rPr>
        <w:t>6</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2</w:t>
      </w:r>
      <w:r w:rsidR="00296C49">
        <w:rPr>
          <w:noProof/>
        </w:rPr>
        <w:fldChar w:fldCharType="end"/>
      </w:r>
      <w:bookmarkEnd w:id="632"/>
      <w:r>
        <w:t xml:space="preserve"> </w:t>
      </w:r>
      <w:r w:rsidR="00385CC7" w:rsidRPr="006B17BE">
        <w:rPr>
          <w:rFonts w:asciiTheme="minorHAnsi" w:hAnsiTheme="minorHAnsi" w:cstheme="minorHAnsi"/>
          <w:szCs w:val="20"/>
        </w:rPr>
        <w:t>An ultrasonic tool transducer sends a slightly divergent beam—an acoustic wave generated by a transducer when electrical power is applied to it—toward</w:t>
      </w:r>
      <w:r w:rsidR="00E62EB3" w:rsidRPr="006B17BE">
        <w:rPr>
          <w:rFonts w:asciiTheme="minorHAnsi" w:hAnsiTheme="minorHAnsi" w:cstheme="minorHAnsi"/>
          <w:szCs w:val="20"/>
        </w:rPr>
        <w:t>s</w:t>
      </w:r>
      <w:r w:rsidR="00385CC7" w:rsidRPr="006B17BE">
        <w:rPr>
          <w:rFonts w:asciiTheme="minorHAnsi" w:hAnsiTheme="minorHAnsi" w:cstheme="minorHAnsi"/>
          <w:szCs w:val="20"/>
        </w:rPr>
        <w:t xml:space="preserve"> the casing to excite the casing into its thickness resonance mode. The USI UltraSonic Imager tool scans the casing at 7½ revolutions per second to render an azimuthal resolution of 5 or 10 degrees. This yields 36 or 72 separate waveforms at each depth. These are processed to yield the casing thickness, internal radius and inner wall smoothness—from the initial echo—as well as an azimuthal image of the cement acoustic impedance—from the signal resonance decay (top). The acoustic impedance of the cement (essentially the quality of the cement sheath) can be derived from the resonance decay (bottom). A good casing- cement bond results in immediate resonance decay, while free pipe rings bottom (generates echoes) for an extended period (Bellabarba et al.</w:t>
      </w:r>
      <w:r w:rsidR="006B17BE" w:rsidRPr="006B17BE">
        <w:rPr>
          <w:rFonts w:asciiTheme="minorHAnsi" w:hAnsiTheme="minorHAnsi" w:cstheme="minorHAnsi"/>
          <w:szCs w:val="20"/>
        </w:rPr>
        <w:t xml:space="preserve"> </w:t>
      </w:r>
      <w:r w:rsidR="00385CC7" w:rsidRPr="006B17BE">
        <w:rPr>
          <w:rFonts w:asciiTheme="minorHAnsi" w:hAnsiTheme="minorHAnsi" w:cstheme="minorHAnsi"/>
          <w:szCs w:val="20"/>
        </w:rPr>
        <w:t>2008).</w:t>
      </w:r>
      <w:bookmarkEnd w:id="633"/>
    </w:p>
    <w:p w14:paraId="1BBC44EA" w14:textId="77777777" w:rsidR="00651817" w:rsidRPr="00651817" w:rsidRDefault="00651817" w:rsidP="00651817">
      <w:pPr>
        <w:pStyle w:val="BodyText"/>
      </w:pPr>
    </w:p>
    <w:p w14:paraId="28B5F865" w14:textId="77777777" w:rsidR="00385CC7" w:rsidRPr="006B17BE" w:rsidRDefault="00385CC7" w:rsidP="00E62EB3">
      <w:pPr>
        <w:pStyle w:val="Body"/>
      </w:pPr>
      <w:r w:rsidRPr="006B17BE">
        <w:t>The tool provides four main measurements: a) condition of internal casing surface; b) internal casing radius; c) casing thickness; and d) quality of the cement sheath behind the casing.</w:t>
      </w:r>
    </w:p>
    <w:p w14:paraId="6806F728" w14:textId="77777777" w:rsidR="00385CC7" w:rsidRPr="006B17BE" w:rsidRDefault="00385CC7" w:rsidP="00E62EB3">
      <w:pPr>
        <w:pStyle w:val="Body"/>
      </w:pPr>
      <w:r w:rsidRPr="006B17BE">
        <w:t>While the ultrasonic imaging tool addresses the problem of azimuthal coverage for the CBL-VDL tool, it is susceptible to certain conditions encountered in the well when making the measurement: a) heavy drilling mud or borehole fluid; b) thick casings; and c) difficult to differentiating between a drilling fluid and a lightweight or mud-contaminated cement of similar acoustic impedance.</w:t>
      </w:r>
    </w:p>
    <w:p w14:paraId="6E44A9C5" w14:textId="77777777" w:rsidR="00385CC7" w:rsidRPr="006B17BE" w:rsidRDefault="00385CC7" w:rsidP="00385CC7">
      <w:pPr>
        <w:pStyle w:val="Heading4"/>
        <w:rPr>
          <w:rFonts w:asciiTheme="minorHAnsi" w:hAnsiTheme="minorHAnsi"/>
          <w:szCs w:val="24"/>
        </w:rPr>
      </w:pPr>
      <w:r w:rsidRPr="006B17BE">
        <w:rPr>
          <w:rFonts w:asciiTheme="minorHAnsi" w:hAnsiTheme="minorHAnsi"/>
          <w:szCs w:val="24"/>
        </w:rPr>
        <w:t>Improved ultrasonic imaging tool</w:t>
      </w:r>
    </w:p>
    <w:p w14:paraId="5B31EE84" w14:textId="343148DE" w:rsidR="00385CC7" w:rsidRPr="006B17BE" w:rsidRDefault="00385CC7" w:rsidP="00E62EB3">
      <w:pPr>
        <w:pStyle w:val="Body"/>
      </w:pPr>
      <w:r w:rsidRPr="006B17BE">
        <w:t>The improved ultrasonic imaging tool addresses the main shortcoming of the USI tool - the ability to accurately identify low-density cements and contamin</w:t>
      </w:r>
      <w:r w:rsidR="006B17BE" w:rsidRPr="006B17BE">
        <w:t xml:space="preserve">ated cements (Bellabarba et al. </w:t>
      </w:r>
      <w:r w:rsidRPr="006B17BE">
        <w:t>2008). Low density cements are used to cement casings in formations with low fracture gradients or loss zones, such as deep water wells and coal seam gas wells (Tan et al. 2012). The acoustic impedance of lightweight and contaminated cements extends into the range of the acoustic impedances common for drilling and completion fluids which may be present in the annulus behind the casing. This tool combines the classic pulse-echo technique that is used in the USI tool with the latest flexural wave imaging technology to accurately evaluate any type of cement in the annulus.</w:t>
      </w:r>
    </w:p>
    <w:p w14:paraId="259812D9" w14:textId="77777777" w:rsidR="00385CC7" w:rsidRPr="006B17BE" w:rsidRDefault="00385CC7" w:rsidP="00E62EB3">
      <w:pPr>
        <w:pStyle w:val="Body"/>
      </w:pPr>
      <w:r w:rsidRPr="006B17BE">
        <w:t>The improved tool maintains the measurement provided by the USI tool, while adding flexural-wave imaging with one transmitter and two receivers aligned obliquely. The transducer transmits a high-frequency pulse beam of about 250 kHz to excite a flexural mode in the casing. As the wave propagates, this mode radiates acoustic energy into the annulus. This energy reflects at interfaces that present an acoustic contrast, such as the cement/formation interface, and propagates back through the casing predominantly as a flexural wave to reradiate energy into the casing fluid. The two receiving transducers are placed to allow optimal acquisition of these signals. Processing of the signals provides information about the nature and acoustic velocity of the material filling the annulus, the position of the casing in the hole and the geometrical shape of the hole, and information on the third interface (cement/formation).</w:t>
      </w:r>
    </w:p>
    <w:p w14:paraId="5617E0F4" w14:textId="77777777" w:rsidR="00385CC7" w:rsidRPr="006B17BE" w:rsidRDefault="00385CC7" w:rsidP="00385CC7">
      <w:pPr>
        <w:pStyle w:val="Heading3"/>
        <w:rPr>
          <w:rFonts w:asciiTheme="minorHAnsi" w:hAnsiTheme="minorHAnsi"/>
          <w:sz w:val="24"/>
          <w:szCs w:val="24"/>
        </w:rPr>
      </w:pPr>
      <w:bookmarkStart w:id="634" w:name="_Toc483567969"/>
      <w:r w:rsidRPr="006B17BE">
        <w:rPr>
          <w:rFonts w:asciiTheme="minorHAnsi" w:hAnsiTheme="minorHAnsi"/>
          <w:sz w:val="24"/>
          <w:szCs w:val="24"/>
        </w:rPr>
        <w:t>Testing and sampling tools</w:t>
      </w:r>
      <w:bookmarkEnd w:id="634"/>
    </w:p>
    <w:p w14:paraId="6D1DCD79" w14:textId="77777777" w:rsidR="00385CC7" w:rsidRPr="006B17BE" w:rsidRDefault="00385CC7" w:rsidP="00385CC7">
      <w:pPr>
        <w:pStyle w:val="Heading4"/>
        <w:rPr>
          <w:rFonts w:asciiTheme="minorHAnsi" w:hAnsiTheme="minorHAnsi"/>
          <w:szCs w:val="24"/>
        </w:rPr>
      </w:pPr>
      <w:r w:rsidRPr="006B17BE">
        <w:rPr>
          <w:rFonts w:asciiTheme="minorHAnsi" w:hAnsiTheme="minorHAnsi"/>
          <w:szCs w:val="24"/>
        </w:rPr>
        <w:t>Vertical interference test</w:t>
      </w:r>
    </w:p>
    <w:p w14:paraId="2B609D2F" w14:textId="68BAE16B" w:rsidR="00385CC7" w:rsidRPr="006B17BE" w:rsidRDefault="00385CC7" w:rsidP="00E62EB3">
      <w:pPr>
        <w:pStyle w:val="Body"/>
      </w:pPr>
      <w:r w:rsidRPr="006B17BE">
        <w:t>The vertical interference test (VIT) is a downhole test designed to measure hydraulic communication of the outside-of-casing wellbore barrier system over a selected well section in shale (Gasda et al. 2013). The test involves perforating the well casing and cement in two separate one-foot intervals typically separated by three to thirteen meters. The two perforated intervals should be located in the same aquitard. Once the intervals are isolated with an inflatable packer, a pressure is applied to the upper perforated interval from the surface and held at a constant pressure for a number of hours or days. The pressure is monitored in the upper zone with a modular reservoir probe-single (MRPS) module gauge. Simultaneously, the transient pressure response in the lower isolated zone is measured using a second modular reservoir probe-dual packer a</w:t>
      </w:r>
      <w:r w:rsidR="00651817">
        <w:t>ssembly (MRPA) gauge (</w:t>
      </w:r>
      <w:r w:rsidR="00651817">
        <w:fldChar w:fldCharType="begin"/>
      </w:r>
      <w:r w:rsidR="00651817">
        <w:instrText xml:space="preserve"> REF _Ref479702021 \h </w:instrText>
      </w:r>
      <w:r w:rsidR="00651817">
        <w:fldChar w:fldCharType="separate"/>
      </w:r>
      <w:r w:rsidR="00086147">
        <w:t xml:space="preserve">Figure </w:t>
      </w:r>
      <w:r w:rsidR="00086147">
        <w:rPr>
          <w:noProof/>
        </w:rPr>
        <w:t>6</w:t>
      </w:r>
      <w:r w:rsidR="00086147">
        <w:noBreakHyphen/>
      </w:r>
      <w:r w:rsidR="00086147">
        <w:rPr>
          <w:noProof/>
        </w:rPr>
        <w:t>3</w:t>
      </w:r>
      <w:r w:rsidR="00651817">
        <w:fldChar w:fldCharType="end"/>
      </w:r>
      <w:r w:rsidRPr="006B17BE">
        <w:t>). The transient data are used to infer the extent of hydraulic communication, i.e. flow, through the barrier system. If good isolation is maintained inside the casing, then any detectable pressure signal indicates fluid flow along the exterior of the casing. The effective wellbore permeability can be estimated through numerical analysis of the VIT data.</w:t>
      </w:r>
    </w:p>
    <w:p w14:paraId="347AE23A" w14:textId="77777777" w:rsidR="00385CC7" w:rsidRPr="006B17BE" w:rsidRDefault="00385CC7" w:rsidP="00385CC7">
      <w:pPr>
        <w:pStyle w:val="BodyText"/>
        <w:jc w:val="center"/>
        <w:rPr>
          <w:rFonts w:asciiTheme="minorHAnsi" w:hAnsiTheme="minorHAnsi"/>
          <w:szCs w:val="24"/>
        </w:rPr>
      </w:pPr>
      <w:r w:rsidRPr="006B17BE">
        <w:rPr>
          <w:rFonts w:asciiTheme="minorHAnsi" w:hAnsiTheme="minorHAnsi"/>
          <w:noProof/>
          <w:szCs w:val="24"/>
        </w:rPr>
        <w:drawing>
          <wp:inline distT="0" distB="0" distL="0" distR="0" wp14:anchorId="79223F9C" wp14:editId="5CDD9775">
            <wp:extent cx="2996178" cy="3085106"/>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074622" cy="3165878"/>
                    </a:xfrm>
                    <a:prstGeom prst="rect">
                      <a:avLst/>
                    </a:prstGeom>
                  </pic:spPr>
                </pic:pic>
              </a:graphicData>
            </a:graphic>
          </wp:inline>
        </w:drawing>
      </w:r>
    </w:p>
    <w:p w14:paraId="69458FDA" w14:textId="2A19F3CE" w:rsidR="00385CC7" w:rsidRPr="006B17BE" w:rsidRDefault="00BF4C9D" w:rsidP="00385CC7">
      <w:pPr>
        <w:pStyle w:val="Caption"/>
        <w:rPr>
          <w:rFonts w:asciiTheme="minorHAnsi" w:hAnsiTheme="minorHAnsi" w:cstheme="minorHAnsi"/>
          <w:szCs w:val="20"/>
        </w:rPr>
      </w:pPr>
      <w:bookmarkStart w:id="635" w:name="_Ref479702021"/>
      <w:bookmarkStart w:id="636" w:name="_Toc508267307"/>
      <w:r>
        <w:t xml:space="preserve">Figure </w:t>
      </w:r>
      <w:r w:rsidR="00296C49">
        <w:fldChar w:fldCharType="begin"/>
      </w:r>
      <w:r w:rsidR="00296C49">
        <w:instrText xml:space="preserve"> STYLEREF 1 \s </w:instrText>
      </w:r>
      <w:r w:rsidR="00296C49">
        <w:fldChar w:fldCharType="separate"/>
      </w:r>
      <w:r w:rsidR="00086147">
        <w:rPr>
          <w:noProof/>
        </w:rPr>
        <w:t>6</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3</w:t>
      </w:r>
      <w:r w:rsidR="00296C49">
        <w:rPr>
          <w:noProof/>
        </w:rPr>
        <w:fldChar w:fldCharType="end"/>
      </w:r>
      <w:bookmarkEnd w:id="635"/>
      <w:r>
        <w:t xml:space="preserve"> </w:t>
      </w:r>
      <w:r w:rsidR="00385CC7" w:rsidRPr="006B17BE">
        <w:rPr>
          <w:rFonts w:asciiTheme="minorHAnsi" w:hAnsiTheme="minorHAnsi" w:cstheme="minorHAnsi"/>
          <w:szCs w:val="20"/>
        </w:rPr>
        <w:t xml:space="preserve">Schematic of vertical interference test performed across a well section in the shale interval above the production zone </w:t>
      </w:r>
      <w:r w:rsidR="006B17BE" w:rsidRPr="006B17BE">
        <w:rPr>
          <w:rFonts w:asciiTheme="minorHAnsi" w:hAnsiTheme="minorHAnsi" w:cstheme="minorHAnsi"/>
          <w:szCs w:val="20"/>
        </w:rPr>
        <w:t>(indicated as sandstone) (Gasda</w:t>
      </w:r>
      <w:r w:rsidR="00385CC7" w:rsidRPr="006B17BE">
        <w:rPr>
          <w:rFonts w:asciiTheme="minorHAnsi" w:hAnsiTheme="minorHAnsi" w:cstheme="minorHAnsi"/>
          <w:szCs w:val="20"/>
        </w:rPr>
        <w:t xml:space="preserve"> et al. 2013).</w:t>
      </w:r>
      <w:bookmarkEnd w:id="636"/>
    </w:p>
    <w:p w14:paraId="41AD804F" w14:textId="77777777" w:rsidR="00E62EB3" w:rsidRPr="006B17BE" w:rsidRDefault="00E62EB3" w:rsidP="00E62EB3">
      <w:pPr>
        <w:pStyle w:val="BodyText"/>
      </w:pPr>
    </w:p>
    <w:p w14:paraId="2CAC94A9" w14:textId="77777777" w:rsidR="00385CC7" w:rsidRPr="006B17BE" w:rsidRDefault="00385CC7" w:rsidP="00385CC7">
      <w:pPr>
        <w:pStyle w:val="Heading4"/>
        <w:rPr>
          <w:rFonts w:asciiTheme="minorHAnsi" w:hAnsiTheme="minorHAnsi"/>
          <w:szCs w:val="24"/>
        </w:rPr>
      </w:pPr>
      <w:r w:rsidRPr="006B17BE">
        <w:rPr>
          <w:rFonts w:asciiTheme="minorHAnsi" w:hAnsiTheme="minorHAnsi"/>
          <w:szCs w:val="24"/>
        </w:rPr>
        <w:t>Mechanical sidewall coring tool</w:t>
      </w:r>
    </w:p>
    <w:p w14:paraId="73CFD189" w14:textId="2ED215AD" w:rsidR="00385CC7" w:rsidRPr="006B17BE" w:rsidRDefault="00385CC7" w:rsidP="00E62EB3">
      <w:pPr>
        <w:pStyle w:val="Body"/>
      </w:pPr>
      <w:r w:rsidRPr="006B17BE">
        <w:t>Sidewall coring tool</w:t>
      </w:r>
      <w:r w:rsidR="00E62EB3" w:rsidRPr="006B17BE">
        <w:t>s</w:t>
      </w:r>
      <w:r w:rsidRPr="006B17BE">
        <w:t xml:space="preserve"> can be used to take sidewall cores from a cased well. The tool has a coring bit capable of cutting through the casing, cement, and formation and retrieving a composite core sample containing each material. The samples are about an inch in diameter and a few inches long. The retrieval of sidewall cores allows the detailed inspection of wellbore materials for damage by micro characterization and micro</w:t>
      </w:r>
      <w:r w:rsidR="00E62EB3" w:rsidRPr="006B17BE">
        <w:t>-</w:t>
      </w:r>
      <w:r w:rsidRPr="006B17BE">
        <w:t xml:space="preserve">imaging techniques. The disadvantage of taking sidewall cores is that it is a destructive technique that leaves an, approximately, one inch hole in the side </w:t>
      </w:r>
      <w:r w:rsidR="006B17BE" w:rsidRPr="006B17BE">
        <w:t xml:space="preserve">of the well (Duguid and Tombari, </w:t>
      </w:r>
      <w:r w:rsidRPr="006B17BE">
        <w:t>2007).</w:t>
      </w:r>
    </w:p>
    <w:p w14:paraId="6E085BDD" w14:textId="77777777" w:rsidR="00E13E54" w:rsidRPr="006B17BE" w:rsidRDefault="00E13E54" w:rsidP="00E62EB3">
      <w:pPr>
        <w:pStyle w:val="Body"/>
      </w:pPr>
    </w:p>
    <w:p w14:paraId="06A6732D" w14:textId="77777777" w:rsidR="00385CC7" w:rsidRPr="006B17BE" w:rsidRDefault="00385CC7" w:rsidP="00385CC7">
      <w:pPr>
        <w:pStyle w:val="Heading4"/>
        <w:rPr>
          <w:rFonts w:asciiTheme="minorHAnsi" w:hAnsiTheme="minorHAnsi"/>
          <w:szCs w:val="24"/>
        </w:rPr>
      </w:pPr>
      <w:r w:rsidRPr="006B17BE">
        <w:rPr>
          <w:rFonts w:asciiTheme="minorHAnsi" w:hAnsiTheme="minorHAnsi"/>
          <w:szCs w:val="24"/>
        </w:rPr>
        <w:t>Cased-hole mobility and fluid analysis tool</w:t>
      </w:r>
    </w:p>
    <w:p w14:paraId="3A9D494F" w14:textId="35302900" w:rsidR="00385CC7" w:rsidRDefault="00385CC7" w:rsidP="00E62EB3">
      <w:pPr>
        <w:pStyle w:val="Body"/>
      </w:pPr>
      <w:r w:rsidRPr="006B17BE">
        <w:t>Cement and formation permeability behind casing can be measured in situ using tools that can drill holes several inches deep through the casing, cement and formation rock (Burgess et al. 2001). The measurements involving pressure drawdown and build</w:t>
      </w:r>
      <w:r w:rsidR="00E13E54" w:rsidRPr="006B17BE">
        <w:t>-</w:t>
      </w:r>
      <w:r w:rsidRPr="006B17BE">
        <w:t>up periods are then made on the newly exposed material. The mobility and permeability of the material can be calculated based on its response to pressure drawdown and build</w:t>
      </w:r>
      <w:r w:rsidR="00E13E54" w:rsidRPr="006B17BE">
        <w:t>-</w:t>
      </w:r>
      <w:r w:rsidRPr="006B17BE">
        <w:t>up. It is possible to have multiple measurements through the same point in the casing where the hole in the sidewall is made deeper between the measurements and changes in mobility of the cement and/or formation can be measured. It is also possible to take fluid samples through the hole in the casing using a fluid sampling module to analy</w:t>
      </w:r>
      <w:r w:rsidR="00E13E54" w:rsidRPr="006B17BE">
        <w:t>s</w:t>
      </w:r>
      <w:r w:rsidRPr="006B17BE">
        <w:t>e the formation fluid in situ and to collect and retrieve it for further laboratory analysis (Duguid and Tombari 2007).</w:t>
      </w:r>
    </w:p>
    <w:p w14:paraId="0AA1B9E9" w14:textId="32737CFB" w:rsidR="006D3A94" w:rsidRPr="006D3A94" w:rsidRDefault="006D3A94" w:rsidP="006D3A94">
      <w:pPr>
        <w:pStyle w:val="Heading3"/>
        <w:rPr>
          <w:rFonts w:asciiTheme="minorHAnsi" w:hAnsiTheme="minorHAnsi"/>
          <w:sz w:val="24"/>
          <w:szCs w:val="24"/>
        </w:rPr>
      </w:pPr>
      <w:bookmarkStart w:id="637" w:name="_Toc483567970"/>
      <w:r w:rsidRPr="006D3A94">
        <w:rPr>
          <w:rFonts w:asciiTheme="minorHAnsi" w:hAnsiTheme="minorHAnsi"/>
          <w:sz w:val="24"/>
          <w:szCs w:val="24"/>
        </w:rPr>
        <w:t>Surface-casing-vent flow</w:t>
      </w:r>
      <w:bookmarkEnd w:id="637"/>
    </w:p>
    <w:p w14:paraId="17158607" w14:textId="77777777" w:rsidR="006D3A94" w:rsidRDefault="006D3A94" w:rsidP="00861973">
      <w:pPr>
        <w:pStyle w:val="Body"/>
      </w:pPr>
      <w:r>
        <w:t>W</w:t>
      </w:r>
      <w:r w:rsidRPr="00EE1219">
        <w:t xml:space="preserve">ell leakage at the surface </w:t>
      </w:r>
      <w:r>
        <w:t>may be recorded</w:t>
      </w:r>
      <w:r w:rsidRPr="00EE1219">
        <w:t xml:space="preserve"> as surface-casing-vent flow (SCVF)</w:t>
      </w:r>
      <w:r>
        <w:t>;</w:t>
      </w:r>
      <w:r w:rsidRPr="00EE1219">
        <w:t xml:space="preserve"> </w:t>
      </w:r>
      <w:r>
        <w:t xml:space="preserve">this represents gas flow </w:t>
      </w:r>
      <w:r w:rsidRPr="00EE1219">
        <w:t xml:space="preserve">through wellbore annuli and gas migration along the outside of the casing. The SCVF occurs when gas enters the exterior production-casing annulus from a source formation below the surface-casing shoe and flows to surface when the casing vent is open or builds gas pressure in the annulus when the casing vent is closed. Gas migration occurs when gas migrates along the outside of the cemented surface casing. It is important to note that while gas leaks can occur in one barrier, secondary barriers will contain the pressure and prevent a leak to the outside (King and King 2013). </w:t>
      </w:r>
      <w:r>
        <w:t>In Alberta, Canada, t</w:t>
      </w:r>
      <w:r w:rsidRPr="00EE1219">
        <w:t>he Alberta Energy Resources Conservation Board requires that all wells drilled and cased be tested for SCVF within 60 days of drilling-rig release and before final abandonment. Wells that have positive SCVF and exhibit gas flow rates greater than 300</w:t>
      </w:r>
      <w:r>
        <w:t xml:space="preserve"> </w:t>
      </w:r>
      <w:r w:rsidRPr="00EE1219">
        <w:t>m</w:t>
      </w:r>
      <w:r w:rsidRPr="00EE1219">
        <w:rPr>
          <w:vertAlign w:val="superscript"/>
        </w:rPr>
        <w:t>3</w:t>
      </w:r>
      <w:r w:rsidRPr="00EE1219">
        <w:t>/day, or have a stabilised surface casing build</w:t>
      </w:r>
      <w:r>
        <w:t>-</w:t>
      </w:r>
      <w:r w:rsidRPr="00EE1219">
        <w:t>up pressures that is greater than the wate</w:t>
      </w:r>
      <w:r>
        <w:t>r hydrostatic pressure gradient</w:t>
      </w:r>
      <w:r w:rsidRPr="00EE1219">
        <w:t xml:space="preserve"> to the depth of the surface casing shoe, or have liquid hydrocarbon flow or saline-water flow, must be repaired immediately</w:t>
      </w:r>
      <w:r>
        <w:t xml:space="preserve"> (Watson and Bachu [</w:t>
      </w:r>
      <w:r w:rsidRPr="00EE1219">
        <w:t>2009</w:t>
      </w:r>
      <w:r>
        <w:t>])</w:t>
      </w:r>
      <w:r w:rsidRPr="00EE1219">
        <w:t>.</w:t>
      </w:r>
    </w:p>
    <w:p w14:paraId="2FC37510" w14:textId="77777777" w:rsidR="006D3A94" w:rsidRDefault="006D3A94" w:rsidP="006D3A94">
      <w:pPr>
        <w:pStyle w:val="Body"/>
        <w:jc w:val="center"/>
      </w:pPr>
      <w:r>
        <w:rPr>
          <w:noProof/>
          <w:lang w:val="en-AU" w:eastAsia="en-AU"/>
        </w:rPr>
        <w:drawing>
          <wp:inline distT="0" distB="0" distL="0" distR="0" wp14:anchorId="79CE14F4" wp14:editId="7206D18B">
            <wp:extent cx="5732145" cy="3493135"/>
            <wp:effectExtent l="0" t="0" r="1905"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2145" cy="3493135"/>
                    </a:xfrm>
                    <a:prstGeom prst="rect">
                      <a:avLst/>
                    </a:prstGeom>
                  </pic:spPr>
                </pic:pic>
              </a:graphicData>
            </a:graphic>
          </wp:inline>
        </w:drawing>
      </w:r>
    </w:p>
    <w:p w14:paraId="786EBB54" w14:textId="31B38652" w:rsidR="006D3A94" w:rsidRDefault="006D3A94" w:rsidP="006D3A94">
      <w:pPr>
        <w:pStyle w:val="Caption"/>
      </w:pPr>
      <w:bookmarkStart w:id="638" w:name="_Ref479687841"/>
      <w:bookmarkStart w:id="639" w:name="_Toc508267308"/>
      <w:r>
        <w:t xml:space="preserve">Figure </w:t>
      </w:r>
      <w:r w:rsidR="00296C49">
        <w:fldChar w:fldCharType="begin"/>
      </w:r>
      <w:r w:rsidR="00296C49">
        <w:instrText xml:space="preserve"> STYLEREF 1 \s </w:instrText>
      </w:r>
      <w:r w:rsidR="00296C49">
        <w:fldChar w:fldCharType="separate"/>
      </w:r>
      <w:r w:rsidR="00086147">
        <w:rPr>
          <w:noProof/>
        </w:rPr>
        <w:t>6</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4</w:t>
      </w:r>
      <w:r w:rsidR="00296C49">
        <w:rPr>
          <w:noProof/>
        </w:rPr>
        <w:fldChar w:fldCharType="end"/>
      </w:r>
      <w:bookmarkEnd w:id="638"/>
      <w:r>
        <w:t xml:space="preserve"> </w:t>
      </w:r>
      <w:r w:rsidRPr="000F6B30">
        <w:t>Bradenhead testing (or casing head pressure testing) for identification of defective gas wells</w:t>
      </w:r>
      <w:r>
        <w:t xml:space="preserve"> (COGCC 2013)</w:t>
      </w:r>
      <w:r w:rsidRPr="000F6B30">
        <w:t>.</w:t>
      </w:r>
      <w:bookmarkEnd w:id="639"/>
    </w:p>
    <w:p w14:paraId="4B158186" w14:textId="4CEFC849" w:rsidR="006D3A94" w:rsidRPr="006D3A94" w:rsidRDefault="006D3A94" w:rsidP="006D3A94">
      <w:pPr>
        <w:pStyle w:val="Heading3"/>
        <w:rPr>
          <w:rFonts w:asciiTheme="minorHAnsi" w:hAnsiTheme="minorHAnsi"/>
          <w:sz w:val="24"/>
          <w:szCs w:val="24"/>
        </w:rPr>
      </w:pPr>
      <w:bookmarkStart w:id="640" w:name="_Toc483567971"/>
      <w:r w:rsidRPr="006D3A94">
        <w:rPr>
          <w:rFonts w:asciiTheme="minorHAnsi" w:hAnsiTheme="minorHAnsi"/>
          <w:sz w:val="24"/>
          <w:szCs w:val="24"/>
        </w:rPr>
        <w:t>Casing head pressure testing (or bradenhead testing)</w:t>
      </w:r>
      <w:bookmarkEnd w:id="640"/>
    </w:p>
    <w:p w14:paraId="1316BCD6" w14:textId="7B9357C8" w:rsidR="006D3A94" w:rsidRDefault="006D3A94" w:rsidP="00861973">
      <w:pPr>
        <w:pStyle w:val="Body"/>
      </w:pPr>
      <w:r w:rsidRPr="00A56F18">
        <w:t>Casing head pressure testing (or bradenhead testing) has been instrumental in identification of defective gas wells</w:t>
      </w:r>
      <w:r>
        <w:t xml:space="preserve"> (</w:t>
      </w:r>
      <w:r>
        <w:fldChar w:fldCharType="begin"/>
      </w:r>
      <w:r>
        <w:instrText xml:space="preserve"> REF _Ref479687841 \h </w:instrText>
      </w:r>
      <w:r>
        <w:fldChar w:fldCharType="separate"/>
      </w:r>
      <w:r w:rsidR="00086147">
        <w:t xml:space="preserve">Figure </w:t>
      </w:r>
      <w:r w:rsidR="00086147">
        <w:rPr>
          <w:noProof/>
        </w:rPr>
        <w:t>6</w:t>
      </w:r>
      <w:r w:rsidR="00086147">
        <w:noBreakHyphen/>
      </w:r>
      <w:r w:rsidR="00086147">
        <w:rPr>
          <w:noProof/>
        </w:rPr>
        <w:t>4</w:t>
      </w:r>
      <w:r>
        <w:fldChar w:fldCharType="end"/>
      </w:r>
      <w:r>
        <w:t>)</w:t>
      </w:r>
      <w:r w:rsidRPr="00A56F18">
        <w:t>. The San Juan Field Office of the Bureau of Land Management has aggressively pursued bradenhead testing for casing head pressure measurement since 1991 (BLM 2010). Operators in the Basin are required to survey all wells and measure and record tubing, casing and intermediate casing pressures. Should casing pressures be encountered, a mandated testing protocol is used to determine if they are due to leaky casing. Beginning with the casing head valve, annular spaces are opened sequentially and the blow down time and flow rates recorded. As each annular space is blown down, the pressure in the adjacent annulus is monitored for any changes at five minute intervals for up to 30 minutes. A drop in pressure in the adjacent annular space usually indicates a leak. Wells with residual pressures after a 30 minute test interval may also indicate a casing leak. A threshold pressure of 172 kPa (25 psi) for wells in a non-critical area or 34.5 kPa (5 psi) for wells in a critical area is established as the minimum threshold pressure required for sampling and laboratory analysis of both produced and casing head gases. If the gases are similar in composition, and/or if a casing leak is detected, the operator must file and implement remedial action plans (Armstrong et al. 2009). The critical groundwater areas constitute an approximate 1 mile buffer zone surrounding domestic wells where methane has historically been documented at concentrations higher than 1.0 mg/L and casing pressures exceed 34.5 kPa (5 psi). All the other areas are designated as non-critical areas.</w:t>
      </w:r>
    </w:p>
    <w:p w14:paraId="49497E76" w14:textId="0D9B621E" w:rsidR="006D3A94" w:rsidRPr="006D3A94" w:rsidRDefault="006D3A94" w:rsidP="006D3A94">
      <w:pPr>
        <w:pStyle w:val="Heading3"/>
        <w:rPr>
          <w:rFonts w:asciiTheme="minorHAnsi" w:hAnsiTheme="minorHAnsi"/>
          <w:sz w:val="24"/>
          <w:szCs w:val="24"/>
        </w:rPr>
      </w:pPr>
      <w:bookmarkStart w:id="641" w:name="_Ref479691663"/>
      <w:bookmarkStart w:id="642" w:name="_Toc483567972"/>
      <w:r w:rsidRPr="006D3A94">
        <w:rPr>
          <w:rFonts w:asciiTheme="minorHAnsi" w:hAnsiTheme="minorHAnsi"/>
          <w:sz w:val="24"/>
          <w:szCs w:val="24"/>
        </w:rPr>
        <w:t>Fugitive emissions of methane</w:t>
      </w:r>
      <w:bookmarkEnd w:id="641"/>
      <w:bookmarkEnd w:id="642"/>
    </w:p>
    <w:p w14:paraId="372426D8" w14:textId="77987D72" w:rsidR="006D3A94" w:rsidRDefault="006D3A94" w:rsidP="006D3A94">
      <w:pPr>
        <w:pStyle w:val="Body"/>
        <w:rPr>
          <w:rFonts w:eastAsiaTheme="minorHAnsi"/>
          <w:color w:val="auto"/>
          <w:lang w:eastAsia="en-US"/>
        </w:rPr>
      </w:pPr>
      <w:r>
        <w:rPr>
          <w:rFonts w:eastAsiaTheme="minorHAnsi"/>
        </w:rPr>
        <w:t>Measurement of fugitive emissions of methane from gas production wells may be another way of detecting issues with well integrity. Examples of methane emission monitoring in NSW Queensland are available from Day et al. (2014). Of the 43 wells examined, only three showed no emissions. The remainder had some level of emission but generally the emission rates were very low, especially when compared to the volume of gas produced from the wells. The principal methane emission sources were found to be venting and operation of gas‐powered pneumatic devices, equipment leaks and exhaust from gas‐fuelled engines used to power water pumps. Although the well pad emissions were low, a separate, larger source of methane was found on a gas relief vent on a water gathering installation close to one of the wells examined during this study. During the field measurements, no evidence of leakage of methane around the outside of well casings was</w:t>
      </w:r>
      <w:r w:rsidR="00BF4C9D">
        <w:rPr>
          <w:rFonts w:eastAsiaTheme="minorHAnsi"/>
        </w:rPr>
        <w:t xml:space="preserve"> </w:t>
      </w:r>
      <w:r>
        <w:rPr>
          <w:rFonts w:eastAsiaTheme="minorHAnsi"/>
          <w:color w:val="auto"/>
          <w:lang w:eastAsia="en-US"/>
        </w:rPr>
        <w:t>found at any of the wells included in this sample. Methane measurements were made using a Picarro Model 2301 Cavity Ring-down Spectrometer CH</w:t>
      </w:r>
      <w:r>
        <w:rPr>
          <w:rFonts w:eastAsiaTheme="minorHAnsi"/>
          <w:color w:val="auto"/>
          <w:sz w:val="14"/>
          <w:szCs w:val="14"/>
          <w:lang w:eastAsia="en-US"/>
        </w:rPr>
        <w:t>4</w:t>
      </w:r>
      <w:r>
        <w:rPr>
          <w:rFonts w:eastAsiaTheme="minorHAnsi"/>
          <w:color w:val="auto"/>
          <w:lang w:eastAsia="en-US"/>
        </w:rPr>
        <w:t>/CO</w:t>
      </w:r>
      <w:r>
        <w:rPr>
          <w:rFonts w:eastAsiaTheme="minorHAnsi"/>
          <w:color w:val="auto"/>
          <w:sz w:val="14"/>
          <w:szCs w:val="14"/>
          <w:lang w:eastAsia="en-US"/>
        </w:rPr>
        <w:t>2</w:t>
      </w:r>
      <w:r>
        <w:rPr>
          <w:rFonts w:eastAsiaTheme="minorHAnsi"/>
          <w:color w:val="auto"/>
          <w:lang w:eastAsia="en-US"/>
        </w:rPr>
        <w:t>/H</w:t>
      </w:r>
      <w:r>
        <w:rPr>
          <w:rFonts w:eastAsiaTheme="minorHAnsi"/>
          <w:color w:val="auto"/>
          <w:sz w:val="14"/>
          <w:szCs w:val="14"/>
          <w:lang w:eastAsia="en-US"/>
        </w:rPr>
        <w:t>2</w:t>
      </w:r>
      <w:r>
        <w:rPr>
          <w:rFonts w:eastAsiaTheme="minorHAnsi"/>
          <w:color w:val="auto"/>
          <w:lang w:eastAsia="en-US"/>
        </w:rPr>
        <w:t>O analyser coupled with a Picarro Mobile Measurement Kit. To determine if CH</w:t>
      </w:r>
      <w:r>
        <w:rPr>
          <w:rFonts w:eastAsiaTheme="minorHAnsi"/>
          <w:color w:val="auto"/>
          <w:sz w:val="14"/>
          <w:szCs w:val="14"/>
          <w:lang w:eastAsia="en-US"/>
        </w:rPr>
        <w:t xml:space="preserve">4 </w:t>
      </w:r>
      <w:r>
        <w:rPr>
          <w:rFonts w:eastAsiaTheme="minorHAnsi"/>
          <w:color w:val="auto"/>
          <w:lang w:eastAsia="en-US"/>
        </w:rPr>
        <w:t>was escaping from the well casing, the flux chamber</w:t>
      </w:r>
      <w:r w:rsidR="00BF4C9D">
        <w:rPr>
          <w:rFonts w:eastAsiaTheme="minorHAnsi"/>
          <w:color w:val="auto"/>
          <w:lang w:eastAsia="en-US"/>
        </w:rPr>
        <w:t xml:space="preserve"> </w:t>
      </w:r>
      <w:r>
        <w:rPr>
          <w:rFonts w:eastAsiaTheme="minorHAnsi"/>
          <w:color w:val="auto"/>
          <w:lang w:eastAsia="en-US"/>
        </w:rPr>
        <w:t>method was applied at each well site to measure the emission rate of any leakage from around the outside of the casing. Measurements were made on the ground surface near well heads to determine if CH</w:t>
      </w:r>
      <w:r>
        <w:rPr>
          <w:rFonts w:eastAsiaTheme="minorHAnsi"/>
          <w:color w:val="auto"/>
          <w:sz w:val="14"/>
          <w:szCs w:val="14"/>
          <w:lang w:eastAsia="en-US"/>
        </w:rPr>
        <w:t xml:space="preserve">4 </w:t>
      </w:r>
      <w:r>
        <w:rPr>
          <w:rFonts w:eastAsiaTheme="minorHAnsi"/>
          <w:color w:val="auto"/>
          <w:lang w:eastAsia="en-US"/>
        </w:rPr>
        <w:t>was migrating around the outside of well casings or through casing walls. These measurements were made using a surface flux chamber, a technique frequently used to measure emission rates of soil gases.</w:t>
      </w:r>
    </w:p>
    <w:p w14:paraId="3F10B1E4" w14:textId="77777777" w:rsidR="007E2D83" w:rsidRDefault="007E2D83" w:rsidP="007E2D83">
      <w:pPr>
        <w:pStyle w:val="BodyText"/>
        <w:jc w:val="center"/>
      </w:pPr>
      <w:r>
        <w:rPr>
          <w:noProof/>
        </w:rPr>
        <w:drawing>
          <wp:inline distT="0" distB="0" distL="0" distR="0" wp14:anchorId="5A646CC2" wp14:editId="0BD8EA09">
            <wp:extent cx="2831349" cy="2746349"/>
            <wp:effectExtent l="0" t="0" r="762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843475" cy="2758111"/>
                    </a:xfrm>
                    <a:prstGeom prst="rect">
                      <a:avLst/>
                    </a:prstGeom>
                  </pic:spPr>
                </pic:pic>
              </a:graphicData>
            </a:graphic>
          </wp:inline>
        </w:drawing>
      </w:r>
    </w:p>
    <w:p w14:paraId="7E854992" w14:textId="3A7152C7" w:rsidR="007E2D83" w:rsidRPr="00294470" w:rsidRDefault="007E2D83" w:rsidP="007E2D83">
      <w:pPr>
        <w:pStyle w:val="Caption"/>
      </w:pPr>
      <w:bookmarkStart w:id="643" w:name="_Toc508267309"/>
      <w:r>
        <w:t xml:space="preserve">Figure </w:t>
      </w:r>
      <w:r w:rsidR="00296C49">
        <w:fldChar w:fldCharType="begin"/>
      </w:r>
      <w:r w:rsidR="00296C49">
        <w:instrText xml:space="preserve"> STYLEREF 1 \s </w:instrText>
      </w:r>
      <w:r w:rsidR="00296C49">
        <w:fldChar w:fldCharType="separate"/>
      </w:r>
      <w:r w:rsidR="00086147">
        <w:rPr>
          <w:noProof/>
        </w:rPr>
        <w:t>6</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5</w:t>
      </w:r>
      <w:r w:rsidR="00296C49">
        <w:rPr>
          <w:noProof/>
        </w:rPr>
        <w:fldChar w:fldCharType="end"/>
      </w:r>
      <w:r>
        <w:t xml:space="preserve"> </w:t>
      </w:r>
      <w:r w:rsidRPr="00294470">
        <w:t>Schematic diagram of the flux chamber system used for well casing leak determinations</w:t>
      </w:r>
      <w:r>
        <w:t>.</w:t>
      </w:r>
      <w:bookmarkEnd w:id="643"/>
    </w:p>
    <w:p w14:paraId="20864889" w14:textId="77777777" w:rsidR="00A03EE4" w:rsidRDefault="00A03EE4" w:rsidP="006D3A94">
      <w:pPr>
        <w:pStyle w:val="Body"/>
      </w:pPr>
    </w:p>
    <w:p w14:paraId="1B4A2726" w14:textId="190A4B5F" w:rsidR="00BF4C9D" w:rsidRPr="00BF4C9D" w:rsidRDefault="00BF4C9D" w:rsidP="00BF4C9D">
      <w:pPr>
        <w:pStyle w:val="Heading3"/>
        <w:rPr>
          <w:rFonts w:asciiTheme="minorHAnsi" w:hAnsiTheme="minorHAnsi"/>
          <w:sz w:val="24"/>
          <w:szCs w:val="24"/>
        </w:rPr>
      </w:pPr>
      <w:bookmarkStart w:id="644" w:name="_Toc483567973"/>
      <w:r w:rsidRPr="00BF4C9D">
        <w:rPr>
          <w:rFonts w:asciiTheme="minorHAnsi" w:hAnsiTheme="minorHAnsi"/>
          <w:sz w:val="24"/>
          <w:szCs w:val="24"/>
        </w:rPr>
        <w:t>Groundwater hydrochemistry</w:t>
      </w:r>
      <w:r w:rsidR="008633E2">
        <w:rPr>
          <w:rFonts w:asciiTheme="minorHAnsi" w:hAnsiTheme="minorHAnsi"/>
          <w:sz w:val="24"/>
          <w:szCs w:val="24"/>
        </w:rPr>
        <w:t>, environmental isotopes, contaminants</w:t>
      </w:r>
      <w:bookmarkEnd w:id="644"/>
    </w:p>
    <w:p w14:paraId="361B2551" w14:textId="2E4131EE" w:rsidR="002B2706" w:rsidRDefault="002B2706" w:rsidP="00BF4C9D">
      <w:pPr>
        <w:pStyle w:val="Body"/>
        <w:rPr>
          <w:rFonts w:eastAsiaTheme="minorHAnsi"/>
        </w:rPr>
      </w:pPr>
      <w:r w:rsidRPr="002B2706">
        <w:rPr>
          <w:rFonts w:eastAsiaTheme="minorHAnsi"/>
        </w:rPr>
        <w:t xml:space="preserve">The objective of this section is to provide a few illustrative examples of studies where </w:t>
      </w:r>
      <w:r>
        <w:rPr>
          <w:rFonts w:eastAsiaTheme="minorHAnsi"/>
        </w:rPr>
        <w:t xml:space="preserve">measurement of </w:t>
      </w:r>
      <w:r w:rsidRPr="002B2706">
        <w:rPr>
          <w:rFonts w:eastAsiaTheme="minorHAnsi"/>
        </w:rPr>
        <w:t xml:space="preserve">environmental tracers </w:t>
      </w:r>
      <w:r>
        <w:rPr>
          <w:rFonts w:eastAsiaTheme="minorHAnsi"/>
        </w:rPr>
        <w:t xml:space="preserve">in groundwater </w:t>
      </w:r>
      <w:r w:rsidRPr="002B2706">
        <w:rPr>
          <w:rFonts w:eastAsiaTheme="minorHAnsi"/>
        </w:rPr>
        <w:t xml:space="preserve">have been used successfully to detect interaquifer connectivity, possibly linked to hydrocarbon extraction, coal exploration bores, or degraded water bores. The objective is not to attempt to provide a comprehensive overview of all relevant literature on the use of tracers to detect anthropogenically enhanced interaquifer connectivity. More extensive recent reviews </w:t>
      </w:r>
      <w:r>
        <w:rPr>
          <w:rFonts w:eastAsiaTheme="minorHAnsi"/>
        </w:rPr>
        <w:t xml:space="preserve">on such subjects </w:t>
      </w:r>
      <w:r w:rsidRPr="002B2706">
        <w:rPr>
          <w:rFonts w:eastAsiaTheme="minorHAnsi"/>
        </w:rPr>
        <w:t>are available from, e.g. US EPA (2016).</w:t>
      </w:r>
    </w:p>
    <w:p w14:paraId="0336B50D" w14:textId="1E99BC81" w:rsidR="00BF4C9D" w:rsidRDefault="00BF4C9D" w:rsidP="00BF4C9D">
      <w:pPr>
        <w:pStyle w:val="Body"/>
        <w:rPr>
          <w:rFonts w:eastAsiaTheme="minorHAnsi"/>
        </w:rPr>
      </w:pPr>
      <w:r>
        <w:rPr>
          <w:rFonts w:eastAsiaTheme="minorHAnsi"/>
        </w:rPr>
        <w:t xml:space="preserve">The hydrochemistry of groundwater </w:t>
      </w:r>
      <w:r w:rsidR="00E24D70">
        <w:rPr>
          <w:rFonts w:eastAsiaTheme="minorHAnsi"/>
        </w:rPr>
        <w:t>together with</w:t>
      </w:r>
      <w:r w:rsidR="00DD4165">
        <w:rPr>
          <w:rFonts w:eastAsiaTheme="minorHAnsi"/>
        </w:rPr>
        <w:t xml:space="preserve"> concentrations of environmental isotopes and </w:t>
      </w:r>
      <w:r w:rsidR="00A03EE4">
        <w:rPr>
          <w:rFonts w:eastAsiaTheme="minorHAnsi"/>
        </w:rPr>
        <w:t>c</w:t>
      </w:r>
      <w:r w:rsidR="00DD4165">
        <w:rPr>
          <w:rFonts w:eastAsiaTheme="minorHAnsi"/>
        </w:rPr>
        <w:t xml:space="preserve">ontaminants </w:t>
      </w:r>
      <w:r w:rsidR="000C7878">
        <w:rPr>
          <w:rFonts w:eastAsiaTheme="minorHAnsi"/>
        </w:rPr>
        <w:t xml:space="preserve">(organic and inorganic) </w:t>
      </w:r>
      <w:r>
        <w:rPr>
          <w:rFonts w:eastAsiaTheme="minorHAnsi"/>
        </w:rPr>
        <w:t xml:space="preserve">can </w:t>
      </w:r>
      <w:r w:rsidR="00B67DFF">
        <w:rPr>
          <w:rFonts w:eastAsiaTheme="minorHAnsi"/>
        </w:rPr>
        <w:t xml:space="preserve">provide </w:t>
      </w:r>
      <w:r>
        <w:rPr>
          <w:rFonts w:eastAsiaTheme="minorHAnsi"/>
        </w:rPr>
        <w:t>inform</w:t>
      </w:r>
      <w:r w:rsidR="00B67DFF">
        <w:rPr>
          <w:rFonts w:eastAsiaTheme="minorHAnsi"/>
        </w:rPr>
        <w:t>ation</w:t>
      </w:r>
      <w:r>
        <w:rPr>
          <w:rFonts w:eastAsiaTheme="minorHAnsi"/>
        </w:rPr>
        <w:t xml:space="preserve"> about </w:t>
      </w:r>
      <w:r w:rsidR="000C7878">
        <w:rPr>
          <w:rFonts w:eastAsiaTheme="minorHAnsi"/>
        </w:rPr>
        <w:t xml:space="preserve">connectivity, natural or anthropogenically induced, between a hydrocarbon reservoir and aquifers. </w:t>
      </w:r>
      <w:r w:rsidR="00FF593E">
        <w:rPr>
          <w:rFonts w:eastAsiaTheme="minorHAnsi"/>
        </w:rPr>
        <w:t xml:space="preserve">However, the typical composition in terms </w:t>
      </w:r>
      <w:r w:rsidR="000C7878">
        <w:rPr>
          <w:rFonts w:eastAsiaTheme="minorHAnsi"/>
        </w:rPr>
        <w:t xml:space="preserve">of </w:t>
      </w:r>
      <w:r w:rsidR="00FF593E">
        <w:rPr>
          <w:rFonts w:eastAsiaTheme="minorHAnsi"/>
        </w:rPr>
        <w:t xml:space="preserve">hydrochemistry, isotopes or contaminants may be modified by </w:t>
      </w:r>
      <w:r>
        <w:rPr>
          <w:rFonts w:eastAsiaTheme="minorHAnsi"/>
        </w:rPr>
        <w:t>reaction</w:t>
      </w:r>
      <w:r w:rsidR="00DD4165">
        <w:rPr>
          <w:rFonts w:eastAsiaTheme="minorHAnsi"/>
        </w:rPr>
        <w:t>s</w:t>
      </w:r>
      <w:r>
        <w:rPr>
          <w:rFonts w:eastAsiaTheme="minorHAnsi"/>
        </w:rPr>
        <w:t xml:space="preserve"> along the</w:t>
      </w:r>
      <w:r w:rsidR="00DD4165">
        <w:rPr>
          <w:rFonts w:eastAsiaTheme="minorHAnsi"/>
        </w:rPr>
        <w:t>ir</w:t>
      </w:r>
      <w:r w:rsidR="00A03EE4">
        <w:rPr>
          <w:rFonts w:eastAsiaTheme="minorHAnsi"/>
        </w:rPr>
        <w:t xml:space="preserve"> </w:t>
      </w:r>
      <w:r>
        <w:rPr>
          <w:rFonts w:eastAsiaTheme="minorHAnsi"/>
        </w:rPr>
        <w:t xml:space="preserve">pathway and mixing processes. </w:t>
      </w:r>
      <w:r w:rsidR="003E0508">
        <w:rPr>
          <w:rFonts w:eastAsiaTheme="minorHAnsi"/>
        </w:rPr>
        <w:t xml:space="preserve">Therefore, </w:t>
      </w:r>
      <w:r w:rsidR="00A274A4">
        <w:rPr>
          <w:rFonts w:eastAsiaTheme="minorHAnsi"/>
        </w:rPr>
        <w:t xml:space="preserve">groundwater sampling should occur in close proximity to potential leakage pathways to </w:t>
      </w:r>
      <w:r w:rsidR="009B0372">
        <w:rPr>
          <w:rFonts w:eastAsiaTheme="minorHAnsi"/>
        </w:rPr>
        <w:t xml:space="preserve">avoid complicating factors in the </w:t>
      </w:r>
      <w:r w:rsidR="00A274A4">
        <w:rPr>
          <w:rFonts w:eastAsiaTheme="minorHAnsi"/>
        </w:rPr>
        <w:t>analysis.</w:t>
      </w:r>
      <w:r w:rsidR="003E0508">
        <w:rPr>
          <w:rFonts w:eastAsiaTheme="minorHAnsi"/>
        </w:rPr>
        <w:t xml:space="preserve"> </w:t>
      </w:r>
      <w:r w:rsidR="004F0866">
        <w:rPr>
          <w:rFonts w:eastAsiaTheme="minorHAnsi"/>
        </w:rPr>
        <w:t>The use of groundwater hydrochemistry, tracers and contaminants is relevant to the active gas production phase and to the post decommissioning phase</w:t>
      </w:r>
      <w:r w:rsidR="009727F7">
        <w:rPr>
          <w:rFonts w:eastAsiaTheme="minorHAnsi"/>
        </w:rPr>
        <w:t>, as the following international examples illustrate</w:t>
      </w:r>
      <w:r w:rsidR="004F0866">
        <w:rPr>
          <w:rFonts w:eastAsiaTheme="minorHAnsi"/>
        </w:rPr>
        <w:t xml:space="preserve">. </w:t>
      </w:r>
    </w:p>
    <w:p w14:paraId="37D2D164" w14:textId="0AD1F45E" w:rsidR="009727F7" w:rsidRDefault="009727F7" w:rsidP="00BF4C9D">
      <w:pPr>
        <w:pStyle w:val="Body"/>
      </w:pPr>
      <w:r w:rsidRPr="00E6110F">
        <w:t>In a geochemical study of potential connectivity between Marcellus shale and shallow groundwater</w:t>
      </w:r>
      <w:r>
        <w:t>,</w:t>
      </w:r>
      <w:r w:rsidRPr="00E6110F">
        <w:t xml:space="preserve"> Warner et al. (2012a) classified 426 water samples from shallow groundwater in an 80 × 160 km area of northeastern Pennsylvania currently </w:t>
      </w:r>
      <w:r w:rsidR="00143E84">
        <w:t>being developed for gas using</w:t>
      </w:r>
      <w:r w:rsidRPr="00E6110F">
        <w:t xml:space="preserve"> hydraulic. The classification consist</w:t>
      </w:r>
      <w:r>
        <w:t>ed</w:t>
      </w:r>
      <w:r w:rsidRPr="00E6110F">
        <w:t xml:space="preserve"> of 4 groups based on Br, Cl, Na, Ba, Sr, </w:t>
      </w:r>
      <w:r w:rsidR="008542B3">
        <w:t xml:space="preserve">and </w:t>
      </w:r>
      <w:r w:rsidRPr="00E6110F">
        <w:t xml:space="preserve">Li concentration and the isotopic ratios of </w:t>
      </w:r>
      <w:r w:rsidRPr="00E6110F">
        <w:rPr>
          <w:vertAlign w:val="superscript"/>
        </w:rPr>
        <w:t>87</w:t>
      </w:r>
      <w:r w:rsidRPr="00E6110F">
        <w:t>Sr/</w:t>
      </w:r>
      <w:r w:rsidRPr="00E6110F">
        <w:rPr>
          <w:vertAlign w:val="superscript"/>
        </w:rPr>
        <w:t>86</w:t>
      </w:r>
      <w:r w:rsidRPr="00E6110F">
        <w:t xml:space="preserve">Sr, </w:t>
      </w:r>
      <w:r w:rsidRPr="00E6110F">
        <w:rPr>
          <w:vertAlign w:val="superscript"/>
        </w:rPr>
        <w:t>2</w:t>
      </w:r>
      <w:r w:rsidRPr="00E6110F">
        <w:t xml:space="preserve">H/H, </w:t>
      </w:r>
      <w:r w:rsidRPr="00E6110F">
        <w:rPr>
          <w:vertAlign w:val="superscript"/>
        </w:rPr>
        <w:t>18</w:t>
      </w:r>
      <w:r w:rsidRPr="00E6110F">
        <w:t>O/</w:t>
      </w:r>
      <w:r w:rsidRPr="00E6110F">
        <w:rPr>
          <w:vertAlign w:val="superscript"/>
        </w:rPr>
        <w:t>16</w:t>
      </w:r>
      <w:r w:rsidRPr="00E6110F">
        <w:t xml:space="preserve">O, and </w:t>
      </w:r>
      <w:r w:rsidRPr="00E6110F">
        <w:rPr>
          <w:vertAlign w:val="superscript"/>
        </w:rPr>
        <w:t>228</w:t>
      </w:r>
      <w:r w:rsidRPr="00E6110F">
        <w:t>Ra/</w:t>
      </w:r>
      <w:r w:rsidRPr="00E6110F">
        <w:rPr>
          <w:vertAlign w:val="superscript"/>
        </w:rPr>
        <w:t>226</w:t>
      </w:r>
      <w:r w:rsidRPr="00E6110F">
        <w:t>Ra. Evidence that diluted residual brine had migrated from deep formations along cross formational pathways</w:t>
      </w:r>
      <w:r>
        <w:t xml:space="preserve"> wa</w:t>
      </w:r>
      <w:r w:rsidRPr="00E6110F">
        <w:t xml:space="preserve">s found in the chemistry of one group with high Br/Cl and Sr/Ca but low </w:t>
      </w:r>
      <w:r w:rsidRPr="00E6110F">
        <w:rPr>
          <w:vertAlign w:val="superscript"/>
        </w:rPr>
        <w:t>87</w:t>
      </w:r>
      <w:r w:rsidRPr="00E6110F">
        <w:t>Sr/</w:t>
      </w:r>
      <w:r w:rsidRPr="00E6110F">
        <w:rPr>
          <w:vertAlign w:val="superscript"/>
        </w:rPr>
        <w:t>86</w:t>
      </w:r>
      <w:r w:rsidRPr="00E6110F">
        <w:t>Sr. By referring to the source as the ‘‘Marcellus’’, Warner et al. (2012a) impl</w:t>
      </w:r>
      <w:r>
        <w:t>ied</w:t>
      </w:r>
      <w:r w:rsidRPr="00E6110F">
        <w:t xml:space="preserve"> that leakage </w:t>
      </w:r>
      <w:r>
        <w:t>wa</w:t>
      </w:r>
      <w:r w:rsidRPr="00E6110F">
        <w:t>s from the Marcellus and they suggest</w:t>
      </w:r>
      <w:r>
        <w:t>ed that</w:t>
      </w:r>
      <w:r w:rsidRPr="00E6110F">
        <w:t xml:space="preserve"> the pathways of natural gas leakage might </w:t>
      </w:r>
      <w:r w:rsidR="008542B3">
        <w:t xml:space="preserve">also </w:t>
      </w:r>
      <w:r w:rsidRPr="00E6110F">
        <w:t>be areas of higher risk for leakage of residual hydraulic fracturing fluid.</w:t>
      </w:r>
      <w:r w:rsidR="006D6551">
        <w:t xml:space="preserve"> </w:t>
      </w:r>
      <w:r w:rsidR="006D6551" w:rsidRPr="00E6110F">
        <w:t>Warner et al. (2012b) argue</w:t>
      </w:r>
      <w:r w:rsidR="006D6551">
        <w:t>d</w:t>
      </w:r>
      <w:r w:rsidR="006D6551" w:rsidRPr="00E6110F">
        <w:t xml:space="preserve"> that (i) there is evidence for natural migration of brine and subsequent dilution in shallow drinking water aquifers, and (ii) if hydraulic fracturing intercepts natural pathways (i.e., faults/fractures) that connect the Marcellus to overlying units, the migration of fluids, including gases, remains possible.</w:t>
      </w:r>
    </w:p>
    <w:p w14:paraId="383873F7" w14:textId="45D3E962" w:rsidR="006D6551" w:rsidRDefault="006D6551" w:rsidP="00BF4C9D">
      <w:pPr>
        <w:pStyle w:val="Body"/>
      </w:pPr>
      <w:r w:rsidRPr="00E6110F">
        <w:t>Jackson et al. (2013) analysed 141 drinking water bores across the Appalachian Plateaus (northeastern Pennsylvania, US) examining natural gas concentrations and their isotopic signatures with proximity to natural gas wells. Analytes included methane (CH</w:t>
      </w:r>
      <w:r w:rsidRPr="00E6110F">
        <w:rPr>
          <w:vertAlign w:val="subscript"/>
        </w:rPr>
        <w:t>4</w:t>
      </w:r>
      <w:r w:rsidRPr="00E6110F">
        <w:t>), ethane (C</w:t>
      </w:r>
      <w:r w:rsidRPr="00E6110F">
        <w:rPr>
          <w:vertAlign w:val="subscript"/>
        </w:rPr>
        <w:t>2</w:t>
      </w:r>
      <w:r w:rsidRPr="00E6110F">
        <w:t>H</w:t>
      </w:r>
      <w:r w:rsidRPr="00E6110F">
        <w:rPr>
          <w:vertAlign w:val="subscript"/>
        </w:rPr>
        <w:t>6</w:t>
      </w:r>
      <w:r w:rsidRPr="00E6110F">
        <w:t>) and propane (C</w:t>
      </w:r>
      <w:r w:rsidRPr="00E6110F">
        <w:rPr>
          <w:vertAlign w:val="subscript"/>
        </w:rPr>
        <w:t>3</w:t>
      </w:r>
      <w:r w:rsidRPr="00E6110F">
        <w:t>H</w:t>
      </w:r>
      <w:r w:rsidRPr="00E6110F">
        <w:rPr>
          <w:vertAlign w:val="subscript"/>
        </w:rPr>
        <w:t>8</w:t>
      </w:r>
      <w:r w:rsidRPr="00E6110F">
        <w:t>), their isotopic signatures (</w:t>
      </w:r>
      <w:r w:rsidRPr="00E6110F">
        <w:sym w:font="Symbol" w:char="F064"/>
      </w:r>
      <w:r w:rsidRPr="00E6110F">
        <w:rPr>
          <w:vertAlign w:val="superscript"/>
        </w:rPr>
        <w:t>13</w:t>
      </w:r>
      <w:r w:rsidRPr="00E6110F">
        <w:t xml:space="preserve">C and </w:t>
      </w:r>
      <w:r w:rsidRPr="00E6110F">
        <w:sym w:font="Symbol" w:char="F064"/>
      </w:r>
      <w:r w:rsidRPr="00E6110F">
        <w:rPr>
          <w:vertAlign w:val="superscript"/>
        </w:rPr>
        <w:t>2</w:t>
      </w:r>
      <w:r w:rsidRPr="00E6110F">
        <w:t xml:space="preserve">H for methane and </w:t>
      </w:r>
      <w:r w:rsidRPr="00E6110F">
        <w:sym w:font="Symbol" w:char="F064"/>
      </w:r>
      <w:r w:rsidRPr="00E6110F">
        <w:rPr>
          <w:vertAlign w:val="superscript"/>
        </w:rPr>
        <w:t>13</w:t>
      </w:r>
      <w:r w:rsidRPr="00E6110F">
        <w:t xml:space="preserve">C for ethane), hydrocarbon ratios, and the ratio of the noble gas </w:t>
      </w:r>
      <w:r w:rsidRPr="00E6110F">
        <w:rPr>
          <w:vertAlign w:val="superscript"/>
        </w:rPr>
        <w:t>4</w:t>
      </w:r>
      <w:r w:rsidRPr="00E6110F">
        <w:t>He to methane in groundwater. For two out of three hydrocarbons the average concentrations in drinking water samples from relatively shallow bores (60-90 m depth) were significantly higher (six times for methane, 23 times for ethane) at distances &lt; 1 km from gas wells. Based on the isotopic and hydrocarbon ratios, groundwater was found to be characteristic of a thermally postmature Marcellus-like source (the Marcellus Formation is the primary hydrocarbon resource ranging in depth from 1200-2500 m) in some cases. Jackson et al. (2013) hypothesise that the higher dissolved gas concentrations observed in drinking water are the result of (i) faulty or inadequate steel gas well casings and (ii) imperfections in the cement sealing of the annulus or gaps between casings and rock that keep fluids from moving up the outside of the gas well.</w:t>
      </w:r>
    </w:p>
    <w:p w14:paraId="13C2C5E9" w14:textId="6A11252D" w:rsidR="00A03EE4" w:rsidRPr="00A03EE4" w:rsidRDefault="00A03EE4" w:rsidP="00784655">
      <w:pPr>
        <w:pStyle w:val="Body"/>
      </w:pPr>
      <w:r>
        <w:t>Environmental tracers such as n</w:t>
      </w:r>
      <w:r w:rsidRPr="0077426E">
        <w:t>oble gas</w:t>
      </w:r>
      <w:r>
        <w:t>es</w:t>
      </w:r>
      <w:r w:rsidRPr="0077426E">
        <w:t xml:space="preserve"> constitute an appropriate complement to hydrocarbon geochemistry. </w:t>
      </w:r>
      <w:r w:rsidR="00BC3BAA">
        <w:t>Especially radiogenic noble gases (</w:t>
      </w:r>
      <w:r w:rsidR="00BC3BAA" w:rsidRPr="00A64251">
        <w:rPr>
          <w:vertAlign w:val="superscript"/>
        </w:rPr>
        <w:t>4</w:t>
      </w:r>
      <w:r w:rsidR="00BC3BAA" w:rsidRPr="00A64251">
        <w:t xml:space="preserve">He, </w:t>
      </w:r>
      <w:r w:rsidR="00BC3BAA" w:rsidRPr="00A64251">
        <w:rPr>
          <w:vertAlign w:val="superscript"/>
        </w:rPr>
        <w:t>2</w:t>
      </w:r>
      <w:r w:rsidR="00BC3BAA">
        <w:rPr>
          <w:vertAlign w:val="superscript"/>
        </w:rPr>
        <w:t>1</w:t>
      </w:r>
      <w:r w:rsidR="00BC3BAA" w:rsidRPr="00A64251">
        <w:t xml:space="preserve">Ne, and </w:t>
      </w:r>
      <w:r w:rsidR="00BC3BAA">
        <w:rPr>
          <w:vertAlign w:val="superscript"/>
        </w:rPr>
        <w:t>40</w:t>
      </w:r>
      <w:r w:rsidR="00BC3BAA" w:rsidRPr="00A64251">
        <w:t>Ar</w:t>
      </w:r>
      <w:r w:rsidR="00BC3BAA">
        <w:t xml:space="preserve">) provide conservative tracers </w:t>
      </w:r>
      <w:r w:rsidRPr="0077426E">
        <w:t xml:space="preserve">(i.e., unaffected by chemical reactions or microbial activity) and </w:t>
      </w:r>
      <w:r w:rsidR="00BC3BAA">
        <w:t xml:space="preserve">their </w:t>
      </w:r>
      <w:r w:rsidRPr="0077426E">
        <w:t>well-characterized isotopic compositions in the crust, hydrosphere, and atmosphere make noble gases ideal tracers of crustal fluid processes</w:t>
      </w:r>
      <w:r>
        <w:t xml:space="preserve">. </w:t>
      </w:r>
      <w:r w:rsidR="00567A32">
        <w:t>W</w:t>
      </w:r>
      <w:r w:rsidRPr="00A03EE4">
        <w:t>hen paired with hydrocarbon composition and inorganic water chemistry, noble gases can help differentiate</w:t>
      </w:r>
      <w:r>
        <w:t xml:space="preserve"> </w:t>
      </w:r>
      <w:r w:rsidR="007E484D">
        <w:t xml:space="preserve">(“fingerprint”) </w:t>
      </w:r>
      <w:r w:rsidRPr="00A03EE4">
        <w:t xml:space="preserve">between natural geological migration of hydrocarbon gases and anthropogenic contamination. </w:t>
      </w:r>
      <w:r>
        <w:t xml:space="preserve">Darrah et al. (2014) </w:t>
      </w:r>
      <w:r w:rsidRPr="00A03EE4">
        <w:t>documented fugitive</w:t>
      </w:r>
      <w:r>
        <w:t xml:space="preserve"> </w:t>
      </w:r>
      <w:r w:rsidRPr="00A03EE4">
        <w:t>gases in eight clusters of domestic water wells overlying the</w:t>
      </w:r>
      <w:r>
        <w:t xml:space="preserve"> </w:t>
      </w:r>
      <w:r w:rsidRPr="00A03EE4">
        <w:t>Marcellus and Barnett Shales</w:t>
      </w:r>
      <w:r>
        <w:t xml:space="preserve"> in the US</w:t>
      </w:r>
      <w:r w:rsidRPr="00A03EE4">
        <w:t>, including declining water quality</w:t>
      </w:r>
      <w:r>
        <w:t xml:space="preserve"> </w:t>
      </w:r>
      <w:r w:rsidRPr="00A03EE4">
        <w:t xml:space="preserve">through time over the Barnett. Gas geochemistry data </w:t>
      </w:r>
      <w:r>
        <w:t>including noble gases (</w:t>
      </w:r>
      <w:r w:rsidRPr="00A64251">
        <w:t xml:space="preserve">e.g., </w:t>
      </w:r>
      <w:r w:rsidRPr="00A64251">
        <w:rPr>
          <w:vertAlign w:val="superscript"/>
        </w:rPr>
        <w:t>4</w:t>
      </w:r>
      <w:r w:rsidRPr="00A64251">
        <w:t xml:space="preserve">He, </w:t>
      </w:r>
      <w:r w:rsidRPr="00A64251">
        <w:rPr>
          <w:vertAlign w:val="superscript"/>
        </w:rPr>
        <w:t>20</w:t>
      </w:r>
      <w:r w:rsidRPr="00A64251">
        <w:t xml:space="preserve">Ne, and </w:t>
      </w:r>
      <w:r w:rsidRPr="00A64251">
        <w:rPr>
          <w:vertAlign w:val="superscript"/>
        </w:rPr>
        <w:t>36</w:t>
      </w:r>
      <w:r w:rsidRPr="00A64251">
        <w:t>Ar</w:t>
      </w:r>
      <w:r>
        <w:t xml:space="preserve">) </w:t>
      </w:r>
      <w:r w:rsidR="00A64251">
        <w:t>indicated</w:t>
      </w:r>
      <w:r>
        <w:t xml:space="preserve"> </w:t>
      </w:r>
      <w:r w:rsidRPr="00A03EE4">
        <w:t>leaks through annulus cement (four cases), production casings</w:t>
      </w:r>
      <w:r>
        <w:t xml:space="preserve"> </w:t>
      </w:r>
      <w:r w:rsidRPr="00A03EE4">
        <w:t>(three cases), and underground well failure (one case) rather</w:t>
      </w:r>
      <w:r>
        <w:t xml:space="preserve"> </w:t>
      </w:r>
      <w:r w:rsidRPr="00A03EE4">
        <w:t>than gas migration induced by hydraulic fracturing deep underground.</w:t>
      </w:r>
      <w:r w:rsidR="00784655">
        <w:t xml:space="preserve"> Further examples of the use of </w:t>
      </w:r>
      <w:r w:rsidR="007E484D">
        <w:t xml:space="preserve">organic and inorganic chemistry in combination with dissolved gases and their isotopic to identifying leakage pathways associated with unconventional gas extraction can be found in </w:t>
      </w:r>
      <w:r w:rsidR="000E588B">
        <w:t xml:space="preserve">Warner et al. (2014), </w:t>
      </w:r>
      <w:r w:rsidR="007E484D">
        <w:t>Llewellyn et al. (2015)</w:t>
      </w:r>
      <w:r w:rsidR="000E588B">
        <w:t>, and others</w:t>
      </w:r>
      <w:r w:rsidR="007E484D">
        <w:t xml:space="preserve">. </w:t>
      </w:r>
    </w:p>
    <w:p w14:paraId="77C59CC9" w14:textId="0AE16461" w:rsidR="00B23585" w:rsidRPr="00EC79D6" w:rsidRDefault="00120F05" w:rsidP="00B23585">
      <w:pPr>
        <w:pStyle w:val="Body"/>
      </w:pPr>
      <w:r>
        <w:t xml:space="preserve">Detection </w:t>
      </w:r>
      <w:r w:rsidR="00DD4165">
        <w:t xml:space="preserve">of change </w:t>
      </w:r>
      <w:r w:rsidR="008542B3">
        <w:t xml:space="preserve">in </w:t>
      </w:r>
      <w:r w:rsidR="00DD4165">
        <w:t xml:space="preserve">concentrations </w:t>
      </w:r>
      <w:r w:rsidR="008542B3">
        <w:t xml:space="preserve">of </w:t>
      </w:r>
      <w:r w:rsidR="00DD4165">
        <w:t xml:space="preserve">organic and inorganic constituents and tracers can be an indication of a leakage pathway linked to bore or well integrity. </w:t>
      </w:r>
      <w:r>
        <w:t xml:space="preserve">Being able to detect change requires however a proper baseline condition against which change can be measured. </w:t>
      </w:r>
      <w:r w:rsidR="00140201">
        <w:t xml:space="preserve">This includes characterisation of potentially local differences due to geology and understanding of temporal trends. </w:t>
      </w:r>
      <w:r w:rsidR="00162BEF">
        <w:rPr>
          <w:rFonts w:eastAsiaTheme="minorHAnsi"/>
        </w:rPr>
        <w:t xml:space="preserve">Relevant research is that by Golding et al. (2013), Hamilton et al. (2012 and 2014), and Papendick et al. (2011) on fingerprinting the actual coal‐bearing formations by using stable isotopes. </w:t>
      </w:r>
      <w:r w:rsidR="00B23585">
        <w:t xml:space="preserve">When sufficient data are available, trend analysis can be undertaken. </w:t>
      </w:r>
      <w:r w:rsidR="00B23585" w:rsidRPr="00EC79D6">
        <w:t xml:space="preserve">The purpose of trend analysis is to identify any short or long-term trends that might indicate that </w:t>
      </w:r>
      <w:r>
        <w:t xml:space="preserve">leakage pathways exist and </w:t>
      </w:r>
      <w:r w:rsidR="00B23585" w:rsidRPr="00EC79D6">
        <w:t xml:space="preserve">are impacting </w:t>
      </w:r>
      <w:r>
        <w:t>water quality</w:t>
      </w:r>
      <w:r w:rsidR="00B23585" w:rsidRPr="00EC79D6">
        <w:t xml:space="preserve">. </w:t>
      </w:r>
      <w:r w:rsidR="00B23585">
        <w:t>Note, however, that changes in chemistry consistent with a short or long-term trend</w:t>
      </w:r>
      <w:r w:rsidR="008542B3">
        <w:t>s</w:t>
      </w:r>
      <w:r w:rsidR="00B23585">
        <w:t xml:space="preserve"> are not necessarily evidence of a</w:t>
      </w:r>
      <w:r w:rsidR="00B23585" w:rsidRPr="00446111">
        <w:t xml:space="preserve">ny relationship to groundwater </w:t>
      </w:r>
      <w:r>
        <w:t xml:space="preserve">changes linked to well leakage of fluids or of </w:t>
      </w:r>
      <w:r w:rsidR="00B23585" w:rsidRPr="00446111">
        <w:t xml:space="preserve">methane </w:t>
      </w:r>
      <w:r>
        <w:t>gas</w:t>
      </w:r>
      <w:r w:rsidR="00B23585">
        <w:t xml:space="preserve">. </w:t>
      </w:r>
      <w:r>
        <w:t>On the other hand,</w:t>
      </w:r>
      <w:r w:rsidR="00B23585">
        <w:t xml:space="preserve"> </w:t>
      </w:r>
      <w:r>
        <w:t>t</w:t>
      </w:r>
      <w:r w:rsidR="00B23585">
        <w:t xml:space="preserve">here may also be conditions when presence of methane does not immediately result in changes in hydrochemistry, e.g. when buoyancy-driven gas occurs in a bore screened in a coal seam aquifer. </w:t>
      </w:r>
      <w:r w:rsidR="00B23585" w:rsidRPr="00EC79D6">
        <w:t>Water quality data and trend analysis can be performed by geographic mapping, plotting data on time-concentration plots, performing Mann-Kendall trend analysis, and evaluating results of compositional analysis of methane</w:t>
      </w:r>
      <w:r w:rsidR="00B23585">
        <w:t xml:space="preserve"> (AMEC Geometrix 2011; </w:t>
      </w:r>
      <w:r w:rsidR="00B23585" w:rsidRPr="006320DF">
        <w:t>Esterby 1996; Hirsch et al. 1982</w:t>
      </w:r>
      <w:r w:rsidR="00B23585">
        <w:t>)</w:t>
      </w:r>
      <w:r w:rsidR="00B23585" w:rsidRPr="00EC79D6">
        <w:t>.</w:t>
      </w:r>
      <w:r>
        <w:t xml:space="preserve"> </w:t>
      </w:r>
    </w:p>
    <w:p w14:paraId="69E08A2C" w14:textId="41AAF25F" w:rsidR="00B23585" w:rsidRDefault="00120F05" w:rsidP="00B23585">
      <w:pPr>
        <w:pStyle w:val="Body"/>
      </w:pPr>
      <w:r>
        <w:t xml:space="preserve">Furthermore, it is important to understand if the chemical variability of groundwater is representative for an entire aquifer or only for a particular region. </w:t>
      </w:r>
      <w:r w:rsidR="00B23585">
        <w:t xml:space="preserve">To account for spatial clustering in hydrochemical data that could be related to local differences in geology (such as variable aquifer composition) or hydrology (e.g. recharge processes and aquifer connectivity), a hierarchical cluster analysis can be undertaken. Because such clustering may lead to higher values existing in one part of an aquifer compared to other parts of an aquifer, there is a need to detect such clusters and identify the cause of higher (or lower) values. Insight in site specific differences helps to understand whether high concentrations of a particular parameter represent the natural background concentrations or are due to anthropogenic processes. </w:t>
      </w:r>
    </w:p>
    <w:p w14:paraId="48E60019" w14:textId="38B2C855" w:rsidR="00B23585" w:rsidRDefault="00B23585" w:rsidP="00B23585">
      <w:pPr>
        <w:pStyle w:val="Body"/>
      </w:pPr>
      <w:r>
        <w:rPr>
          <w:rFonts w:asciiTheme="minorHAnsi" w:hAnsiTheme="minorHAnsi"/>
        </w:rPr>
        <w:t xml:space="preserve">Mallants et al. (2016) determined the natural variability in hydrochemistry for key aquifers in the Surat Basin using up-to-date data. A rigorous statistical analysis of about 560 water samples collected </w:t>
      </w:r>
      <w:r w:rsidR="007856ED">
        <w:rPr>
          <w:rFonts w:asciiTheme="minorHAnsi" w:hAnsiTheme="minorHAnsi"/>
        </w:rPr>
        <w:t>from</w:t>
      </w:r>
      <w:r>
        <w:rPr>
          <w:rFonts w:asciiTheme="minorHAnsi" w:hAnsiTheme="minorHAnsi"/>
        </w:rPr>
        <w:t xml:space="preserve"> 2010 to 2013 was undertaken to determine natural variability of hydrochemical parameters. </w:t>
      </w:r>
      <w:r w:rsidR="007856ED">
        <w:rPr>
          <w:rFonts w:asciiTheme="minorHAnsi" w:hAnsiTheme="minorHAnsi"/>
        </w:rPr>
        <w:t xml:space="preserve">This included </w:t>
      </w:r>
      <w:r>
        <w:rPr>
          <w:rFonts w:asciiTheme="minorHAnsi" w:hAnsiTheme="minorHAnsi"/>
        </w:rPr>
        <w:t>a</w:t>
      </w:r>
      <w:r>
        <w:t xml:space="preserve"> hierarchical cluster analysis to identify any spatial patterns in hydrochemical parameters. </w:t>
      </w:r>
      <w:r w:rsidDel="00662152">
        <w:t xml:space="preserve"> </w:t>
      </w:r>
      <w:r>
        <w:fldChar w:fldCharType="begin"/>
      </w:r>
      <w:r>
        <w:instrText xml:space="preserve"> REF _Ref444439123 \h </w:instrText>
      </w:r>
      <w:r>
        <w:fldChar w:fldCharType="separate"/>
      </w:r>
      <w:r w:rsidR="00086147">
        <w:t xml:space="preserve">Figure </w:t>
      </w:r>
      <w:r w:rsidR="00086147">
        <w:rPr>
          <w:noProof/>
        </w:rPr>
        <w:t>6</w:t>
      </w:r>
      <w:r w:rsidR="00086147">
        <w:noBreakHyphen/>
      </w:r>
      <w:r w:rsidR="00086147">
        <w:rPr>
          <w:noProof/>
        </w:rPr>
        <w:t>6</w:t>
      </w:r>
      <w:r>
        <w:fldChar w:fldCharType="end"/>
      </w:r>
      <w:r>
        <w:t xml:space="preserve"> shows the distribution of groundwater chemistry clusters for all aquifers. </w:t>
      </w:r>
      <w:r w:rsidR="007856ED">
        <w:t>The hierarchical cluster analysis resulted in the identification of seven major clusters with distinct ion concentrations and ratios.</w:t>
      </w:r>
      <w:r w:rsidR="00140201">
        <w:t xml:space="preserve"> These may then be used as a set of baseline conditions against which to test change in hydrochemistry, potentially linked to well or bore leakage.</w:t>
      </w:r>
    </w:p>
    <w:p w14:paraId="6F756ABB" w14:textId="49A6A196" w:rsidR="00140201" w:rsidRDefault="00140201" w:rsidP="00B23585">
      <w:pPr>
        <w:pStyle w:val="Body"/>
      </w:pPr>
      <w:r>
        <w:t>Another potentially useful approach to detect inter-aquifer leakage during the coal seam gas production phase is the detection of tracers in produced coal seam gas water. If well or bore leakage exists between an overlying aquifer with younger water and a deeper gas reservoir with older groundwater</w:t>
      </w:r>
      <w:r w:rsidR="00DF382A">
        <w:t xml:space="preserve"> (due to the downward hydraulic gradient caused by the depressurisation of the hydrocarbon formation, the water flow will be from the young to old groundwater)</w:t>
      </w:r>
      <w:r>
        <w:t xml:space="preserve">, then tracers specific to the younger groundwater may possibly be detectable in the produced water. This will mainly depend on the degree of dilution that occurs around the coal seam gas well, where a likely very small flux of younger groundwater is mixed with a larger volume of older groundwater, prior to moving up the well as produced water.    </w:t>
      </w:r>
    </w:p>
    <w:p w14:paraId="2C3EEFEB" w14:textId="77777777" w:rsidR="007856ED" w:rsidRDefault="007856ED" w:rsidP="007856ED">
      <w:r>
        <w:rPr>
          <w:noProof/>
        </w:rPr>
        <w:drawing>
          <wp:inline distT="0" distB="0" distL="0" distR="0" wp14:anchorId="227502B9" wp14:editId="7DF639DC">
            <wp:extent cx="6120130" cy="5725160"/>
            <wp:effectExtent l="0" t="0" r="0" b="0"/>
            <wp:docPr id="116" name="Picture 7" descr="Surat Basin base map1 Master_all_aquif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at Basin base map1 Master_all_aquifers.png"/>
                    <pic:cNvPicPr/>
                  </pic:nvPicPr>
                  <pic:blipFill>
                    <a:blip r:embed="rId64" cstate="print"/>
                    <a:stretch>
                      <a:fillRect/>
                    </a:stretch>
                  </pic:blipFill>
                  <pic:spPr>
                    <a:xfrm>
                      <a:off x="0" y="0"/>
                      <a:ext cx="6120130" cy="5725160"/>
                    </a:xfrm>
                    <a:prstGeom prst="rect">
                      <a:avLst/>
                    </a:prstGeom>
                  </pic:spPr>
                </pic:pic>
              </a:graphicData>
            </a:graphic>
          </wp:inline>
        </w:drawing>
      </w:r>
    </w:p>
    <w:p w14:paraId="0586E111" w14:textId="50215737" w:rsidR="007856ED" w:rsidRDefault="007856ED" w:rsidP="007856ED">
      <w:pPr>
        <w:pStyle w:val="Caption"/>
      </w:pPr>
      <w:bookmarkStart w:id="645" w:name="_Ref444439123"/>
      <w:bookmarkStart w:id="646" w:name="_Toc449960954"/>
      <w:bookmarkStart w:id="647" w:name="_Toc508267310"/>
      <w:r>
        <w:t xml:space="preserve">Figure </w:t>
      </w:r>
      <w:r w:rsidR="00296C49">
        <w:fldChar w:fldCharType="begin"/>
      </w:r>
      <w:r w:rsidR="00296C49">
        <w:instrText xml:space="preserve"> STYLEREF 1 \s </w:instrText>
      </w:r>
      <w:r w:rsidR="00296C49">
        <w:fldChar w:fldCharType="separate"/>
      </w:r>
      <w:r w:rsidR="00086147">
        <w:rPr>
          <w:noProof/>
        </w:rPr>
        <w:t>6</w:t>
      </w:r>
      <w:r w:rsidR="00296C49">
        <w:rPr>
          <w:noProof/>
        </w:rPr>
        <w:fldChar w:fldCharType="end"/>
      </w:r>
      <w:r w:rsidR="0014612E">
        <w:noBreakHyphen/>
      </w:r>
      <w:r w:rsidR="00296C49">
        <w:fldChar w:fldCharType="begin"/>
      </w:r>
      <w:r w:rsidR="00296C49">
        <w:instrText xml:space="preserve"> SEQ Figure \* ARABIC \s 1 </w:instrText>
      </w:r>
      <w:r w:rsidR="00296C49">
        <w:fldChar w:fldCharType="separate"/>
      </w:r>
      <w:r w:rsidR="00086147">
        <w:rPr>
          <w:noProof/>
        </w:rPr>
        <w:t>6</w:t>
      </w:r>
      <w:r w:rsidR="00296C49">
        <w:rPr>
          <w:noProof/>
        </w:rPr>
        <w:fldChar w:fldCharType="end"/>
      </w:r>
      <w:bookmarkEnd w:id="645"/>
      <w:r>
        <w:t xml:space="preserve"> Distribution of clusters in the Surat and western Clarence-Moreton basins and simplified surface geology for all aquifers. Major characteristics such as water type and median electrical conductivity and methane concentrations are also shown (Mallants et al. 2016).</w:t>
      </w:r>
      <w:bookmarkEnd w:id="646"/>
      <w:bookmarkEnd w:id="647"/>
    </w:p>
    <w:p w14:paraId="498C73AF" w14:textId="77777777" w:rsidR="007856ED" w:rsidRDefault="007856ED" w:rsidP="00B23585">
      <w:pPr>
        <w:pStyle w:val="Body"/>
      </w:pPr>
    </w:p>
    <w:p w14:paraId="3F122BDF" w14:textId="77777777" w:rsidR="00385CC7" w:rsidRPr="006B17BE" w:rsidRDefault="00385CC7" w:rsidP="00E13E54">
      <w:pPr>
        <w:pStyle w:val="Heading2"/>
      </w:pPr>
      <w:bookmarkStart w:id="648" w:name="_Toc483567974"/>
      <w:r w:rsidRPr="006B17BE">
        <w:t>An outline of a proposed experimental program for monitoring inter-aquifer leakage in the field</w:t>
      </w:r>
      <w:bookmarkEnd w:id="648"/>
    </w:p>
    <w:p w14:paraId="3D286998" w14:textId="6F91C4FF" w:rsidR="00111B62" w:rsidRDefault="00385CC7" w:rsidP="00BF090F">
      <w:pPr>
        <w:pStyle w:val="Body"/>
      </w:pPr>
      <w:r w:rsidRPr="006B17BE">
        <w:t>Throughout the life of a coal seam gas production well, well conditions must be monitored on an on-going basis to ensure integrity of the well and well equipm</w:t>
      </w:r>
      <w:r w:rsidR="006B17BE" w:rsidRPr="006B17BE">
        <w:t xml:space="preserve">ent (DTI, </w:t>
      </w:r>
      <w:r w:rsidRPr="006B17BE">
        <w:t xml:space="preserve">2012). Mechanical integrity and pressure monitoring and evidence of corrosion are used to determine the mechanical integrity of casing and other well equipment during production, well treatment or well intervention and workover operations. Some of these on-going monitoring, such as surface casing annulus pressure monitoring (DNRM 2013) and fugitive gas detection around a well casing (Day et al. 2014) may be used to infer sub-surface leaks that may be induced by or result in inter-aquifer leakage. </w:t>
      </w:r>
      <w:r w:rsidR="00111B62">
        <w:t>The gas detection techniques can also be applied to the post decommissioning phase.</w:t>
      </w:r>
      <w:r w:rsidR="006A5E4F">
        <w:t xml:space="preserve"> A summary of potential well integrity testing methods is provided in Section </w:t>
      </w:r>
      <w:r w:rsidR="006A5E4F">
        <w:fldChar w:fldCharType="begin"/>
      </w:r>
      <w:r w:rsidR="006A5E4F">
        <w:instrText xml:space="preserve"> REF _Ref483901159 \r \h </w:instrText>
      </w:r>
      <w:r w:rsidR="006A5E4F">
        <w:fldChar w:fldCharType="separate"/>
      </w:r>
      <w:r w:rsidR="00086147">
        <w:t>6.3.1</w:t>
      </w:r>
      <w:r w:rsidR="006A5E4F">
        <w:fldChar w:fldCharType="end"/>
      </w:r>
      <w:r w:rsidR="006A5E4F">
        <w:t>.</w:t>
      </w:r>
      <w:r w:rsidR="00A56F3B">
        <w:t xml:space="preserve"> </w:t>
      </w:r>
    </w:p>
    <w:p w14:paraId="7590AC27" w14:textId="2B1EF082" w:rsidR="003A5495" w:rsidRDefault="00421F1C" w:rsidP="00421F1C">
      <w:pPr>
        <w:pStyle w:val="Body"/>
      </w:pPr>
      <w:r>
        <w:t>Groundwater bores are another potential contributor to enhanced interaquifer connectivity due to loss of casing integrity</w:t>
      </w:r>
      <w:r w:rsidR="003A5495">
        <w:t xml:space="preserve"> once the steel casing has reached its usable life</w:t>
      </w:r>
      <w:r>
        <w:t xml:space="preserve">. </w:t>
      </w:r>
      <w:r w:rsidRPr="00E00A18">
        <w:t>Based on the optimistic life time of steel in water bores (i.e. 45 years), it was assumed that water bores constructed prior to 1955 will now have poor integrity, i.e., they have</w:t>
      </w:r>
      <w:r>
        <w:t xml:space="preserve"> </w:t>
      </w:r>
      <w:r w:rsidRPr="00E00A18">
        <w:t>experienced well failure</w:t>
      </w:r>
      <w:r w:rsidR="003A5495" w:rsidRPr="003A5495">
        <w:t xml:space="preserve"> </w:t>
      </w:r>
      <w:r w:rsidR="003A5495">
        <w:t>(</w:t>
      </w:r>
      <w:r w:rsidR="003A5495" w:rsidRPr="00430070">
        <w:t>Commonwealth of Australia</w:t>
      </w:r>
      <w:r w:rsidR="003A5495">
        <w:t xml:space="preserve"> 2013)</w:t>
      </w:r>
      <w:r w:rsidRPr="00E00A18">
        <w:t>. This assumption is based on the fact that prior to 1955 nearly all of the water bores</w:t>
      </w:r>
      <w:r>
        <w:t xml:space="preserve"> </w:t>
      </w:r>
      <w:r w:rsidRPr="00E00A18">
        <w:t>would have been constructed using steel casing. The water bores constructed between 1955 and 1967 were also</w:t>
      </w:r>
      <w:r>
        <w:t xml:space="preserve"> </w:t>
      </w:r>
      <w:r w:rsidRPr="00E00A18">
        <w:t>considered to have poor integrity, i.e., well failure is implied on the basis that the steel casing from prior to</w:t>
      </w:r>
      <w:r>
        <w:t xml:space="preserve"> </w:t>
      </w:r>
      <w:r w:rsidRPr="00E00A18">
        <w:t xml:space="preserve">1968 would be significantly corroded by now. </w:t>
      </w:r>
      <w:r>
        <w:t>Integrity of groundwater production bores has been investigated using borehole geophysical techniques (logging) and groundwater quality analysis</w:t>
      </w:r>
      <w:r w:rsidR="003A5495">
        <w:t xml:space="preserve"> (see Section </w:t>
      </w:r>
      <w:r w:rsidR="003A5495">
        <w:fldChar w:fldCharType="begin"/>
      </w:r>
      <w:r w:rsidR="003A5495">
        <w:instrText xml:space="preserve"> REF _Ref483900996 \r \h </w:instrText>
      </w:r>
      <w:r w:rsidR="003A5495">
        <w:fldChar w:fldCharType="separate"/>
      </w:r>
      <w:r w:rsidR="00086147">
        <w:t>6.3.2</w:t>
      </w:r>
      <w:r w:rsidR="003A5495">
        <w:fldChar w:fldCharType="end"/>
      </w:r>
      <w:r w:rsidR="003A5495">
        <w:t xml:space="preserve"> for further details)</w:t>
      </w:r>
      <w:r>
        <w:t xml:space="preserve">. </w:t>
      </w:r>
    </w:p>
    <w:p w14:paraId="41FC47CF" w14:textId="77777777" w:rsidR="00421F1C" w:rsidRDefault="00421F1C" w:rsidP="00BF090F">
      <w:pPr>
        <w:pStyle w:val="Body"/>
      </w:pPr>
    </w:p>
    <w:p w14:paraId="774AC092" w14:textId="09CAA37E" w:rsidR="003857E0" w:rsidRDefault="003857E0" w:rsidP="003857E0">
      <w:pPr>
        <w:pStyle w:val="Heading3"/>
      </w:pPr>
      <w:bookmarkStart w:id="649" w:name="_Ref483901159"/>
      <w:r>
        <w:t>Coal seam gas well integrity testing</w:t>
      </w:r>
      <w:bookmarkEnd w:id="649"/>
    </w:p>
    <w:p w14:paraId="3729F17D" w14:textId="1411B35C" w:rsidR="00385CC7" w:rsidRPr="006B17BE" w:rsidRDefault="00111B62" w:rsidP="00BF090F">
      <w:pPr>
        <w:pStyle w:val="Body"/>
      </w:pPr>
      <w:r>
        <w:t>The proposed</w:t>
      </w:r>
      <w:r w:rsidR="00385CC7" w:rsidRPr="006B17BE">
        <w:t xml:space="preserve"> field-based experimental program is </w:t>
      </w:r>
      <w:r>
        <w:t xml:space="preserve">suitable </w:t>
      </w:r>
      <w:r w:rsidR="00385CC7" w:rsidRPr="006B17BE">
        <w:t>to monitor the inter-aquifer leakage along a coal seam gas well</w:t>
      </w:r>
      <w:r>
        <w:t xml:space="preserve"> during the entire lifecycle of a well</w:t>
      </w:r>
      <w:r w:rsidR="00385CC7" w:rsidRPr="006B17BE">
        <w:t xml:space="preserve">. </w:t>
      </w:r>
      <w:r w:rsidR="00A56F3B">
        <w:t xml:space="preserve">The list of approaches is not meant to be exhaustive; the techniques discusses are typical examples of current industry practice. </w:t>
      </w:r>
      <w:r w:rsidR="000661C7">
        <w:t xml:space="preserve">A sufficiently large cohort of wells should be selected for the analysis. </w:t>
      </w:r>
      <w:r w:rsidR="00385CC7" w:rsidRPr="006B17BE">
        <w:t xml:space="preserve">The experimental program is proposed </w:t>
      </w:r>
      <w:r>
        <w:t>to comprise four</w:t>
      </w:r>
      <w:r w:rsidR="00385CC7" w:rsidRPr="006B17BE">
        <w:t xml:space="preserve"> </w:t>
      </w:r>
      <w:r w:rsidR="0045364E">
        <w:t>components</w:t>
      </w:r>
      <w:r w:rsidR="00385CC7" w:rsidRPr="006B17BE">
        <w:t xml:space="preserve">, </w:t>
      </w:r>
      <w:r w:rsidR="0045364E">
        <w:t>and focuses on detection of well failure prior to and after well decommissioning</w:t>
      </w:r>
      <w:r w:rsidR="00385CC7" w:rsidRPr="006B17BE">
        <w:t>:</w:t>
      </w:r>
    </w:p>
    <w:p w14:paraId="5F221C54" w14:textId="31129E78" w:rsidR="00385CC7" w:rsidRPr="006B17BE" w:rsidRDefault="00385CC7" w:rsidP="00D67169">
      <w:pPr>
        <w:pStyle w:val="Body"/>
        <w:numPr>
          <w:ilvl w:val="0"/>
          <w:numId w:val="20"/>
        </w:numPr>
      </w:pPr>
      <w:r w:rsidRPr="006B17BE">
        <w:t xml:space="preserve">Desk study. This stage reviews well completions report (including drilling, well cementing and stimulation reports), well logging data and reports, well production performance and on-going surface monitoring data. This desk study is designed to identify candidate wells and provide baseline data for further study in </w:t>
      </w:r>
      <w:r w:rsidR="009865BC" w:rsidRPr="006B17BE">
        <w:t xml:space="preserve">the </w:t>
      </w:r>
      <w:r w:rsidRPr="006B17BE">
        <w:t>next two stages</w:t>
      </w:r>
      <w:r w:rsidR="009865BC" w:rsidRPr="006B17BE">
        <w:t>;</w:t>
      </w:r>
    </w:p>
    <w:p w14:paraId="3AA5AD24" w14:textId="0A55D514" w:rsidR="00385CC7" w:rsidRPr="006B17BE" w:rsidRDefault="00385CC7" w:rsidP="00D67169">
      <w:pPr>
        <w:pStyle w:val="Body"/>
        <w:numPr>
          <w:ilvl w:val="0"/>
          <w:numId w:val="20"/>
        </w:numPr>
        <w:rPr>
          <w:rFonts w:asciiTheme="minorHAnsi" w:hAnsiTheme="minorHAnsi"/>
          <w:szCs w:val="24"/>
        </w:rPr>
      </w:pPr>
      <w:r w:rsidRPr="006B17BE">
        <w:rPr>
          <w:rFonts w:asciiTheme="minorHAnsi" w:hAnsiTheme="minorHAnsi"/>
          <w:szCs w:val="24"/>
        </w:rPr>
        <w:t xml:space="preserve">Cased well logging and inspection. This stage is designed to run wireline sonic and ultrasonic </w:t>
      </w:r>
      <w:r w:rsidRPr="006B17BE">
        <w:t>logging</w:t>
      </w:r>
      <w:r w:rsidRPr="006B17BE">
        <w:rPr>
          <w:rFonts w:asciiTheme="minorHAnsi" w:hAnsiTheme="minorHAnsi"/>
          <w:szCs w:val="24"/>
        </w:rPr>
        <w:t xml:space="preserve"> tools to directly monitor inter-aquifer leakage of the candidate wells. This stage may be separate</w:t>
      </w:r>
      <w:r w:rsidR="009865BC" w:rsidRPr="006B17BE">
        <w:rPr>
          <w:rFonts w:asciiTheme="minorHAnsi" w:hAnsiTheme="minorHAnsi"/>
          <w:szCs w:val="24"/>
        </w:rPr>
        <w:t>d</w:t>
      </w:r>
      <w:r w:rsidRPr="006B17BE">
        <w:rPr>
          <w:rFonts w:asciiTheme="minorHAnsi" w:hAnsiTheme="minorHAnsi"/>
          <w:szCs w:val="24"/>
        </w:rPr>
        <w:t xml:space="preserve"> into several steps to ensure the casing is in good condition prior to more comprehensive cement evaluation tools being run. For example, prior to run</w:t>
      </w:r>
      <w:r w:rsidR="00445717">
        <w:rPr>
          <w:rFonts w:asciiTheme="minorHAnsi" w:hAnsiTheme="minorHAnsi"/>
          <w:szCs w:val="24"/>
        </w:rPr>
        <w:t>ning</w:t>
      </w:r>
      <w:r w:rsidRPr="006B17BE">
        <w:rPr>
          <w:rFonts w:asciiTheme="minorHAnsi" w:hAnsiTheme="minorHAnsi"/>
          <w:szCs w:val="24"/>
        </w:rPr>
        <w:t xml:space="preserve"> sonic and ultrasonic wireline logging tools to evaluate cement sheath and cement bond integrity, the condition of the casing inside surface and casing connections should be measured/inspected by a multifinger caliper and/or a downhole camera. If these measurements/inspection indicate that the casing has good integrity, then, sonic and ultrasonic tools should be run. These logging data will yield conditions for cement sheath and cement bonds with casing and rock formation as well as casing condition. These conditions should then be compared with the similar data obtained in earlier logging runs, including the one during well construction. This comparison could reveal if the well integrity condition deteriorate with time and operation of the well.</w:t>
      </w:r>
    </w:p>
    <w:p w14:paraId="00F003C4" w14:textId="37858A8E" w:rsidR="00385CC7" w:rsidRPr="006B17BE" w:rsidRDefault="00385CC7" w:rsidP="009865BC">
      <w:pPr>
        <w:pStyle w:val="Body"/>
        <w:ind w:left="720"/>
        <w:rPr>
          <w:rFonts w:asciiTheme="minorHAnsi" w:hAnsiTheme="minorHAnsi"/>
          <w:szCs w:val="24"/>
        </w:rPr>
      </w:pPr>
      <w:r w:rsidRPr="006B17BE">
        <w:rPr>
          <w:rFonts w:asciiTheme="minorHAnsi" w:hAnsiTheme="minorHAnsi"/>
          <w:szCs w:val="24"/>
        </w:rPr>
        <w:t xml:space="preserve">Since the cased well logging and inspection is non-destructive, this operation may be performed </w:t>
      </w:r>
      <w:r w:rsidR="0045364E">
        <w:rPr>
          <w:rFonts w:asciiTheme="minorHAnsi" w:hAnsiTheme="minorHAnsi"/>
          <w:szCs w:val="24"/>
        </w:rPr>
        <w:t xml:space="preserve">not only prior to decommissioning, but </w:t>
      </w:r>
      <w:r w:rsidRPr="006B17BE">
        <w:rPr>
          <w:rFonts w:asciiTheme="minorHAnsi" w:hAnsiTheme="minorHAnsi"/>
          <w:szCs w:val="24"/>
        </w:rPr>
        <w:t>multiple times during a well’s life span to evaluate how well integrity change with time. Furthermore, this operation will require all the equipment downhole to be removed, it will need to be scheduled together with other major well operations, such as well workover for replacing the de-water pump.</w:t>
      </w:r>
    </w:p>
    <w:p w14:paraId="12CD26D6" w14:textId="13157E35" w:rsidR="00385CC7" w:rsidRPr="006B17BE" w:rsidRDefault="00385CC7" w:rsidP="00D67169">
      <w:pPr>
        <w:pStyle w:val="Body"/>
        <w:numPr>
          <w:ilvl w:val="0"/>
          <w:numId w:val="20"/>
        </w:numPr>
      </w:pPr>
      <w:r w:rsidRPr="006B17BE">
        <w:t>Vertical interference test and sidewall core sampling and testing. This stage is designed to measure effective well permeability within an aquitard, a direct measurement of the well integrity</w:t>
      </w:r>
      <w:r w:rsidR="0080751F">
        <w:t xml:space="preserve"> (see </w:t>
      </w:r>
      <w:r w:rsidR="0080751F">
        <w:fldChar w:fldCharType="begin"/>
      </w:r>
      <w:r w:rsidR="0080751F">
        <w:instrText xml:space="preserve"> REF _Ref479702021 \h </w:instrText>
      </w:r>
      <w:r w:rsidR="0080751F">
        <w:fldChar w:fldCharType="separate"/>
      </w:r>
      <w:r w:rsidR="00086147">
        <w:t xml:space="preserve">Figure </w:t>
      </w:r>
      <w:r w:rsidR="00086147">
        <w:rPr>
          <w:noProof/>
        </w:rPr>
        <w:t>6</w:t>
      </w:r>
      <w:r w:rsidR="00086147">
        <w:noBreakHyphen/>
      </w:r>
      <w:r w:rsidR="00086147">
        <w:rPr>
          <w:noProof/>
        </w:rPr>
        <w:t>3</w:t>
      </w:r>
      <w:r w:rsidR="0080751F">
        <w:fldChar w:fldCharType="end"/>
      </w:r>
      <w:r w:rsidR="00DD2116">
        <w:t xml:space="preserve"> </w:t>
      </w:r>
      <w:r w:rsidR="0080751F">
        <w:t>for details)</w:t>
      </w:r>
      <w:r w:rsidRPr="006B17BE">
        <w:t xml:space="preserve">. These tests are destructive ones and should be performed on wells that are going to be abandoned or to be used as one of the several wells representative of a field of existing wells. In addition, selection of the test intervals for the vertical interference test should be guided by the result of sonic and ultrasonic logging runnings. Prior to the vertical interference tests, it is proposed that the cased-hole mobility and fluid measurements are taken. These measurements yield a good understanding of the permeability in different materials (cement and formation rock) in the radial direction </w:t>
      </w:r>
      <w:r w:rsidR="009865BC" w:rsidRPr="006B17BE">
        <w:t>behind</w:t>
      </w:r>
      <w:r w:rsidRPr="006B17BE">
        <w:t xml:space="preserve"> the casing as well as provide essential parameters in interpreting the vertical interference test results.</w:t>
      </w:r>
    </w:p>
    <w:p w14:paraId="63578ECC" w14:textId="77777777" w:rsidR="00385CC7" w:rsidRPr="006B17BE" w:rsidRDefault="00385CC7" w:rsidP="009865BC">
      <w:pPr>
        <w:pStyle w:val="Body"/>
        <w:ind w:left="720"/>
      </w:pPr>
      <w:r w:rsidRPr="006B17BE">
        <w:t>Sidewall coring should be performed following the vertical interference testing, and the location for coring should be guided by the sonic and ultrasonic tool runs and the requirement for interpreting the vertical interference tests. The sidewall core samples can be used for examining the cement bonds with the casing and the formation rocks, hole cleaning condition prior to cementing as well as for measurements on physical, mechanical and hydraulic properties and for mineralogical analyses.</w:t>
      </w:r>
    </w:p>
    <w:p w14:paraId="502A9C37" w14:textId="739029D8" w:rsidR="000661C7" w:rsidRDefault="000661C7" w:rsidP="0045364E">
      <w:pPr>
        <w:pStyle w:val="Body"/>
        <w:numPr>
          <w:ilvl w:val="0"/>
          <w:numId w:val="20"/>
        </w:numPr>
      </w:pPr>
      <w:r>
        <w:t>Provided baseline groundwater hydrochemistry knowledge is available, s</w:t>
      </w:r>
      <w:r w:rsidRPr="0045364E">
        <w:t>ampling of groundwater hydrochemistry, tracers and contaminants in the produced water to assess any inter-aquifer leakage.</w:t>
      </w:r>
      <w:r w:rsidR="00045A89">
        <w:t xml:space="preserve"> To ensure detectability of leakage against spatially and temporally variable background chemical conditions, specific tracers may need to be used whose concentrations would be present only (or in much larger concentrations) in groundwater infiltrating a hydrocarbon reservoir. </w:t>
      </w:r>
    </w:p>
    <w:p w14:paraId="27C66013" w14:textId="115A0653" w:rsidR="005C6167" w:rsidRDefault="000661C7" w:rsidP="005C6167">
      <w:pPr>
        <w:pStyle w:val="Body"/>
        <w:numPr>
          <w:ilvl w:val="0"/>
          <w:numId w:val="20"/>
        </w:numPr>
      </w:pPr>
      <w:r>
        <w:t xml:space="preserve">Post decommissioning: </w:t>
      </w:r>
      <w:r w:rsidR="0045364E">
        <w:t xml:space="preserve">Provided groundwater bores or monitoring wells are available within the hydrocarbon reservoir, sampling of groundwater </w:t>
      </w:r>
      <w:r w:rsidR="0045364E" w:rsidRPr="0045364E">
        <w:t>hydrochemistry, tracers and contaminants</w:t>
      </w:r>
      <w:r w:rsidR="0045364E">
        <w:t xml:space="preserve"> to detect any deviation from the baseline. </w:t>
      </w:r>
      <w:r w:rsidR="005C6167">
        <w:t xml:space="preserve">Forensic analyses can be used </w:t>
      </w:r>
      <w:r w:rsidR="005C6167" w:rsidRPr="005C6167">
        <w:rPr>
          <w:rFonts w:eastAsiaTheme="minorHAnsi"/>
          <w:color w:val="auto"/>
          <w:lang w:eastAsia="en-US"/>
        </w:rPr>
        <w:t>to identify causes for any changes to the baseline information</w:t>
      </w:r>
      <w:r w:rsidR="005C6167">
        <w:rPr>
          <w:rFonts w:eastAsiaTheme="minorHAnsi"/>
          <w:color w:val="auto"/>
          <w:lang w:eastAsia="en-US"/>
        </w:rPr>
        <w:t xml:space="preserve">. A well-known example is </w:t>
      </w:r>
      <w:r w:rsidR="005C6167" w:rsidRPr="005C6167">
        <w:rPr>
          <w:rFonts w:eastAsiaTheme="minorHAnsi"/>
          <w:color w:val="auto"/>
          <w:lang w:eastAsia="en-US"/>
        </w:rPr>
        <w:t xml:space="preserve">the identification of distinguishing features of the different possible sources of methane. Different types of analytical methods can be used to help determine if methane gas is of biogenic or thermogenic origin, or a mixture of the two. The analytical methods used to differentiate between the two types of methane are summarized in Kaplan et al. (1997). </w:t>
      </w:r>
      <w:r w:rsidR="005C6167">
        <w:rPr>
          <w:rFonts w:eastAsiaTheme="minorHAnsi"/>
          <w:color w:val="auto"/>
          <w:lang w:eastAsia="en-US"/>
        </w:rPr>
        <w:t>In s</w:t>
      </w:r>
      <w:r w:rsidR="005C6167" w:rsidRPr="005C6167">
        <w:rPr>
          <w:rFonts w:eastAsiaTheme="minorHAnsi"/>
          <w:color w:val="auto"/>
          <w:lang w:eastAsia="en-US"/>
        </w:rPr>
        <w:t xml:space="preserve">ome publications </w:t>
      </w:r>
      <w:r w:rsidR="005C6167">
        <w:rPr>
          <w:rFonts w:eastAsiaTheme="minorHAnsi"/>
          <w:color w:val="auto"/>
          <w:lang w:eastAsia="en-US"/>
        </w:rPr>
        <w:t xml:space="preserve">this is </w:t>
      </w:r>
      <w:r w:rsidR="005C6167" w:rsidRPr="005C6167">
        <w:rPr>
          <w:rFonts w:eastAsiaTheme="minorHAnsi"/>
          <w:color w:val="auto"/>
          <w:lang w:eastAsia="en-US"/>
        </w:rPr>
        <w:t>refer</w:t>
      </w:r>
      <w:r w:rsidR="005C6167">
        <w:rPr>
          <w:rFonts w:eastAsiaTheme="minorHAnsi"/>
          <w:color w:val="auto"/>
          <w:lang w:eastAsia="en-US"/>
        </w:rPr>
        <w:t>red</w:t>
      </w:r>
      <w:r w:rsidR="005C6167" w:rsidRPr="005C6167">
        <w:rPr>
          <w:rFonts w:eastAsiaTheme="minorHAnsi"/>
          <w:color w:val="auto"/>
          <w:lang w:eastAsia="en-US"/>
        </w:rPr>
        <w:t xml:space="preserve"> to as ‘fingerprinting’ (Coleman, 1989; Tilley and Muelenbachs, 2012).</w:t>
      </w:r>
    </w:p>
    <w:p w14:paraId="122068AC" w14:textId="24512CFE" w:rsidR="0045364E" w:rsidRPr="0045364E" w:rsidRDefault="0045364E" w:rsidP="0080751F">
      <w:pPr>
        <w:pStyle w:val="Body"/>
        <w:numPr>
          <w:ilvl w:val="0"/>
          <w:numId w:val="20"/>
        </w:numPr>
      </w:pPr>
      <w:r>
        <w:t>Undertake fugitive gas emission measurements in the vicinity of the well head using the gas flux chamber method.</w:t>
      </w:r>
      <w:r w:rsidR="000661C7">
        <w:t xml:space="preserve"> </w:t>
      </w:r>
    </w:p>
    <w:p w14:paraId="0E6FEFAF" w14:textId="49D2B0B4" w:rsidR="003857E0" w:rsidRDefault="003857E0" w:rsidP="003857E0">
      <w:pPr>
        <w:pStyle w:val="Heading3"/>
      </w:pPr>
      <w:bookmarkStart w:id="650" w:name="_Ref483900996"/>
      <w:r>
        <w:t>Water bore casing integrity testing</w:t>
      </w:r>
      <w:bookmarkEnd w:id="650"/>
    </w:p>
    <w:p w14:paraId="11268D78" w14:textId="4466DC4B" w:rsidR="00CC61EC" w:rsidRDefault="00CC61EC" w:rsidP="00CC61EC">
      <w:pPr>
        <w:pStyle w:val="Body"/>
      </w:pPr>
      <w:r>
        <w:t xml:space="preserve">In the US, </w:t>
      </w:r>
      <w:r w:rsidRPr="00D17E8A">
        <w:t>borehole geophysical log</w:t>
      </w:r>
      <w:r>
        <w:t xml:space="preserve">s </w:t>
      </w:r>
      <w:r w:rsidR="004B7567">
        <w:t>have been</w:t>
      </w:r>
      <w:r>
        <w:t xml:space="preserve"> combined with groundwater quality analysis to detect if water bores </w:t>
      </w:r>
      <w:r w:rsidRPr="00D17E8A">
        <w:t xml:space="preserve">could have </w:t>
      </w:r>
      <w:r>
        <w:t xml:space="preserve">enhanced </w:t>
      </w:r>
      <w:r w:rsidRPr="00D17E8A">
        <w:t>vertical connect</w:t>
      </w:r>
      <w:r>
        <w:t>ivity between a shallow alluvial aquifer and several underlying confined aquifers (USGS 1997). The aim of the g</w:t>
      </w:r>
      <w:r w:rsidRPr="00D17E8A">
        <w:t xml:space="preserve">eophysical logging </w:t>
      </w:r>
      <w:r>
        <w:t xml:space="preserve">was to find evidence of </w:t>
      </w:r>
      <w:r w:rsidRPr="00D17E8A">
        <w:t>breaks or gaps in the well casings and cement around the casings</w:t>
      </w:r>
      <w:r>
        <w:t xml:space="preserve">. </w:t>
      </w:r>
      <w:r w:rsidR="004B7567">
        <w:t>The geophysical investigations were supplemented with analysis of wat</w:t>
      </w:r>
      <w:r w:rsidRPr="00333B4F">
        <w:t>er quality parameters</w:t>
      </w:r>
      <w:r w:rsidR="004B7567">
        <w:t>:</w:t>
      </w:r>
      <w:r w:rsidRPr="00333B4F">
        <w:t xml:space="preserve"> </w:t>
      </w:r>
      <w:r w:rsidR="004B7567">
        <w:t>volatile organic compounds (VOCs)</w:t>
      </w:r>
      <w:r w:rsidRPr="00333B4F">
        <w:t xml:space="preserve">, </w:t>
      </w:r>
      <w:r w:rsidR="004B7567">
        <w:t>semivolatile compounds (SVOCs)</w:t>
      </w:r>
      <w:r w:rsidRPr="00333B4F">
        <w:t xml:space="preserve">, pesticides, </w:t>
      </w:r>
      <w:r w:rsidR="004B7567" w:rsidRPr="004B7567">
        <w:t>polychlorinated biphenyl</w:t>
      </w:r>
      <w:r w:rsidR="004B7567">
        <w:t xml:space="preserve"> (</w:t>
      </w:r>
      <w:r w:rsidRPr="00333B4F">
        <w:t>PCBs</w:t>
      </w:r>
      <w:r w:rsidR="004B7567">
        <w:t>)</w:t>
      </w:r>
      <w:r w:rsidRPr="00333B4F">
        <w:t xml:space="preserve">, </w:t>
      </w:r>
      <w:r w:rsidR="004B7567">
        <w:t>total petroleum hydrocarbons (</w:t>
      </w:r>
      <w:r w:rsidRPr="00333B4F">
        <w:t>TPHs</w:t>
      </w:r>
      <w:r w:rsidR="004B7567">
        <w:t>)</w:t>
      </w:r>
      <w:r w:rsidRPr="00333B4F">
        <w:t>, trace elements, major ions, cyanide, and physical properties</w:t>
      </w:r>
      <w:r w:rsidR="004B7567">
        <w:t>.</w:t>
      </w:r>
    </w:p>
    <w:p w14:paraId="0F0DF69C" w14:textId="2DC6E06F" w:rsidR="00CC61EC" w:rsidRDefault="00CC61EC" w:rsidP="00CC61EC">
      <w:pPr>
        <w:pStyle w:val="Body"/>
      </w:pPr>
      <w:r>
        <w:t>In Australia, DERM (2011) identified that all areas of groundwater monitoring would benefit from an assessment of the integrity of the water bores to ensure that the data gathered is reflective of the aquifer status. The recommended operational instrumentation would be a down-hole video inspection camera.</w:t>
      </w:r>
    </w:p>
    <w:p w14:paraId="32D1C9D3" w14:textId="485C7D01" w:rsidR="003857E0" w:rsidRDefault="004B7567" w:rsidP="004B7567">
      <w:pPr>
        <w:pStyle w:val="Body"/>
      </w:pPr>
      <w:r>
        <w:t>GHD (2010) provide a comprehensive overview of techniques to assess g</w:t>
      </w:r>
      <w:r w:rsidRPr="004B7567">
        <w:t>roundwater bore deterioration</w:t>
      </w:r>
      <w:r>
        <w:t xml:space="preserve">. Three classes of bore condition assessment techniques are discussed: </w:t>
      </w:r>
    </w:p>
    <w:p w14:paraId="246EC3DB" w14:textId="0213C5E6" w:rsidR="004B7567" w:rsidRDefault="004B7567" w:rsidP="004B7567">
      <w:pPr>
        <w:pStyle w:val="Body"/>
        <w:numPr>
          <w:ilvl w:val="0"/>
          <w:numId w:val="44"/>
        </w:numPr>
      </w:pPr>
      <w:r>
        <w:t>Geophysical techniques</w:t>
      </w:r>
      <w:r w:rsidR="008143B0">
        <w:t xml:space="preserve"> for casing assessment include downhole camera, </w:t>
      </w:r>
      <w:r w:rsidR="00B678C3">
        <w:t xml:space="preserve">caliper log, microflow log, casing collar locator, termperature and conductivity logs, specialised (oilfields) tools, and lithological tools. </w:t>
      </w:r>
      <w:r w:rsidR="008143B0">
        <w:t xml:space="preserve"> </w:t>
      </w:r>
    </w:p>
    <w:p w14:paraId="1F345E0A" w14:textId="55396AA5" w:rsidR="004B7567" w:rsidRDefault="004B7567" w:rsidP="004B7567">
      <w:pPr>
        <w:pStyle w:val="Body"/>
        <w:numPr>
          <w:ilvl w:val="0"/>
          <w:numId w:val="44"/>
        </w:numPr>
      </w:pPr>
      <w:r>
        <w:t>Physical testing</w:t>
      </w:r>
      <w:r w:rsidR="00B678C3">
        <w:t xml:space="preserve"> such as pumping tests. </w:t>
      </w:r>
    </w:p>
    <w:p w14:paraId="5A76E8FE" w14:textId="5A8590A5" w:rsidR="004B7567" w:rsidRPr="003857E0" w:rsidRDefault="004B7567" w:rsidP="004B7567">
      <w:pPr>
        <w:pStyle w:val="Body"/>
        <w:numPr>
          <w:ilvl w:val="0"/>
          <w:numId w:val="44"/>
        </w:numPr>
      </w:pPr>
      <w:r>
        <w:t>Water quality monitoring</w:t>
      </w:r>
      <w:r w:rsidR="00B678C3">
        <w:t xml:space="preserve"> involving analysis of groundwater and solid samples.</w:t>
      </w:r>
    </w:p>
    <w:p w14:paraId="0CC0EF59" w14:textId="60A1FD2A" w:rsidR="00686DF3" w:rsidRPr="006B17BE" w:rsidRDefault="00686DF3" w:rsidP="00686DF3">
      <w:pPr>
        <w:rPr>
          <w:rFonts w:asciiTheme="minorHAnsi" w:hAnsiTheme="minorHAnsi"/>
          <w:sz w:val="24"/>
          <w:szCs w:val="24"/>
        </w:rPr>
      </w:pPr>
    </w:p>
    <w:p w14:paraId="357D4F3F" w14:textId="77777777" w:rsidR="00F24FC6" w:rsidRPr="006B17BE" w:rsidRDefault="00F24FC6">
      <w:pPr>
        <w:pStyle w:val="Heading1"/>
      </w:pPr>
      <w:bookmarkStart w:id="651" w:name="_Toc483567975"/>
      <w:r w:rsidRPr="006B17BE">
        <w:t>Conclusions</w:t>
      </w:r>
      <w:bookmarkEnd w:id="651"/>
    </w:p>
    <w:p w14:paraId="55BA69CF" w14:textId="6C1121D8" w:rsidR="00824F31" w:rsidRPr="006B17BE" w:rsidRDefault="004355D7" w:rsidP="004355D7">
      <w:pPr>
        <w:pStyle w:val="Body"/>
      </w:pPr>
      <w:r w:rsidRPr="006B17BE">
        <w:t>The potential effect of leaky coal seam gas wells and open boreholes (e.g. coal exploration bores) on enhanced inter</w:t>
      </w:r>
      <w:r w:rsidR="005F3468" w:rsidRPr="006B17BE">
        <w:t>-</w:t>
      </w:r>
      <w:r w:rsidRPr="006B17BE">
        <w:t xml:space="preserve">aquifer connectivity and subsequent impact on the groundwater balance (i.e. groundwater heads) and groundwater quality </w:t>
      </w:r>
      <w:r w:rsidR="00CC29FE">
        <w:t xml:space="preserve">(i.e. salinity) </w:t>
      </w:r>
      <w:r w:rsidRPr="006B17BE">
        <w:t xml:space="preserve">was investigated </w:t>
      </w:r>
      <w:r w:rsidR="00C2761E">
        <w:t>with</w:t>
      </w:r>
      <w:r w:rsidRPr="006B17BE">
        <w:t xml:space="preserve"> simulation models.</w:t>
      </w:r>
      <w:r w:rsidR="00824F31" w:rsidRPr="006B17BE">
        <w:t xml:space="preserve"> The analysis of potential impacts on groundwater heads was undertaken with a focus on regional-scale impacts, while the impact on groundwater quality involved a local-scale analysis considering a single leaky well or open borehole.</w:t>
      </w:r>
    </w:p>
    <w:p w14:paraId="7B976B41" w14:textId="7EE491FC" w:rsidR="005F3468" w:rsidRPr="006B17BE" w:rsidRDefault="00F031BD" w:rsidP="005F3468">
      <w:pPr>
        <w:pStyle w:val="Body"/>
      </w:pPr>
      <w:r w:rsidRPr="006B17BE">
        <w:t>A</w:t>
      </w:r>
      <w:r w:rsidR="005F3468" w:rsidRPr="006B17BE">
        <w:t xml:space="preserve"> </w:t>
      </w:r>
      <w:r w:rsidR="00C2761E">
        <w:t xml:space="preserve">simplified </w:t>
      </w:r>
      <w:r w:rsidR="005F3468" w:rsidRPr="006B17BE">
        <w:t xml:space="preserve">3D numerical groundwater flow model </w:t>
      </w:r>
      <w:r w:rsidRPr="006B17BE">
        <w:t xml:space="preserve">was developed </w:t>
      </w:r>
      <w:r w:rsidR="005F3468" w:rsidRPr="006B17BE">
        <w:t xml:space="preserve">for a </w:t>
      </w:r>
      <w:r w:rsidR="00CC29FE">
        <w:t>195×151 km</w:t>
      </w:r>
      <w:r w:rsidR="00CC29FE" w:rsidRPr="00CC29FE">
        <w:rPr>
          <w:vertAlign w:val="superscript"/>
        </w:rPr>
        <w:t>2</w:t>
      </w:r>
      <w:r w:rsidR="00CC29FE">
        <w:t xml:space="preserve"> s</w:t>
      </w:r>
      <w:r w:rsidR="005F3468" w:rsidRPr="006B17BE">
        <w:t xml:space="preserve">tudy area in the Gunnedah Basin, </w:t>
      </w:r>
      <w:r w:rsidR="008A3274" w:rsidRPr="006B17BE">
        <w:t>NSW, which included the following sequence</w:t>
      </w:r>
      <w:r w:rsidR="00CC29FE">
        <w:t xml:space="preserve"> of five model layers</w:t>
      </w:r>
      <w:r w:rsidRPr="006B17BE">
        <w:t>:</w:t>
      </w:r>
      <w:r w:rsidR="008A3274" w:rsidRPr="006B17BE">
        <w:t xml:space="preserve"> aquifer-aquitard-coal seam gas reservoir-aquitard-coal seam gas reservoir</w:t>
      </w:r>
      <w:r w:rsidRPr="006B17BE">
        <w:t>.</w:t>
      </w:r>
      <w:r w:rsidR="008A3274" w:rsidRPr="006B17BE">
        <w:t xml:space="preserve"> </w:t>
      </w:r>
      <w:r w:rsidR="00406BF6">
        <w:t xml:space="preserve">It was designed to test worst case scenario of potential impacts of leakage between aquifers. </w:t>
      </w:r>
      <w:r w:rsidR="00CC29FE">
        <w:t>The</w:t>
      </w:r>
      <w:r w:rsidR="00401491">
        <w:t xml:space="preserve"> leak rate for gas wells at 425</w:t>
      </w:r>
      <w:r w:rsidR="00CC29FE">
        <w:t xml:space="preserve"> </w:t>
      </w:r>
      <w:r w:rsidR="00401491">
        <w:t xml:space="preserve">locations in the model was varied from 0 to 100%. Leakage was assumed to occur only after cessation of the gas production period, and involved water flow through the partially degraded well annulus which increased the effective hydraulic conductivity of the well to a value of </w:t>
      </w:r>
      <w:r w:rsidR="00401491" w:rsidRPr="006B17BE">
        <w:t>approx</w:t>
      </w:r>
      <w:r w:rsidR="00401491">
        <w:t>imately</w:t>
      </w:r>
      <w:r w:rsidR="00401491" w:rsidRPr="006B17BE">
        <w:t xml:space="preserve"> 0.813 m/d</w:t>
      </w:r>
      <w:r w:rsidR="00401491">
        <w:t>.</w:t>
      </w:r>
      <w:r w:rsidR="00401491" w:rsidRPr="006B17BE">
        <w:t xml:space="preserve"> </w:t>
      </w:r>
      <w:r w:rsidR="00401491">
        <w:t xml:space="preserve">Simulations across all </w:t>
      </w:r>
      <w:r w:rsidR="00DC1144">
        <w:t xml:space="preserve">failure </w:t>
      </w:r>
      <w:r w:rsidR="00401491">
        <w:t>rates demonstrated i</w:t>
      </w:r>
      <w:r w:rsidR="005F3468" w:rsidRPr="006B17BE">
        <w:t xml:space="preserve">nter-aquifer connectivity does not appear to be materially enhanced by the presence of </w:t>
      </w:r>
      <w:r w:rsidR="00401491">
        <w:t xml:space="preserve">such </w:t>
      </w:r>
      <w:r w:rsidR="005F3468" w:rsidRPr="006B17BE">
        <w:t>“leaky wells” in a coal seam gas well field. This is confirmed by negligible additional head decreases in the aquifer and by a robust aquitard effective flux that is relatively insensitive to various failure rates. This agrees with the findings of Doble et al.</w:t>
      </w:r>
      <w:r w:rsidR="005F3468" w:rsidRPr="006B17BE">
        <w:rPr>
          <w:i/>
          <w:noProof/>
        </w:rPr>
        <w:t xml:space="preserve"> </w:t>
      </w:r>
      <w:r w:rsidR="005F3468" w:rsidRPr="006B17BE">
        <w:fldChar w:fldCharType="begin" w:fldLock="1"/>
      </w:r>
      <w:r w:rsidR="005F3468" w:rsidRPr="006B17BE">
        <w:instrText>ADDIN CSL_CITATION { "citationItems" : [ { "id" : "ITEM-1", "itemData" : { "author" : [ { "dropping-particle" : "", "family" : "Doble", "given" : "Rebecca", "non-dropping-particle" : "", "parse-names" : false, "suffix" : "" }, { "dropping-particle" : "", "family" : "Mccallum", "given" : "Jim", "non-dropping-particle" : "", "parse-names" : false, "suffix" : "" }, { "dropping-particle" : "", "family" : "Turnadge", "given" : "Chris", "non-dropping-particle" : "", "parse-names" : false, "suffix" : "" }, { "dropping-particle" : "", "family" : "Peeters", "given" : "Luk", "non-dropping-particle" : "", "parse-names" : false, "suffix" : "" }, { "dropping-particle" : "", "family" : "Wu", "given" : "Bailin", "non-dropping-particle" : "", "parse-names" : false, "suffix" : "" }, { "dropping-particle" : "", "family" : "Mallants", "given" : "Dirk", "non-dropping-particle" : "", "parse-names" : false, "suffix" : "" } ], "id" : "ITEM-1", "issued" : { "date-parts" : [ [ "2016" ] ] }, "number-of-pages" : "36", "publisher-place" : "Canberra, ACT", "title" : "Modelling inter-aquifer leakage associated with well integrity failure", "type" : "report" }, "uris" : [ "http://www.mendeley.com/documents/?uuid=465a006c-104b-463c-aa31-beda12ad2510" ] } ], "mendeley" : { "formattedCitation" : "(Doble &lt;i&gt;et al.&lt;/i&gt;, 2016)", "manualFormatting" : "(2016)", "plainTextFormattedCitation" : "(Doble et al., 2016)", "previouslyFormattedCitation" : "(Doble &lt;i&gt;et al.&lt;/i&gt;, 2016)" }, "properties" : { "noteIndex" : 0 }, "schema" : "https://github.com/citation-style-language/schema/raw/master/csl-citation.json" }</w:instrText>
      </w:r>
      <w:r w:rsidR="005F3468" w:rsidRPr="006B17BE">
        <w:fldChar w:fldCharType="separate"/>
      </w:r>
      <w:r w:rsidR="005F3468" w:rsidRPr="006B17BE">
        <w:rPr>
          <w:noProof/>
        </w:rPr>
        <w:t>(201</w:t>
      </w:r>
      <w:r w:rsidR="00F250ED">
        <w:rPr>
          <w:noProof/>
        </w:rPr>
        <w:t>8</w:t>
      </w:r>
      <w:r w:rsidR="005F3468" w:rsidRPr="006B17BE">
        <w:rPr>
          <w:noProof/>
        </w:rPr>
        <w:t>)</w:t>
      </w:r>
      <w:r w:rsidR="005F3468" w:rsidRPr="006B17BE">
        <w:fldChar w:fldCharType="end"/>
      </w:r>
      <w:r w:rsidR="005F3468" w:rsidRPr="006B17BE">
        <w:t xml:space="preserve"> for an individual leaky well case (i.e. partially leaky well), which showed that the inter-aquifer leakage was primarily controlled by the effective well conductivity (i.e., the flow rate within a connected well). In all scenarios tested here the effective well conductivity of the leaky well was relatively low (approx. 0.813 m/d). The impact of a higher effective well conductivity will </w:t>
      </w:r>
      <w:r w:rsidR="00401491">
        <w:t>only minimally increase the effect</w:t>
      </w:r>
      <w:r w:rsidR="005F3468" w:rsidRPr="006B17BE">
        <w:t xml:space="preserve"> on the regional groundwater flow system, </w:t>
      </w:r>
      <w:r w:rsidR="00401491">
        <w:t xml:space="preserve">as bounding simulations </w:t>
      </w:r>
      <w:r w:rsidR="005F3468" w:rsidRPr="006B17BE">
        <w:t xml:space="preserve">with </w:t>
      </w:r>
      <w:r w:rsidR="00401491">
        <w:t xml:space="preserve">fully open boreholes demonstrated (see further). </w:t>
      </w:r>
    </w:p>
    <w:p w14:paraId="15588C75" w14:textId="5B347D9D" w:rsidR="005F3468" w:rsidRPr="006B17BE" w:rsidRDefault="00401491" w:rsidP="005F3468">
      <w:pPr>
        <w:pStyle w:val="Body"/>
        <w:rPr>
          <w:rFonts w:asciiTheme="minorHAnsi" w:hAnsiTheme="minorHAnsi"/>
          <w:szCs w:val="24"/>
        </w:rPr>
      </w:pPr>
      <w:r>
        <w:rPr>
          <w:rFonts w:asciiTheme="minorHAnsi" w:hAnsiTheme="minorHAnsi"/>
          <w:szCs w:val="24"/>
        </w:rPr>
        <w:t xml:space="preserve">Simulations with </w:t>
      </w:r>
      <w:r w:rsidRPr="006B17BE">
        <w:rPr>
          <w:rFonts w:asciiTheme="minorHAnsi" w:hAnsiTheme="minorHAnsi"/>
          <w:szCs w:val="24"/>
        </w:rPr>
        <w:t xml:space="preserve">open bores (e.g. coal exploration bores) </w:t>
      </w:r>
      <w:r w:rsidR="00BF21AA">
        <w:rPr>
          <w:rFonts w:asciiTheme="minorHAnsi" w:hAnsiTheme="minorHAnsi"/>
          <w:szCs w:val="24"/>
        </w:rPr>
        <w:t xml:space="preserve">that have no restriction to groundwater flow (i.e. the effective hydraulic conductivity of the borehole is extremely large in the model) </w:t>
      </w:r>
      <w:r>
        <w:rPr>
          <w:rFonts w:asciiTheme="minorHAnsi" w:hAnsiTheme="minorHAnsi"/>
          <w:szCs w:val="24"/>
        </w:rPr>
        <w:t>demonstrated t</w:t>
      </w:r>
      <w:r w:rsidR="005F3468" w:rsidRPr="006B17BE">
        <w:rPr>
          <w:rFonts w:asciiTheme="minorHAnsi" w:hAnsiTheme="minorHAnsi"/>
          <w:szCs w:val="24"/>
        </w:rPr>
        <w:t xml:space="preserve">he influence on regional scale inter-aquifer leakage is </w:t>
      </w:r>
      <w:r w:rsidR="00B110FD">
        <w:rPr>
          <w:rFonts w:asciiTheme="minorHAnsi" w:hAnsiTheme="minorHAnsi"/>
          <w:szCs w:val="24"/>
        </w:rPr>
        <w:t>observable</w:t>
      </w:r>
      <w:r w:rsidR="005F3468" w:rsidRPr="006B17BE">
        <w:rPr>
          <w:rFonts w:asciiTheme="minorHAnsi" w:hAnsiTheme="minorHAnsi"/>
          <w:szCs w:val="24"/>
        </w:rPr>
        <w:t xml:space="preserve"> by comparison to the leaky well scenarios</w:t>
      </w:r>
      <w:r w:rsidR="008A3274" w:rsidRPr="006B17BE">
        <w:rPr>
          <w:rFonts w:asciiTheme="minorHAnsi" w:hAnsiTheme="minorHAnsi"/>
          <w:szCs w:val="24"/>
        </w:rPr>
        <w:t>, but only in the area immediately overlying the gas extraction area</w:t>
      </w:r>
      <w:r w:rsidR="005F3468" w:rsidRPr="006B17BE">
        <w:rPr>
          <w:rFonts w:asciiTheme="minorHAnsi" w:hAnsiTheme="minorHAnsi"/>
          <w:szCs w:val="24"/>
        </w:rPr>
        <w:t xml:space="preserve">. </w:t>
      </w:r>
      <w:r w:rsidR="008A3274" w:rsidRPr="006B17BE">
        <w:rPr>
          <w:rFonts w:asciiTheme="minorHAnsi" w:hAnsiTheme="minorHAnsi"/>
          <w:szCs w:val="24"/>
        </w:rPr>
        <w:t xml:space="preserve">At such locations, the additional drawdown in the groundwater aquifer is at most 2 m for a 5% failure rate for an open borehole. Additional drawdowns for </w:t>
      </w:r>
      <w:r>
        <w:rPr>
          <w:rFonts w:asciiTheme="minorHAnsi" w:hAnsiTheme="minorHAnsi"/>
          <w:szCs w:val="24"/>
        </w:rPr>
        <w:t xml:space="preserve">smaller </w:t>
      </w:r>
      <w:r w:rsidR="008A3274" w:rsidRPr="006B17BE">
        <w:rPr>
          <w:rFonts w:asciiTheme="minorHAnsi" w:hAnsiTheme="minorHAnsi"/>
          <w:szCs w:val="24"/>
        </w:rPr>
        <w:t xml:space="preserve">failure rates of 1 and 2% are </w:t>
      </w:r>
      <w:r w:rsidR="00F031BD" w:rsidRPr="006B17BE">
        <w:rPr>
          <w:rFonts w:asciiTheme="minorHAnsi" w:hAnsiTheme="minorHAnsi"/>
          <w:szCs w:val="24"/>
        </w:rPr>
        <w:t>close to zero and 1 m, respectively. At observation points approximately 10 km away from the gas extraction area, the additional drawdown is negligible</w:t>
      </w:r>
      <w:r>
        <w:rPr>
          <w:rFonts w:asciiTheme="minorHAnsi" w:hAnsiTheme="minorHAnsi"/>
          <w:szCs w:val="24"/>
        </w:rPr>
        <w:t xml:space="preserve"> (for 1, 2, and 5% failure rate)</w:t>
      </w:r>
      <w:r w:rsidR="00F031BD" w:rsidRPr="006B17BE">
        <w:rPr>
          <w:rFonts w:asciiTheme="minorHAnsi" w:hAnsiTheme="minorHAnsi"/>
          <w:szCs w:val="24"/>
        </w:rPr>
        <w:t xml:space="preserve">. </w:t>
      </w:r>
      <w:r w:rsidR="005F3468" w:rsidRPr="006B17BE">
        <w:rPr>
          <w:rFonts w:asciiTheme="minorHAnsi" w:hAnsiTheme="minorHAnsi"/>
          <w:szCs w:val="24"/>
        </w:rPr>
        <w:t>Open bores clearly form preferential flow path</w:t>
      </w:r>
      <w:r>
        <w:rPr>
          <w:rFonts w:asciiTheme="minorHAnsi" w:hAnsiTheme="minorHAnsi"/>
          <w:szCs w:val="24"/>
        </w:rPr>
        <w:t>way</w:t>
      </w:r>
      <w:r w:rsidR="005F3468" w:rsidRPr="006B17BE">
        <w:rPr>
          <w:rFonts w:asciiTheme="minorHAnsi" w:hAnsiTheme="minorHAnsi"/>
          <w:szCs w:val="24"/>
        </w:rPr>
        <w:t xml:space="preserve">s, which when located in proximity to an active well field will have a significant impact on the groundwater response. In particular, open </w:t>
      </w:r>
      <w:r w:rsidR="008A3274" w:rsidRPr="006B17BE">
        <w:rPr>
          <w:rFonts w:asciiTheme="minorHAnsi" w:hAnsiTheme="minorHAnsi"/>
          <w:szCs w:val="24"/>
        </w:rPr>
        <w:t>bores</w:t>
      </w:r>
      <w:r w:rsidR="005F3468" w:rsidRPr="006B17BE">
        <w:rPr>
          <w:rFonts w:asciiTheme="minorHAnsi" w:hAnsiTheme="minorHAnsi"/>
          <w:szCs w:val="24"/>
        </w:rPr>
        <w:t xml:space="preserve"> enhance the drawdown in the top aquifer by enabling water to replenish those layer</w:t>
      </w:r>
      <w:r w:rsidR="00DB69BE">
        <w:rPr>
          <w:rFonts w:asciiTheme="minorHAnsi" w:hAnsiTheme="minorHAnsi"/>
          <w:szCs w:val="24"/>
        </w:rPr>
        <w:t>s</w:t>
      </w:r>
      <w:r w:rsidR="005F3468" w:rsidRPr="006B17BE">
        <w:rPr>
          <w:rFonts w:asciiTheme="minorHAnsi" w:hAnsiTheme="minorHAnsi"/>
          <w:szCs w:val="24"/>
        </w:rPr>
        <w:t xml:space="preserve"> depressurised by pumping. In hydrogeological systems where a vertical gradient exists between geologic layers, such open </w:t>
      </w:r>
      <w:r w:rsidR="008A3274" w:rsidRPr="006B17BE">
        <w:rPr>
          <w:rFonts w:asciiTheme="minorHAnsi" w:hAnsiTheme="minorHAnsi"/>
          <w:szCs w:val="24"/>
        </w:rPr>
        <w:t>bores</w:t>
      </w:r>
      <w:r w:rsidR="005F3468" w:rsidRPr="006B17BE">
        <w:rPr>
          <w:rFonts w:asciiTheme="minorHAnsi" w:hAnsiTheme="minorHAnsi"/>
          <w:szCs w:val="24"/>
        </w:rPr>
        <w:t xml:space="preserve"> will have a similar impact (leakage between layers) in the absence of pumping induced drawdown. </w:t>
      </w:r>
    </w:p>
    <w:p w14:paraId="060A656B" w14:textId="282C7EC2" w:rsidR="00F031BD" w:rsidRPr="006B17BE" w:rsidRDefault="00F031BD" w:rsidP="00F031BD">
      <w:pPr>
        <w:pStyle w:val="Body"/>
      </w:pPr>
      <w:r w:rsidRPr="006B17BE">
        <w:t xml:space="preserve">It should be noted that the pumping rates used in this model where </w:t>
      </w:r>
      <w:r w:rsidR="00BF21AA">
        <w:t xml:space="preserve">previously </w:t>
      </w:r>
      <w:r w:rsidRPr="006B17BE">
        <w:t xml:space="preserve">determined using a reservoir model, and are based on the necessary aquifer depressurisation to enable gas desorption and extraction. </w:t>
      </w:r>
      <w:r w:rsidR="00BF21AA">
        <w:t xml:space="preserve">Such a system is typically dual-phase, involving both a water phase and a gas phase. </w:t>
      </w:r>
      <w:r w:rsidRPr="006B17BE">
        <w:t xml:space="preserve">When </w:t>
      </w:r>
      <w:r w:rsidR="00BF21AA">
        <w:t xml:space="preserve">using </w:t>
      </w:r>
      <w:r w:rsidR="00BF21AA" w:rsidRPr="006B17BE">
        <w:t>a single phase groundwater flow model such as MODFLOW-USG</w:t>
      </w:r>
      <w:r w:rsidR="00BF21AA">
        <w:t xml:space="preserve"> (this study)</w:t>
      </w:r>
      <w:r w:rsidRPr="006B17BE">
        <w:t>, the flow and pressure relationships are not representative of a dual</w:t>
      </w:r>
      <w:r w:rsidR="00BF21AA">
        <w:t>-</w:t>
      </w:r>
      <w:r w:rsidRPr="006B17BE">
        <w:t xml:space="preserve">phase system. Because fluxes in a single phase groundwater model are driven by </w:t>
      </w:r>
      <w:r w:rsidR="00BF21AA">
        <w:t xml:space="preserve">water </w:t>
      </w:r>
      <w:r w:rsidRPr="006B17BE">
        <w:t>pressure</w:t>
      </w:r>
      <w:r w:rsidR="00BF21AA">
        <w:t xml:space="preserve"> only</w:t>
      </w:r>
      <w:r w:rsidRPr="006B17BE">
        <w:t>, this will effectively be a misrepresentation of a dual</w:t>
      </w:r>
      <w:r w:rsidR="00BF21AA">
        <w:t>-</w:t>
      </w:r>
      <w:r w:rsidRPr="006B17BE">
        <w:t>phase system, and can lead to potential errors.</w:t>
      </w:r>
      <w:r w:rsidR="00BF21AA">
        <w:t xml:space="preserve"> Nevertheless, the single phase system is considered to be conservative, and will therefore not underestimate impacts.</w:t>
      </w:r>
    </w:p>
    <w:p w14:paraId="50EC7FE2" w14:textId="31D73FA2" w:rsidR="004355D7" w:rsidRPr="006B17BE" w:rsidRDefault="00F031BD" w:rsidP="004355D7">
      <w:pPr>
        <w:pStyle w:val="Body"/>
      </w:pPr>
      <w:r w:rsidRPr="006B17BE">
        <w:t xml:space="preserve">The effect of leaky wells or open boreholes on groundwater quality was investigated using a 3D analytical solution to the convection-dispersion equation. By considering a continuous solute source </w:t>
      </w:r>
      <w:r w:rsidR="00BF21AA">
        <w:t xml:space="preserve">positioned </w:t>
      </w:r>
      <w:r w:rsidRPr="006B17BE">
        <w:t xml:space="preserve">where the leaky well intersected an aquifer or a coal seam target formation, the spreading of a solute plume was calculated and concentrations downstream the leaky well or open borehole recorded. For the </w:t>
      </w:r>
      <w:r w:rsidR="00BF21AA">
        <w:t xml:space="preserve">case of the </w:t>
      </w:r>
      <w:r w:rsidRPr="006B17BE">
        <w:t xml:space="preserve">leaky well the distance where a noticeable increase in solute concentration was observed was limited to 10 m downstream the well. The increase in concentration was never higher than 4% of the solute source. </w:t>
      </w:r>
      <w:r w:rsidR="00280FF5">
        <w:t xml:space="preserve">The largest chance for aquifer contamination is during the pre-development phase for those locations where an upward gradient exists. </w:t>
      </w:r>
      <w:r w:rsidRPr="006B17BE">
        <w:t xml:space="preserve">For the open borehole, the conclusion was similar for </w:t>
      </w:r>
      <w:r w:rsidR="0004531A" w:rsidRPr="006B17BE">
        <w:t>upward</w:t>
      </w:r>
      <w:r w:rsidRPr="006B17BE">
        <w:t xml:space="preserve"> flow (from </w:t>
      </w:r>
      <w:r w:rsidR="0004531A" w:rsidRPr="006B17BE">
        <w:t xml:space="preserve">coal seam formation to </w:t>
      </w:r>
      <w:r w:rsidRPr="006B17BE">
        <w:t xml:space="preserve">aquifer). In case of </w:t>
      </w:r>
      <w:r w:rsidR="0004531A" w:rsidRPr="006B17BE">
        <w:t>down</w:t>
      </w:r>
      <w:r w:rsidRPr="006B17BE">
        <w:t xml:space="preserve"> flow, an increase up to 12% of the source concentration was observed, but limited to a distance of </w:t>
      </w:r>
      <w:r w:rsidR="0004531A" w:rsidRPr="006B17BE">
        <w:t>approximately 100 m.</w:t>
      </w:r>
    </w:p>
    <w:p w14:paraId="03BD3F64" w14:textId="5372C848" w:rsidR="0004531A" w:rsidRPr="006B17BE" w:rsidRDefault="0004531A" w:rsidP="0004531A">
      <w:pPr>
        <w:pStyle w:val="Body"/>
      </w:pPr>
      <w:r w:rsidRPr="006B17BE">
        <w:t>Finally, possible tools and technologies are discussed for monitoring well integrity failure, including an outline of a proposed experimental program for monitoring inter-aquifer leakage in a coal seam gas field. This involves non-destructive tools such as cased well logging and inspection using wireline sonic and ultrasonic tools, downhole camera and multifinger caliper. Subsequently sidewall core sampling and testing is recommended to study cement bonds, physical, mechanical and hydraulic properties.</w:t>
      </w:r>
      <w:r w:rsidR="008C638F">
        <w:t xml:space="preserve"> For monitoring in the post decommissioning phase, measurement of fugitive gas emissions and groundwater hydrochemistry, tracers and contaminants is proposed.</w:t>
      </w:r>
    </w:p>
    <w:p w14:paraId="0E0E0EAB" w14:textId="77777777" w:rsidR="00E76D38" w:rsidRPr="006B17BE" w:rsidRDefault="00E76D38" w:rsidP="00F24FC6">
      <w:pPr>
        <w:rPr>
          <w:rFonts w:asciiTheme="minorHAnsi" w:hAnsiTheme="minorHAnsi"/>
          <w:sz w:val="24"/>
          <w:szCs w:val="24"/>
        </w:rPr>
      </w:pPr>
    </w:p>
    <w:p w14:paraId="01AA3C50" w14:textId="77777777" w:rsidR="00E76D38" w:rsidRPr="006B17BE" w:rsidRDefault="00E76D38" w:rsidP="00F24FC6">
      <w:pPr>
        <w:rPr>
          <w:rFonts w:asciiTheme="minorHAnsi" w:hAnsiTheme="minorHAnsi"/>
          <w:sz w:val="24"/>
          <w:szCs w:val="24"/>
        </w:rPr>
      </w:pPr>
    </w:p>
    <w:p w14:paraId="0683196E" w14:textId="77777777" w:rsidR="00F24FC6" w:rsidRPr="006B17BE" w:rsidRDefault="00F24FC6" w:rsidP="006B2967">
      <w:pPr>
        <w:pStyle w:val="Heading1"/>
      </w:pPr>
      <w:bookmarkStart w:id="652" w:name="_Toc483567976"/>
      <w:r w:rsidRPr="006B17BE">
        <w:t>References</w:t>
      </w:r>
      <w:bookmarkEnd w:id="652"/>
    </w:p>
    <w:p w14:paraId="2B753117" w14:textId="51DA3989" w:rsidR="004F0866" w:rsidRDefault="004F0866" w:rsidP="004F0866">
      <w:pPr>
        <w:pStyle w:val="Reference"/>
        <w:rPr>
          <w:noProof/>
        </w:rPr>
      </w:pPr>
      <w:r>
        <w:rPr>
          <w:noProof/>
        </w:rPr>
        <w:t>AMEC Geomatrix (2011). U</w:t>
      </w:r>
      <w:r w:rsidR="00E23503">
        <w:rPr>
          <w:noProof/>
        </w:rPr>
        <w:t>pdated trend and data analysis San Juan Basin water quality analysis project San Juan Basin, Colorado</w:t>
      </w:r>
      <w:r>
        <w:rPr>
          <w:noProof/>
        </w:rPr>
        <w:t>. Colorado Oil and Gas Conservation Commission Denver, Colorado Project No. 15244: 20.</w:t>
      </w:r>
    </w:p>
    <w:p w14:paraId="62AA99B6" w14:textId="77777777" w:rsidR="00051CEE" w:rsidRP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APPEA (2012). CSG well construction and bore specifications. Available from: &lt;</w:t>
      </w:r>
      <w:hyperlink r:id="rId65" w:history="1">
        <w:r w:rsidRPr="00051CEE">
          <w:rPr>
            <w:rFonts w:asciiTheme="minorHAnsi" w:hAnsiTheme="minorHAnsi"/>
            <w:noProof/>
            <w:sz w:val="22"/>
          </w:rPr>
          <w:t>www.appea.com.au/csg/about-csg/fact-sheets.html</w:t>
        </w:r>
      </w:hyperlink>
      <w:r w:rsidRPr="00051CEE">
        <w:rPr>
          <w:rFonts w:asciiTheme="minorHAnsi" w:hAnsiTheme="minorHAnsi"/>
          <w:noProof/>
          <w:sz w:val="22"/>
        </w:rPr>
        <w:t>&gt;. Accessed on 30/10/2012.</w:t>
      </w:r>
    </w:p>
    <w:p w14:paraId="4292C472" w14:textId="0029A8ED" w:rsidR="0004531A" w:rsidRPr="006B17BE" w:rsidRDefault="0004531A" w:rsidP="0004531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 xml:space="preserve">Arrow Energy (2011). Well Integrity: what you need to know. Retrieved June 2016. </w:t>
      </w:r>
      <w:hyperlink r:id="rId66" w:history="1">
        <w:r w:rsidRPr="006B17BE">
          <w:rPr>
            <w:rStyle w:val="Hyperlink"/>
            <w:rFonts w:asciiTheme="minorHAnsi" w:hAnsiTheme="minorHAnsi"/>
            <w:noProof/>
            <w:sz w:val="22"/>
          </w:rPr>
          <w:t>https://www.arrowenergy.com.au/__data/assets/pdf_file/0013/1273/Well-Integrity.pdf</w:t>
        </w:r>
      </w:hyperlink>
      <w:r w:rsidRPr="006B17BE">
        <w:rPr>
          <w:rFonts w:asciiTheme="minorHAnsi" w:hAnsiTheme="minorHAnsi"/>
          <w:noProof/>
          <w:sz w:val="22"/>
        </w:rPr>
        <w:t>.</w:t>
      </w:r>
    </w:p>
    <w:p w14:paraId="4FE54594" w14:textId="6D6B3AD9" w:rsid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Azuma S, Kato H, Yamashita Y, Miyashiro K</w:t>
      </w:r>
      <w:r w:rsidR="00F52605">
        <w:rPr>
          <w:rFonts w:asciiTheme="minorHAnsi" w:hAnsiTheme="minorHAnsi"/>
          <w:noProof/>
          <w:sz w:val="22"/>
        </w:rPr>
        <w:t>,</w:t>
      </w:r>
      <w:r w:rsidRPr="00051CEE">
        <w:rPr>
          <w:rFonts w:asciiTheme="minorHAnsi" w:hAnsiTheme="minorHAnsi"/>
          <w:noProof/>
          <w:sz w:val="22"/>
        </w:rPr>
        <w:t xml:space="preserve"> Saito S (2013). The long-term corrosion behaviour of abandoned wells under CO2 geological storage conditions: (2) Experimental results for corrosion of casing steel. Energy Procedia 37: 5793-5803.</w:t>
      </w:r>
    </w:p>
    <w:p w14:paraId="4779F350" w14:textId="77777777" w:rsidR="00E950AA" w:rsidRPr="00E950AA" w:rsidRDefault="00E950AA" w:rsidP="00E950AA">
      <w:pPr>
        <w:pStyle w:val="Reference"/>
        <w:spacing w:after="0" w:line="240" w:lineRule="auto"/>
        <w:ind w:left="720" w:hanging="720"/>
        <w:rPr>
          <w:rFonts w:asciiTheme="minorHAnsi" w:hAnsiTheme="minorHAnsi"/>
          <w:noProof/>
          <w:sz w:val="22"/>
        </w:rPr>
      </w:pPr>
      <w:r w:rsidRPr="00E950AA">
        <w:rPr>
          <w:rFonts w:asciiTheme="minorHAnsi" w:hAnsiTheme="minorHAnsi"/>
          <w:noProof/>
          <w:sz w:val="22"/>
        </w:rPr>
        <w:t>Bazzari J (1989). Well Casing Leaks History and Corrosion Monitoring Study, Wafra Field. Middle East Oil Show.</w:t>
      </w:r>
    </w:p>
    <w:p w14:paraId="59423861" w14:textId="7F7AC81B" w:rsidR="0004531A" w:rsidRPr="006B17BE" w:rsidRDefault="0004531A" w:rsidP="0004531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Bellabarba M, Bulte-Loyer H</w:t>
      </w:r>
      <w:r w:rsidR="00357DCC" w:rsidRPr="006B17BE">
        <w:rPr>
          <w:rFonts w:asciiTheme="minorHAnsi" w:hAnsiTheme="minorHAnsi"/>
          <w:noProof/>
          <w:sz w:val="22"/>
        </w:rPr>
        <w:t>, Froelich</w:t>
      </w:r>
      <w:r w:rsidRPr="006B17BE">
        <w:rPr>
          <w:rFonts w:asciiTheme="minorHAnsi" w:hAnsiTheme="minorHAnsi"/>
          <w:noProof/>
          <w:sz w:val="22"/>
        </w:rPr>
        <w:t xml:space="preserve"> B, Roy-Delage SL, van Kuijk R, Gulliot D, Moroni N, Pastor S, Zanchi A </w:t>
      </w:r>
      <w:r w:rsidR="00AC21D3" w:rsidRPr="006B17BE">
        <w:rPr>
          <w:rFonts w:asciiTheme="minorHAnsi" w:hAnsiTheme="minorHAnsi"/>
          <w:noProof/>
          <w:sz w:val="22"/>
        </w:rPr>
        <w:t>(</w:t>
      </w:r>
      <w:r w:rsidRPr="006B17BE">
        <w:rPr>
          <w:rFonts w:asciiTheme="minorHAnsi" w:hAnsiTheme="minorHAnsi"/>
          <w:noProof/>
          <w:sz w:val="22"/>
        </w:rPr>
        <w:t>2008</w:t>
      </w:r>
      <w:r w:rsidR="00AC21D3" w:rsidRPr="006B17BE">
        <w:rPr>
          <w:rFonts w:asciiTheme="minorHAnsi" w:hAnsiTheme="minorHAnsi"/>
          <w:noProof/>
          <w:sz w:val="22"/>
        </w:rPr>
        <w:t>)</w:t>
      </w:r>
      <w:r w:rsidRPr="006B17BE">
        <w:rPr>
          <w:rFonts w:asciiTheme="minorHAnsi" w:hAnsiTheme="minorHAnsi"/>
          <w:noProof/>
          <w:sz w:val="22"/>
        </w:rPr>
        <w:t>. Ensuring Zonal Isolation Beyond the Life of the Well. Oilfield Review, 20(1)</w:t>
      </w:r>
      <w:r w:rsidR="00357DCC" w:rsidRPr="006B17BE">
        <w:rPr>
          <w:rFonts w:asciiTheme="minorHAnsi" w:hAnsiTheme="minorHAnsi"/>
          <w:noProof/>
          <w:sz w:val="22"/>
        </w:rPr>
        <w:t>:</w:t>
      </w:r>
      <w:r w:rsidRPr="006B17BE">
        <w:rPr>
          <w:rFonts w:asciiTheme="minorHAnsi" w:hAnsiTheme="minorHAnsi"/>
          <w:noProof/>
          <w:sz w:val="22"/>
        </w:rPr>
        <w:t xml:space="preserve"> 18–31.</w:t>
      </w:r>
    </w:p>
    <w:p w14:paraId="332B259F" w14:textId="3BDE285E" w:rsidR="0004531A" w:rsidRPr="006B17BE" w:rsidRDefault="0004531A" w:rsidP="0004531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Burgess KA, MacDougall TD</w:t>
      </w:r>
      <w:r w:rsidR="00357DCC" w:rsidRPr="006B17BE">
        <w:rPr>
          <w:rFonts w:asciiTheme="minorHAnsi" w:hAnsiTheme="minorHAnsi"/>
          <w:noProof/>
          <w:sz w:val="22"/>
        </w:rPr>
        <w:t>, Siegfried</w:t>
      </w:r>
      <w:r w:rsidRPr="006B17BE">
        <w:rPr>
          <w:rFonts w:asciiTheme="minorHAnsi" w:hAnsiTheme="minorHAnsi"/>
          <w:noProof/>
          <w:sz w:val="22"/>
        </w:rPr>
        <w:t xml:space="preserve"> RW</w:t>
      </w:r>
      <w:r w:rsidR="00F52605">
        <w:rPr>
          <w:rFonts w:asciiTheme="minorHAnsi" w:hAnsiTheme="minorHAnsi"/>
          <w:noProof/>
          <w:sz w:val="22"/>
        </w:rPr>
        <w:t>,</w:t>
      </w:r>
      <w:r w:rsidRPr="006B17BE">
        <w:rPr>
          <w:rFonts w:asciiTheme="minorHAnsi" w:hAnsiTheme="minorHAnsi"/>
          <w:noProof/>
          <w:sz w:val="22"/>
        </w:rPr>
        <w:t xml:space="preserve"> Fields TG (2001). Wireline-conveyed through-casing formation tester preserves casing integrity. SPE 72371 presented at the SPE Eastern Regional Meeting held in Canton, Ohio, 17-19 Oct 2001.</w:t>
      </w:r>
    </w:p>
    <w:p w14:paraId="1E7DBC7F" w14:textId="54BF71B1" w:rsidR="0004531A" w:rsidRPr="006B17BE" w:rsidRDefault="0004531A" w:rsidP="0004531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Carey JW, Wigand</w:t>
      </w:r>
      <w:r w:rsidR="00357DCC" w:rsidRPr="006B17BE">
        <w:rPr>
          <w:rFonts w:asciiTheme="minorHAnsi" w:hAnsiTheme="minorHAnsi"/>
          <w:noProof/>
          <w:sz w:val="22"/>
        </w:rPr>
        <w:t xml:space="preserve"> M</w:t>
      </w:r>
      <w:r w:rsidRPr="006B17BE">
        <w:rPr>
          <w:rFonts w:asciiTheme="minorHAnsi" w:hAnsiTheme="minorHAnsi"/>
          <w:noProof/>
          <w:sz w:val="22"/>
        </w:rPr>
        <w:t>, Chipera</w:t>
      </w:r>
      <w:r w:rsidR="00357DCC" w:rsidRPr="006B17BE">
        <w:rPr>
          <w:rFonts w:asciiTheme="minorHAnsi" w:hAnsiTheme="minorHAnsi"/>
          <w:noProof/>
          <w:sz w:val="22"/>
        </w:rPr>
        <w:t xml:space="preserve"> SJ</w:t>
      </w:r>
      <w:r w:rsidRPr="006B17BE">
        <w:rPr>
          <w:rFonts w:asciiTheme="minorHAnsi" w:hAnsiTheme="minorHAnsi"/>
          <w:noProof/>
          <w:sz w:val="22"/>
        </w:rPr>
        <w:t>, WoldeGabriel</w:t>
      </w:r>
      <w:r w:rsidR="00357DCC" w:rsidRPr="006B17BE">
        <w:rPr>
          <w:rFonts w:asciiTheme="minorHAnsi" w:hAnsiTheme="minorHAnsi"/>
          <w:noProof/>
          <w:sz w:val="22"/>
        </w:rPr>
        <w:t xml:space="preserve"> G, </w:t>
      </w:r>
      <w:r w:rsidRPr="006B17BE">
        <w:rPr>
          <w:rFonts w:asciiTheme="minorHAnsi" w:hAnsiTheme="minorHAnsi"/>
          <w:noProof/>
          <w:sz w:val="22"/>
        </w:rPr>
        <w:t>Pawar</w:t>
      </w:r>
      <w:r w:rsidR="00357DCC" w:rsidRPr="006B17BE">
        <w:rPr>
          <w:rFonts w:asciiTheme="minorHAnsi" w:hAnsiTheme="minorHAnsi"/>
          <w:noProof/>
          <w:sz w:val="22"/>
        </w:rPr>
        <w:t xml:space="preserve"> R, </w:t>
      </w:r>
      <w:r w:rsidRPr="006B17BE">
        <w:rPr>
          <w:rFonts w:asciiTheme="minorHAnsi" w:hAnsiTheme="minorHAnsi"/>
          <w:noProof/>
          <w:sz w:val="22"/>
        </w:rPr>
        <w:t>Lichtner</w:t>
      </w:r>
      <w:r w:rsidR="00357DCC" w:rsidRPr="006B17BE">
        <w:rPr>
          <w:rFonts w:asciiTheme="minorHAnsi" w:hAnsiTheme="minorHAnsi"/>
          <w:noProof/>
          <w:sz w:val="22"/>
        </w:rPr>
        <w:t xml:space="preserve"> PC, </w:t>
      </w:r>
      <w:r w:rsidRPr="006B17BE">
        <w:rPr>
          <w:rFonts w:asciiTheme="minorHAnsi" w:hAnsiTheme="minorHAnsi"/>
          <w:noProof/>
          <w:sz w:val="22"/>
        </w:rPr>
        <w:t>Wehner</w:t>
      </w:r>
      <w:r w:rsidR="00357DCC" w:rsidRPr="006B17BE">
        <w:rPr>
          <w:rFonts w:asciiTheme="minorHAnsi" w:hAnsiTheme="minorHAnsi"/>
          <w:noProof/>
          <w:sz w:val="22"/>
        </w:rPr>
        <w:t xml:space="preserve"> SC</w:t>
      </w:r>
      <w:r w:rsidRPr="006B17BE">
        <w:rPr>
          <w:rFonts w:asciiTheme="minorHAnsi" w:hAnsiTheme="minorHAnsi"/>
          <w:noProof/>
          <w:sz w:val="22"/>
        </w:rPr>
        <w:t>, Raines</w:t>
      </w:r>
      <w:r w:rsidR="00357DCC" w:rsidRPr="006B17BE">
        <w:rPr>
          <w:rFonts w:asciiTheme="minorHAnsi" w:hAnsiTheme="minorHAnsi"/>
          <w:noProof/>
          <w:sz w:val="22"/>
        </w:rPr>
        <w:t xml:space="preserve"> MA</w:t>
      </w:r>
      <w:r w:rsidR="00F52605">
        <w:rPr>
          <w:rFonts w:asciiTheme="minorHAnsi" w:hAnsiTheme="minorHAnsi"/>
          <w:noProof/>
          <w:sz w:val="22"/>
        </w:rPr>
        <w:t>,</w:t>
      </w:r>
      <w:r w:rsidRPr="006B17BE">
        <w:rPr>
          <w:rFonts w:asciiTheme="minorHAnsi" w:hAnsiTheme="minorHAnsi"/>
          <w:noProof/>
          <w:sz w:val="22"/>
        </w:rPr>
        <w:t xml:space="preserve"> Guthrie </w:t>
      </w:r>
      <w:r w:rsidR="00357DCC" w:rsidRPr="006B17BE">
        <w:rPr>
          <w:rFonts w:asciiTheme="minorHAnsi" w:hAnsiTheme="minorHAnsi"/>
          <w:noProof/>
          <w:sz w:val="22"/>
        </w:rPr>
        <w:t xml:space="preserve">GD </w:t>
      </w:r>
      <w:r w:rsidRPr="006B17BE">
        <w:rPr>
          <w:rFonts w:asciiTheme="minorHAnsi" w:hAnsiTheme="minorHAnsi"/>
          <w:noProof/>
          <w:sz w:val="22"/>
        </w:rPr>
        <w:t>(2007)</w:t>
      </w:r>
      <w:r w:rsidR="00AC21D3" w:rsidRPr="006B17BE">
        <w:rPr>
          <w:rFonts w:asciiTheme="minorHAnsi" w:hAnsiTheme="minorHAnsi"/>
          <w:noProof/>
          <w:sz w:val="22"/>
        </w:rPr>
        <w:t>.</w:t>
      </w:r>
      <w:r w:rsidRPr="006B17BE">
        <w:rPr>
          <w:rFonts w:asciiTheme="minorHAnsi" w:hAnsiTheme="minorHAnsi"/>
          <w:noProof/>
          <w:sz w:val="22"/>
        </w:rPr>
        <w:t xml:space="preserve"> Analysis and performance of oil well cement with 30 years of CO 2 exposure from the SACROC Unit, West Texas, USA, International Journal of Greenhouse Gas Control, 1(1)</w:t>
      </w:r>
      <w:r w:rsidR="00357DCC" w:rsidRPr="006B17BE">
        <w:rPr>
          <w:rFonts w:asciiTheme="minorHAnsi" w:hAnsiTheme="minorHAnsi"/>
          <w:noProof/>
          <w:sz w:val="22"/>
        </w:rPr>
        <w:t>:</w:t>
      </w:r>
      <w:r w:rsidRPr="006B17BE">
        <w:rPr>
          <w:rFonts w:asciiTheme="minorHAnsi" w:hAnsiTheme="minorHAnsi"/>
          <w:noProof/>
          <w:sz w:val="22"/>
        </w:rPr>
        <w:t xml:space="preserve"> 75-85.</w:t>
      </w:r>
    </w:p>
    <w:p w14:paraId="578CC95D" w14:textId="10C0CC15" w:rsidR="00F3348B" w:rsidRDefault="009A3903" w:rsidP="00F3348B">
      <w:pPr>
        <w:pStyle w:val="Reference"/>
        <w:spacing w:after="0" w:line="240" w:lineRule="auto"/>
        <w:ind w:left="720" w:hanging="720"/>
        <w:rPr>
          <w:rFonts w:asciiTheme="minorHAnsi" w:hAnsiTheme="minorHAnsi"/>
          <w:noProof/>
          <w:sz w:val="22"/>
        </w:rPr>
      </w:pPr>
      <w:r w:rsidRPr="006B17BE">
        <w:rPr>
          <w:rFonts w:asciiTheme="minorHAnsi" w:hAnsiTheme="minorHAnsi"/>
          <w:sz w:val="22"/>
        </w:rPr>
        <w:fldChar w:fldCharType="begin"/>
      </w:r>
      <w:r w:rsidRPr="006B17BE">
        <w:rPr>
          <w:rFonts w:asciiTheme="minorHAnsi" w:hAnsiTheme="minorHAnsi"/>
          <w:sz w:val="22"/>
        </w:rPr>
        <w:instrText xml:space="preserve"> ADDIN EN.REFLIST </w:instrText>
      </w:r>
      <w:r w:rsidRPr="006B17BE">
        <w:rPr>
          <w:rFonts w:asciiTheme="minorHAnsi" w:hAnsiTheme="minorHAnsi"/>
          <w:sz w:val="22"/>
        </w:rPr>
        <w:fldChar w:fldCharType="separate"/>
      </w:r>
      <w:r w:rsidR="00AC21D3" w:rsidRPr="006B17BE">
        <w:rPr>
          <w:rFonts w:asciiTheme="minorHAnsi" w:hAnsiTheme="minorHAnsi"/>
          <w:noProof/>
          <w:sz w:val="22"/>
        </w:rPr>
        <w:t>CDM Smith</w:t>
      </w:r>
      <w:r w:rsidR="00F3348B" w:rsidRPr="006B17BE">
        <w:rPr>
          <w:rFonts w:asciiTheme="minorHAnsi" w:hAnsiTheme="minorHAnsi"/>
          <w:noProof/>
          <w:sz w:val="22"/>
        </w:rPr>
        <w:t xml:space="preserve"> </w:t>
      </w:r>
      <w:r w:rsidR="00AC21D3" w:rsidRPr="006B17BE">
        <w:rPr>
          <w:rFonts w:asciiTheme="minorHAnsi" w:hAnsiTheme="minorHAnsi"/>
          <w:noProof/>
          <w:sz w:val="22"/>
        </w:rPr>
        <w:t>(</w:t>
      </w:r>
      <w:r w:rsidR="00F3348B" w:rsidRPr="006B17BE">
        <w:rPr>
          <w:rFonts w:asciiTheme="minorHAnsi" w:hAnsiTheme="minorHAnsi"/>
          <w:noProof/>
          <w:sz w:val="22"/>
        </w:rPr>
        <w:t>2014</w:t>
      </w:r>
      <w:r w:rsidR="00AC21D3" w:rsidRPr="006B17BE">
        <w:rPr>
          <w:rFonts w:asciiTheme="minorHAnsi" w:hAnsiTheme="minorHAnsi"/>
          <w:noProof/>
          <w:sz w:val="22"/>
        </w:rPr>
        <w:t>)</w:t>
      </w:r>
      <w:r w:rsidR="00F3348B" w:rsidRPr="006B17BE">
        <w:rPr>
          <w:rFonts w:asciiTheme="minorHAnsi" w:hAnsiTheme="minorHAnsi"/>
          <w:noProof/>
          <w:sz w:val="22"/>
        </w:rPr>
        <w:t>. Santos Narrabri Gas Project: Groundwater modelling report. Subiaco, WA.</w:t>
      </w:r>
    </w:p>
    <w:p w14:paraId="71CF0F13" w14:textId="3197EABA" w:rsidR="00621419" w:rsidRDefault="00621419" w:rsidP="00621419">
      <w:pPr>
        <w:pStyle w:val="Reference"/>
        <w:spacing w:after="0" w:line="240" w:lineRule="auto"/>
        <w:ind w:left="720" w:hanging="720"/>
        <w:rPr>
          <w:rFonts w:asciiTheme="minorHAnsi" w:hAnsiTheme="minorHAnsi"/>
          <w:noProof/>
          <w:sz w:val="22"/>
        </w:rPr>
      </w:pPr>
      <w:r w:rsidRPr="00621419">
        <w:rPr>
          <w:rFonts w:asciiTheme="minorHAnsi" w:hAnsiTheme="minorHAnsi"/>
          <w:noProof/>
          <w:sz w:val="22"/>
        </w:rPr>
        <w:t xml:space="preserve">Commonwealth of Australia (2014). Bore integrity - Background review. </w:t>
      </w:r>
    </w:p>
    <w:p w14:paraId="0AAEBA39" w14:textId="257B5F54" w:rsidR="005C6167" w:rsidRPr="005C6167" w:rsidRDefault="005C6167" w:rsidP="005C6167">
      <w:pPr>
        <w:pStyle w:val="Reference"/>
        <w:spacing w:after="0" w:line="240" w:lineRule="auto"/>
        <w:ind w:left="720" w:hanging="720"/>
        <w:rPr>
          <w:rFonts w:asciiTheme="minorHAnsi" w:hAnsiTheme="minorHAnsi"/>
          <w:noProof/>
          <w:sz w:val="22"/>
        </w:rPr>
      </w:pPr>
      <w:r w:rsidRPr="005C6167">
        <w:rPr>
          <w:rFonts w:asciiTheme="minorHAnsi" w:hAnsiTheme="minorHAnsi"/>
          <w:noProof/>
          <w:sz w:val="22"/>
        </w:rPr>
        <w:t>Coleman DD (1989). Geochemical fingerprinting: Identification of storage gas using chemical and isotopic analysis. In: “Underground Storage of Gas”, pp 327‐338, Edited by M. R. Tek. Kluwer Academic Publishers.</w:t>
      </w:r>
    </w:p>
    <w:p w14:paraId="044B8AF6" w14:textId="77777777" w:rsidR="00051CEE" w:rsidRP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Connell L, Down D, Lu M, Hay D, Heryanto D (2015). An investigation into the integrity of wellbore cement in CO2 storage wells: Core flooding experiments and simulations. International Journal of Greenhouse Gas Control, 37: 424-440.</w:t>
      </w:r>
    </w:p>
    <w:p w14:paraId="0C0CD17A" w14:textId="0367CCB5" w:rsidR="0004531A" w:rsidRDefault="0004531A" w:rsidP="0004531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Crow W, Carey</w:t>
      </w:r>
      <w:r w:rsidR="00357DCC" w:rsidRPr="006B17BE">
        <w:rPr>
          <w:rFonts w:asciiTheme="minorHAnsi" w:hAnsiTheme="minorHAnsi"/>
          <w:noProof/>
          <w:sz w:val="22"/>
        </w:rPr>
        <w:t xml:space="preserve"> JW</w:t>
      </w:r>
      <w:r w:rsidRPr="006B17BE">
        <w:rPr>
          <w:rFonts w:asciiTheme="minorHAnsi" w:hAnsiTheme="minorHAnsi"/>
          <w:noProof/>
          <w:sz w:val="22"/>
        </w:rPr>
        <w:t>, Gasda</w:t>
      </w:r>
      <w:r w:rsidR="00357DCC" w:rsidRPr="006B17BE">
        <w:rPr>
          <w:rFonts w:asciiTheme="minorHAnsi" w:hAnsiTheme="minorHAnsi"/>
          <w:noProof/>
          <w:sz w:val="22"/>
        </w:rPr>
        <w:t xml:space="preserve"> S</w:t>
      </w:r>
      <w:r w:rsidRPr="006B17BE">
        <w:rPr>
          <w:rFonts w:asciiTheme="minorHAnsi" w:hAnsiTheme="minorHAnsi"/>
          <w:noProof/>
          <w:sz w:val="22"/>
        </w:rPr>
        <w:t>, Brian Williams</w:t>
      </w:r>
      <w:r w:rsidR="00357DCC" w:rsidRPr="006B17BE">
        <w:rPr>
          <w:rFonts w:asciiTheme="minorHAnsi" w:hAnsiTheme="minorHAnsi"/>
          <w:noProof/>
          <w:sz w:val="22"/>
        </w:rPr>
        <w:t xml:space="preserve"> D, </w:t>
      </w:r>
      <w:r w:rsidRPr="006B17BE">
        <w:rPr>
          <w:rFonts w:asciiTheme="minorHAnsi" w:hAnsiTheme="minorHAnsi"/>
          <w:noProof/>
          <w:sz w:val="22"/>
        </w:rPr>
        <w:t xml:space="preserve">Celia </w:t>
      </w:r>
      <w:r w:rsidR="00357DCC" w:rsidRPr="006B17BE">
        <w:rPr>
          <w:rFonts w:asciiTheme="minorHAnsi" w:hAnsiTheme="minorHAnsi"/>
          <w:noProof/>
          <w:sz w:val="22"/>
        </w:rPr>
        <w:t xml:space="preserve">M </w:t>
      </w:r>
      <w:r w:rsidRPr="006B17BE">
        <w:rPr>
          <w:rFonts w:asciiTheme="minorHAnsi" w:hAnsiTheme="minorHAnsi"/>
          <w:noProof/>
          <w:sz w:val="22"/>
        </w:rPr>
        <w:t>(2010)</w:t>
      </w:r>
      <w:r w:rsidR="00AC21D3" w:rsidRPr="006B17BE">
        <w:rPr>
          <w:rFonts w:asciiTheme="minorHAnsi" w:hAnsiTheme="minorHAnsi"/>
          <w:noProof/>
          <w:sz w:val="22"/>
        </w:rPr>
        <w:t>.</w:t>
      </w:r>
      <w:r w:rsidRPr="006B17BE">
        <w:rPr>
          <w:rFonts w:asciiTheme="minorHAnsi" w:hAnsiTheme="minorHAnsi"/>
          <w:noProof/>
          <w:sz w:val="22"/>
        </w:rPr>
        <w:t xml:space="preserve"> Wellbore integrity analysis of a natural CO2 producer, International Journal of Greenhouse Gas Control, 4(2)</w:t>
      </w:r>
      <w:r w:rsidR="00357DCC" w:rsidRPr="006B17BE">
        <w:rPr>
          <w:rFonts w:asciiTheme="minorHAnsi" w:hAnsiTheme="minorHAnsi"/>
          <w:noProof/>
          <w:sz w:val="22"/>
        </w:rPr>
        <w:t>:</w:t>
      </w:r>
      <w:r w:rsidRPr="006B17BE">
        <w:rPr>
          <w:rFonts w:asciiTheme="minorHAnsi" w:hAnsiTheme="minorHAnsi"/>
          <w:noProof/>
          <w:sz w:val="22"/>
        </w:rPr>
        <w:t xml:space="preserve"> 186-197.</w:t>
      </w:r>
    </w:p>
    <w:p w14:paraId="1C63095A" w14:textId="4F798172" w:rsidR="00051CEE" w:rsidRP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Davies RJ, Almond S, Ward RS, Jackson RB, Adams C, Worrall F, Herringshaw LG, Gluyas JG</w:t>
      </w:r>
      <w:r w:rsidR="00F52605">
        <w:rPr>
          <w:rFonts w:asciiTheme="minorHAnsi" w:hAnsiTheme="minorHAnsi"/>
          <w:noProof/>
          <w:sz w:val="22"/>
        </w:rPr>
        <w:t>,</w:t>
      </w:r>
      <w:r w:rsidRPr="00051CEE">
        <w:rPr>
          <w:rFonts w:asciiTheme="minorHAnsi" w:hAnsiTheme="minorHAnsi"/>
          <w:noProof/>
          <w:sz w:val="22"/>
        </w:rPr>
        <w:t xml:space="preserve"> Whitehead MA (2014). Oil and gas wells and their integrity: implications for shale and unconventional resource exploitation. Marin and Petroleum Geology 56: 239-254.</w:t>
      </w:r>
    </w:p>
    <w:p w14:paraId="2D90FAD9" w14:textId="58A09D5F" w:rsidR="0004531A" w:rsidRDefault="0004531A" w:rsidP="0004531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Day S, Dell’Amico</w:t>
      </w:r>
      <w:r w:rsidR="00C62E92" w:rsidRPr="006B17BE">
        <w:rPr>
          <w:rFonts w:asciiTheme="minorHAnsi" w:hAnsiTheme="minorHAnsi"/>
          <w:noProof/>
          <w:sz w:val="22"/>
        </w:rPr>
        <w:t xml:space="preserve"> M</w:t>
      </w:r>
      <w:r w:rsidRPr="006B17BE">
        <w:rPr>
          <w:rFonts w:asciiTheme="minorHAnsi" w:hAnsiTheme="minorHAnsi"/>
          <w:noProof/>
          <w:sz w:val="22"/>
        </w:rPr>
        <w:t>, Fry R, Javanmard Tousi H (2014). Field Measurements of Fugitive Emissions from Equipment and Well Casings in Australian Coal Seam Gas Production Facilities. CSIRO, Australia.</w:t>
      </w:r>
    </w:p>
    <w:p w14:paraId="5C1F88C6" w14:textId="368787DB" w:rsidR="00A64251" w:rsidRPr="00A64251" w:rsidRDefault="00A64251" w:rsidP="00A64251">
      <w:pPr>
        <w:pStyle w:val="Reference"/>
        <w:spacing w:after="0" w:line="240" w:lineRule="auto"/>
        <w:ind w:left="720" w:hanging="720"/>
        <w:rPr>
          <w:rFonts w:asciiTheme="minorHAnsi" w:hAnsiTheme="minorHAnsi"/>
          <w:noProof/>
          <w:sz w:val="22"/>
        </w:rPr>
      </w:pPr>
      <w:r w:rsidRPr="00A64251">
        <w:rPr>
          <w:rFonts w:asciiTheme="minorHAnsi" w:hAnsiTheme="minorHAnsi"/>
          <w:noProof/>
          <w:sz w:val="22"/>
        </w:rPr>
        <w:t>Darraha</w:t>
      </w:r>
      <w:r>
        <w:rPr>
          <w:rFonts w:asciiTheme="minorHAnsi" w:hAnsiTheme="minorHAnsi"/>
          <w:noProof/>
          <w:sz w:val="22"/>
        </w:rPr>
        <w:t xml:space="preserve"> TH</w:t>
      </w:r>
      <w:r w:rsidRPr="00A64251">
        <w:rPr>
          <w:rFonts w:asciiTheme="minorHAnsi" w:hAnsiTheme="minorHAnsi"/>
          <w:noProof/>
          <w:sz w:val="22"/>
        </w:rPr>
        <w:t xml:space="preserve">, AV Jackson </w:t>
      </w:r>
      <w:r w:rsidRPr="00822C0B">
        <w:rPr>
          <w:rFonts w:asciiTheme="minorHAnsi" w:hAnsiTheme="minorHAnsi"/>
          <w:noProof/>
          <w:sz w:val="22"/>
        </w:rPr>
        <w:t>RB</w:t>
      </w:r>
      <w:r w:rsidRPr="00A64251">
        <w:rPr>
          <w:rFonts w:asciiTheme="minorHAnsi" w:hAnsiTheme="minorHAnsi"/>
          <w:noProof/>
          <w:sz w:val="22"/>
        </w:rPr>
        <w:t xml:space="preserve">, Warner </w:t>
      </w:r>
      <w:r w:rsidRPr="00BF2AD9">
        <w:rPr>
          <w:rFonts w:asciiTheme="minorHAnsi" w:hAnsiTheme="minorHAnsi"/>
          <w:noProof/>
          <w:sz w:val="22"/>
        </w:rPr>
        <w:t>NR</w:t>
      </w:r>
      <w:r>
        <w:rPr>
          <w:rFonts w:asciiTheme="minorHAnsi" w:hAnsiTheme="minorHAnsi"/>
          <w:noProof/>
          <w:sz w:val="22"/>
        </w:rPr>
        <w:t>,</w:t>
      </w:r>
      <w:r w:rsidRPr="00A64251">
        <w:rPr>
          <w:rFonts w:asciiTheme="minorHAnsi" w:hAnsiTheme="minorHAnsi"/>
          <w:noProof/>
          <w:sz w:val="22"/>
        </w:rPr>
        <w:t xml:space="preserve"> Poreda </w:t>
      </w:r>
      <w:r w:rsidRPr="00AD5C73">
        <w:rPr>
          <w:rFonts w:asciiTheme="minorHAnsi" w:hAnsiTheme="minorHAnsi"/>
          <w:noProof/>
          <w:sz w:val="22"/>
        </w:rPr>
        <w:t>RJ</w:t>
      </w:r>
      <w:r w:rsidRPr="00A64251">
        <w:rPr>
          <w:rFonts w:asciiTheme="minorHAnsi" w:hAnsiTheme="minorHAnsi"/>
          <w:noProof/>
          <w:sz w:val="22"/>
        </w:rPr>
        <w:t xml:space="preserve"> (2014). Noble gases identify the mechanisms of fugitive gas contamination in drinking-water wells overlying the Marcellus and Barnett Shales. Proceedings of the National Academy of Sciences 111(39): 14076–14081.</w:t>
      </w:r>
    </w:p>
    <w:p w14:paraId="39EC93BE" w14:textId="6913C271" w:rsidR="00A62E6D" w:rsidRPr="00A62E6D" w:rsidRDefault="00A62E6D" w:rsidP="00A62E6D">
      <w:pPr>
        <w:pStyle w:val="Reference"/>
        <w:spacing w:after="0" w:line="240" w:lineRule="auto"/>
        <w:ind w:left="720" w:hanging="720"/>
        <w:rPr>
          <w:rFonts w:asciiTheme="minorHAnsi" w:hAnsiTheme="minorHAnsi"/>
          <w:noProof/>
          <w:sz w:val="22"/>
        </w:rPr>
      </w:pPr>
      <w:r w:rsidRPr="00A62E6D">
        <w:rPr>
          <w:rFonts w:asciiTheme="minorHAnsi" w:hAnsiTheme="minorHAnsi"/>
          <w:noProof/>
          <w:sz w:val="22"/>
        </w:rPr>
        <w:t>DERM (2011) Strategic Water Information and Monitoring Plan, Queensland. Prepared for the Bureau of Meteorology.</w:t>
      </w:r>
    </w:p>
    <w:p w14:paraId="3CCC15C4" w14:textId="6943F90E" w:rsidR="0004531A" w:rsidRPr="006B17BE" w:rsidRDefault="006B17BE" w:rsidP="0004531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DNRM (</w:t>
      </w:r>
      <w:r w:rsidR="0004531A" w:rsidRPr="006B17BE">
        <w:rPr>
          <w:rFonts w:asciiTheme="minorHAnsi" w:hAnsiTheme="minorHAnsi"/>
          <w:noProof/>
          <w:sz w:val="22"/>
        </w:rPr>
        <w:t>Department of Natural Resources and Mines) (2013). Code of practice for constructing and abandoning coal seam gas wells and associated bores in Queensland. Edition 2.0.</w:t>
      </w:r>
    </w:p>
    <w:p w14:paraId="309EF2E0" w14:textId="6081866E" w:rsidR="00F3348B" w:rsidRPr="006B17BE" w:rsidRDefault="00F3348B" w:rsidP="00F3348B">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Doble R</w:t>
      </w:r>
      <w:r w:rsidR="00C62E92" w:rsidRPr="006B17BE">
        <w:rPr>
          <w:rFonts w:asciiTheme="minorHAnsi" w:hAnsiTheme="minorHAnsi"/>
          <w:noProof/>
          <w:sz w:val="22"/>
        </w:rPr>
        <w:t xml:space="preserve">, </w:t>
      </w:r>
      <w:r w:rsidR="00AE07E8" w:rsidRPr="006B17BE">
        <w:rPr>
          <w:rFonts w:asciiTheme="minorHAnsi" w:hAnsiTheme="minorHAnsi"/>
          <w:noProof/>
          <w:sz w:val="22"/>
        </w:rPr>
        <w:t xml:space="preserve">McCallum J, </w:t>
      </w:r>
      <w:r w:rsidR="0031770D" w:rsidRPr="006B17BE">
        <w:rPr>
          <w:rFonts w:asciiTheme="minorHAnsi" w:hAnsiTheme="minorHAnsi"/>
          <w:noProof/>
          <w:sz w:val="22"/>
        </w:rPr>
        <w:t>Peeters L, Wu B, Mallants D</w:t>
      </w:r>
      <w:r w:rsidRPr="006B17BE">
        <w:rPr>
          <w:rFonts w:asciiTheme="minorHAnsi" w:hAnsiTheme="minorHAnsi"/>
          <w:noProof/>
          <w:sz w:val="22"/>
        </w:rPr>
        <w:t xml:space="preserve"> </w:t>
      </w:r>
      <w:r w:rsidR="00AC21D3" w:rsidRPr="006B17BE">
        <w:rPr>
          <w:rFonts w:asciiTheme="minorHAnsi" w:hAnsiTheme="minorHAnsi"/>
          <w:noProof/>
          <w:sz w:val="22"/>
        </w:rPr>
        <w:t>(</w:t>
      </w:r>
      <w:r w:rsidRPr="006B17BE">
        <w:rPr>
          <w:rFonts w:asciiTheme="minorHAnsi" w:hAnsiTheme="minorHAnsi"/>
          <w:noProof/>
          <w:sz w:val="22"/>
        </w:rPr>
        <w:t>201</w:t>
      </w:r>
      <w:r w:rsidR="00AC3BD2">
        <w:rPr>
          <w:rFonts w:asciiTheme="minorHAnsi" w:hAnsiTheme="minorHAnsi"/>
          <w:noProof/>
          <w:sz w:val="22"/>
        </w:rPr>
        <w:t>8</w:t>
      </w:r>
      <w:r w:rsidR="00AC21D3" w:rsidRPr="006B17BE">
        <w:rPr>
          <w:rFonts w:asciiTheme="minorHAnsi" w:hAnsiTheme="minorHAnsi"/>
          <w:noProof/>
          <w:sz w:val="22"/>
        </w:rPr>
        <w:t>)</w:t>
      </w:r>
      <w:r w:rsidRPr="006B17BE">
        <w:rPr>
          <w:rFonts w:asciiTheme="minorHAnsi" w:hAnsiTheme="minorHAnsi"/>
          <w:noProof/>
          <w:sz w:val="22"/>
        </w:rPr>
        <w:t>. Modelling inter-aquifer leakage associated with well integrity failure, prepared by the Commonwealth Scientific and Industrial Research Organisation (CSIRO), Canberra.</w:t>
      </w:r>
    </w:p>
    <w:p w14:paraId="4C03FE18" w14:textId="77777777" w:rsidR="009E152D" w:rsidRPr="006B17BE" w:rsidRDefault="009E152D" w:rsidP="009E152D">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 xml:space="preserve">DTI (Department of Trade &amp; Investment) (2012). Code of practice for coal seam gas well integrity. Department of Trade &amp; Investment, Regional Infrastructures &amp; Services, Resources &amp; Energy, New South Wales. </w:t>
      </w:r>
    </w:p>
    <w:p w14:paraId="12C4DBCD" w14:textId="7823E215" w:rsidR="00DE6059" w:rsidRPr="006B17BE"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Duguid A</w:t>
      </w:r>
      <w:r w:rsidR="00F52605">
        <w:rPr>
          <w:rFonts w:asciiTheme="minorHAnsi" w:hAnsiTheme="minorHAnsi"/>
          <w:noProof/>
          <w:sz w:val="22"/>
        </w:rPr>
        <w:t>,</w:t>
      </w:r>
      <w:r w:rsidRPr="006B17BE">
        <w:rPr>
          <w:rFonts w:asciiTheme="minorHAnsi" w:hAnsiTheme="minorHAnsi"/>
          <w:noProof/>
          <w:sz w:val="22"/>
        </w:rPr>
        <w:t xml:space="preserve"> Tombari J </w:t>
      </w:r>
      <w:r w:rsidR="00AC21D3" w:rsidRPr="006B17BE">
        <w:rPr>
          <w:rFonts w:asciiTheme="minorHAnsi" w:hAnsiTheme="minorHAnsi"/>
          <w:noProof/>
          <w:sz w:val="22"/>
        </w:rPr>
        <w:t>(</w:t>
      </w:r>
      <w:r w:rsidRPr="006B17BE">
        <w:rPr>
          <w:rFonts w:asciiTheme="minorHAnsi" w:hAnsiTheme="minorHAnsi"/>
          <w:noProof/>
          <w:sz w:val="22"/>
        </w:rPr>
        <w:t>2007</w:t>
      </w:r>
      <w:r w:rsidR="00AC21D3" w:rsidRPr="006B17BE">
        <w:rPr>
          <w:rFonts w:asciiTheme="minorHAnsi" w:hAnsiTheme="minorHAnsi"/>
          <w:noProof/>
          <w:sz w:val="22"/>
        </w:rPr>
        <w:t>)</w:t>
      </w:r>
      <w:r w:rsidRPr="006B17BE">
        <w:rPr>
          <w:rFonts w:asciiTheme="minorHAnsi" w:hAnsiTheme="minorHAnsi"/>
          <w:noProof/>
          <w:sz w:val="22"/>
        </w:rPr>
        <w:t>. Technologies for Measuring Well Integrity in a CO2 Field. Sixth Annual Conference on Carbon Capture and Sequestration</w:t>
      </w:r>
      <w:r w:rsidR="0031770D" w:rsidRPr="006B17BE">
        <w:rPr>
          <w:rFonts w:asciiTheme="minorHAnsi" w:hAnsiTheme="minorHAnsi"/>
          <w:noProof/>
          <w:sz w:val="22"/>
        </w:rPr>
        <w:t>.</w:t>
      </w:r>
    </w:p>
    <w:p w14:paraId="25310D3C" w14:textId="63456440" w:rsidR="00DE6059" w:rsidRPr="006B17BE"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Duguid A, Butsch</w:t>
      </w:r>
      <w:r w:rsidR="0031770D" w:rsidRPr="006B17BE">
        <w:rPr>
          <w:rFonts w:asciiTheme="minorHAnsi" w:hAnsiTheme="minorHAnsi"/>
          <w:noProof/>
          <w:sz w:val="22"/>
        </w:rPr>
        <w:t xml:space="preserve"> R</w:t>
      </w:r>
      <w:r w:rsidRPr="006B17BE">
        <w:rPr>
          <w:rFonts w:asciiTheme="minorHAnsi" w:hAnsiTheme="minorHAnsi"/>
          <w:noProof/>
          <w:sz w:val="22"/>
        </w:rPr>
        <w:t>, Carey</w:t>
      </w:r>
      <w:r w:rsidR="0031770D" w:rsidRPr="006B17BE">
        <w:rPr>
          <w:rFonts w:asciiTheme="minorHAnsi" w:hAnsiTheme="minorHAnsi"/>
          <w:noProof/>
          <w:sz w:val="22"/>
        </w:rPr>
        <w:t xml:space="preserve"> JW</w:t>
      </w:r>
      <w:r w:rsidRPr="006B17BE">
        <w:rPr>
          <w:rFonts w:asciiTheme="minorHAnsi" w:hAnsiTheme="minorHAnsi"/>
          <w:noProof/>
          <w:sz w:val="22"/>
        </w:rPr>
        <w:t>, Celia</w:t>
      </w:r>
      <w:r w:rsidR="0031770D" w:rsidRPr="006B17BE">
        <w:rPr>
          <w:rFonts w:asciiTheme="minorHAnsi" w:hAnsiTheme="minorHAnsi"/>
          <w:noProof/>
          <w:sz w:val="22"/>
        </w:rPr>
        <w:t xml:space="preserve"> M, </w:t>
      </w:r>
      <w:r w:rsidRPr="006B17BE">
        <w:rPr>
          <w:rFonts w:asciiTheme="minorHAnsi" w:hAnsiTheme="minorHAnsi"/>
          <w:noProof/>
          <w:sz w:val="22"/>
        </w:rPr>
        <w:t>Chugunov</w:t>
      </w:r>
      <w:r w:rsidR="0031770D" w:rsidRPr="006B17BE">
        <w:rPr>
          <w:rFonts w:asciiTheme="minorHAnsi" w:hAnsiTheme="minorHAnsi"/>
          <w:noProof/>
          <w:sz w:val="22"/>
        </w:rPr>
        <w:t xml:space="preserve"> N</w:t>
      </w:r>
      <w:r w:rsidRPr="006B17BE">
        <w:rPr>
          <w:rFonts w:asciiTheme="minorHAnsi" w:hAnsiTheme="minorHAnsi"/>
          <w:noProof/>
          <w:sz w:val="22"/>
        </w:rPr>
        <w:t>, Gasda</w:t>
      </w:r>
      <w:r w:rsidR="0031770D" w:rsidRPr="006B17BE">
        <w:rPr>
          <w:rFonts w:asciiTheme="minorHAnsi" w:hAnsiTheme="minorHAnsi"/>
          <w:noProof/>
          <w:sz w:val="22"/>
        </w:rPr>
        <w:t xml:space="preserve"> S</w:t>
      </w:r>
      <w:r w:rsidRPr="006B17BE">
        <w:rPr>
          <w:rFonts w:asciiTheme="minorHAnsi" w:hAnsiTheme="minorHAnsi"/>
          <w:noProof/>
          <w:sz w:val="22"/>
        </w:rPr>
        <w:t>, Ramakrishnan</w:t>
      </w:r>
      <w:r w:rsidR="0031770D" w:rsidRPr="006B17BE">
        <w:rPr>
          <w:rFonts w:asciiTheme="minorHAnsi" w:hAnsiTheme="minorHAnsi"/>
          <w:noProof/>
          <w:sz w:val="22"/>
        </w:rPr>
        <w:t xml:space="preserve"> T, </w:t>
      </w:r>
      <w:r w:rsidRPr="006B17BE">
        <w:rPr>
          <w:rFonts w:asciiTheme="minorHAnsi" w:hAnsiTheme="minorHAnsi"/>
          <w:noProof/>
          <w:sz w:val="22"/>
        </w:rPr>
        <w:t>Stamp</w:t>
      </w:r>
      <w:r w:rsidR="0031770D" w:rsidRPr="006B17BE">
        <w:rPr>
          <w:rFonts w:asciiTheme="minorHAnsi" w:hAnsiTheme="minorHAnsi"/>
          <w:noProof/>
          <w:sz w:val="22"/>
        </w:rPr>
        <w:t xml:space="preserve"> V</w:t>
      </w:r>
      <w:r w:rsidRPr="006B17BE">
        <w:rPr>
          <w:rFonts w:asciiTheme="minorHAnsi" w:hAnsiTheme="minorHAnsi"/>
          <w:noProof/>
          <w:sz w:val="22"/>
        </w:rPr>
        <w:t xml:space="preserve">, Wang </w:t>
      </w:r>
      <w:r w:rsidR="0031770D" w:rsidRPr="006B17BE">
        <w:rPr>
          <w:rFonts w:asciiTheme="minorHAnsi" w:hAnsiTheme="minorHAnsi"/>
          <w:noProof/>
          <w:sz w:val="22"/>
        </w:rPr>
        <w:t xml:space="preserve">J </w:t>
      </w:r>
      <w:r w:rsidRPr="006B17BE">
        <w:rPr>
          <w:rFonts w:asciiTheme="minorHAnsi" w:hAnsiTheme="minorHAnsi"/>
          <w:noProof/>
          <w:sz w:val="22"/>
        </w:rPr>
        <w:t>(2013)</w:t>
      </w:r>
      <w:r w:rsidR="00AC21D3" w:rsidRPr="006B17BE">
        <w:rPr>
          <w:rFonts w:asciiTheme="minorHAnsi" w:hAnsiTheme="minorHAnsi"/>
          <w:noProof/>
          <w:sz w:val="22"/>
        </w:rPr>
        <w:t>.</w:t>
      </w:r>
      <w:r w:rsidRPr="006B17BE">
        <w:rPr>
          <w:rFonts w:asciiTheme="minorHAnsi" w:hAnsiTheme="minorHAnsi"/>
          <w:noProof/>
          <w:sz w:val="22"/>
        </w:rPr>
        <w:t xml:space="preserve"> Pre-injection baseline data collection to establish existing wellbore leakage properties, Energy Procedia, 37</w:t>
      </w:r>
      <w:r w:rsidR="0031770D" w:rsidRPr="006B17BE">
        <w:rPr>
          <w:rFonts w:asciiTheme="minorHAnsi" w:hAnsiTheme="minorHAnsi"/>
          <w:noProof/>
          <w:sz w:val="22"/>
        </w:rPr>
        <w:t>:</w:t>
      </w:r>
      <w:r w:rsidRPr="006B17BE">
        <w:rPr>
          <w:rFonts w:asciiTheme="minorHAnsi" w:hAnsiTheme="minorHAnsi"/>
          <w:noProof/>
          <w:sz w:val="22"/>
        </w:rPr>
        <w:t xml:space="preserve"> 5661-5672.</w:t>
      </w:r>
    </w:p>
    <w:p w14:paraId="65D56E64" w14:textId="4024EA82" w:rsidR="00DE6059"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Dusseault M</w:t>
      </w:r>
      <w:r w:rsidR="00F52605">
        <w:rPr>
          <w:rFonts w:asciiTheme="minorHAnsi" w:hAnsiTheme="minorHAnsi"/>
          <w:noProof/>
          <w:sz w:val="22"/>
        </w:rPr>
        <w:t>,</w:t>
      </w:r>
      <w:r w:rsidRPr="006B17BE">
        <w:rPr>
          <w:rFonts w:asciiTheme="minorHAnsi" w:hAnsiTheme="minorHAnsi"/>
          <w:noProof/>
          <w:sz w:val="22"/>
        </w:rPr>
        <w:t xml:space="preserve"> Jackson </w:t>
      </w:r>
      <w:r w:rsidR="0031770D" w:rsidRPr="006B17BE">
        <w:rPr>
          <w:rFonts w:asciiTheme="minorHAnsi" w:hAnsiTheme="minorHAnsi"/>
          <w:noProof/>
          <w:sz w:val="22"/>
        </w:rPr>
        <w:t xml:space="preserve">R </w:t>
      </w:r>
      <w:r w:rsidRPr="006B17BE">
        <w:rPr>
          <w:rFonts w:asciiTheme="minorHAnsi" w:hAnsiTheme="minorHAnsi"/>
          <w:noProof/>
          <w:sz w:val="22"/>
        </w:rPr>
        <w:t>(2014)</w:t>
      </w:r>
      <w:r w:rsidR="00AC21D3" w:rsidRPr="006B17BE">
        <w:rPr>
          <w:rFonts w:asciiTheme="minorHAnsi" w:hAnsiTheme="minorHAnsi"/>
          <w:noProof/>
          <w:sz w:val="22"/>
        </w:rPr>
        <w:t>.</w:t>
      </w:r>
      <w:r w:rsidRPr="006B17BE">
        <w:rPr>
          <w:rFonts w:asciiTheme="minorHAnsi" w:hAnsiTheme="minorHAnsi"/>
          <w:noProof/>
          <w:sz w:val="22"/>
        </w:rPr>
        <w:t xml:space="preserve"> Seepage pathway assessment for natural gas to shallow groundwater during well stimulation, in production, and after abandonment, Environmental Geosciences, 21(3)</w:t>
      </w:r>
      <w:r w:rsidR="0031770D" w:rsidRPr="006B17BE">
        <w:rPr>
          <w:rFonts w:asciiTheme="minorHAnsi" w:hAnsiTheme="minorHAnsi"/>
          <w:noProof/>
          <w:sz w:val="22"/>
        </w:rPr>
        <w:t>:</w:t>
      </w:r>
      <w:r w:rsidRPr="006B17BE">
        <w:rPr>
          <w:rFonts w:asciiTheme="minorHAnsi" w:hAnsiTheme="minorHAnsi"/>
          <w:noProof/>
          <w:sz w:val="22"/>
        </w:rPr>
        <w:t xml:space="preserve"> 107-126.</w:t>
      </w:r>
    </w:p>
    <w:p w14:paraId="75D226A4" w14:textId="77777777" w:rsidR="004A13C9" w:rsidRDefault="004A13C9" w:rsidP="004A13C9">
      <w:pPr>
        <w:pStyle w:val="Reference"/>
        <w:spacing w:after="0" w:line="240" w:lineRule="auto"/>
        <w:ind w:left="720" w:hanging="720"/>
        <w:rPr>
          <w:rFonts w:asciiTheme="minorHAnsi" w:hAnsiTheme="minorHAnsi"/>
          <w:noProof/>
          <w:sz w:val="22"/>
        </w:rPr>
      </w:pPr>
      <w:r w:rsidRPr="004A13C9">
        <w:rPr>
          <w:rFonts w:asciiTheme="minorHAnsi" w:hAnsiTheme="minorHAnsi"/>
          <w:noProof/>
          <w:sz w:val="22"/>
        </w:rPr>
        <w:t>Elsener B (2005). Corrosion rate of steel in concrete-Measurements beyond the Tafel law. Corrosion Science 45 (12): 3019-3033.</w:t>
      </w:r>
    </w:p>
    <w:p w14:paraId="15139784" w14:textId="24B7AF9B" w:rsidR="00352030" w:rsidRPr="00352030" w:rsidRDefault="00352030" w:rsidP="00352030">
      <w:pPr>
        <w:pStyle w:val="Reference"/>
        <w:spacing w:after="0" w:line="240" w:lineRule="auto"/>
        <w:ind w:left="720" w:hanging="720"/>
        <w:rPr>
          <w:rFonts w:asciiTheme="minorHAnsi" w:hAnsiTheme="minorHAnsi"/>
          <w:noProof/>
          <w:sz w:val="22"/>
        </w:rPr>
      </w:pPr>
      <w:r w:rsidRPr="00352030">
        <w:rPr>
          <w:rFonts w:asciiTheme="minorHAnsi" w:hAnsiTheme="minorHAnsi"/>
          <w:noProof/>
          <w:sz w:val="22"/>
        </w:rPr>
        <w:t>Esterby SR (1996). Review of methods for the detection and estimation of trends with emphasis on water quality applications. Hydrological processes 10: 127-149.</w:t>
      </w:r>
    </w:p>
    <w:p w14:paraId="47F8E9FD" w14:textId="322020E0" w:rsidR="00DE6059" w:rsidRPr="006B17BE"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Flemisch B et al. (2011)</w:t>
      </w:r>
      <w:r w:rsidR="00AC21D3" w:rsidRPr="006B17BE">
        <w:rPr>
          <w:rFonts w:asciiTheme="minorHAnsi" w:hAnsiTheme="minorHAnsi"/>
          <w:noProof/>
          <w:sz w:val="22"/>
        </w:rPr>
        <w:t>.</w:t>
      </w:r>
      <w:r w:rsidRPr="006B17BE">
        <w:rPr>
          <w:rFonts w:asciiTheme="minorHAnsi" w:hAnsiTheme="minorHAnsi"/>
          <w:noProof/>
          <w:sz w:val="22"/>
        </w:rPr>
        <w:t xml:space="preserve"> DuMux: DUNE for multi-{phase, component, scale, physics, …} flow and transport in porous media, Advances in Water Resources, 34(9)</w:t>
      </w:r>
      <w:r w:rsidR="0031770D" w:rsidRPr="006B17BE">
        <w:rPr>
          <w:rFonts w:asciiTheme="minorHAnsi" w:hAnsiTheme="minorHAnsi"/>
          <w:noProof/>
          <w:sz w:val="22"/>
        </w:rPr>
        <w:t>:</w:t>
      </w:r>
      <w:r w:rsidRPr="006B17BE">
        <w:rPr>
          <w:rFonts w:asciiTheme="minorHAnsi" w:hAnsiTheme="minorHAnsi"/>
          <w:noProof/>
          <w:sz w:val="22"/>
        </w:rPr>
        <w:t xml:space="preserve"> 1102-1112.</w:t>
      </w:r>
    </w:p>
    <w:p w14:paraId="33356BD3" w14:textId="46075AB2" w:rsidR="00DE6059"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Gasda SE</w:t>
      </w:r>
      <w:r w:rsidR="0031770D" w:rsidRPr="006B17BE">
        <w:rPr>
          <w:rFonts w:asciiTheme="minorHAnsi" w:hAnsiTheme="minorHAnsi"/>
          <w:noProof/>
          <w:sz w:val="22"/>
        </w:rPr>
        <w:t>, Celia M</w:t>
      </w:r>
      <w:r w:rsidRPr="006B17BE">
        <w:rPr>
          <w:rFonts w:asciiTheme="minorHAnsi" w:hAnsiTheme="minorHAnsi"/>
          <w:noProof/>
          <w:sz w:val="22"/>
        </w:rPr>
        <w:t>A, Wang JZ</w:t>
      </w:r>
      <w:r w:rsidR="00F52605">
        <w:rPr>
          <w:rFonts w:asciiTheme="minorHAnsi" w:hAnsiTheme="minorHAnsi"/>
          <w:noProof/>
          <w:sz w:val="22"/>
        </w:rPr>
        <w:t>,</w:t>
      </w:r>
      <w:r w:rsidRPr="006B17BE">
        <w:rPr>
          <w:rFonts w:asciiTheme="minorHAnsi" w:hAnsiTheme="minorHAnsi"/>
          <w:noProof/>
          <w:sz w:val="22"/>
        </w:rPr>
        <w:t xml:space="preserve"> Duguid A (2013). Wellbore permeability estimates from vertical interference testing of existing wells. Energy Procedia 37</w:t>
      </w:r>
      <w:r w:rsidR="0031770D" w:rsidRPr="006B17BE">
        <w:rPr>
          <w:rFonts w:asciiTheme="minorHAnsi" w:hAnsiTheme="minorHAnsi"/>
          <w:noProof/>
          <w:sz w:val="22"/>
        </w:rPr>
        <w:t>:</w:t>
      </w:r>
      <w:r w:rsidRPr="006B17BE">
        <w:rPr>
          <w:rFonts w:asciiTheme="minorHAnsi" w:hAnsiTheme="minorHAnsi"/>
          <w:noProof/>
          <w:sz w:val="22"/>
        </w:rPr>
        <w:t xml:space="preserve"> 5376-5680.</w:t>
      </w:r>
    </w:p>
    <w:p w14:paraId="35CA6200" w14:textId="77777777" w:rsid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GasFields Commission Queensland (2015). Onshore gas well integrity in Queensland, Australia. Technical Communicaition 4, July 2015.</w:t>
      </w:r>
    </w:p>
    <w:p w14:paraId="41C872FF" w14:textId="71F39FDE" w:rsidR="0074678C" w:rsidRPr="0074678C" w:rsidRDefault="0074678C" w:rsidP="0074678C">
      <w:pPr>
        <w:pStyle w:val="Reference"/>
        <w:spacing w:after="0" w:line="240" w:lineRule="auto"/>
        <w:ind w:left="720" w:hanging="720"/>
        <w:rPr>
          <w:rFonts w:asciiTheme="minorHAnsi" w:hAnsiTheme="minorHAnsi"/>
          <w:noProof/>
          <w:sz w:val="22"/>
        </w:rPr>
      </w:pPr>
      <w:r w:rsidRPr="0074678C">
        <w:rPr>
          <w:rFonts w:asciiTheme="minorHAnsi" w:hAnsiTheme="minorHAnsi"/>
          <w:noProof/>
          <w:sz w:val="22"/>
        </w:rPr>
        <w:t>GHD (2010). Groundwater bore deterioration: schemes to alleviate rehabilitation costs, Waterlines Report Series No 32,</w:t>
      </w:r>
      <w:r>
        <w:rPr>
          <w:rFonts w:asciiTheme="minorHAnsi" w:hAnsiTheme="minorHAnsi"/>
          <w:noProof/>
          <w:sz w:val="22"/>
        </w:rPr>
        <w:t xml:space="preserve"> </w:t>
      </w:r>
      <w:r w:rsidRPr="0074678C">
        <w:rPr>
          <w:rFonts w:asciiTheme="minorHAnsi" w:hAnsiTheme="minorHAnsi"/>
          <w:noProof/>
          <w:sz w:val="22"/>
        </w:rPr>
        <w:t>National Water Commission, Canberra. 243 pp.</w:t>
      </w:r>
      <w:r>
        <w:rPr>
          <w:rFonts w:asciiTheme="minorHAnsi" w:hAnsiTheme="minorHAnsi"/>
          <w:noProof/>
          <w:sz w:val="22"/>
        </w:rPr>
        <w:t xml:space="preserve"> </w:t>
      </w:r>
      <w:r w:rsidRPr="0074678C">
        <w:rPr>
          <w:rFonts w:asciiTheme="minorHAnsi" w:hAnsiTheme="minorHAnsi"/>
          <w:noProof/>
          <w:sz w:val="22"/>
        </w:rPr>
        <w:t>http://archive.nwc.gov.au/library/waterlines/32/groundwaterbore‐deterioration‐schemes‐to‐alleviate‐rehabilitation‐costs</w:t>
      </w:r>
    </w:p>
    <w:p w14:paraId="3BA751C3" w14:textId="0EBAB859" w:rsidR="004F0866" w:rsidRDefault="004F0866" w:rsidP="004F0866">
      <w:pPr>
        <w:pStyle w:val="Reference"/>
        <w:spacing w:after="0" w:line="240" w:lineRule="auto"/>
        <w:ind w:left="720" w:hanging="720"/>
        <w:rPr>
          <w:rFonts w:asciiTheme="minorHAnsi" w:hAnsiTheme="minorHAnsi"/>
          <w:noProof/>
          <w:sz w:val="22"/>
        </w:rPr>
      </w:pPr>
      <w:r w:rsidRPr="004F0866">
        <w:rPr>
          <w:rFonts w:asciiTheme="minorHAnsi" w:hAnsiTheme="minorHAnsi"/>
          <w:noProof/>
          <w:sz w:val="22"/>
        </w:rPr>
        <w:t>Golding SD, Boreham CJ, Esterle JS (2013). Stable isotope geochemistry of coal bed and shale gas and related production waters: A review. International Journal of Coal Geology 120: 24-40.</w:t>
      </w:r>
    </w:p>
    <w:p w14:paraId="66B8183A" w14:textId="3DE3F076" w:rsidR="004F0866" w:rsidRPr="004F0866" w:rsidRDefault="004F0866" w:rsidP="004F0866">
      <w:pPr>
        <w:pStyle w:val="Reference"/>
        <w:spacing w:after="0" w:line="240" w:lineRule="auto"/>
        <w:ind w:left="720" w:hanging="720"/>
        <w:rPr>
          <w:rFonts w:asciiTheme="minorHAnsi" w:hAnsiTheme="minorHAnsi"/>
          <w:noProof/>
          <w:sz w:val="22"/>
        </w:rPr>
      </w:pPr>
      <w:r w:rsidRPr="004F0866">
        <w:rPr>
          <w:rFonts w:asciiTheme="minorHAnsi" w:hAnsiTheme="minorHAnsi"/>
          <w:noProof/>
          <w:sz w:val="22"/>
        </w:rPr>
        <w:t>Hamilton SK, Esterle JS, Golding SD (2012). Geological interpretation of gas content trends, Walloon Subgroup, eastern Surat Basin, Queensland, Australia. International Journal of Coal Geology 101: 21–35.</w:t>
      </w:r>
    </w:p>
    <w:p w14:paraId="7E439288" w14:textId="232F2B65" w:rsidR="004F0866" w:rsidRDefault="004F0866" w:rsidP="004F0866">
      <w:pPr>
        <w:pStyle w:val="Reference"/>
        <w:spacing w:after="0" w:line="240" w:lineRule="auto"/>
        <w:ind w:left="720" w:hanging="720"/>
        <w:rPr>
          <w:rFonts w:asciiTheme="minorHAnsi" w:hAnsiTheme="minorHAnsi"/>
          <w:noProof/>
          <w:sz w:val="22"/>
        </w:rPr>
      </w:pPr>
      <w:r w:rsidRPr="004F0866">
        <w:rPr>
          <w:rFonts w:asciiTheme="minorHAnsi" w:hAnsiTheme="minorHAnsi"/>
          <w:noProof/>
          <w:sz w:val="22"/>
        </w:rPr>
        <w:t>Hamilton SK, Golding SD, Baublys KA</w:t>
      </w:r>
      <w:r w:rsidR="00F52605">
        <w:rPr>
          <w:rFonts w:asciiTheme="minorHAnsi" w:hAnsiTheme="minorHAnsi"/>
          <w:noProof/>
          <w:sz w:val="22"/>
        </w:rPr>
        <w:t>,</w:t>
      </w:r>
      <w:r w:rsidRPr="004F0866">
        <w:rPr>
          <w:rFonts w:asciiTheme="minorHAnsi" w:hAnsiTheme="minorHAnsi"/>
          <w:noProof/>
          <w:sz w:val="22"/>
        </w:rPr>
        <w:t xml:space="preserve"> Esterle JS (2014). Stable isotopic and molecular composition of desorbed coal seam gases from the Walloon Subgroup, eastern Surat Basin, Australia. International Journal of Coal Geology 122: 21-36.</w:t>
      </w:r>
    </w:p>
    <w:p w14:paraId="23763A1F" w14:textId="7C835068" w:rsidR="00DE6059" w:rsidRPr="006B17BE"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Harbaugh AW (2005)</w:t>
      </w:r>
      <w:r w:rsidR="00AC21D3" w:rsidRPr="006B17BE">
        <w:rPr>
          <w:rFonts w:asciiTheme="minorHAnsi" w:hAnsiTheme="minorHAnsi"/>
          <w:noProof/>
          <w:sz w:val="22"/>
        </w:rPr>
        <w:t>.</w:t>
      </w:r>
      <w:r w:rsidRPr="006B17BE">
        <w:rPr>
          <w:rFonts w:asciiTheme="minorHAnsi" w:hAnsiTheme="minorHAnsi"/>
          <w:noProof/>
          <w:sz w:val="22"/>
        </w:rPr>
        <w:t xml:space="preserve"> MODFLOW-2005, the US Geological Survey modular ground-water model: The ground-water flow process, US Department of the Interior, US Geological Survey Reston, VA, USA.</w:t>
      </w:r>
    </w:p>
    <w:p w14:paraId="6D871FA9" w14:textId="63A0752A" w:rsidR="00DE6059"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Hawkes CD</w:t>
      </w:r>
      <w:r w:rsidR="00F52605">
        <w:rPr>
          <w:rFonts w:asciiTheme="minorHAnsi" w:hAnsiTheme="minorHAnsi"/>
          <w:noProof/>
          <w:sz w:val="22"/>
        </w:rPr>
        <w:t>,</w:t>
      </w:r>
      <w:r w:rsidRPr="006B17BE">
        <w:rPr>
          <w:rFonts w:asciiTheme="minorHAnsi" w:hAnsiTheme="minorHAnsi"/>
          <w:noProof/>
          <w:sz w:val="22"/>
        </w:rPr>
        <w:t xml:space="preserve"> Gardner </w:t>
      </w:r>
      <w:r w:rsidR="0031770D" w:rsidRPr="006B17BE">
        <w:rPr>
          <w:rFonts w:asciiTheme="minorHAnsi" w:hAnsiTheme="minorHAnsi"/>
          <w:noProof/>
          <w:sz w:val="22"/>
        </w:rPr>
        <w:t xml:space="preserve">C </w:t>
      </w:r>
      <w:r w:rsidRPr="006B17BE">
        <w:rPr>
          <w:rFonts w:asciiTheme="minorHAnsi" w:hAnsiTheme="minorHAnsi"/>
          <w:noProof/>
          <w:sz w:val="22"/>
        </w:rPr>
        <w:t>(2013)</w:t>
      </w:r>
      <w:r w:rsidR="00AC21D3" w:rsidRPr="006B17BE">
        <w:rPr>
          <w:rFonts w:asciiTheme="minorHAnsi" w:hAnsiTheme="minorHAnsi"/>
          <w:noProof/>
          <w:sz w:val="22"/>
        </w:rPr>
        <w:t>.</w:t>
      </w:r>
      <w:r w:rsidRPr="006B17BE">
        <w:rPr>
          <w:rFonts w:asciiTheme="minorHAnsi" w:hAnsiTheme="minorHAnsi"/>
          <w:noProof/>
          <w:sz w:val="22"/>
        </w:rPr>
        <w:t xml:space="preserve"> Pressure transient testing for assessment of wellbore integrity in the IEAGHG Weyburn–Midale CO 2 Monitoring and Storage Project, International Journal of Greenhouse Gas Control, 16</w:t>
      </w:r>
      <w:r w:rsidR="0031770D" w:rsidRPr="006B17BE">
        <w:rPr>
          <w:rFonts w:asciiTheme="minorHAnsi" w:hAnsiTheme="minorHAnsi"/>
          <w:noProof/>
          <w:sz w:val="22"/>
        </w:rPr>
        <w:t>:</w:t>
      </w:r>
      <w:r w:rsidRPr="006B17BE">
        <w:rPr>
          <w:rFonts w:asciiTheme="minorHAnsi" w:hAnsiTheme="minorHAnsi"/>
          <w:noProof/>
          <w:sz w:val="22"/>
        </w:rPr>
        <w:t xml:space="preserve"> S50-S61.</w:t>
      </w:r>
    </w:p>
    <w:p w14:paraId="44E283F5" w14:textId="1DBBC44C" w:rsidR="00352030" w:rsidRPr="00352030" w:rsidRDefault="00352030" w:rsidP="00352030">
      <w:pPr>
        <w:pStyle w:val="Reference"/>
        <w:spacing w:after="0" w:line="240" w:lineRule="auto"/>
        <w:ind w:left="720" w:hanging="720"/>
        <w:rPr>
          <w:rFonts w:asciiTheme="minorHAnsi" w:hAnsiTheme="minorHAnsi"/>
          <w:noProof/>
          <w:sz w:val="22"/>
        </w:rPr>
      </w:pPr>
      <w:r w:rsidRPr="00352030">
        <w:rPr>
          <w:rFonts w:asciiTheme="minorHAnsi" w:hAnsiTheme="minorHAnsi"/>
          <w:noProof/>
          <w:sz w:val="22"/>
        </w:rPr>
        <w:t>Hirsch R.M., J.M. Slack, R.A. Smith (1982). Techniques of trend analysis for monthly water quality data. Water Resources Research 18(1): 107-121.</w:t>
      </w:r>
    </w:p>
    <w:p w14:paraId="73D69193" w14:textId="5ED5F341" w:rsidR="00DE6059"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HydroGeoLogic (2006)</w:t>
      </w:r>
      <w:r w:rsidR="00AC21D3" w:rsidRPr="006B17BE">
        <w:rPr>
          <w:rFonts w:asciiTheme="minorHAnsi" w:hAnsiTheme="minorHAnsi"/>
          <w:noProof/>
          <w:sz w:val="22"/>
        </w:rPr>
        <w:t>.</w:t>
      </w:r>
      <w:r w:rsidRPr="006B17BE">
        <w:rPr>
          <w:rFonts w:asciiTheme="minorHAnsi" w:hAnsiTheme="minorHAnsi"/>
          <w:noProof/>
          <w:sz w:val="22"/>
        </w:rPr>
        <w:t xml:space="preserve"> MODHMS: A comprehensive MODFLOW-based hydrologic modeling system, Version 3.0.Rep., HydroGeoLogic Incorporated, Herndon, VA.</w:t>
      </w:r>
    </w:p>
    <w:p w14:paraId="5E6A04ED" w14:textId="47664AA3" w:rsidR="00100ADF" w:rsidRDefault="00100ADF" w:rsidP="00100ADF">
      <w:pPr>
        <w:pStyle w:val="Body"/>
        <w:spacing w:afterLines="20" w:after="48"/>
        <w:ind w:left="567" w:hanging="567"/>
        <w:rPr>
          <w:rFonts w:asciiTheme="majorHAnsi" w:hAnsiTheme="majorHAnsi"/>
        </w:rPr>
      </w:pPr>
      <w:r>
        <w:rPr>
          <w:rFonts w:asciiTheme="majorHAnsi" w:hAnsiTheme="majorHAnsi"/>
        </w:rPr>
        <w:t xml:space="preserve">Jackson RB, Vengosh A, Darrah TH, Warner NR, Down A, Poreda RJ, Osborn SG, Zhao K, Karr JD (2013). Increased stray gas abundance in a subset of drinking water wells near Marcellus shale gas extraction. Proceedings of the National Academy of Sciences 110: 11250-11255. </w:t>
      </w:r>
      <w:hyperlink r:id="rId67" w:history="1">
        <w:r>
          <w:rPr>
            <w:rStyle w:val="Hyperlink"/>
          </w:rPr>
          <w:t>http://dx.doi.org/10.1073/pnas.1221635110</w:t>
        </w:r>
      </w:hyperlink>
      <w:r>
        <w:rPr>
          <w:rFonts w:asciiTheme="majorHAnsi" w:hAnsiTheme="majorHAnsi"/>
        </w:rPr>
        <w:t>.</w:t>
      </w:r>
    </w:p>
    <w:p w14:paraId="6FF40B8D" w14:textId="5423B907" w:rsidR="00F3348B" w:rsidRDefault="00F3348B" w:rsidP="00F3348B">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 xml:space="preserve">Jackson RB </w:t>
      </w:r>
      <w:r w:rsidR="00AC21D3" w:rsidRPr="006B17BE">
        <w:rPr>
          <w:rFonts w:asciiTheme="minorHAnsi" w:hAnsiTheme="minorHAnsi"/>
          <w:noProof/>
          <w:sz w:val="22"/>
        </w:rPr>
        <w:t>(</w:t>
      </w:r>
      <w:r w:rsidRPr="006B17BE">
        <w:rPr>
          <w:rFonts w:asciiTheme="minorHAnsi" w:hAnsiTheme="minorHAnsi"/>
          <w:noProof/>
          <w:sz w:val="22"/>
        </w:rPr>
        <w:t>2014</w:t>
      </w:r>
      <w:r w:rsidR="00AC21D3" w:rsidRPr="006B17BE">
        <w:rPr>
          <w:rFonts w:asciiTheme="minorHAnsi" w:hAnsiTheme="minorHAnsi"/>
          <w:noProof/>
          <w:sz w:val="22"/>
        </w:rPr>
        <w:t>)</w:t>
      </w:r>
      <w:r w:rsidRPr="006B17BE">
        <w:rPr>
          <w:rFonts w:asciiTheme="minorHAnsi" w:hAnsiTheme="minorHAnsi"/>
          <w:noProof/>
          <w:sz w:val="22"/>
        </w:rPr>
        <w:t>. The integrity of oil and gas wells. Proceedings of the National Academy of Sciences, 111(30): 10902-10903.</w:t>
      </w:r>
    </w:p>
    <w:p w14:paraId="4B3CFBC4" w14:textId="040A4967" w:rsidR="005C6167" w:rsidRPr="005C6167" w:rsidRDefault="005C6167" w:rsidP="005C6167">
      <w:pPr>
        <w:pStyle w:val="Reference"/>
        <w:spacing w:after="0" w:line="240" w:lineRule="auto"/>
        <w:ind w:left="720" w:hanging="720"/>
        <w:rPr>
          <w:rFonts w:asciiTheme="minorHAnsi" w:hAnsiTheme="minorHAnsi"/>
          <w:noProof/>
          <w:sz w:val="22"/>
        </w:rPr>
      </w:pPr>
      <w:r w:rsidRPr="005C6167">
        <w:rPr>
          <w:rFonts w:asciiTheme="minorHAnsi" w:hAnsiTheme="minorHAnsi"/>
          <w:noProof/>
          <w:sz w:val="22"/>
        </w:rPr>
        <w:t>Kaplan IR, Galperin Y, Lu S‐T, and Lee R‐P (1997). Forensic Environmental Geochemistry: differentiation of fuel‐types, their sources and release time. Organic Geochemistry 27(5/6): 289‐317.</w:t>
      </w:r>
    </w:p>
    <w:p w14:paraId="7525C16A" w14:textId="3A4A1D71" w:rsidR="00EE1219" w:rsidRPr="00EE1219" w:rsidRDefault="00EE1219" w:rsidP="00EE1219">
      <w:pPr>
        <w:pStyle w:val="Reference"/>
        <w:spacing w:after="0" w:line="240" w:lineRule="auto"/>
        <w:ind w:left="720" w:hanging="720"/>
        <w:rPr>
          <w:rFonts w:asciiTheme="minorHAnsi" w:hAnsiTheme="minorHAnsi"/>
          <w:noProof/>
          <w:sz w:val="22"/>
        </w:rPr>
      </w:pPr>
      <w:r w:rsidRPr="00EE1219">
        <w:rPr>
          <w:rFonts w:asciiTheme="minorHAnsi" w:hAnsiTheme="minorHAnsi"/>
          <w:noProof/>
          <w:sz w:val="22"/>
        </w:rPr>
        <w:t>King GE</w:t>
      </w:r>
      <w:r w:rsidR="00F52605">
        <w:rPr>
          <w:rFonts w:asciiTheme="minorHAnsi" w:hAnsiTheme="minorHAnsi"/>
          <w:noProof/>
          <w:sz w:val="22"/>
        </w:rPr>
        <w:t>,</w:t>
      </w:r>
      <w:r w:rsidRPr="00EE1219">
        <w:rPr>
          <w:rFonts w:asciiTheme="minorHAnsi" w:hAnsiTheme="minorHAnsi"/>
          <w:noProof/>
          <w:sz w:val="22"/>
        </w:rPr>
        <w:t xml:space="preserve"> King DE (2013). Environmental risk arising from well construction failure: difference between barrier and well failure, and estimates of failure frequency across common well types, locations and well age. SPE 166142 presented at the SPE Annual Technical Conferenc and Exhibition held in New Orleans, Louisiana, USA, 20 Sept – 2 Oct. 2013.</w:t>
      </w:r>
    </w:p>
    <w:p w14:paraId="3E48C3BE" w14:textId="485843CE" w:rsidR="00A1682A" w:rsidRDefault="00A1682A" w:rsidP="00A1682A">
      <w:pPr>
        <w:pStyle w:val="Reference"/>
        <w:spacing w:after="0" w:line="240" w:lineRule="auto"/>
        <w:ind w:left="720" w:hanging="720"/>
        <w:rPr>
          <w:rFonts w:asciiTheme="minorHAnsi" w:hAnsiTheme="minorHAnsi"/>
          <w:noProof/>
          <w:sz w:val="22"/>
        </w:rPr>
      </w:pPr>
      <w:bookmarkStart w:id="653" w:name="_ENREF_11"/>
      <w:r w:rsidRPr="006B17BE">
        <w:rPr>
          <w:rFonts w:asciiTheme="minorHAnsi" w:hAnsiTheme="minorHAnsi"/>
          <w:noProof/>
          <w:sz w:val="22"/>
        </w:rPr>
        <w:t>Kissinger A, Helmig R, Ebigbo A, Class H, Lange T, Sauter M, Heitfeld M, Klünker J</w:t>
      </w:r>
      <w:r w:rsidR="00F52605">
        <w:rPr>
          <w:rFonts w:asciiTheme="minorHAnsi" w:hAnsiTheme="minorHAnsi"/>
          <w:noProof/>
          <w:sz w:val="22"/>
        </w:rPr>
        <w:t>,</w:t>
      </w:r>
      <w:r w:rsidRPr="006B17BE">
        <w:rPr>
          <w:rFonts w:asciiTheme="minorHAnsi" w:hAnsiTheme="minorHAnsi"/>
          <w:noProof/>
          <w:sz w:val="22"/>
        </w:rPr>
        <w:t xml:space="preserve"> W Jahn (2013). Hydraulic fracturing in unconventional gas reservoirs: risks in the geological system, part 2, Environmental earth sciences, 70(8): 3855-3873.</w:t>
      </w:r>
      <w:bookmarkEnd w:id="653"/>
    </w:p>
    <w:p w14:paraId="5742560B" w14:textId="77777777" w:rsidR="00E950AA" w:rsidRPr="00E950AA" w:rsidRDefault="00E950AA" w:rsidP="00E950AA">
      <w:pPr>
        <w:pStyle w:val="Reference"/>
        <w:spacing w:after="0" w:line="240" w:lineRule="auto"/>
        <w:ind w:left="720" w:hanging="720"/>
        <w:rPr>
          <w:rFonts w:asciiTheme="minorHAnsi" w:hAnsiTheme="minorHAnsi"/>
          <w:noProof/>
          <w:sz w:val="22"/>
        </w:rPr>
      </w:pPr>
      <w:r w:rsidRPr="00E950AA">
        <w:rPr>
          <w:rFonts w:asciiTheme="minorHAnsi" w:hAnsiTheme="minorHAnsi"/>
          <w:noProof/>
          <w:sz w:val="22"/>
        </w:rPr>
        <w:t>Kreis P (1991). Hydrogen evolution from corrosion of iron and steel in low/intermediate-level waste repositories. Nagra Technical Report NTB 91-21, Nagra, Wettingen, Switzerland.</w:t>
      </w:r>
    </w:p>
    <w:p w14:paraId="65586BED" w14:textId="02C20F03" w:rsidR="00A1682A" w:rsidRPr="006B17BE" w:rsidRDefault="00A1682A" w:rsidP="00A1682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Langevin CD, Thorne DT Jr, Dausman AM, Sukop MC</w:t>
      </w:r>
      <w:r w:rsidR="00F52605">
        <w:rPr>
          <w:rFonts w:asciiTheme="minorHAnsi" w:hAnsiTheme="minorHAnsi"/>
          <w:noProof/>
          <w:sz w:val="22"/>
        </w:rPr>
        <w:t>,</w:t>
      </w:r>
      <w:r w:rsidRPr="006B17BE">
        <w:rPr>
          <w:rFonts w:asciiTheme="minorHAnsi" w:hAnsiTheme="minorHAnsi"/>
          <w:noProof/>
          <w:sz w:val="22"/>
        </w:rPr>
        <w:t xml:space="preserve"> Weixing G (2007). SEAWAT Version 4: A Computer Program for Simulation of Multi-Species Solute and Heat Transport. Techniques and Methods Book 6, Chapter A22 U.S. Department of the Interior and U.S. Geological Survey.</w:t>
      </w:r>
    </w:p>
    <w:p w14:paraId="6AABA5BF" w14:textId="69C69C56" w:rsidR="00225575" w:rsidRDefault="00225575" w:rsidP="00A1682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Leij F</w:t>
      </w:r>
      <w:r w:rsidR="00F52605">
        <w:rPr>
          <w:rFonts w:asciiTheme="minorHAnsi" w:hAnsiTheme="minorHAnsi"/>
          <w:noProof/>
          <w:sz w:val="22"/>
        </w:rPr>
        <w:t>,</w:t>
      </w:r>
      <w:r w:rsidRPr="006B17BE">
        <w:rPr>
          <w:rFonts w:asciiTheme="minorHAnsi" w:hAnsiTheme="minorHAnsi"/>
          <w:noProof/>
          <w:sz w:val="22"/>
        </w:rPr>
        <w:t xml:space="preserve"> Bradford SA (1994). 3DADE: A computer program for evaluation of three‐dimensional equilibrium solute transport in porous media. Research Report No. 134, US Salinity Lab, Riverside, CA.</w:t>
      </w:r>
    </w:p>
    <w:p w14:paraId="76C4E585" w14:textId="69086971" w:rsidR="00DE6059" w:rsidRDefault="00DE6059" w:rsidP="00DE6059">
      <w:pPr>
        <w:pStyle w:val="Reference"/>
        <w:spacing w:after="0" w:line="240" w:lineRule="auto"/>
        <w:ind w:left="720" w:hanging="720"/>
        <w:rPr>
          <w:rFonts w:asciiTheme="minorHAnsi" w:hAnsiTheme="minorHAnsi"/>
          <w:noProof/>
          <w:sz w:val="22"/>
        </w:rPr>
      </w:pPr>
      <w:bookmarkStart w:id="654" w:name="_ENREF_12"/>
      <w:r w:rsidRPr="006B17BE">
        <w:rPr>
          <w:rFonts w:asciiTheme="minorHAnsi" w:hAnsiTheme="minorHAnsi"/>
          <w:noProof/>
          <w:sz w:val="22"/>
        </w:rPr>
        <w:t>Lewicki JL</w:t>
      </w:r>
      <w:r w:rsidR="0031770D" w:rsidRPr="006B17BE">
        <w:rPr>
          <w:rFonts w:asciiTheme="minorHAnsi" w:hAnsiTheme="minorHAnsi"/>
          <w:noProof/>
          <w:sz w:val="22"/>
        </w:rPr>
        <w:t xml:space="preserve">, </w:t>
      </w:r>
      <w:r w:rsidRPr="006B17BE">
        <w:rPr>
          <w:rFonts w:asciiTheme="minorHAnsi" w:hAnsiTheme="minorHAnsi"/>
          <w:noProof/>
          <w:sz w:val="22"/>
        </w:rPr>
        <w:t>Birkholzer</w:t>
      </w:r>
      <w:r w:rsidR="0031770D" w:rsidRPr="006B17BE">
        <w:rPr>
          <w:rFonts w:asciiTheme="minorHAnsi" w:hAnsiTheme="minorHAnsi"/>
          <w:noProof/>
          <w:sz w:val="22"/>
        </w:rPr>
        <w:t xml:space="preserve"> J</w:t>
      </w:r>
      <w:r w:rsidR="00F52605">
        <w:rPr>
          <w:rFonts w:asciiTheme="minorHAnsi" w:hAnsiTheme="minorHAnsi"/>
          <w:noProof/>
          <w:sz w:val="22"/>
        </w:rPr>
        <w:t>,</w:t>
      </w:r>
      <w:r w:rsidRPr="006B17BE">
        <w:rPr>
          <w:rFonts w:asciiTheme="minorHAnsi" w:hAnsiTheme="minorHAnsi"/>
          <w:noProof/>
          <w:sz w:val="22"/>
        </w:rPr>
        <w:t xml:space="preserve"> Tsang </w:t>
      </w:r>
      <w:r w:rsidR="0031770D" w:rsidRPr="006B17BE">
        <w:rPr>
          <w:rFonts w:asciiTheme="minorHAnsi" w:hAnsiTheme="minorHAnsi"/>
          <w:noProof/>
          <w:sz w:val="22"/>
        </w:rPr>
        <w:t xml:space="preserve">C-F </w:t>
      </w:r>
      <w:r w:rsidRPr="006B17BE">
        <w:rPr>
          <w:rFonts w:asciiTheme="minorHAnsi" w:hAnsiTheme="minorHAnsi"/>
          <w:noProof/>
          <w:sz w:val="22"/>
        </w:rPr>
        <w:t>(2007)</w:t>
      </w:r>
      <w:r w:rsidR="00AC21D3" w:rsidRPr="006B17BE">
        <w:rPr>
          <w:rFonts w:asciiTheme="minorHAnsi" w:hAnsiTheme="minorHAnsi"/>
          <w:noProof/>
          <w:sz w:val="22"/>
        </w:rPr>
        <w:t>.</w:t>
      </w:r>
      <w:r w:rsidRPr="006B17BE">
        <w:rPr>
          <w:rFonts w:asciiTheme="minorHAnsi" w:hAnsiTheme="minorHAnsi"/>
          <w:noProof/>
          <w:sz w:val="22"/>
        </w:rPr>
        <w:t xml:space="preserve"> Natural and industrial analogues for leakage of CO2 from storage reservoirs: identification of features, events, and processes and lessons learned, Environmental Geology, 52(3)</w:t>
      </w:r>
      <w:r w:rsidR="0031770D" w:rsidRPr="006B17BE">
        <w:rPr>
          <w:rFonts w:asciiTheme="minorHAnsi" w:hAnsiTheme="minorHAnsi"/>
          <w:noProof/>
          <w:sz w:val="22"/>
        </w:rPr>
        <w:t>:</w:t>
      </w:r>
      <w:r w:rsidRPr="006B17BE">
        <w:rPr>
          <w:rFonts w:asciiTheme="minorHAnsi" w:hAnsiTheme="minorHAnsi"/>
          <w:noProof/>
          <w:sz w:val="22"/>
        </w:rPr>
        <w:t xml:space="preserve"> 457-467.</w:t>
      </w:r>
      <w:bookmarkEnd w:id="654"/>
    </w:p>
    <w:p w14:paraId="135628C3" w14:textId="78047C5D" w:rsidR="00406BF6" w:rsidRPr="00406BF6" w:rsidRDefault="00406BF6" w:rsidP="00406BF6">
      <w:pPr>
        <w:pStyle w:val="Reference"/>
        <w:spacing w:after="0" w:line="240" w:lineRule="auto"/>
        <w:ind w:left="720" w:hanging="720"/>
        <w:rPr>
          <w:rFonts w:asciiTheme="minorHAnsi" w:hAnsiTheme="minorHAnsi"/>
          <w:noProof/>
          <w:sz w:val="22"/>
        </w:rPr>
      </w:pPr>
      <w:r w:rsidRPr="00406BF6">
        <w:rPr>
          <w:rFonts w:asciiTheme="minorHAnsi" w:hAnsiTheme="minorHAnsi"/>
          <w:noProof/>
          <w:sz w:val="22"/>
        </w:rPr>
        <w:t>Llewellyn GT, Dorman</w:t>
      </w:r>
      <w:r>
        <w:rPr>
          <w:rFonts w:asciiTheme="minorHAnsi" w:hAnsiTheme="minorHAnsi"/>
          <w:noProof/>
          <w:sz w:val="22"/>
        </w:rPr>
        <w:t xml:space="preserve"> F</w:t>
      </w:r>
      <w:r w:rsidRPr="00406BF6">
        <w:rPr>
          <w:rFonts w:asciiTheme="minorHAnsi" w:hAnsiTheme="minorHAnsi"/>
          <w:noProof/>
          <w:sz w:val="22"/>
        </w:rPr>
        <w:t>, Westland</w:t>
      </w:r>
      <w:r>
        <w:rPr>
          <w:rFonts w:asciiTheme="minorHAnsi" w:hAnsiTheme="minorHAnsi"/>
          <w:noProof/>
          <w:sz w:val="22"/>
        </w:rPr>
        <w:t xml:space="preserve"> JL</w:t>
      </w:r>
      <w:r w:rsidRPr="00406BF6">
        <w:rPr>
          <w:rFonts w:asciiTheme="minorHAnsi" w:hAnsiTheme="minorHAnsi"/>
          <w:noProof/>
          <w:sz w:val="22"/>
        </w:rPr>
        <w:t>, Yoxtheimer</w:t>
      </w:r>
      <w:r>
        <w:rPr>
          <w:rFonts w:asciiTheme="minorHAnsi" w:hAnsiTheme="minorHAnsi"/>
          <w:noProof/>
          <w:sz w:val="22"/>
        </w:rPr>
        <w:t xml:space="preserve"> D</w:t>
      </w:r>
      <w:r w:rsidRPr="00406BF6">
        <w:rPr>
          <w:rFonts w:asciiTheme="minorHAnsi" w:hAnsiTheme="minorHAnsi"/>
          <w:noProof/>
          <w:sz w:val="22"/>
        </w:rPr>
        <w:t>, Grieve</w:t>
      </w:r>
      <w:r>
        <w:rPr>
          <w:rFonts w:asciiTheme="minorHAnsi" w:hAnsiTheme="minorHAnsi"/>
          <w:noProof/>
          <w:sz w:val="22"/>
        </w:rPr>
        <w:t xml:space="preserve"> P</w:t>
      </w:r>
      <w:r w:rsidRPr="00406BF6">
        <w:rPr>
          <w:rFonts w:asciiTheme="minorHAnsi" w:hAnsiTheme="minorHAnsi"/>
          <w:noProof/>
          <w:sz w:val="22"/>
        </w:rPr>
        <w:t>, Sowers</w:t>
      </w:r>
      <w:r>
        <w:rPr>
          <w:rFonts w:asciiTheme="minorHAnsi" w:hAnsiTheme="minorHAnsi"/>
          <w:noProof/>
          <w:sz w:val="22"/>
        </w:rPr>
        <w:t xml:space="preserve"> T</w:t>
      </w:r>
      <w:r w:rsidRPr="00406BF6">
        <w:rPr>
          <w:rFonts w:asciiTheme="minorHAnsi" w:hAnsiTheme="minorHAnsi"/>
          <w:noProof/>
          <w:sz w:val="22"/>
        </w:rPr>
        <w:t>, Humston-Fulmer</w:t>
      </w:r>
      <w:r>
        <w:rPr>
          <w:rFonts w:asciiTheme="minorHAnsi" w:hAnsiTheme="minorHAnsi"/>
          <w:noProof/>
          <w:sz w:val="22"/>
        </w:rPr>
        <w:t xml:space="preserve"> E</w:t>
      </w:r>
      <w:r w:rsidRPr="00406BF6">
        <w:rPr>
          <w:rFonts w:asciiTheme="minorHAnsi" w:hAnsiTheme="minorHAnsi"/>
          <w:noProof/>
          <w:sz w:val="22"/>
        </w:rPr>
        <w:t xml:space="preserve">, </w:t>
      </w:r>
      <w:r>
        <w:rPr>
          <w:rFonts w:asciiTheme="minorHAnsi" w:hAnsiTheme="minorHAnsi"/>
          <w:noProof/>
          <w:sz w:val="22"/>
        </w:rPr>
        <w:t>B</w:t>
      </w:r>
      <w:r w:rsidRPr="00406BF6">
        <w:rPr>
          <w:rFonts w:asciiTheme="minorHAnsi" w:hAnsiTheme="minorHAnsi"/>
          <w:noProof/>
          <w:sz w:val="22"/>
        </w:rPr>
        <w:t>rantley</w:t>
      </w:r>
      <w:r>
        <w:rPr>
          <w:rFonts w:asciiTheme="minorHAnsi" w:hAnsiTheme="minorHAnsi"/>
          <w:noProof/>
          <w:sz w:val="22"/>
        </w:rPr>
        <w:t xml:space="preserve"> SL (2014). </w:t>
      </w:r>
      <w:r w:rsidRPr="00406BF6">
        <w:rPr>
          <w:rFonts w:asciiTheme="minorHAnsi" w:hAnsiTheme="minorHAnsi"/>
          <w:noProof/>
          <w:sz w:val="22"/>
        </w:rPr>
        <w:t>Evaluating a groundwater supply contamination incident attributed to Marcellus Shale gas development</w:t>
      </w:r>
      <w:r>
        <w:rPr>
          <w:rFonts w:asciiTheme="minorHAnsi" w:hAnsiTheme="minorHAnsi"/>
          <w:noProof/>
          <w:sz w:val="22"/>
        </w:rPr>
        <w:t xml:space="preserve">. </w:t>
      </w:r>
      <w:r w:rsidRPr="00406BF6">
        <w:rPr>
          <w:rFonts w:asciiTheme="minorHAnsi" w:hAnsiTheme="minorHAnsi"/>
          <w:noProof/>
          <w:sz w:val="22"/>
        </w:rPr>
        <w:t>Proceedings of the National Academy of Sciences 112(20): 6325–6330.</w:t>
      </w:r>
    </w:p>
    <w:p w14:paraId="4C14DF05" w14:textId="7D2E01CF" w:rsidR="00E950AA" w:rsidRPr="00E950AA" w:rsidRDefault="00E950AA" w:rsidP="00E950AA">
      <w:pPr>
        <w:pStyle w:val="Reference"/>
        <w:spacing w:after="0" w:line="240" w:lineRule="auto"/>
        <w:ind w:left="720" w:hanging="720"/>
        <w:rPr>
          <w:rFonts w:asciiTheme="minorHAnsi" w:hAnsiTheme="minorHAnsi"/>
          <w:noProof/>
          <w:sz w:val="22"/>
        </w:rPr>
      </w:pPr>
      <w:r w:rsidRPr="00E950AA">
        <w:rPr>
          <w:rFonts w:asciiTheme="minorHAnsi" w:hAnsiTheme="minorHAnsi"/>
          <w:noProof/>
          <w:sz w:val="22"/>
        </w:rPr>
        <w:t>Lyons W</w:t>
      </w:r>
      <w:r w:rsidR="00F52605">
        <w:rPr>
          <w:rFonts w:asciiTheme="minorHAnsi" w:hAnsiTheme="minorHAnsi"/>
          <w:noProof/>
          <w:sz w:val="22"/>
        </w:rPr>
        <w:t>,</w:t>
      </w:r>
      <w:r w:rsidRPr="00E950AA">
        <w:rPr>
          <w:rFonts w:asciiTheme="minorHAnsi" w:hAnsiTheme="minorHAnsi"/>
          <w:noProof/>
          <w:sz w:val="22"/>
        </w:rPr>
        <w:t xml:space="preserve"> Plisga G (2004). Chapter 4, Drilling and Completions in Standard Handbook of Petroleum and Natural Gas Engineering, 2nd ed. SPE.</w:t>
      </w:r>
    </w:p>
    <w:p w14:paraId="7C8809C5" w14:textId="77777777" w:rsidR="00B8340F" w:rsidRPr="00B8340F" w:rsidRDefault="00B8340F" w:rsidP="00B8340F">
      <w:pPr>
        <w:pStyle w:val="Reference"/>
        <w:spacing w:after="0" w:line="240" w:lineRule="auto"/>
        <w:ind w:left="720" w:hanging="720"/>
        <w:rPr>
          <w:rFonts w:asciiTheme="minorHAnsi" w:hAnsiTheme="minorHAnsi"/>
          <w:noProof/>
          <w:sz w:val="22"/>
        </w:rPr>
      </w:pPr>
      <w:r w:rsidRPr="00B8340F">
        <w:rPr>
          <w:rFonts w:asciiTheme="minorHAnsi" w:hAnsiTheme="minorHAnsi"/>
          <w:noProof/>
          <w:sz w:val="22"/>
        </w:rPr>
        <w:t>Mallants D, Raiber M, Davies P (2016). Decision Support System for Investigating Gas in Water Bores and Links to Coal Seam Gas Development. Project report prepared for the Department of Natural Resources and Mines, Queensland. CSIRO, Australia.</w:t>
      </w:r>
    </w:p>
    <w:p w14:paraId="7C60851A" w14:textId="5384026D" w:rsidR="00DE6059" w:rsidRPr="006B17BE" w:rsidRDefault="00DE6059" w:rsidP="00DE6059">
      <w:pPr>
        <w:pStyle w:val="Reference"/>
        <w:spacing w:after="0" w:line="240" w:lineRule="auto"/>
        <w:ind w:left="720" w:hanging="720"/>
        <w:rPr>
          <w:rFonts w:asciiTheme="minorHAnsi" w:hAnsiTheme="minorHAnsi"/>
          <w:noProof/>
          <w:sz w:val="22"/>
        </w:rPr>
      </w:pPr>
      <w:bookmarkStart w:id="655" w:name="_ENREF_13"/>
      <w:r w:rsidRPr="006B17BE">
        <w:rPr>
          <w:rFonts w:asciiTheme="minorHAnsi" w:hAnsiTheme="minorHAnsi"/>
          <w:noProof/>
          <w:sz w:val="22"/>
        </w:rPr>
        <w:t>Merrick D (2015)</w:t>
      </w:r>
      <w:r w:rsidR="00AC21D3" w:rsidRPr="006B17BE">
        <w:rPr>
          <w:rFonts w:asciiTheme="minorHAnsi" w:hAnsiTheme="minorHAnsi"/>
          <w:noProof/>
          <w:sz w:val="22"/>
        </w:rPr>
        <w:t>.</w:t>
      </w:r>
      <w:r w:rsidRPr="006B17BE">
        <w:rPr>
          <w:rFonts w:asciiTheme="minorHAnsi" w:hAnsiTheme="minorHAnsi"/>
          <w:noProof/>
          <w:sz w:val="22"/>
        </w:rPr>
        <w:t xml:space="preserve"> AlgoMesh: A new software tool for building unstructured grid models, in Modflow and More 2015: Modeling a Complex World, edited, Colorado School of Mines, Golden, Colorado, USA. May 31–June 3 2015.</w:t>
      </w:r>
      <w:bookmarkEnd w:id="655"/>
    </w:p>
    <w:p w14:paraId="0702B1EC" w14:textId="29871A82" w:rsidR="00DE6059" w:rsidRDefault="00DE6059" w:rsidP="00DE6059">
      <w:pPr>
        <w:pStyle w:val="Reference"/>
        <w:spacing w:after="0" w:line="240" w:lineRule="auto"/>
        <w:ind w:left="720" w:hanging="720"/>
        <w:rPr>
          <w:rFonts w:asciiTheme="minorHAnsi" w:hAnsiTheme="minorHAnsi"/>
          <w:noProof/>
          <w:sz w:val="22"/>
        </w:rPr>
      </w:pPr>
      <w:bookmarkStart w:id="656" w:name="_ENREF_14"/>
      <w:r w:rsidRPr="006B17BE">
        <w:rPr>
          <w:rFonts w:asciiTheme="minorHAnsi" w:hAnsiTheme="minorHAnsi"/>
          <w:noProof/>
          <w:sz w:val="22"/>
        </w:rPr>
        <w:t>Moore CR, Doherty</w:t>
      </w:r>
      <w:r w:rsidR="0031770D" w:rsidRPr="006B17BE">
        <w:rPr>
          <w:rFonts w:asciiTheme="minorHAnsi" w:hAnsiTheme="minorHAnsi"/>
          <w:noProof/>
          <w:sz w:val="22"/>
        </w:rPr>
        <w:t xml:space="preserve"> J</w:t>
      </w:r>
      <w:r w:rsidRPr="006B17BE">
        <w:rPr>
          <w:rFonts w:asciiTheme="minorHAnsi" w:hAnsiTheme="minorHAnsi"/>
          <w:noProof/>
          <w:sz w:val="22"/>
        </w:rPr>
        <w:t>, Howell</w:t>
      </w:r>
      <w:r w:rsidR="0031770D" w:rsidRPr="006B17BE">
        <w:rPr>
          <w:rFonts w:asciiTheme="minorHAnsi" w:hAnsiTheme="minorHAnsi"/>
          <w:noProof/>
          <w:sz w:val="22"/>
        </w:rPr>
        <w:t xml:space="preserve"> S</w:t>
      </w:r>
      <w:r w:rsidR="00F52605">
        <w:rPr>
          <w:rFonts w:asciiTheme="minorHAnsi" w:hAnsiTheme="minorHAnsi"/>
          <w:noProof/>
          <w:sz w:val="22"/>
        </w:rPr>
        <w:t>,</w:t>
      </w:r>
      <w:r w:rsidRPr="006B17BE">
        <w:rPr>
          <w:rFonts w:asciiTheme="minorHAnsi" w:hAnsiTheme="minorHAnsi"/>
          <w:noProof/>
          <w:sz w:val="22"/>
        </w:rPr>
        <w:t xml:space="preserve"> Erriah </w:t>
      </w:r>
      <w:r w:rsidR="0031770D" w:rsidRPr="006B17BE">
        <w:rPr>
          <w:rFonts w:asciiTheme="minorHAnsi" w:hAnsiTheme="minorHAnsi"/>
          <w:noProof/>
          <w:sz w:val="22"/>
        </w:rPr>
        <w:t xml:space="preserve">L </w:t>
      </w:r>
      <w:r w:rsidRPr="006B17BE">
        <w:rPr>
          <w:rFonts w:asciiTheme="minorHAnsi" w:hAnsiTheme="minorHAnsi"/>
          <w:noProof/>
          <w:sz w:val="22"/>
        </w:rPr>
        <w:t>(2014)</w:t>
      </w:r>
      <w:r w:rsidR="00AC21D3" w:rsidRPr="006B17BE">
        <w:rPr>
          <w:rFonts w:asciiTheme="minorHAnsi" w:hAnsiTheme="minorHAnsi"/>
          <w:noProof/>
          <w:sz w:val="22"/>
        </w:rPr>
        <w:t>.</w:t>
      </w:r>
      <w:r w:rsidRPr="006B17BE">
        <w:rPr>
          <w:rFonts w:asciiTheme="minorHAnsi" w:hAnsiTheme="minorHAnsi"/>
          <w:noProof/>
          <w:sz w:val="22"/>
        </w:rPr>
        <w:t xml:space="preserve"> Some Challenges Posed by Coal Bed Methane Regional Assessment Modeling, Groundwater, 53(5)</w:t>
      </w:r>
      <w:r w:rsidR="0031770D" w:rsidRPr="006B17BE">
        <w:rPr>
          <w:rFonts w:asciiTheme="minorHAnsi" w:hAnsiTheme="minorHAnsi"/>
          <w:noProof/>
          <w:sz w:val="22"/>
        </w:rPr>
        <w:t xml:space="preserve">: </w:t>
      </w:r>
      <w:r w:rsidR="00AF19FC" w:rsidRPr="006B17BE">
        <w:rPr>
          <w:rFonts w:asciiTheme="minorHAnsi" w:hAnsiTheme="minorHAnsi"/>
          <w:noProof/>
          <w:sz w:val="22"/>
        </w:rPr>
        <w:t>737‐747</w:t>
      </w:r>
      <w:r w:rsidRPr="006B17BE">
        <w:rPr>
          <w:rFonts w:asciiTheme="minorHAnsi" w:hAnsiTheme="minorHAnsi"/>
          <w:noProof/>
          <w:sz w:val="22"/>
        </w:rPr>
        <w:t>.</w:t>
      </w:r>
      <w:bookmarkEnd w:id="656"/>
    </w:p>
    <w:p w14:paraId="3B54746B" w14:textId="639E578F" w:rsidR="00F52605" w:rsidRPr="00F52605" w:rsidRDefault="00F52605" w:rsidP="00F52605">
      <w:pPr>
        <w:pStyle w:val="Reference"/>
        <w:spacing w:after="0" w:line="240" w:lineRule="auto"/>
        <w:ind w:left="720" w:hanging="720"/>
        <w:rPr>
          <w:rFonts w:asciiTheme="minorHAnsi" w:hAnsiTheme="minorHAnsi"/>
          <w:noProof/>
          <w:sz w:val="22"/>
        </w:rPr>
      </w:pPr>
      <w:r w:rsidRPr="00F52605">
        <w:rPr>
          <w:rFonts w:asciiTheme="minorHAnsi" w:hAnsiTheme="minorHAnsi"/>
          <w:noProof/>
          <w:sz w:val="22"/>
        </w:rPr>
        <w:t>Morad K, Mireault R</w:t>
      </w:r>
      <w:r>
        <w:rPr>
          <w:rFonts w:asciiTheme="minorHAnsi" w:hAnsiTheme="minorHAnsi"/>
          <w:noProof/>
          <w:sz w:val="22"/>
        </w:rPr>
        <w:t>,</w:t>
      </w:r>
      <w:r w:rsidRPr="00F52605">
        <w:rPr>
          <w:rFonts w:asciiTheme="minorHAnsi" w:hAnsiTheme="minorHAnsi"/>
          <w:noProof/>
          <w:sz w:val="22"/>
        </w:rPr>
        <w:t xml:space="preserve"> Dean L (2008)</w:t>
      </w:r>
      <w:r>
        <w:rPr>
          <w:rFonts w:asciiTheme="minorHAnsi" w:hAnsiTheme="minorHAnsi"/>
          <w:noProof/>
          <w:sz w:val="22"/>
        </w:rPr>
        <w:t>.</w:t>
      </w:r>
      <w:r w:rsidRPr="00F52605">
        <w:rPr>
          <w:rFonts w:asciiTheme="minorHAnsi" w:hAnsiTheme="minorHAnsi"/>
          <w:noProof/>
          <w:sz w:val="22"/>
        </w:rPr>
        <w:t xml:space="preserve"> Reservoir Engineering for Geologists: Coalbed Methane Fundamentals.</w:t>
      </w:r>
    </w:p>
    <w:p w14:paraId="1DF8E0AC" w14:textId="3F10C964" w:rsidR="00DE6059" w:rsidRPr="006B17BE" w:rsidRDefault="0031770D" w:rsidP="00DE6059">
      <w:pPr>
        <w:pStyle w:val="Reference"/>
        <w:spacing w:after="0" w:line="240" w:lineRule="auto"/>
        <w:ind w:left="720" w:hanging="720"/>
        <w:rPr>
          <w:rFonts w:asciiTheme="minorHAnsi" w:hAnsiTheme="minorHAnsi"/>
          <w:noProof/>
          <w:sz w:val="22"/>
        </w:rPr>
      </w:pPr>
      <w:bookmarkStart w:id="657" w:name="_ENREF_15"/>
      <w:r w:rsidRPr="006B17BE">
        <w:rPr>
          <w:rFonts w:asciiTheme="minorHAnsi" w:hAnsiTheme="minorHAnsi"/>
          <w:noProof/>
          <w:sz w:val="22"/>
        </w:rPr>
        <w:t>Moridis</w:t>
      </w:r>
      <w:r w:rsidR="00DE6059" w:rsidRPr="006B17BE">
        <w:rPr>
          <w:rFonts w:asciiTheme="minorHAnsi" w:hAnsiTheme="minorHAnsi"/>
          <w:noProof/>
          <w:sz w:val="22"/>
        </w:rPr>
        <w:t xml:space="preserve"> GJ</w:t>
      </w:r>
      <w:r w:rsidR="00F52605">
        <w:rPr>
          <w:rFonts w:asciiTheme="minorHAnsi" w:hAnsiTheme="minorHAnsi"/>
          <w:noProof/>
          <w:sz w:val="22"/>
        </w:rPr>
        <w:t>,</w:t>
      </w:r>
      <w:r w:rsidR="00DE6059" w:rsidRPr="006B17BE">
        <w:rPr>
          <w:rFonts w:asciiTheme="minorHAnsi" w:hAnsiTheme="minorHAnsi"/>
          <w:noProof/>
          <w:sz w:val="22"/>
        </w:rPr>
        <w:t xml:space="preserve"> Freeman </w:t>
      </w:r>
      <w:r w:rsidRPr="006B17BE">
        <w:rPr>
          <w:rFonts w:asciiTheme="minorHAnsi" w:hAnsiTheme="minorHAnsi"/>
          <w:noProof/>
          <w:sz w:val="22"/>
        </w:rPr>
        <w:t xml:space="preserve">CM </w:t>
      </w:r>
      <w:r w:rsidR="00DE6059" w:rsidRPr="006B17BE">
        <w:rPr>
          <w:rFonts w:asciiTheme="minorHAnsi" w:hAnsiTheme="minorHAnsi"/>
          <w:noProof/>
          <w:sz w:val="22"/>
        </w:rPr>
        <w:t>(2014)</w:t>
      </w:r>
      <w:r w:rsidR="00AC21D3" w:rsidRPr="006B17BE">
        <w:rPr>
          <w:rFonts w:asciiTheme="minorHAnsi" w:hAnsiTheme="minorHAnsi"/>
          <w:noProof/>
          <w:sz w:val="22"/>
        </w:rPr>
        <w:t>.</w:t>
      </w:r>
      <w:r w:rsidR="00DE6059" w:rsidRPr="006B17BE">
        <w:rPr>
          <w:rFonts w:asciiTheme="minorHAnsi" w:hAnsiTheme="minorHAnsi"/>
          <w:noProof/>
          <w:sz w:val="22"/>
        </w:rPr>
        <w:t xml:space="preserve"> The RealGas and RealGasH2O options of the TOUGH+ code for the simulation of coupled fluid and heat flow in tight/shale gas systems, Computers &amp; Geosciences, 65</w:t>
      </w:r>
      <w:r w:rsidRPr="006B17BE">
        <w:rPr>
          <w:rFonts w:asciiTheme="minorHAnsi" w:hAnsiTheme="minorHAnsi"/>
          <w:noProof/>
          <w:sz w:val="22"/>
        </w:rPr>
        <w:t>:</w:t>
      </w:r>
      <w:r w:rsidR="00DE6059" w:rsidRPr="006B17BE">
        <w:rPr>
          <w:rFonts w:asciiTheme="minorHAnsi" w:hAnsiTheme="minorHAnsi"/>
          <w:noProof/>
          <w:sz w:val="22"/>
        </w:rPr>
        <w:t xml:space="preserve"> 56-71.</w:t>
      </w:r>
      <w:bookmarkEnd w:id="657"/>
    </w:p>
    <w:p w14:paraId="011A7178" w14:textId="020AC4D8" w:rsidR="00DE6059"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Morris C, Sabbagh L, Wydrinski R, Hupp J, van Kuijk R</w:t>
      </w:r>
      <w:r w:rsidR="00F52605">
        <w:rPr>
          <w:rFonts w:asciiTheme="minorHAnsi" w:hAnsiTheme="minorHAnsi"/>
          <w:noProof/>
          <w:sz w:val="22"/>
        </w:rPr>
        <w:t>,</w:t>
      </w:r>
      <w:r w:rsidRPr="006B17BE">
        <w:rPr>
          <w:rFonts w:asciiTheme="minorHAnsi" w:hAnsiTheme="minorHAnsi"/>
          <w:noProof/>
          <w:sz w:val="22"/>
        </w:rPr>
        <w:t xml:space="preserve"> Froelich B</w:t>
      </w:r>
      <w:r w:rsidR="00AC21D3" w:rsidRPr="006B17BE">
        <w:rPr>
          <w:rFonts w:asciiTheme="minorHAnsi" w:hAnsiTheme="minorHAnsi"/>
          <w:noProof/>
          <w:sz w:val="22"/>
        </w:rPr>
        <w:t xml:space="preserve"> (2007).</w:t>
      </w:r>
      <w:r w:rsidRPr="006B17BE">
        <w:rPr>
          <w:rFonts w:asciiTheme="minorHAnsi" w:hAnsiTheme="minorHAnsi"/>
          <w:noProof/>
          <w:sz w:val="22"/>
        </w:rPr>
        <w:t xml:space="preserve"> Application of Enhanced Ultrasonic Measurements for Cement and Casing Evaluation, paper SPE/IADC 105648, presented at the SPE/IADC Drilling Conference, Amsterdam, February 20–22, 2007.</w:t>
      </w:r>
    </w:p>
    <w:p w14:paraId="5FC6FC55" w14:textId="4A9683F0" w:rsidR="00621419" w:rsidRPr="00621419" w:rsidRDefault="00621419" w:rsidP="00621419">
      <w:pPr>
        <w:pStyle w:val="Reference"/>
        <w:spacing w:after="0" w:line="240" w:lineRule="auto"/>
        <w:ind w:left="720" w:hanging="720"/>
        <w:rPr>
          <w:rFonts w:asciiTheme="minorHAnsi" w:hAnsiTheme="minorHAnsi"/>
          <w:noProof/>
          <w:sz w:val="22"/>
        </w:rPr>
      </w:pPr>
      <w:r w:rsidRPr="00621419">
        <w:rPr>
          <w:rFonts w:asciiTheme="minorHAnsi" w:hAnsiTheme="minorHAnsi"/>
          <w:noProof/>
          <w:sz w:val="22"/>
        </w:rPr>
        <w:t>National Water Commission (2012).</w:t>
      </w:r>
      <w:r>
        <w:rPr>
          <w:rFonts w:asciiTheme="minorHAnsi" w:hAnsiTheme="minorHAnsi"/>
          <w:noProof/>
          <w:sz w:val="22"/>
        </w:rPr>
        <w:t xml:space="preserve"> </w:t>
      </w:r>
      <w:r w:rsidRPr="00621419">
        <w:rPr>
          <w:rFonts w:asciiTheme="minorHAnsi" w:hAnsiTheme="minorHAnsi"/>
          <w:noProof/>
          <w:sz w:val="22"/>
        </w:rPr>
        <w:t xml:space="preserve">National Uniform Drillers’ Licensing Committee. Minimum Construction requirements for Water Bores in Australia. Edition 3. </w:t>
      </w:r>
      <w:r w:rsidRPr="00051CEE">
        <w:rPr>
          <w:rFonts w:asciiTheme="minorHAnsi" w:hAnsiTheme="minorHAnsi"/>
          <w:noProof/>
          <w:sz w:val="22"/>
        </w:rPr>
        <w:t>ISBN 978-0-646-56917-8.</w:t>
      </w:r>
    </w:p>
    <w:p w14:paraId="7FC8A010" w14:textId="2C1FFCA8" w:rsidR="009E554A" w:rsidRDefault="009E554A" w:rsidP="009E554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OGIA (2016). Hydrogeological conceptualisation report for the Surat Cumulative Management Area. Office of Groundwater Impact Assessment, DNRM, QLD.</w:t>
      </w:r>
    </w:p>
    <w:p w14:paraId="25DA95C4" w14:textId="03687C92" w:rsidR="004F0866" w:rsidRPr="004F0866" w:rsidRDefault="004F0866" w:rsidP="004F0866">
      <w:pPr>
        <w:pStyle w:val="Reference"/>
        <w:spacing w:after="0" w:line="240" w:lineRule="auto"/>
        <w:ind w:left="720" w:hanging="720"/>
        <w:rPr>
          <w:rFonts w:asciiTheme="minorHAnsi" w:hAnsiTheme="minorHAnsi"/>
          <w:noProof/>
          <w:sz w:val="22"/>
        </w:rPr>
      </w:pPr>
      <w:r w:rsidRPr="004F0866">
        <w:rPr>
          <w:rFonts w:asciiTheme="minorHAnsi" w:hAnsiTheme="minorHAnsi"/>
          <w:noProof/>
          <w:sz w:val="22"/>
        </w:rPr>
        <w:t>Papendick SL, Downs KR, Vo KD, Hamilton SK, Dawson GKW, Golding SD</w:t>
      </w:r>
      <w:r w:rsidR="00F52605">
        <w:rPr>
          <w:rFonts w:asciiTheme="minorHAnsi" w:hAnsiTheme="minorHAnsi"/>
          <w:noProof/>
          <w:sz w:val="22"/>
        </w:rPr>
        <w:t>,</w:t>
      </w:r>
      <w:r w:rsidRPr="004F0866">
        <w:rPr>
          <w:rFonts w:asciiTheme="minorHAnsi" w:hAnsiTheme="minorHAnsi"/>
          <w:noProof/>
          <w:sz w:val="22"/>
        </w:rPr>
        <w:t xml:space="preserve"> Gilcrease PC (2011). Biogenic methane potential for Surat Basin, Queensland coal seams. International Journal of Coal Geology 88: 123–134.</w:t>
      </w:r>
    </w:p>
    <w:p w14:paraId="20004079" w14:textId="6B04933B" w:rsidR="00DE6059" w:rsidRPr="006B17BE" w:rsidRDefault="00DE6059" w:rsidP="00DE6059">
      <w:pPr>
        <w:pStyle w:val="Reference"/>
        <w:spacing w:after="0" w:line="240" w:lineRule="auto"/>
        <w:ind w:left="720" w:hanging="720"/>
        <w:rPr>
          <w:rFonts w:asciiTheme="minorHAnsi" w:hAnsiTheme="minorHAnsi"/>
          <w:noProof/>
          <w:sz w:val="22"/>
        </w:rPr>
      </w:pPr>
      <w:bookmarkStart w:id="658" w:name="_ENREF_16"/>
      <w:r w:rsidRPr="006B17BE">
        <w:rPr>
          <w:rFonts w:asciiTheme="minorHAnsi" w:hAnsiTheme="minorHAnsi"/>
          <w:noProof/>
          <w:sz w:val="22"/>
        </w:rPr>
        <w:t>Neville CJ</w:t>
      </w:r>
      <w:r w:rsidR="00F52605">
        <w:rPr>
          <w:rFonts w:asciiTheme="minorHAnsi" w:hAnsiTheme="minorHAnsi"/>
          <w:noProof/>
          <w:sz w:val="22"/>
        </w:rPr>
        <w:t>,</w:t>
      </w:r>
      <w:r w:rsidRPr="006B17BE">
        <w:rPr>
          <w:rFonts w:asciiTheme="minorHAnsi" w:hAnsiTheme="minorHAnsi"/>
          <w:noProof/>
          <w:sz w:val="22"/>
        </w:rPr>
        <w:t xml:space="preserve"> MJ Tonkin (2001)</w:t>
      </w:r>
      <w:r w:rsidR="00AC21D3" w:rsidRPr="006B17BE">
        <w:rPr>
          <w:rFonts w:asciiTheme="minorHAnsi" w:hAnsiTheme="minorHAnsi"/>
          <w:noProof/>
          <w:sz w:val="22"/>
        </w:rPr>
        <w:t>.</w:t>
      </w:r>
      <w:r w:rsidRPr="006B17BE">
        <w:rPr>
          <w:rFonts w:asciiTheme="minorHAnsi" w:hAnsiTheme="minorHAnsi"/>
          <w:noProof/>
          <w:sz w:val="22"/>
        </w:rPr>
        <w:t xml:space="preserve"> Representation of multiaquifer wells in MODFLOW, paper presented at Proceedings of Modflow 2001 Conference at the International Ground Water Modeling Center, Golden, Colorado.</w:t>
      </w:r>
      <w:bookmarkEnd w:id="658"/>
    </w:p>
    <w:p w14:paraId="74E381AB" w14:textId="2991222A" w:rsidR="00DE6059" w:rsidRPr="006B17BE" w:rsidRDefault="00DE6059" w:rsidP="00DE6059">
      <w:pPr>
        <w:pStyle w:val="Reference"/>
        <w:spacing w:after="0" w:line="240" w:lineRule="auto"/>
        <w:ind w:left="720" w:hanging="720"/>
        <w:rPr>
          <w:rFonts w:asciiTheme="minorHAnsi" w:hAnsiTheme="minorHAnsi"/>
          <w:noProof/>
          <w:sz w:val="22"/>
        </w:rPr>
      </w:pPr>
      <w:bookmarkStart w:id="659" w:name="_ENREF_17"/>
      <w:r w:rsidRPr="006B17BE">
        <w:rPr>
          <w:rFonts w:asciiTheme="minorHAnsi" w:hAnsiTheme="minorHAnsi"/>
          <w:noProof/>
          <w:sz w:val="22"/>
        </w:rPr>
        <w:t>Nordbotten JM, Kavetski</w:t>
      </w:r>
      <w:r w:rsidR="0031770D" w:rsidRPr="006B17BE">
        <w:rPr>
          <w:rFonts w:asciiTheme="minorHAnsi" w:hAnsiTheme="minorHAnsi"/>
          <w:noProof/>
          <w:sz w:val="22"/>
        </w:rPr>
        <w:t xml:space="preserve"> D</w:t>
      </w:r>
      <w:r w:rsidRPr="006B17BE">
        <w:rPr>
          <w:rFonts w:asciiTheme="minorHAnsi" w:hAnsiTheme="minorHAnsi"/>
          <w:noProof/>
          <w:sz w:val="22"/>
        </w:rPr>
        <w:t>, Celia</w:t>
      </w:r>
      <w:r w:rsidR="0031770D" w:rsidRPr="006B17BE">
        <w:rPr>
          <w:rFonts w:asciiTheme="minorHAnsi" w:hAnsiTheme="minorHAnsi"/>
          <w:noProof/>
          <w:sz w:val="22"/>
        </w:rPr>
        <w:t xml:space="preserve"> MA</w:t>
      </w:r>
      <w:r w:rsidR="00F52605">
        <w:rPr>
          <w:rFonts w:asciiTheme="minorHAnsi" w:hAnsiTheme="minorHAnsi"/>
          <w:noProof/>
          <w:sz w:val="22"/>
        </w:rPr>
        <w:t>,</w:t>
      </w:r>
      <w:r w:rsidRPr="006B17BE">
        <w:rPr>
          <w:rFonts w:asciiTheme="minorHAnsi" w:hAnsiTheme="minorHAnsi"/>
          <w:noProof/>
          <w:sz w:val="22"/>
        </w:rPr>
        <w:t xml:space="preserve"> Bachu </w:t>
      </w:r>
      <w:r w:rsidR="0031770D" w:rsidRPr="006B17BE">
        <w:rPr>
          <w:rFonts w:asciiTheme="minorHAnsi" w:hAnsiTheme="minorHAnsi"/>
          <w:noProof/>
          <w:sz w:val="22"/>
        </w:rPr>
        <w:t xml:space="preserve">S </w:t>
      </w:r>
      <w:r w:rsidRPr="006B17BE">
        <w:rPr>
          <w:rFonts w:asciiTheme="minorHAnsi" w:hAnsiTheme="minorHAnsi"/>
          <w:noProof/>
          <w:sz w:val="22"/>
        </w:rPr>
        <w:t>(200</w:t>
      </w:r>
      <w:r w:rsidR="009E554A" w:rsidRPr="006B17BE">
        <w:rPr>
          <w:rFonts w:asciiTheme="minorHAnsi" w:hAnsiTheme="minorHAnsi"/>
          <w:noProof/>
          <w:sz w:val="22"/>
        </w:rPr>
        <w:t>9</w:t>
      </w:r>
      <w:r w:rsidRPr="006B17BE">
        <w:rPr>
          <w:rFonts w:asciiTheme="minorHAnsi" w:hAnsiTheme="minorHAnsi"/>
          <w:noProof/>
          <w:sz w:val="22"/>
        </w:rPr>
        <w:t>)</w:t>
      </w:r>
      <w:r w:rsidR="00AC21D3" w:rsidRPr="006B17BE">
        <w:rPr>
          <w:rFonts w:asciiTheme="minorHAnsi" w:hAnsiTheme="minorHAnsi"/>
          <w:noProof/>
          <w:sz w:val="22"/>
        </w:rPr>
        <w:t>.</w:t>
      </w:r>
      <w:r w:rsidRPr="006B17BE">
        <w:rPr>
          <w:rFonts w:asciiTheme="minorHAnsi" w:hAnsiTheme="minorHAnsi"/>
          <w:noProof/>
          <w:sz w:val="22"/>
        </w:rPr>
        <w:t xml:space="preserve"> Model for CO2 leakage including multiple geological layers and multiple leaky wells, Environmental science &amp; technology, 43(3)</w:t>
      </w:r>
      <w:r w:rsidR="0031770D" w:rsidRPr="006B17BE">
        <w:rPr>
          <w:rFonts w:asciiTheme="minorHAnsi" w:hAnsiTheme="minorHAnsi"/>
          <w:noProof/>
          <w:sz w:val="22"/>
        </w:rPr>
        <w:t>:</w:t>
      </w:r>
      <w:r w:rsidRPr="006B17BE">
        <w:rPr>
          <w:rFonts w:asciiTheme="minorHAnsi" w:hAnsiTheme="minorHAnsi"/>
          <w:noProof/>
          <w:sz w:val="22"/>
        </w:rPr>
        <w:t xml:space="preserve"> 743-749.</w:t>
      </w:r>
      <w:bookmarkEnd w:id="659"/>
    </w:p>
    <w:p w14:paraId="1B5E97BF" w14:textId="3FD8761B" w:rsidR="0049575A" w:rsidRPr="006B17BE" w:rsidRDefault="0049575A" w:rsidP="0049575A">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Northey J, Pinetown K</w:t>
      </w:r>
      <w:r w:rsidR="00F52605">
        <w:rPr>
          <w:rFonts w:asciiTheme="minorHAnsi" w:hAnsiTheme="minorHAnsi"/>
          <w:noProof/>
          <w:sz w:val="22"/>
        </w:rPr>
        <w:t>,</w:t>
      </w:r>
      <w:r w:rsidRPr="006B17BE">
        <w:rPr>
          <w:rFonts w:asciiTheme="minorHAnsi" w:hAnsiTheme="minorHAnsi"/>
          <w:noProof/>
          <w:sz w:val="22"/>
        </w:rPr>
        <w:t xml:space="preserve"> Sander R (2014)</w:t>
      </w:r>
      <w:r w:rsidR="00AC21D3" w:rsidRPr="006B17BE">
        <w:rPr>
          <w:rFonts w:asciiTheme="minorHAnsi" w:hAnsiTheme="minorHAnsi"/>
          <w:noProof/>
          <w:sz w:val="22"/>
        </w:rPr>
        <w:t>.</w:t>
      </w:r>
      <w:r w:rsidRPr="006B17BE">
        <w:rPr>
          <w:rFonts w:asciiTheme="minorHAnsi" w:hAnsiTheme="minorHAnsi"/>
          <w:noProof/>
          <w:sz w:val="22"/>
        </w:rPr>
        <w:t xml:space="preserve"> Coal and coal seam gas resource assessment for the Namoi subregion. Product 1.2 for the Namoi subregion from the Northern Inland Catchments Bioregional Assessment. Department of the Environment, Bureau of Meteorology, CSIRO and Geoscience Australia, Australia.</w:t>
      </w:r>
    </w:p>
    <w:p w14:paraId="2B9189DB" w14:textId="6E37C345" w:rsidR="00DE6059" w:rsidRDefault="00DE6059" w:rsidP="00DE6059">
      <w:pPr>
        <w:pStyle w:val="Reference"/>
        <w:spacing w:after="0" w:line="240" w:lineRule="auto"/>
        <w:ind w:left="720" w:hanging="720"/>
        <w:rPr>
          <w:rFonts w:asciiTheme="minorHAnsi" w:hAnsiTheme="minorHAnsi"/>
          <w:noProof/>
          <w:sz w:val="22"/>
        </w:rPr>
      </w:pPr>
      <w:bookmarkStart w:id="660" w:name="_ENREF_18"/>
      <w:r w:rsidRPr="006B17BE">
        <w:rPr>
          <w:rFonts w:asciiTheme="minorHAnsi" w:hAnsiTheme="minorHAnsi"/>
          <w:noProof/>
          <w:sz w:val="22"/>
        </w:rPr>
        <w:t>Nowamooz A, Lemieux</w:t>
      </w:r>
      <w:r w:rsidR="0031770D" w:rsidRPr="006B17BE">
        <w:rPr>
          <w:rFonts w:asciiTheme="minorHAnsi" w:hAnsiTheme="minorHAnsi"/>
          <w:noProof/>
          <w:sz w:val="22"/>
        </w:rPr>
        <w:t xml:space="preserve"> JM</w:t>
      </w:r>
      <w:r w:rsidRPr="006B17BE">
        <w:rPr>
          <w:rFonts w:asciiTheme="minorHAnsi" w:hAnsiTheme="minorHAnsi"/>
          <w:noProof/>
          <w:sz w:val="22"/>
        </w:rPr>
        <w:t>, Molson</w:t>
      </w:r>
      <w:r w:rsidR="0031770D" w:rsidRPr="006B17BE">
        <w:rPr>
          <w:rFonts w:asciiTheme="minorHAnsi" w:hAnsiTheme="minorHAnsi"/>
          <w:noProof/>
          <w:sz w:val="22"/>
        </w:rPr>
        <w:t xml:space="preserve"> J</w:t>
      </w:r>
      <w:r w:rsidR="00F52605">
        <w:rPr>
          <w:rFonts w:asciiTheme="minorHAnsi" w:hAnsiTheme="minorHAnsi"/>
          <w:noProof/>
          <w:sz w:val="22"/>
        </w:rPr>
        <w:t>,</w:t>
      </w:r>
      <w:r w:rsidRPr="006B17BE">
        <w:rPr>
          <w:rFonts w:asciiTheme="minorHAnsi" w:hAnsiTheme="minorHAnsi"/>
          <w:noProof/>
          <w:sz w:val="22"/>
        </w:rPr>
        <w:t xml:space="preserve"> Therrien </w:t>
      </w:r>
      <w:r w:rsidR="0031770D" w:rsidRPr="006B17BE">
        <w:rPr>
          <w:rFonts w:asciiTheme="minorHAnsi" w:hAnsiTheme="minorHAnsi"/>
          <w:noProof/>
          <w:sz w:val="22"/>
        </w:rPr>
        <w:t xml:space="preserve">R </w:t>
      </w:r>
      <w:r w:rsidRPr="006B17BE">
        <w:rPr>
          <w:rFonts w:asciiTheme="minorHAnsi" w:hAnsiTheme="minorHAnsi"/>
          <w:noProof/>
          <w:sz w:val="22"/>
        </w:rPr>
        <w:t>(2015)</w:t>
      </w:r>
      <w:r w:rsidR="00AC21D3" w:rsidRPr="006B17BE">
        <w:rPr>
          <w:rFonts w:asciiTheme="minorHAnsi" w:hAnsiTheme="minorHAnsi"/>
          <w:noProof/>
          <w:sz w:val="22"/>
        </w:rPr>
        <w:t>.</w:t>
      </w:r>
      <w:r w:rsidRPr="006B17BE">
        <w:rPr>
          <w:rFonts w:asciiTheme="minorHAnsi" w:hAnsiTheme="minorHAnsi"/>
          <w:noProof/>
          <w:sz w:val="22"/>
        </w:rPr>
        <w:t xml:space="preserve"> Numerical investigation of methane and formation fluid leakage along the casing of a decommissioned shale gas well, Water Resources Research, 51(6)</w:t>
      </w:r>
      <w:r w:rsidR="0031770D" w:rsidRPr="006B17BE">
        <w:rPr>
          <w:rFonts w:asciiTheme="minorHAnsi" w:hAnsiTheme="minorHAnsi"/>
          <w:noProof/>
          <w:sz w:val="22"/>
        </w:rPr>
        <w:t>:</w:t>
      </w:r>
      <w:r w:rsidR="00AF19FC" w:rsidRPr="006B17BE">
        <w:rPr>
          <w:rFonts w:asciiTheme="minorHAnsi" w:hAnsiTheme="minorHAnsi"/>
          <w:noProof/>
          <w:sz w:val="22"/>
        </w:rPr>
        <w:t xml:space="preserve"> 4592–4622.</w:t>
      </w:r>
      <w:bookmarkEnd w:id="660"/>
    </w:p>
    <w:p w14:paraId="1BFB2E9E" w14:textId="77777777" w:rsidR="00051CEE" w:rsidRP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 xml:space="preserve">NSW Chief Scientist &amp; Engineer (2014). Independent review of coal seam gas activity in NSW – information paper: abandoned wells. </w:t>
      </w:r>
    </w:p>
    <w:p w14:paraId="01DBAE88" w14:textId="6C4B299F" w:rsidR="00DE6059" w:rsidRDefault="00DE6059" w:rsidP="00DE6059">
      <w:pPr>
        <w:pStyle w:val="Reference"/>
        <w:spacing w:after="0" w:line="240" w:lineRule="auto"/>
        <w:ind w:left="720" w:hanging="720"/>
        <w:rPr>
          <w:rFonts w:asciiTheme="minorHAnsi" w:hAnsiTheme="minorHAnsi"/>
          <w:noProof/>
          <w:sz w:val="22"/>
        </w:rPr>
      </w:pPr>
      <w:bookmarkStart w:id="661" w:name="_ENREF_19"/>
      <w:r w:rsidRPr="006B17BE">
        <w:rPr>
          <w:rFonts w:asciiTheme="minorHAnsi" w:hAnsiTheme="minorHAnsi"/>
          <w:noProof/>
          <w:sz w:val="22"/>
        </w:rPr>
        <w:t>Panday S, Langevin</w:t>
      </w:r>
      <w:r w:rsidR="00AF19FC" w:rsidRPr="006B17BE">
        <w:rPr>
          <w:rFonts w:asciiTheme="minorHAnsi" w:hAnsiTheme="minorHAnsi"/>
          <w:noProof/>
          <w:sz w:val="22"/>
        </w:rPr>
        <w:t xml:space="preserve"> CD</w:t>
      </w:r>
      <w:r w:rsidRPr="006B17BE">
        <w:rPr>
          <w:rFonts w:asciiTheme="minorHAnsi" w:hAnsiTheme="minorHAnsi"/>
          <w:noProof/>
          <w:sz w:val="22"/>
        </w:rPr>
        <w:t>, Niswonger</w:t>
      </w:r>
      <w:r w:rsidR="00AF19FC" w:rsidRPr="006B17BE">
        <w:rPr>
          <w:rFonts w:asciiTheme="minorHAnsi" w:hAnsiTheme="minorHAnsi"/>
          <w:noProof/>
          <w:sz w:val="22"/>
        </w:rPr>
        <w:t xml:space="preserve"> RG</w:t>
      </w:r>
      <w:r w:rsidRPr="006B17BE">
        <w:rPr>
          <w:rFonts w:asciiTheme="minorHAnsi" w:hAnsiTheme="minorHAnsi"/>
          <w:noProof/>
          <w:sz w:val="22"/>
        </w:rPr>
        <w:t>, Ibaraki</w:t>
      </w:r>
      <w:r w:rsidR="00AF19FC" w:rsidRPr="006B17BE">
        <w:rPr>
          <w:rFonts w:asciiTheme="minorHAnsi" w:hAnsiTheme="minorHAnsi"/>
          <w:noProof/>
          <w:sz w:val="22"/>
        </w:rPr>
        <w:t xml:space="preserve"> M</w:t>
      </w:r>
      <w:r w:rsidRPr="006B17BE">
        <w:rPr>
          <w:rFonts w:asciiTheme="minorHAnsi" w:hAnsiTheme="minorHAnsi"/>
          <w:noProof/>
          <w:sz w:val="22"/>
        </w:rPr>
        <w:t xml:space="preserve">, Hughes </w:t>
      </w:r>
      <w:r w:rsidR="00AF19FC" w:rsidRPr="006B17BE">
        <w:rPr>
          <w:rFonts w:asciiTheme="minorHAnsi" w:hAnsiTheme="minorHAnsi"/>
          <w:noProof/>
          <w:sz w:val="22"/>
        </w:rPr>
        <w:t xml:space="preserve">JD </w:t>
      </w:r>
      <w:r w:rsidRPr="006B17BE">
        <w:rPr>
          <w:rFonts w:asciiTheme="minorHAnsi" w:hAnsiTheme="minorHAnsi"/>
          <w:noProof/>
          <w:sz w:val="22"/>
        </w:rPr>
        <w:t>(2013)</w:t>
      </w:r>
      <w:r w:rsidR="00AC21D3" w:rsidRPr="006B17BE">
        <w:rPr>
          <w:rFonts w:asciiTheme="minorHAnsi" w:hAnsiTheme="minorHAnsi"/>
          <w:noProof/>
          <w:sz w:val="22"/>
        </w:rPr>
        <w:t>.</w:t>
      </w:r>
      <w:r w:rsidRPr="006B17BE">
        <w:rPr>
          <w:rFonts w:asciiTheme="minorHAnsi" w:hAnsiTheme="minorHAnsi"/>
          <w:noProof/>
          <w:sz w:val="22"/>
        </w:rPr>
        <w:t xml:space="preserve"> MODFLOW–USG version 1: An unstructured grid version of MODFLOW for simulating groundwater flow and tightly coupled processes using a control volume finite-difference formulation, Report Rep. 6-A45, 78 pp, Reston, VA.</w:t>
      </w:r>
      <w:bookmarkEnd w:id="661"/>
    </w:p>
    <w:p w14:paraId="3E0C0E98" w14:textId="1A88A6D6" w:rsidR="00051CEE" w:rsidRP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Popoola LK, Grema AS, Latinwo GK, Gutti B</w:t>
      </w:r>
      <w:r w:rsidR="00F52605">
        <w:rPr>
          <w:rFonts w:asciiTheme="minorHAnsi" w:hAnsiTheme="minorHAnsi"/>
          <w:noProof/>
          <w:sz w:val="22"/>
        </w:rPr>
        <w:t>,</w:t>
      </w:r>
      <w:r w:rsidRPr="00051CEE">
        <w:rPr>
          <w:rFonts w:asciiTheme="minorHAnsi" w:hAnsiTheme="minorHAnsi"/>
          <w:noProof/>
          <w:sz w:val="22"/>
        </w:rPr>
        <w:t xml:space="preserve"> Balogun AS (2013). Corrosion problems during oil and gas production and its mitigation. International Journal of Industrial Chemistry, 4(35): 1-15. </w:t>
      </w:r>
    </w:p>
    <w:p w14:paraId="7EEEE4B8" w14:textId="07750CC7" w:rsidR="00F3348B" w:rsidRDefault="00F3348B" w:rsidP="00F3348B">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Reagan MT, Moridis GJ, Keen ND</w:t>
      </w:r>
      <w:r w:rsidR="00F52605">
        <w:rPr>
          <w:rFonts w:asciiTheme="minorHAnsi" w:hAnsiTheme="minorHAnsi"/>
          <w:noProof/>
          <w:sz w:val="22"/>
        </w:rPr>
        <w:t>,</w:t>
      </w:r>
      <w:r w:rsidRPr="006B17BE">
        <w:rPr>
          <w:rFonts w:asciiTheme="minorHAnsi" w:hAnsiTheme="minorHAnsi"/>
          <w:noProof/>
          <w:sz w:val="22"/>
        </w:rPr>
        <w:t xml:space="preserve"> Johnson JN </w:t>
      </w:r>
      <w:r w:rsidR="00AC21D3" w:rsidRPr="006B17BE">
        <w:rPr>
          <w:rFonts w:asciiTheme="minorHAnsi" w:hAnsiTheme="minorHAnsi"/>
          <w:noProof/>
          <w:sz w:val="22"/>
        </w:rPr>
        <w:t>(</w:t>
      </w:r>
      <w:r w:rsidRPr="006B17BE">
        <w:rPr>
          <w:rFonts w:asciiTheme="minorHAnsi" w:hAnsiTheme="minorHAnsi"/>
          <w:noProof/>
          <w:sz w:val="22"/>
        </w:rPr>
        <w:t>2015</w:t>
      </w:r>
      <w:r w:rsidR="00AC21D3" w:rsidRPr="006B17BE">
        <w:rPr>
          <w:rFonts w:asciiTheme="minorHAnsi" w:hAnsiTheme="minorHAnsi"/>
          <w:noProof/>
          <w:sz w:val="22"/>
        </w:rPr>
        <w:t>)</w:t>
      </w:r>
      <w:r w:rsidRPr="006B17BE">
        <w:rPr>
          <w:rFonts w:asciiTheme="minorHAnsi" w:hAnsiTheme="minorHAnsi"/>
          <w:noProof/>
          <w:sz w:val="22"/>
        </w:rPr>
        <w:t>. Numerical simulation of the environmental impact of hydraulic fracturing of tight/shale gas reservoirs on near-surface groundwater: Background, base cases, shallow reservoirs, short-term gas, and water transport. Water Resources Research, 51(4): 2543-2573.</w:t>
      </w:r>
    </w:p>
    <w:p w14:paraId="65F82F6D" w14:textId="3077E824" w:rsidR="00051CEE" w:rsidRP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Satoh H, Shimoda S, Yamaguchi K, Hiroyasu K, Yamashita Y, Miyashiro K</w:t>
      </w:r>
      <w:r w:rsidR="00F52605">
        <w:rPr>
          <w:rFonts w:asciiTheme="minorHAnsi" w:hAnsiTheme="minorHAnsi"/>
          <w:noProof/>
          <w:sz w:val="22"/>
        </w:rPr>
        <w:t>,</w:t>
      </w:r>
      <w:r w:rsidRPr="00051CEE">
        <w:rPr>
          <w:rFonts w:asciiTheme="minorHAnsi" w:hAnsiTheme="minorHAnsi"/>
          <w:noProof/>
          <w:sz w:val="22"/>
        </w:rPr>
        <w:t xml:space="preserve"> Saito S (2013). The long-term corrosion behavior of abandoned wells under CO2 geological storage conditions: (1) experimental results for cement alternation. Energy Procedia, 37,: 5781-5792.</w:t>
      </w:r>
    </w:p>
    <w:p w14:paraId="7B57D674" w14:textId="798867C6" w:rsidR="00DE6059" w:rsidRPr="006B17BE" w:rsidRDefault="00DE6059" w:rsidP="00DE6059">
      <w:pPr>
        <w:pStyle w:val="Reference"/>
        <w:spacing w:after="0" w:line="240" w:lineRule="auto"/>
        <w:ind w:left="720" w:hanging="720"/>
        <w:rPr>
          <w:rFonts w:asciiTheme="minorHAnsi" w:hAnsiTheme="minorHAnsi"/>
          <w:noProof/>
          <w:sz w:val="22"/>
        </w:rPr>
      </w:pPr>
      <w:bookmarkStart w:id="662" w:name="_ENREF_21"/>
      <w:r w:rsidRPr="006B17BE">
        <w:rPr>
          <w:rFonts w:asciiTheme="minorHAnsi" w:hAnsiTheme="minorHAnsi"/>
          <w:noProof/>
          <w:sz w:val="22"/>
        </w:rPr>
        <w:t>Schlumberger (2011)</w:t>
      </w:r>
      <w:r w:rsidR="00AC21D3" w:rsidRPr="006B17BE">
        <w:rPr>
          <w:rFonts w:asciiTheme="minorHAnsi" w:hAnsiTheme="minorHAnsi"/>
          <w:noProof/>
          <w:sz w:val="22"/>
        </w:rPr>
        <w:t>.</w:t>
      </w:r>
      <w:r w:rsidRPr="006B17BE">
        <w:rPr>
          <w:rFonts w:asciiTheme="minorHAnsi" w:hAnsiTheme="minorHAnsi"/>
          <w:noProof/>
          <w:sz w:val="22"/>
        </w:rPr>
        <w:t xml:space="preserve"> Manual for ECLIPSE Reservoir Simulation Software. Rep., Houston, Texas.</w:t>
      </w:r>
      <w:bookmarkEnd w:id="662"/>
    </w:p>
    <w:p w14:paraId="1674C48E" w14:textId="03116940" w:rsidR="00F3348B" w:rsidRPr="006B17BE" w:rsidRDefault="00F3348B" w:rsidP="00F3348B">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Silliman S</w:t>
      </w:r>
      <w:r w:rsidR="00F52605">
        <w:rPr>
          <w:rFonts w:asciiTheme="minorHAnsi" w:hAnsiTheme="minorHAnsi"/>
          <w:noProof/>
          <w:sz w:val="22"/>
        </w:rPr>
        <w:t>,</w:t>
      </w:r>
      <w:r w:rsidRPr="006B17BE">
        <w:rPr>
          <w:rFonts w:asciiTheme="minorHAnsi" w:hAnsiTheme="minorHAnsi"/>
          <w:noProof/>
          <w:sz w:val="22"/>
        </w:rPr>
        <w:t xml:space="preserve"> Higgins D </w:t>
      </w:r>
      <w:r w:rsidR="00AC21D3" w:rsidRPr="006B17BE">
        <w:rPr>
          <w:rFonts w:asciiTheme="minorHAnsi" w:hAnsiTheme="minorHAnsi"/>
          <w:noProof/>
          <w:sz w:val="22"/>
        </w:rPr>
        <w:t>(</w:t>
      </w:r>
      <w:r w:rsidRPr="006B17BE">
        <w:rPr>
          <w:rFonts w:asciiTheme="minorHAnsi" w:hAnsiTheme="minorHAnsi"/>
          <w:noProof/>
          <w:sz w:val="22"/>
        </w:rPr>
        <w:t>1990</w:t>
      </w:r>
      <w:r w:rsidR="00AC21D3" w:rsidRPr="006B17BE">
        <w:rPr>
          <w:rFonts w:asciiTheme="minorHAnsi" w:hAnsiTheme="minorHAnsi"/>
          <w:noProof/>
          <w:sz w:val="22"/>
        </w:rPr>
        <w:t>)</w:t>
      </w:r>
      <w:r w:rsidRPr="006B17BE">
        <w:rPr>
          <w:rFonts w:asciiTheme="minorHAnsi" w:hAnsiTheme="minorHAnsi"/>
          <w:noProof/>
          <w:sz w:val="22"/>
        </w:rPr>
        <w:t>. An Analytical Solution for Steady‐State Flow Between Aquifers Through an Open Well. Groundwater, 28(2): 184-190.</w:t>
      </w:r>
    </w:p>
    <w:p w14:paraId="6A5ECBB9" w14:textId="4DFF6A41" w:rsidR="00F3348B" w:rsidRPr="006B17BE" w:rsidRDefault="00F3348B" w:rsidP="00F3348B">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Šimůnek J, van Genuchten MT</w:t>
      </w:r>
      <w:r w:rsidR="00F52605">
        <w:rPr>
          <w:rFonts w:asciiTheme="minorHAnsi" w:hAnsiTheme="minorHAnsi"/>
          <w:noProof/>
          <w:sz w:val="22"/>
        </w:rPr>
        <w:t>,</w:t>
      </w:r>
      <w:r w:rsidRPr="006B17BE">
        <w:rPr>
          <w:rFonts w:asciiTheme="minorHAnsi" w:hAnsiTheme="minorHAnsi"/>
          <w:noProof/>
          <w:sz w:val="22"/>
        </w:rPr>
        <w:t xml:space="preserve"> Šejna M </w:t>
      </w:r>
      <w:r w:rsidR="00AC21D3" w:rsidRPr="006B17BE">
        <w:rPr>
          <w:rFonts w:asciiTheme="minorHAnsi" w:hAnsiTheme="minorHAnsi"/>
          <w:noProof/>
          <w:sz w:val="22"/>
        </w:rPr>
        <w:t>(</w:t>
      </w:r>
      <w:r w:rsidRPr="006B17BE">
        <w:rPr>
          <w:rFonts w:asciiTheme="minorHAnsi" w:hAnsiTheme="minorHAnsi"/>
          <w:noProof/>
          <w:sz w:val="22"/>
        </w:rPr>
        <w:t>2008</w:t>
      </w:r>
      <w:r w:rsidR="00AC21D3" w:rsidRPr="006B17BE">
        <w:rPr>
          <w:rFonts w:asciiTheme="minorHAnsi" w:hAnsiTheme="minorHAnsi"/>
          <w:noProof/>
          <w:sz w:val="22"/>
        </w:rPr>
        <w:t>)</w:t>
      </w:r>
      <w:r w:rsidRPr="006B17BE">
        <w:rPr>
          <w:rFonts w:asciiTheme="minorHAnsi" w:hAnsiTheme="minorHAnsi"/>
          <w:noProof/>
          <w:sz w:val="22"/>
        </w:rPr>
        <w:t>. Development and applications of the HYDRUS and STANMOD software packages and related codes. Vadose Zone Journal, 7(2): 587-600.</w:t>
      </w:r>
    </w:p>
    <w:p w14:paraId="4BC3839C" w14:textId="5A9C2DAF" w:rsidR="00DE6059" w:rsidRDefault="00DE6059" w:rsidP="00DE6059">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Tan B, Lang</w:t>
      </w:r>
      <w:r w:rsidR="00AF19FC" w:rsidRPr="006B17BE">
        <w:rPr>
          <w:rFonts w:asciiTheme="minorHAnsi" w:hAnsiTheme="minorHAnsi"/>
          <w:noProof/>
          <w:sz w:val="22"/>
        </w:rPr>
        <w:t xml:space="preserve"> M</w:t>
      </w:r>
      <w:r w:rsidR="00F52605">
        <w:rPr>
          <w:rFonts w:asciiTheme="minorHAnsi" w:hAnsiTheme="minorHAnsi"/>
          <w:noProof/>
          <w:sz w:val="22"/>
        </w:rPr>
        <w:t>,</w:t>
      </w:r>
      <w:r w:rsidRPr="006B17BE">
        <w:rPr>
          <w:rFonts w:asciiTheme="minorHAnsi" w:hAnsiTheme="minorHAnsi"/>
          <w:noProof/>
          <w:sz w:val="22"/>
        </w:rPr>
        <w:t xml:space="preserve"> Sheth D </w:t>
      </w:r>
      <w:r w:rsidR="00AC21D3" w:rsidRPr="006B17BE">
        <w:rPr>
          <w:rFonts w:asciiTheme="minorHAnsi" w:hAnsiTheme="minorHAnsi"/>
          <w:noProof/>
          <w:sz w:val="22"/>
        </w:rPr>
        <w:t>(</w:t>
      </w:r>
      <w:r w:rsidRPr="006B17BE">
        <w:rPr>
          <w:rFonts w:asciiTheme="minorHAnsi" w:hAnsiTheme="minorHAnsi"/>
          <w:noProof/>
          <w:sz w:val="22"/>
        </w:rPr>
        <w:t>2012</w:t>
      </w:r>
      <w:r w:rsidR="00AC21D3" w:rsidRPr="006B17BE">
        <w:rPr>
          <w:rFonts w:asciiTheme="minorHAnsi" w:hAnsiTheme="minorHAnsi"/>
          <w:noProof/>
          <w:sz w:val="22"/>
        </w:rPr>
        <w:t>)</w:t>
      </w:r>
      <w:r w:rsidRPr="006B17BE">
        <w:rPr>
          <w:rFonts w:asciiTheme="minorHAnsi" w:hAnsiTheme="minorHAnsi"/>
          <w:noProof/>
          <w:sz w:val="22"/>
        </w:rPr>
        <w:t>. High-strength, low-density cement pumped on-the-fly using volumetric mixing achieves cement to surface in heavy loss coal seam gas field. SPE 158092 presented at SPE Asia Pacific Oil and Gas Conference and Exhibition held in Perth, Australia, 22-24 Oct. 2012.</w:t>
      </w:r>
    </w:p>
    <w:p w14:paraId="78C6CBA4" w14:textId="52F936C6" w:rsidR="00884C18" w:rsidRPr="00884C18" w:rsidRDefault="00884C18" w:rsidP="00884C18">
      <w:pPr>
        <w:pStyle w:val="Reference"/>
        <w:spacing w:after="0" w:line="240" w:lineRule="auto"/>
        <w:ind w:left="720" w:hanging="720"/>
        <w:rPr>
          <w:rFonts w:asciiTheme="minorHAnsi" w:hAnsiTheme="minorHAnsi"/>
          <w:noProof/>
          <w:sz w:val="22"/>
        </w:rPr>
      </w:pPr>
      <w:r w:rsidRPr="00884C18">
        <w:rPr>
          <w:rFonts w:asciiTheme="minorHAnsi" w:hAnsiTheme="minorHAnsi"/>
          <w:noProof/>
          <w:sz w:val="22"/>
        </w:rPr>
        <w:t>Tilley BJ and Muelenbachs K (2012)</w:t>
      </w:r>
      <w:r>
        <w:rPr>
          <w:rFonts w:asciiTheme="minorHAnsi" w:hAnsiTheme="minorHAnsi"/>
          <w:noProof/>
          <w:sz w:val="22"/>
        </w:rPr>
        <w:t>.</w:t>
      </w:r>
      <w:r w:rsidRPr="00884C18">
        <w:rPr>
          <w:rFonts w:asciiTheme="minorHAnsi" w:hAnsiTheme="minorHAnsi"/>
          <w:noProof/>
          <w:sz w:val="22"/>
        </w:rPr>
        <w:t xml:space="preserve"> Fingerprinting of gas contaminating groundwater and soil in a</w:t>
      </w:r>
      <w:r>
        <w:rPr>
          <w:rFonts w:asciiTheme="minorHAnsi" w:hAnsiTheme="minorHAnsi"/>
          <w:noProof/>
          <w:sz w:val="22"/>
        </w:rPr>
        <w:t xml:space="preserve"> </w:t>
      </w:r>
      <w:r w:rsidRPr="00884C18">
        <w:rPr>
          <w:rFonts w:asciiTheme="minorHAnsi" w:hAnsiTheme="minorHAnsi"/>
          <w:noProof/>
          <w:sz w:val="22"/>
        </w:rPr>
        <w:t>petroliferous region, Alberta, Canada. Published on 30 May 2012 on http://pubs.rsc.org</w:t>
      </w:r>
      <w:r>
        <w:rPr>
          <w:rFonts w:asciiTheme="minorHAnsi" w:hAnsiTheme="minorHAnsi"/>
          <w:noProof/>
          <w:sz w:val="22"/>
        </w:rPr>
        <w:t xml:space="preserve"> </w:t>
      </w:r>
      <w:r w:rsidRPr="00884C18">
        <w:rPr>
          <w:rFonts w:asciiTheme="minorHAnsi" w:hAnsiTheme="minorHAnsi"/>
          <w:noProof/>
          <w:sz w:val="22"/>
        </w:rPr>
        <w:t>|doi:10.1039/9781849734967‐00115.</w:t>
      </w:r>
    </w:p>
    <w:p w14:paraId="7409D197" w14:textId="54A176E2" w:rsidR="00455CE4" w:rsidRPr="00455CE4" w:rsidRDefault="00455CE4" w:rsidP="00455CE4">
      <w:pPr>
        <w:pStyle w:val="Reference"/>
        <w:spacing w:after="0" w:line="240" w:lineRule="auto"/>
        <w:ind w:left="720" w:hanging="720"/>
        <w:rPr>
          <w:rFonts w:asciiTheme="minorHAnsi" w:hAnsiTheme="minorHAnsi"/>
          <w:noProof/>
          <w:sz w:val="22"/>
        </w:rPr>
      </w:pPr>
      <w:r w:rsidRPr="00455CE4">
        <w:rPr>
          <w:rFonts w:asciiTheme="minorHAnsi" w:hAnsiTheme="minorHAnsi"/>
          <w:noProof/>
          <w:sz w:val="22"/>
        </w:rPr>
        <w:t>Turnadge C, Mallants D</w:t>
      </w:r>
      <w:r w:rsidR="00F52605">
        <w:rPr>
          <w:rFonts w:asciiTheme="minorHAnsi" w:hAnsiTheme="minorHAnsi"/>
          <w:noProof/>
          <w:sz w:val="22"/>
        </w:rPr>
        <w:t>,</w:t>
      </w:r>
      <w:r w:rsidRPr="00455CE4">
        <w:rPr>
          <w:rFonts w:asciiTheme="minorHAnsi" w:hAnsiTheme="minorHAnsi"/>
          <w:noProof/>
          <w:sz w:val="22"/>
        </w:rPr>
        <w:t xml:space="preserve"> Peeters L (2017)</w:t>
      </w:r>
      <w:r>
        <w:rPr>
          <w:rFonts w:asciiTheme="minorHAnsi" w:hAnsiTheme="minorHAnsi"/>
          <w:noProof/>
          <w:sz w:val="22"/>
        </w:rPr>
        <w:t>.</w:t>
      </w:r>
      <w:r w:rsidRPr="00455CE4">
        <w:rPr>
          <w:rFonts w:asciiTheme="minorHAnsi" w:hAnsiTheme="minorHAnsi"/>
          <w:noProof/>
          <w:sz w:val="22"/>
        </w:rPr>
        <w:t xml:space="preserve"> Sensitivity and uncertainty analysis of a regional‐scale groundwater flow system stressed by coal seam gas extraction. CSIRO, Australia.</w:t>
      </w:r>
    </w:p>
    <w:p w14:paraId="7F02EB43" w14:textId="070B6876" w:rsidR="00692EC8" w:rsidRPr="00692EC8" w:rsidRDefault="00692EC8" w:rsidP="00692EC8">
      <w:pPr>
        <w:pStyle w:val="Reference"/>
        <w:spacing w:after="0" w:line="240" w:lineRule="auto"/>
        <w:ind w:left="720" w:hanging="720"/>
        <w:rPr>
          <w:rFonts w:asciiTheme="minorHAnsi" w:hAnsiTheme="minorHAnsi"/>
          <w:noProof/>
          <w:sz w:val="22"/>
        </w:rPr>
      </w:pPr>
      <w:r w:rsidRPr="00692EC8">
        <w:rPr>
          <w:rFonts w:asciiTheme="minorHAnsi" w:hAnsiTheme="minorHAnsi"/>
          <w:noProof/>
          <w:sz w:val="22"/>
        </w:rPr>
        <w:t>US EPA (2008). Determination of the mechanical integrity of injection wells. United States Environmental Protection Agency Region 5 – Underground Injection Control (UIC) Branch Regional Guidance # 5.</w:t>
      </w:r>
    </w:p>
    <w:p w14:paraId="2B8CD658" w14:textId="0C8108EB" w:rsidR="008F18C2" w:rsidRDefault="008F18C2" w:rsidP="008F18C2">
      <w:pPr>
        <w:pStyle w:val="Body"/>
        <w:spacing w:afterLines="20" w:after="48"/>
        <w:ind w:left="567" w:hanging="567"/>
        <w:rPr>
          <w:rFonts w:asciiTheme="majorHAnsi" w:hAnsiTheme="majorHAnsi"/>
        </w:rPr>
      </w:pPr>
      <w:r>
        <w:rPr>
          <w:rFonts w:asciiTheme="majorHAnsi" w:hAnsiTheme="majorHAnsi"/>
        </w:rPr>
        <w:t xml:space="preserve">US EPA (2016a). Hydraulic Fracturing for Oil and Gas: Impacts from the Hydraulic Fracturing Watr Cycle on Drinking Water Resources in the United States. Office of Research and Development, Washington, DC. EPA/600/R-16/236Fa. </w:t>
      </w:r>
    </w:p>
    <w:p w14:paraId="34BA5CCE" w14:textId="263CB262" w:rsidR="00D12FCF" w:rsidRPr="00D12FCF" w:rsidRDefault="00D12FCF" w:rsidP="00D12FCF">
      <w:pPr>
        <w:pStyle w:val="Reference"/>
        <w:spacing w:after="0" w:line="240" w:lineRule="auto"/>
        <w:ind w:left="720" w:hanging="720"/>
        <w:rPr>
          <w:rFonts w:asciiTheme="minorHAnsi" w:hAnsiTheme="minorHAnsi"/>
          <w:noProof/>
          <w:sz w:val="22"/>
        </w:rPr>
      </w:pPr>
      <w:r w:rsidRPr="00D12FCF">
        <w:rPr>
          <w:rFonts w:asciiTheme="minorHAnsi" w:hAnsiTheme="minorHAnsi"/>
          <w:noProof/>
          <w:sz w:val="22"/>
        </w:rPr>
        <w:t>USGS (1997)</w:t>
      </w:r>
      <w:r>
        <w:rPr>
          <w:rFonts w:asciiTheme="minorHAnsi" w:hAnsiTheme="minorHAnsi"/>
          <w:noProof/>
          <w:sz w:val="22"/>
        </w:rPr>
        <w:t>.</w:t>
      </w:r>
      <w:r w:rsidRPr="00D12FCF">
        <w:rPr>
          <w:rFonts w:asciiTheme="minorHAnsi" w:hAnsiTheme="minorHAnsi"/>
          <w:noProof/>
          <w:sz w:val="22"/>
        </w:rPr>
        <w:t xml:space="preserve"> Integrity of Production Wells and Confining Unit at the Naval Weapons Industrial Reserve Plant, Dallas, Texas,</w:t>
      </w:r>
      <w:r>
        <w:rPr>
          <w:rFonts w:asciiTheme="minorHAnsi" w:hAnsiTheme="minorHAnsi"/>
          <w:noProof/>
          <w:sz w:val="22"/>
        </w:rPr>
        <w:t xml:space="preserve"> </w:t>
      </w:r>
      <w:r w:rsidRPr="00D12FCF">
        <w:rPr>
          <w:rFonts w:asciiTheme="minorHAnsi" w:hAnsiTheme="minorHAnsi"/>
          <w:noProof/>
          <w:sz w:val="22"/>
        </w:rPr>
        <w:t>1995 U.S. Geological Survey Water-Resources Investigations Report 97–4047</w:t>
      </w:r>
    </w:p>
    <w:p w14:paraId="791D4C26" w14:textId="34917CE6" w:rsidR="00F3348B" w:rsidRPr="006B17BE" w:rsidRDefault="001A0E56" w:rsidP="00F3348B">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v</w:t>
      </w:r>
      <w:r w:rsidR="00AF19FC" w:rsidRPr="006B17BE">
        <w:rPr>
          <w:rFonts w:asciiTheme="minorHAnsi" w:hAnsiTheme="minorHAnsi"/>
          <w:noProof/>
          <w:sz w:val="22"/>
        </w:rPr>
        <w:t>an Genuchten</w:t>
      </w:r>
      <w:r w:rsidR="00F3348B" w:rsidRPr="006B17BE">
        <w:rPr>
          <w:rFonts w:asciiTheme="minorHAnsi" w:hAnsiTheme="minorHAnsi"/>
          <w:noProof/>
          <w:sz w:val="22"/>
        </w:rPr>
        <w:t xml:space="preserve"> MT</w:t>
      </w:r>
      <w:r w:rsidR="00AF19FC" w:rsidRPr="006B17BE">
        <w:rPr>
          <w:rFonts w:asciiTheme="minorHAnsi" w:hAnsiTheme="minorHAnsi"/>
          <w:noProof/>
          <w:sz w:val="22"/>
        </w:rPr>
        <w:t>, Šimunek</w:t>
      </w:r>
      <w:r w:rsidR="00F3348B" w:rsidRPr="006B17BE">
        <w:rPr>
          <w:rFonts w:asciiTheme="minorHAnsi" w:hAnsiTheme="minorHAnsi"/>
          <w:noProof/>
          <w:sz w:val="22"/>
        </w:rPr>
        <w:t xml:space="preserve"> J, Leij F, Toride N, Šejna M </w:t>
      </w:r>
      <w:r w:rsidR="00AC21D3" w:rsidRPr="006B17BE">
        <w:rPr>
          <w:rFonts w:asciiTheme="minorHAnsi" w:hAnsiTheme="minorHAnsi"/>
          <w:noProof/>
          <w:sz w:val="22"/>
        </w:rPr>
        <w:t>(</w:t>
      </w:r>
      <w:r w:rsidR="00F3348B" w:rsidRPr="006B17BE">
        <w:rPr>
          <w:rFonts w:asciiTheme="minorHAnsi" w:hAnsiTheme="minorHAnsi"/>
          <w:noProof/>
          <w:sz w:val="22"/>
        </w:rPr>
        <w:t>2012</w:t>
      </w:r>
      <w:r w:rsidR="00AC21D3" w:rsidRPr="006B17BE">
        <w:rPr>
          <w:rFonts w:asciiTheme="minorHAnsi" w:hAnsiTheme="minorHAnsi"/>
          <w:noProof/>
          <w:sz w:val="22"/>
        </w:rPr>
        <w:t>)</w:t>
      </w:r>
      <w:r w:rsidR="00F3348B" w:rsidRPr="006B17BE">
        <w:rPr>
          <w:rFonts w:asciiTheme="minorHAnsi" w:hAnsiTheme="minorHAnsi"/>
          <w:noProof/>
          <w:sz w:val="22"/>
        </w:rPr>
        <w:t>. STANMOD: Model use, calibration, and validation. Transactions of the ASABE, 55(4): 1355-1366.</w:t>
      </w:r>
    </w:p>
    <w:p w14:paraId="34D9A26A" w14:textId="32A5EE0C" w:rsidR="00F3348B" w:rsidRDefault="00F3348B" w:rsidP="00F3348B">
      <w:pPr>
        <w:pStyle w:val="Reference"/>
        <w:spacing w:after="0" w:line="240" w:lineRule="auto"/>
        <w:ind w:left="720" w:hanging="720"/>
        <w:rPr>
          <w:rFonts w:asciiTheme="minorHAnsi" w:hAnsiTheme="minorHAnsi"/>
          <w:noProof/>
          <w:sz w:val="22"/>
        </w:rPr>
      </w:pPr>
      <w:r w:rsidRPr="006B17BE">
        <w:rPr>
          <w:rFonts w:asciiTheme="minorHAnsi" w:hAnsiTheme="minorHAnsi"/>
          <w:noProof/>
          <w:sz w:val="22"/>
        </w:rPr>
        <w:t>Vengosh</w:t>
      </w:r>
      <w:r w:rsidR="00AF19FC" w:rsidRPr="006B17BE">
        <w:rPr>
          <w:rFonts w:asciiTheme="minorHAnsi" w:hAnsiTheme="minorHAnsi"/>
          <w:noProof/>
          <w:sz w:val="22"/>
        </w:rPr>
        <w:t xml:space="preserve"> A</w:t>
      </w:r>
      <w:r w:rsidRPr="006B17BE">
        <w:rPr>
          <w:rFonts w:asciiTheme="minorHAnsi" w:hAnsiTheme="minorHAnsi"/>
          <w:noProof/>
          <w:sz w:val="22"/>
        </w:rPr>
        <w:t>, Jackson RB, Warner N, Darrah TH</w:t>
      </w:r>
      <w:r w:rsidR="001E507E">
        <w:rPr>
          <w:rFonts w:asciiTheme="minorHAnsi" w:hAnsiTheme="minorHAnsi"/>
          <w:noProof/>
          <w:sz w:val="22"/>
        </w:rPr>
        <w:t>,</w:t>
      </w:r>
      <w:r w:rsidRPr="006B17BE">
        <w:rPr>
          <w:rFonts w:asciiTheme="minorHAnsi" w:hAnsiTheme="minorHAnsi"/>
          <w:noProof/>
          <w:sz w:val="22"/>
        </w:rPr>
        <w:t xml:space="preserve"> Kondash A </w:t>
      </w:r>
      <w:r w:rsidR="00AC21D3" w:rsidRPr="006B17BE">
        <w:rPr>
          <w:rFonts w:asciiTheme="minorHAnsi" w:hAnsiTheme="minorHAnsi"/>
          <w:noProof/>
          <w:sz w:val="22"/>
        </w:rPr>
        <w:t>(</w:t>
      </w:r>
      <w:r w:rsidRPr="006B17BE">
        <w:rPr>
          <w:rFonts w:asciiTheme="minorHAnsi" w:hAnsiTheme="minorHAnsi"/>
          <w:noProof/>
          <w:sz w:val="22"/>
        </w:rPr>
        <w:t>2014</w:t>
      </w:r>
      <w:r w:rsidR="00AC21D3" w:rsidRPr="006B17BE">
        <w:rPr>
          <w:rFonts w:asciiTheme="minorHAnsi" w:hAnsiTheme="minorHAnsi"/>
          <w:noProof/>
          <w:sz w:val="22"/>
        </w:rPr>
        <w:t>)</w:t>
      </w:r>
      <w:r w:rsidRPr="006B17BE">
        <w:rPr>
          <w:rFonts w:asciiTheme="minorHAnsi" w:hAnsiTheme="minorHAnsi"/>
          <w:noProof/>
          <w:sz w:val="22"/>
        </w:rPr>
        <w:t>. A critical review of the risks to water resources from unconventional shale gas development and hydraulic fracturing in the United States. Environmental science &amp; technology, 48(15): 8334-8348.</w:t>
      </w:r>
    </w:p>
    <w:p w14:paraId="499B9468" w14:textId="22AA1648" w:rsidR="00100ADF" w:rsidRDefault="00100ADF" w:rsidP="00100ADF">
      <w:pPr>
        <w:pStyle w:val="Body"/>
        <w:spacing w:afterLines="20" w:after="48"/>
        <w:ind w:left="567" w:hanging="567"/>
        <w:rPr>
          <w:rFonts w:asciiTheme="majorHAnsi" w:hAnsiTheme="majorHAnsi"/>
        </w:rPr>
      </w:pPr>
      <w:r>
        <w:rPr>
          <w:rFonts w:asciiTheme="majorHAnsi" w:hAnsiTheme="majorHAnsi"/>
        </w:rPr>
        <w:t>Warner NR, Jackson RB, Darrah TH, Osborn SG, Down A, Zhao K, White A, Vengosh A (2012a). Geochemical evidence for possible natural migration of Marcellus Formation brine to shallow aquifers in Pennsylvania. Proceedings of the National Academy of Sciences, 109: 11961-11966. http://dx.doi.org/10.1073/pnas.1121181109</w:t>
      </w:r>
    </w:p>
    <w:p w14:paraId="6784219E" w14:textId="7B7C2323" w:rsidR="00B52FEF" w:rsidRDefault="00B52FEF" w:rsidP="00B52FEF">
      <w:pPr>
        <w:pStyle w:val="Body"/>
        <w:spacing w:afterLines="20" w:after="48"/>
        <w:ind w:left="567" w:hanging="567"/>
        <w:rPr>
          <w:rFonts w:asciiTheme="majorHAnsi" w:hAnsiTheme="majorHAnsi"/>
        </w:rPr>
      </w:pPr>
      <w:r w:rsidRPr="00D850DF">
        <w:rPr>
          <w:rFonts w:asciiTheme="majorHAnsi" w:hAnsiTheme="majorHAnsi"/>
        </w:rPr>
        <w:t>Warner NR, Jackson RB, Darrah TH, Osborn SG, Down A, Zhao K, White A, Vengosh A (2012b). Reply to Engelder: Potential for fluid migration from the Marcellus Formation remains possible. Proceedings of the National Academy of Sciences: 1.</w:t>
      </w:r>
    </w:p>
    <w:p w14:paraId="2ECC1866" w14:textId="4D4BC9E3" w:rsidR="000E588B" w:rsidRPr="00D850DF" w:rsidRDefault="000E588B" w:rsidP="000E588B">
      <w:pPr>
        <w:pStyle w:val="Body"/>
        <w:spacing w:afterLines="20" w:after="48"/>
        <w:ind w:left="567" w:hanging="567"/>
        <w:rPr>
          <w:rFonts w:asciiTheme="majorHAnsi" w:hAnsiTheme="majorHAnsi"/>
        </w:rPr>
      </w:pPr>
      <w:r>
        <w:rPr>
          <w:rFonts w:asciiTheme="majorHAnsi" w:hAnsiTheme="majorHAnsi"/>
        </w:rPr>
        <w:t xml:space="preserve">Warner </w:t>
      </w:r>
      <w:r w:rsidRPr="000E588B">
        <w:rPr>
          <w:rFonts w:asciiTheme="majorHAnsi" w:hAnsiTheme="majorHAnsi"/>
        </w:rPr>
        <w:t>NR</w:t>
      </w:r>
      <w:r>
        <w:rPr>
          <w:rFonts w:asciiTheme="majorHAnsi" w:hAnsiTheme="majorHAnsi"/>
        </w:rPr>
        <w:t>,</w:t>
      </w:r>
      <w:r w:rsidRPr="000E588B">
        <w:rPr>
          <w:rFonts w:asciiTheme="majorHAnsi" w:hAnsiTheme="majorHAnsi"/>
        </w:rPr>
        <w:t xml:space="preserve"> Darrah</w:t>
      </w:r>
      <w:r>
        <w:rPr>
          <w:rFonts w:asciiTheme="majorHAnsi" w:hAnsiTheme="majorHAnsi"/>
        </w:rPr>
        <w:t xml:space="preserve"> </w:t>
      </w:r>
      <w:r w:rsidRPr="00272963">
        <w:rPr>
          <w:rFonts w:asciiTheme="majorHAnsi" w:hAnsiTheme="majorHAnsi"/>
        </w:rPr>
        <w:t>TH</w:t>
      </w:r>
      <w:r w:rsidRPr="000E588B">
        <w:rPr>
          <w:rFonts w:asciiTheme="majorHAnsi" w:hAnsiTheme="majorHAnsi"/>
        </w:rPr>
        <w:t>, Jackson</w:t>
      </w:r>
      <w:r>
        <w:rPr>
          <w:rFonts w:asciiTheme="majorHAnsi" w:hAnsiTheme="majorHAnsi"/>
        </w:rPr>
        <w:t xml:space="preserve"> </w:t>
      </w:r>
      <w:r w:rsidRPr="00272963">
        <w:rPr>
          <w:rFonts w:asciiTheme="majorHAnsi" w:hAnsiTheme="majorHAnsi"/>
        </w:rPr>
        <w:t>RB</w:t>
      </w:r>
      <w:r w:rsidRPr="000E588B">
        <w:rPr>
          <w:rFonts w:asciiTheme="majorHAnsi" w:hAnsiTheme="majorHAnsi"/>
        </w:rPr>
        <w:t>,</w:t>
      </w:r>
      <w:r>
        <w:rPr>
          <w:rFonts w:asciiTheme="majorHAnsi" w:hAnsiTheme="majorHAnsi"/>
        </w:rPr>
        <w:t xml:space="preserve"> </w:t>
      </w:r>
      <w:r w:rsidRPr="000E588B">
        <w:rPr>
          <w:rFonts w:asciiTheme="majorHAnsi" w:hAnsiTheme="majorHAnsi"/>
        </w:rPr>
        <w:t>Millot</w:t>
      </w:r>
      <w:r>
        <w:rPr>
          <w:rFonts w:asciiTheme="majorHAnsi" w:hAnsiTheme="majorHAnsi"/>
        </w:rPr>
        <w:t xml:space="preserve"> R</w:t>
      </w:r>
      <w:r w:rsidRPr="000E588B">
        <w:rPr>
          <w:rFonts w:asciiTheme="majorHAnsi" w:hAnsiTheme="majorHAnsi"/>
        </w:rPr>
        <w:t>, Kloppmann</w:t>
      </w:r>
      <w:r>
        <w:rPr>
          <w:rFonts w:asciiTheme="majorHAnsi" w:hAnsiTheme="majorHAnsi"/>
        </w:rPr>
        <w:t xml:space="preserve"> W</w:t>
      </w:r>
      <w:r w:rsidRPr="000E588B">
        <w:rPr>
          <w:rFonts w:asciiTheme="majorHAnsi" w:hAnsiTheme="majorHAnsi"/>
        </w:rPr>
        <w:t>,</w:t>
      </w:r>
      <w:r>
        <w:rPr>
          <w:rFonts w:asciiTheme="majorHAnsi" w:hAnsiTheme="majorHAnsi"/>
        </w:rPr>
        <w:t xml:space="preserve"> </w:t>
      </w:r>
      <w:r w:rsidRPr="000E588B">
        <w:rPr>
          <w:rFonts w:asciiTheme="majorHAnsi" w:hAnsiTheme="majorHAnsi"/>
        </w:rPr>
        <w:t>Vengosh</w:t>
      </w:r>
      <w:r>
        <w:rPr>
          <w:rFonts w:asciiTheme="majorHAnsi" w:hAnsiTheme="majorHAnsi"/>
        </w:rPr>
        <w:t xml:space="preserve"> A (2014). </w:t>
      </w:r>
      <w:r w:rsidRPr="000E588B">
        <w:rPr>
          <w:rFonts w:asciiTheme="majorHAnsi" w:hAnsiTheme="majorHAnsi"/>
        </w:rPr>
        <w:t>New Tracers Identify Hydraulic Fracturing Fluids and Accidental</w:t>
      </w:r>
      <w:r>
        <w:rPr>
          <w:rFonts w:asciiTheme="majorHAnsi" w:hAnsiTheme="majorHAnsi"/>
        </w:rPr>
        <w:t xml:space="preserve"> </w:t>
      </w:r>
      <w:r w:rsidRPr="000E588B">
        <w:rPr>
          <w:rFonts w:asciiTheme="majorHAnsi" w:hAnsiTheme="majorHAnsi"/>
        </w:rPr>
        <w:t>Releases from Oil and Gas Operations</w:t>
      </w:r>
      <w:r>
        <w:rPr>
          <w:rFonts w:asciiTheme="majorHAnsi" w:hAnsiTheme="majorHAnsi"/>
        </w:rPr>
        <w:t xml:space="preserve">. Environmental Science and Technology, </w:t>
      </w:r>
      <w:r w:rsidRPr="000E588B">
        <w:rPr>
          <w:rFonts w:asciiTheme="majorHAnsi" w:hAnsiTheme="majorHAnsi"/>
        </w:rPr>
        <w:t>48 (21): 12552–12560.</w:t>
      </w:r>
    </w:p>
    <w:p w14:paraId="63EE4846" w14:textId="72258C6A" w:rsidR="00051CEE" w:rsidRPr="00051CEE" w:rsidRDefault="00051CEE" w:rsidP="00051CEE">
      <w:pPr>
        <w:pStyle w:val="Reference"/>
        <w:spacing w:after="0" w:line="240" w:lineRule="auto"/>
        <w:ind w:left="720" w:hanging="720"/>
        <w:rPr>
          <w:rFonts w:asciiTheme="minorHAnsi" w:hAnsiTheme="minorHAnsi"/>
          <w:noProof/>
          <w:sz w:val="22"/>
        </w:rPr>
      </w:pPr>
      <w:r w:rsidRPr="00051CEE">
        <w:rPr>
          <w:rFonts w:asciiTheme="minorHAnsi" w:hAnsiTheme="minorHAnsi"/>
          <w:noProof/>
          <w:sz w:val="22"/>
        </w:rPr>
        <w:t>Watson T</w:t>
      </w:r>
      <w:r w:rsidR="001E507E">
        <w:rPr>
          <w:rFonts w:asciiTheme="minorHAnsi" w:hAnsiTheme="minorHAnsi"/>
          <w:noProof/>
          <w:sz w:val="22"/>
        </w:rPr>
        <w:t>,</w:t>
      </w:r>
      <w:r w:rsidRPr="00051CEE">
        <w:rPr>
          <w:rFonts w:asciiTheme="minorHAnsi" w:hAnsiTheme="minorHAnsi"/>
          <w:noProof/>
          <w:sz w:val="22"/>
        </w:rPr>
        <w:t xml:space="preserve"> Bachu S (2009). Evaluation of the potential for gas and CO2 leakage along wellbores. SPE Drilling &amp; Completion, 115–126.</w:t>
      </w:r>
    </w:p>
    <w:p w14:paraId="1A42F1BD" w14:textId="2F901B75" w:rsidR="00F3348B" w:rsidRPr="006B17BE" w:rsidRDefault="00AC21D3" w:rsidP="00F3348B">
      <w:pPr>
        <w:pStyle w:val="Reference"/>
        <w:spacing w:line="240" w:lineRule="auto"/>
        <w:ind w:left="720" w:hanging="720"/>
        <w:rPr>
          <w:rFonts w:asciiTheme="minorHAnsi" w:hAnsiTheme="minorHAnsi"/>
          <w:noProof/>
          <w:sz w:val="22"/>
        </w:rPr>
      </w:pPr>
      <w:r w:rsidRPr="006B17BE">
        <w:rPr>
          <w:rFonts w:asciiTheme="minorHAnsi" w:hAnsiTheme="minorHAnsi"/>
          <w:noProof/>
          <w:sz w:val="22"/>
        </w:rPr>
        <w:t>Wu B, Doble R</w:t>
      </w:r>
      <w:r w:rsidR="00F3348B" w:rsidRPr="006B17BE">
        <w:rPr>
          <w:rFonts w:asciiTheme="minorHAnsi" w:hAnsiTheme="minorHAnsi"/>
          <w:noProof/>
          <w:sz w:val="22"/>
        </w:rPr>
        <w:t>, T</w:t>
      </w:r>
      <w:r w:rsidRPr="006B17BE">
        <w:rPr>
          <w:rFonts w:asciiTheme="minorHAnsi" w:hAnsiTheme="minorHAnsi"/>
          <w:noProof/>
          <w:sz w:val="22"/>
        </w:rPr>
        <w:t>urnadge C, Mallants D</w:t>
      </w:r>
      <w:r w:rsidR="00F3348B" w:rsidRPr="006B17BE">
        <w:rPr>
          <w:rFonts w:asciiTheme="minorHAnsi" w:hAnsiTheme="minorHAnsi"/>
          <w:noProof/>
          <w:sz w:val="22"/>
        </w:rPr>
        <w:t xml:space="preserve"> </w:t>
      </w:r>
      <w:r w:rsidRPr="006B17BE">
        <w:rPr>
          <w:rFonts w:asciiTheme="minorHAnsi" w:hAnsiTheme="minorHAnsi"/>
          <w:noProof/>
          <w:sz w:val="22"/>
        </w:rPr>
        <w:t>(</w:t>
      </w:r>
      <w:r w:rsidR="00F3348B" w:rsidRPr="006B17BE">
        <w:rPr>
          <w:rFonts w:asciiTheme="minorHAnsi" w:hAnsiTheme="minorHAnsi"/>
          <w:noProof/>
          <w:sz w:val="22"/>
        </w:rPr>
        <w:t>201</w:t>
      </w:r>
      <w:r w:rsidR="00AC3BD2">
        <w:rPr>
          <w:rFonts w:asciiTheme="minorHAnsi" w:hAnsiTheme="minorHAnsi"/>
          <w:noProof/>
          <w:sz w:val="22"/>
        </w:rPr>
        <w:t>8</w:t>
      </w:r>
      <w:r w:rsidRPr="006B17BE">
        <w:rPr>
          <w:rFonts w:asciiTheme="minorHAnsi" w:hAnsiTheme="minorHAnsi"/>
          <w:noProof/>
          <w:sz w:val="22"/>
        </w:rPr>
        <w:t>)</w:t>
      </w:r>
      <w:r w:rsidR="00F3348B" w:rsidRPr="006B17BE">
        <w:rPr>
          <w:rFonts w:asciiTheme="minorHAnsi" w:hAnsiTheme="minorHAnsi"/>
          <w:noProof/>
          <w:sz w:val="22"/>
        </w:rPr>
        <w:t>. Bore and well induced inter-aquifer connectivity: a review of literature on failure mechanisms and conceptualisation of hydrocarbon reservoir-aquifer failure pathways. Prepared by the Commonwealth Scientific and Industrial Research Organisation CSIRO, Canberra.</w:t>
      </w:r>
    </w:p>
    <w:p w14:paraId="6D88A411" w14:textId="2588AA8E" w:rsidR="00051CEE" w:rsidRPr="00051CEE" w:rsidRDefault="009A3903" w:rsidP="00051CEE">
      <w:pPr>
        <w:pStyle w:val="Reference"/>
        <w:spacing w:line="240" w:lineRule="auto"/>
        <w:ind w:left="720" w:hanging="720"/>
        <w:rPr>
          <w:rFonts w:asciiTheme="minorHAnsi" w:hAnsiTheme="minorHAnsi"/>
          <w:noProof/>
          <w:sz w:val="22"/>
        </w:rPr>
      </w:pPr>
      <w:r w:rsidRPr="006B17BE">
        <w:rPr>
          <w:rFonts w:asciiTheme="minorHAnsi" w:hAnsiTheme="minorHAnsi"/>
        </w:rPr>
        <w:fldChar w:fldCharType="end"/>
      </w:r>
      <w:r w:rsidR="00051CEE" w:rsidRPr="00051CEE">
        <w:rPr>
          <w:rFonts w:asciiTheme="minorHAnsi" w:hAnsiTheme="minorHAnsi"/>
          <w:noProof/>
          <w:sz w:val="22"/>
        </w:rPr>
        <w:t>Yamaguchi K, Shimoda S, Hiroyasu K, Stenhouse MJ, Zhou W, Papafotiou A, Yamashita Y, Miyashiro K</w:t>
      </w:r>
      <w:r w:rsidR="001E507E">
        <w:rPr>
          <w:rFonts w:asciiTheme="minorHAnsi" w:hAnsiTheme="minorHAnsi"/>
          <w:noProof/>
          <w:sz w:val="22"/>
        </w:rPr>
        <w:t>,</w:t>
      </w:r>
      <w:r w:rsidR="00051CEE" w:rsidRPr="00051CEE">
        <w:rPr>
          <w:rFonts w:asciiTheme="minorHAnsi" w:hAnsiTheme="minorHAnsi"/>
          <w:noProof/>
          <w:sz w:val="22"/>
        </w:rPr>
        <w:t xml:space="preserve"> Saito S (2013). The long-term corrosion behavior of abandoned wells under CO2 geological storage conditions: (3) assessment of long-term (1,000 – year) performance of abandoned wells for geological CO2 storage. Energy Procedia, 37: 5804-5815.</w:t>
      </w:r>
    </w:p>
    <w:p w14:paraId="5234040A" w14:textId="77777777" w:rsidR="00CA4221" w:rsidRPr="006B17BE" w:rsidRDefault="00CA4221" w:rsidP="00CA4221">
      <w:pPr>
        <w:pStyle w:val="Body"/>
        <w:sectPr w:rsidR="00CA4221" w:rsidRPr="006B17BE" w:rsidSect="00F60987">
          <w:footerReference w:type="even" r:id="rId68"/>
          <w:footerReference w:type="default" r:id="rId69"/>
          <w:headerReference w:type="first" r:id="rId70"/>
          <w:footerReference w:type="first" r:id="rId71"/>
          <w:pgSz w:w="11907" w:h="16839" w:code="9"/>
          <w:pgMar w:top="1440" w:right="1440" w:bottom="1440" w:left="1440" w:header="0" w:footer="0" w:gutter="0"/>
          <w:cols w:space="284"/>
          <w:titlePg/>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3337"/>
        <w:gridCol w:w="457"/>
        <w:gridCol w:w="4961"/>
      </w:tblGrid>
      <w:tr w:rsidR="00CA4221" w:rsidRPr="006B17BE" w14:paraId="29F05990" w14:textId="77777777" w:rsidTr="00443CD7">
        <w:trPr>
          <w:trHeight w:hRule="exact" w:val="992"/>
        </w:trPr>
        <w:tc>
          <w:tcPr>
            <w:tcW w:w="8755" w:type="dxa"/>
            <w:gridSpan w:val="3"/>
          </w:tcPr>
          <w:p w14:paraId="308BC29C" w14:textId="77777777" w:rsidR="00CA4221" w:rsidRPr="006B17BE" w:rsidRDefault="00CA4221" w:rsidP="00443CD7">
            <w:pPr>
              <w:pStyle w:val="BackCoverContactDetails"/>
            </w:pPr>
            <w:r w:rsidRPr="006B17BE">
              <w:rPr>
                <w:noProof/>
              </w:rPr>
              <mc:AlternateContent>
                <mc:Choice Requires="wps">
                  <w:drawing>
                    <wp:anchor distT="0" distB="0" distL="114300" distR="114300" simplePos="0" relativeHeight="251667456" behindDoc="1" locked="0" layoutInCell="1" allowOverlap="1" wp14:anchorId="09C2A232" wp14:editId="0AD4FE75">
                      <wp:simplePos x="0" y="0"/>
                      <wp:positionH relativeFrom="column">
                        <wp:posOffset>-759460</wp:posOffset>
                      </wp:positionH>
                      <wp:positionV relativeFrom="paragraph">
                        <wp:posOffset>-746125</wp:posOffset>
                      </wp:positionV>
                      <wp:extent cx="7598410" cy="7686675"/>
                      <wp:effectExtent l="0" t="0" r="0" b="9525"/>
                      <wp:wrapNone/>
                      <wp:docPr id="96" name="Rectangle 135" descr="background elements"/>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8410" cy="7686675"/>
                              </a:xfrm>
                              <a:prstGeom prst="rect">
                                <a:avLst/>
                              </a:prstGeom>
                              <a:noFill/>
                              <a:ln>
                                <a:noFill/>
                              </a:ln>
                              <a:extLst>
                                <a:ext uri="{909E8E84-426E-40DD-AFC4-6F175D3DCCD1}">
                                  <a14:hiddenFill xmlns:a14="http://schemas.microsoft.com/office/drawing/2010/main">
                                    <a:solidFill>
                                      <a:schemeClr val="accent1">
                                        <a:lumMod val="100000"/>
                                        <a:lumOff val="0"/>
                                      </a:schemeClr>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5884A" id="Rectangle 135" o:spid="_x0000_s1026" alt="background elements" style="position:absolute;margin-left:-59.8pt;margin-top:-58.75pt;width:598.3pt;height:605.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" filled="f" fillcolor="#41b6e6 [3204]" stroked="f"/>
                  </w:pict>
                </mc:Fallback>
              </mc:AlternateContent>
            </w:r>
          </w:p>
          <w:p w14:paraId="7CB59F61" w14:textId="77777777" w:rsidR="00CA4221" w:rsidRPr="006B17BE" w:rsidRDefault="00CA4221" w:rsidP="00443CD7"/>
          <w:p w14:paraId="5EB03BBB" w14:textId="77777777" w:rsidR="00CA4221" w:rsidRPr="006B17BE" w:rsidRDefault="00CA4221" w:rsidP="00443CD7"/>
        </w:tc>
      </w:tr>
      <w:tr w:rsidR="00CA4221" w:rsidRPr="006B17BE" w14:paraId="283E2496" w14:textId="77777777" w:rsidTr="00443CD7">
        <w:tc>
          <w:tcPr>
            <w:tcW w:w="3337" w:type="dxa"/>
          </w:tcPr>
          <w:p w14:paraId="04A8C0FC" w14:textId="77777777" w:rsidR="00CA4221" w:rsidRPr="006B17BE" w:rsidRDefault="00CA4221" w:rsidP="00443CD7">
            <w:pPr>
              <w:pStyle w:val="BackCoverContactHeading"/>
            </w:pPr>
            <w:r w:rsidRPr="006B17BE">
              <w:t>CONTACT US</w:t>
            </w:r>
          </w:p>
          <w:p w14:paraId="59002497" w14:textId="77777777" w:rsidR="00CA4221" w:rsidRPr="006B17BE" w:rsidRDefault="00CA4221" w:rsidP="00443CD7">
            <w:pPr>
              <w:pStyle w:val="BackCoverContactDetails"/>
            </w:pPr>
            <w:r w:rsidRPr="006B17BE">
              <w:rPr>
                <w:rStyle w:val="BackCoverContactBold"/>
              </w:rPr>
              <w:t>t</w:t>
            </w:r>
            <w:r w:rsidRPr="006B17BE">
              <w:t xml:space="preserve"> </w:t>
            </w:r>
            <w:r w:rsidRPr="006B17BE">
              <w:tab/>
              <w:t>1300 363 400</w:t>
            </w:r>
          </w:p>
          <w:p w14:paraId="758892AA" w14:textId="77777777" w:rsidR="00CA4221" w:rsidRPr="006B17BE" w:rsidRDefault="00CA4221" w:rsidP="00443CD7">
            <w:pPr>
              <w:pStyle w:val="BackCoverContactDetails"/>
            </w:pPr>
            <w:r w:rsidRPr="006B17BE">
              <w:tab/>
              <w:t>+61 3 9545 2176</w:t>
            </w:r>
          </w:p>
          <w:p w14:paraId="136F6D7C" w14:textId="77777777" w:rsidR="00CA4221" w:rsidRPr="006B17BE" w:rsidRDefault="00CA4221" w:rsidP="00443CD7">
            <w:pPr>
              <w:pStyle w:val="BackCoverContactDetails"/>
            </w:pPr>
            <w:r w:rsidRPr="006B17BE">
              <w:rPr>
                <w:rStyle w:val="BackCoverContactBold"/>
              </w:rPr>
              <w:t>e</w:t>
            </w:r>
            <w:r w:rsidRPr="006B17BE">
              <w:t xml:space="preserve"> </w:t>
            </w:r>
            <w:r w:rsidRPr="006B17BE">
              <w:tab/>
              <w:t>enquiries@csiro.au</w:t>
            </w:r>
          </w:p>
          <w:p w14:paraId="34C7ECEA" w14:textId="77777777" w:rsidR="00CA4221" w:rsidRPr="006B17BE" w:rsidRDefault="00CA4221" w:rsidP="00443CD7">
            <w:pPr>
              <w:pStyle w:val="BackCoverContactDetails"/>
            </w:pPr>
            <w:r w:rsidRPr="006B17BE">
              <w:rPr>
                <w:rStyle w:val="BackCoverContactBold"/>
              </w:rPr>
              <w:t>w</w:t>
            </w:r>
            <w:r w:rsidRPr="006B17BE">
              <w:t xml:space="preserve"> </w:t>
            </w:r>
            <w:r w:rsidRPr="006B17BE">
              <w:tab/>
              <w:t>www.csiro.au</w:t>
            </w:r>
          </w:p>
          <w:p w14:paraId="74D88FB1" w14:textId="77777777" w:rsidR="00CA4221" w:rsidRPr="006B17BE" w:rsidRDefault="00CA4221" w:rsidP="00443CD7">
            <w:pPr>
              <w:pStyle w:val="BackCoverContactHeading"/>
            </w:pPr>
            <w:r w:rsidRPr="006B17BE">
              <w:t xml:space="preserve">At CSIRO we shape the future </w:t>
            </w:r>
          </w:p>
          <w:p w14:paraId="330D6C77" w14:textId="77777777" w:rsidR="00CA4221" w:rsidRPr="006B17BE" w:rsidRDefault="00CA4221" w:rsidP="00443CD7">
            <w:pPr>
              <w:pStyle w:val="BackCoverContactDetails"/>
              <w:spacing w:after="120"/>
            </w:pPr>
            <w:r w:rsidRPr="006B17BE">
              <w:t>We do this by using science to solve real issues. Our research makes a difference to industry, people and the planet.</w:t>
            </w:r>
          </w:p>
          <w:p w14:paraId="2506F21D" w14:textId="77777777" w:rsidR="00CA4221" w:rsidRPr="006B17BE" w:rsidRDefault="00CA4221" w:rsidP="00443CD7">
            <w:pPr>
              <w:pStyle w:val="BackCoverContactDetails"/>
              <w:spacing w:after="120"/>
            </w:pPr>
            <w:r w:rsidRPr="006B17BE">
              <w:t>As Australia’s national science agency we’ve been pushing the edge of what’s possible for over 85 years. Today we have more than 5,000 talented people working out of 50-plus centres in Australia and internationally. Our people work closely with industry and communities to leave a lasting legacy. Collectively, our innovation and excellence places us in the top ten applied research agencies in the world.</w:t>
            </w:r>
          </w:p>
          <w:p w14:paraId="1683170F" w14:textId="1DDCE0A0" w:rsidR="00CA4221" w:rsidRPr="006B17BE" w:rsidRDefault="00F250ED" w:rsidP="00443CD7">
            <w:pPr>
              <w:pStyle w:val="BackCoverContactDetails"/>
            </w:pPr>
            <w:r>
              <w:t xml:space="preserve">WE </w:t>
            </w:r>
            <w:r w:rsidR="00CA4221" w:rsidRPr="006B17BE">
              <w:t>ASK, WE SEEK AND WE SOLVE</w:t>
            </w:r>
          </w:p>
        </w:tc>
        <w:tc>
          <w:tcPr>
            <w:tcW w:w="457" w:type="dxa"/>
          </w:tcPr>
          <w:p w14:paraId="3E1849BB" w14:textId="77777777" w:rsidR="00CA4221" w:rsidRPr="006B17BE" w:rsidRDefault="00CA4221" w:rsidP="00443CD7">
            <w:pPr>
              <w:pStyle w:val="BackCoverContactHeading"/>
            </w:pPr>
          </w:p>
        </w:tc>
        <w:tc>
          <w:tcPr>
            <w:tcW w:w="4961" w:type="dxa"/>
          </w:tcPr>
          <w:p w14:paraId="44D15603" w14:textId="77777777" w:rsidR="00CA4221" w:rsidRPr="006B17BE" w:rsidRDefault="00CA4221" w:rsidP="00443CD7">
            <w:pPr>
              <w:pStyle w:val="BackCoverContactHeading"/>
            </w:pPr>
            <w:r w:rsidRPr="006B17BE">
              <w:t>For further information</w:t>
            </w:r>
          </w:p>
          <w:p w14:paraId="671A2BBD" w14:textId="77777777" w:rsidR="00CA4221" w:rsidRPr="006B17BE" w:rsidRDefault="00CA4221" w:rsidP="00443CD7">
            <w:pPr>
              <w:pStyle w:val="BackCoverContactDetails"/>
              <w:rPr>
                <w:rStyle w:val="BackCoverContactBold"/>
              </w:rPr>
            </w:pPr>
          </w:p>
          <w:p w14:paraId="720CE127" w14:textId="77777777" w:rsidR="00CA4221" w:rsidRPr="006B17BE" w:rsidRDefault="00CA4221" w:rsidP="00443CD7">
            <w:pPr>
              <w:pStyle w:val="BackCoverContactDetails"/>
              <w:rPr>
                <w:rStyle w:val="BackCoverContactBold"/>
              </w:rPr>
            </w:pPr>
            <w:r w:rsidRPr="006B17BE">
              <w:rPr>
                <w:rStyle w:val="BackCoverContactBold"/>
              </w:rPr>
              <w:t>Land &amp; Water</w:t>
            </w:r>
          </w:p>
          <w:p w14:paraId="73268542" w14:textId="77777777" w:rsidR="00CA4221" w:rsidRPr="006B17BE" w:rsidRDefault="00CA4221" w:rsidP="00443CD7">
            <w:pPr>
              <w:pStyle w:val="BackCoverContactDetails"/>
            </w:pPr>
            <w:r w:rsidRPr="006B17BE">
              <w:t>Dirk Mallants</w:t>
            </w:r>
            <w:r w:rsidRPr="006B17BE">
              <w:br/>
            </w:r>
            <w:r w:rsidRPr="006B17BE">
              <w:rPr>
                <w:rStyle w:val="BackCoverContactBold"/>
              </w:rPr>
              <w:t>t</w:t>
            </w:r>
            <w:r w:rsidRPr="006B17BE">
              <w:t xml:space="preserve"> </w:t>
            </w:r>
            <w:r w:rsidRPr="006B17BE">
              <w:tab/>
            </w:r>
            <w:r w:rsidRPr="006B17BE">
              <w:rPr>
                <w:rStyle w:val="BackCoverContactBold"/>
              </w:rPr>
              <w:t>+61 8 8303 8595</w:t>
            </w:r>
          </w:p>
          <w:p w14:paraId="27D32AFE" w14:textId="77777777" w:rsidR="00CA4221" w:rsidRPr="006B17BE" w:rsidRDefault="00CA4221" w:rsidP="00443CD7">
            <w:pPr>
              <w:pStyle w:val="BackCoverContactDetails"/>
            </w:pPr>
            <w:r w:rsidRPr="006B17BE">
              <w:rPr>
                <w:rStyle w:val="BackCoverContactBold"/>
              </w:rPr>
              <w:t>e</w:t>
            </w:r>
            <w:r w:rsidRPr="006B17BE">
              <w:t xml:space="preserve"> </w:t>
            </w:r>
            <w:r w:rsidRPr="006B17BE">
              <w:tab/>
            </w:r>
            <w:r w:rsidRPr="006B17BE">
              <w:rPr>
                <w:rStyle w:val="BackCoverContactBold"/>
              </w:rPr>
              <w:t>Dirk.Mallants@csiro.au</w:t>
            </w:r>
          </w:p>
          <w:p w14:paraId="6B25090B" w14:textId="77777777" w:rsidR="00CA4221" w:rsidRPr="006B17BE" w:rsidRDefault="00CA4221" w:rsidP="00443CD7">
            <w:pPr>
              <w:pStyle w:val="BackCoverContactDetails"/>
            </w:pPr>
            <w:r w:rsidRPr="006B17BE">
              <w:rPr>
                <w:rStyle w:val="BackCoverContactBold"/>
              </w:rPr>
              <w:t>w</w:t>
            </w:r>
            <w:r w:rsidRPr="006B17BE">
              <w:t xml:space="preserve"> </w:t>
            </w:r>
            <w:r w:rsidRPr="006B17BE">
              <w:tab/>
            </w:r>
            <w:r w:rsidRPr="006B17BE">
              <w:rPr>
                <w:rStyle w:val="BackCoverContactBold"/>
              </w:rPr>
              <w:t>www.csiro.au/en/Research/LWF</w:t>
            </w:r>
          </w:p>
          <w:p w14:paraId="06D8E2BC" w14:textId="77777777" w:rsidR="00CA4221" w:rsidRPr="006B17BE" w:rsidRDefault="00CA4221" w:rsidP="00443CD7">
            <w:pPr>
              <w:pStyle w:val="BackCoverContactDetails"/>
              <w:rPr>
                <w:rStyle w:val="BackCoverContactBold"/>
              </w:rPr>
            </w:pPr>
          </w:p>
          <w:p w14:paraId="68AF4D87" w14:textId="77777777" w:rsidR="00CA4221" w:rsidRPr="006B17BE" w:rsidRDefault="00CA4221" w:rsidP="00CA4221">
            <w:pPr>
              <w:pStyle w:val="BackCoverContactDetails"/>
            </w:pPr>
          </w:p>
        </w:tc>
      </w:tr>
    </w:tbl>
    <w:p w14:paraId="730E6196" w14:textId="77777777" w:rsidR="00CA4221" w:rsidRPr="006B17BE" w:rsidRDefault="00CA4221" w:rsidP="00CA4221">
      <w:pPr>
        <w:pStyle w:val="BodyText"/>
      </w:pPr>
      <w:r w:rsidRPr="006B17BE">
        <w:rPr>
          <w:noProof/>
        </w:rPr>
        <mc:AlternateContent>
          <mc:Choice Requires="wpg">
            <w:drawing>
              <wp:anchor distT="0" distB="0" distL="114300" distR="114300" simplePos="0" relativeHeight="251666432" behindDoc="1" locked="1" layoutInCell="1" allowOverlap="1" wp14:anchorId="28327B03" wp14:editId="33A5F7E2">
                <wp:simplePos x="0" y="0"/>
                <wp:positionH relativeFrom="column">
                  <wp:posOffset>-1692275</wp:posOffset>
                </wp:positionH>
                <wp:positionV relativeFrom="page">
                  <wp:posOffset>5715</wp:posOffset>
                </wp:positionV>
                <wp:extent cx="14792960" cy="10739755"/>
                <wp:effectExtent l="0" t="0" r="8890" b="4445"/>
                <wp:wrapNone/>
                <wp:docPr id="2" name="Group 54" descr="backgrou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92960" cy="10739755"/>
                          <a:chOff x="-1254" y="-40"/>
                          <a:chExt cx="23296" cy="16913"/>
                        </a:xfrm>
                      </wpg:grpSpPr>
                      <wpg:grpSp>
                        <wpg:cNvPr id="4" name="Group 55" descr="background"/>
                        <wpg:cNvGrpSpPr>
                          <a:grpSpLocks/>
                        </wpg:cNvGrpSpPr>
                        <wpg:grpSpPr bwMode="auto">
                          <a:xfrm>
                            <a:off x="-38" y="-40"/>
                            <a:ext cx="12095" cy="16913"/>
                            <a:chOff x="-38" y="-41"/>
                            <a:chExt cx="12095" cy="16913"/>
                          </a:xfrm>
                        </wpg:grpSpPr>
                        <wps:wsp>
                          <wps:cNvPr id="68" name="Rectangle 56" descr="background"/>
                          <wps:cNvSpPr>
                            <a:spLocks noChangeArrowheads="1"/>
                          </wps:cNvSpPr>
                          <wps:spPr bwMode="auto">
                            <a:xfrm>
                              <a:off x="-38" y="-41"/>
                              <a:ext cx="11966" cy="12105"/>
                            </a:xfrm>
                            <a:prstGeom prst="rect">
                              <a:avLst/>
                            </a:prstGeom>
                            <a:solidFill>
                              <a:schemeClr val="accent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 name="Rectangle 57" descr="background"/>
                          <wps:cNvSpPr>
                            <a:spLocks noChangeArrowheads="1"/>
                          </wps:cNvSpPr>
                          <wps:spPr bwMode="auto">
                            <a:xfrm>
                              <a:off x="-38" y="11692"/>
                              <a:ext cx="12095" cy="5180"/>
                            </a:xfrm>
                            <a:prstGeom prst="rect">
                              <a:avLst/>
                            </a:prstGeom>
                            <a:solidFill>
                              <a:schemeClr val="bg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0" tIns="0" rIns="0" bIns="0" anchor="b" anchorCtr="0" upright="1">
                            <a:noAutofit/>
                          </wps:bodyPr>
                        </wps:wsp>
                      </wpg:grpSp>
                      <wpg:grpSp>
                        <wpg:cNvPr id="90" name="Canvas 1059" descr="background"/>
                        <wpg:cNvGrpSpPr>
                          <a:grpSpLocks/>
                        </wpg:cNvGrpSpPr>
                        <wpg:grpSpPr bwMode="auto">
                          <a:xfrm>
                            <a:off x="-62" y="913"/>
                            <a:ext cx="12119" cy="830"/>
                            <a:chOff x="0" y="0"/>
                            <a:chExt cx="89528" cy="6261"/>
                          </a:xfrm>
                        </wpg:grpSpPr>
                        <wps:wsp>
                          <wps:cNvPr id="93" name="AutoShape 26" descr="background"/>
                          <wps:cNvSpPr>
                            <a:spLocks noChangeAspect="1" noChangeArrowheads="1"/>
                          </wps:cNvSpPr>
                          <wps:spPr bwMode="auto">
                            <a:xfrm>
                              <a:off x="0" y="0"/>
                              <a:ext cx="89528" cy="62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4" name="Rectangle 34"/>
                          <wps:cNvSpPr>
                            <a:spLocks noChangeArrowheads="1"/>
                          </wps:cNvSpPr>
                          <wps:spPr bwMode="auto">
                            <a:xfrm>
                              <a:off x="146" y="190"/>
                              <a:ext cx="89223" cy="5950"/>
                            </a:xfrm>
                            <a:prstGeom prst="rect">
                              <a:avLst/>
                            </a:prstGeom>
                            <a:solidFill>
                              <a:srgbClr val="C8C7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cNvPr id="95" name="Group 91"/>
                          <wpg:cNvGrpSpPr>
                            <a:grpSpLocks/>
                          </wpg:cNvGrpSpPr>
                          <wpg:grpSpPr bwMode="auto">
                            <a:xfrm>
                              <a:off x="114" y="190"/>
                              <a:ext cx="89255" cy="5950"/>
                              <a:chOff x="114" y="190"/>
                              <a:chExt cx="89255" cy="5950"/>
                            </a:xfrm>
                          </wpg:grpSpPr>
                          <wps:wsp>
                            <wps:cNvPr id="98" name="Rectangle 35" descr="background"/>
                            <wps:cNvSpPr>
                              <a:spLocks noChangeArrowheads="1"/>
                            </wps:cNvSpPr>
                            <wps:spPr bwMode="auto">
                              <a:xfrm>
                                <a:off x="146" y="190"/>
                                <a:ext cx="89223" cy="5950"/>
                              </a:xfrm>
                              <a:prstGeom prst="rect">
                                <a:avLst/>
                              </a:prstGeom>
                              <a:solidFill>
                                <a:schemeClr val="accent1">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2" name="Rectangle 36" descr="background"/>
                            <wps:cNvSpPr>
                              <a:spLocks noChangeArrowheads="1"/>
                            </wps:cNvSpPr>
                            <wps:spPr bwMode="auto">
                              <a:xfrm>
                                <a:off x="114" y="984"/>
                                <a:ext cx="89255" cy="5156"/>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grpSp>
                      </wpg:grpSp>
                      <wpg:grpSp>
                        <wpg:cNvPr id="103" name="Group 90" descr="background"/>
                        <wpg:cNvGrpSpPr>
                          <a:grpSpLocks/>
                        </wpg:cNvGrpSpPr>
                        <wpg:grpSpPr bwMode="auto">
                          <a:xfrm>
                            <a:off x="-1254" y="10023"/>
                            <a:ext cx="23296" cy="6253"/>
                            <a:chOff x="31" y="0"/>
                            <a:chExt cx="147930" cy="39706"/>
                          </a:xfrm>
                        </wpg:grpSpPr>
                        <wps:wsp>
                          <wps:cNvPr id="104" name="Rectangle 48"/>
                          <wps:cNvSpPr>
                            <a:spLocks noChangeArrowheads="1"/>
                          </wps:cNvSpPr>
                          <wps:spPr bwMode="auto">
                            <a:xfrm>
                              <a:off x="6432" y="10363"/>
                              <a:ext cx="76968" cy="2934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5" name="Freeform 49" descr="background"/>
                          <wps:cNvSpPr>
                            <a:spLocks/>
                          </wps:cNvSpPr>
                          <wps:spPr bwMode="auto">
                            <a:xfrm>
                              <a:off x="31" y="0"/>
                              <a:ext cx="123844" cy="12071"/>
                            </a:xfrm>
                            <a:custGeom>
                              <a:avLst/>
                              <a:gdLst>
                                <a:gd name="T0" fmla="*/ 2147483647 w 3831"/>
                                <a:gd name="T1" fmla="*/ 1079275695 h 374"/>
                                <a:gd name="T2" fmla="*/ 2147483647 w 3831"/>
                                <a:gd name="T3" fmla="*/ 0 h 374"/>
                                <a:gd name="T4" fmla="*/ 0 w 3831"/>
                                <a:gd name="T5" fmla="*/ 0 h 374"/>
                                <a:gd name="T6" fmla="*/ 0 w 3831"/>
                                <a:gd name="T7" fmla="*/ 1257474349 h 374"/>
                                <a:gd name="T8" fmla="*/ 2147483647 w 3831"/>
                                <a:gd name="T9" fmla="*/ 1257474349 h 374"/>
                                <a:gd name="T10" fmla="*/ 2147483647 w 3831"/>
                                <a:gd name="T11" fmla="*/ 1079275695 h 37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831" h="374">
                                  <a:moveTo>
                                    <a:pt x="3831" y="321"/>
                                  </a:moveTo>
                                  <a:cubicBezTo>
                                    <a:pt x="3531" y="150"/>
                                    <a:pt x="3119" y="0"/>
                                    <a:pt x="2922" y="0"/>
                                  </a:cubicBezTo>
                                  <a:cubicBezTo>
                                    <a:pt x="0" y="0"/>
                                    <a:pt x="0" y="0"/>
                                    <a:pt x="0" y="0"/>
                                  </a:cubicBezTo>
                                  <a:cubicBezTo>
                                    <a:pt x="0" y="374"/>
                                    <a:pt x="0" y="374"/>
                                    <a:pt x="0" y="374"/>
                                  </a:cubicBezTo>
                                  <a:cubicBezTo>
                                    <a:pt x="3389" y="374"/>
                                    <a:pt x="3389" y="374"/>
                                    <a:pt x="3389" y="374"/>
                                  </a:cubicBezTo>
                                  <a:cubicBezTo>
                                    <a:pt x="3559" y="374"/>
                                    <a:pt x="3724" y="362"/>
                                    <a:pt x="3831" y="321"/>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50" descr="background"/>
                          <wps:cNvSpPr>
                            <a:spLocks/>
                          </wps:cNvSpPr>
                          <wps:spPr bwMode="auto">
                            <a:xfrm>
                              <a:off x="31" y="14014"/>
                              <a:ext cx="98273" cy="6198"/>
                            </a:xfrm>
                            <a:custGeom>
                              <a:avLst/>
                              <a:gdLst>
                                <a:gd name="T0" fmla="*/ 2147483647 w 3040"/>
                                <a:gd name="T1" fmla="*/ 555017568 h 192"/>
                                <a:gd name="T2" fmla="*/ 2147483647 w 3040"/>
                                <a:gd name="T3" fmla="*/ 0 h 192"/>
                                <a:gd name="T4" fmla="*/ 0 w 3040"/>
                                <a:gd name="T5" fmla="*/ 0 h 192"/>
                                <a:gd name="T6" fmla="*/ 0 w 3040"/>
                                <a:gd name="T7" fmla="*/ 645838960 h 192"/>
                                <a:gd name="T8" fmla="*/ 2147483647 w 3040"/>
                                <a:gd name="T9" fmla="*/ 645838960 h 192"/>
                                <a:gd name="T10" fmla="*/ 2147483647 w 3040"/>
                                <a:gd name="T11" fmla="*/ 555017568 h 19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3040" h="192">
                                  <a:moveTo>
                                    <a:pt x="3040" y="165"/>
                                  </a:moveTo>
                                  <a:cubicBezTo>
                                    <a:pt x="2886" y="77"/>
                                    <a:pt x="2675" y="0"/>
                                    <a:pt x="2402" y="0"/>
                                  </a:cubicBezTo>
                                  <a:cubicBezTo>
                                    <a:pt x="0" y="0"/>
                                    <a:pt x="0" y="0"/>
                                    <a:pt x="0" y="0"/>
                                  </a:cubicBezTo>
                                  <a:cubicBezTo>
                                    <a:pt x="0" y="192"/>
                                    <a:pt x="0" y="192"/>
                                    <a:pt x="0" y="192"/>
                                  </a:cubicBezTo>
                                  <a:cubicBezTo>
                                    <a:pt x="2641" y="192"/>
                                    <a:pt x="2641" y="192"/>
                                    <a:pt x="2641" y="192"/>
                                  </a:cubicBezTo>
                                  <a:cubicBezTo>
                                    <a:pt x="2901" y="192"/>
                                    <a:pt x="2985" y="186"/>
                                    <a:pt x="3040" y="165"/>
                                  </a:cubicBezTo>
                                </a:path>
                              </a:pathLst>
                            </a:custGeom>
                            <a:solidFill>
                              <a:schemeClr val="accent1">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51" descr="background"/>
                          <wps:cNvSpPr>
                            <a:spLocks/>
                          </wps:cNvSpPr>
                          <wps:spPr bwMode="auto">
                            <a:xfrm>
                              <a:off x="31" y="22694"/>
                              <a:ext cx="147930" cy="1423"/>
                            </a:xfrm>
                            <a:custGeom>
                              <a:avLst/>
                              <a:gdLst>
                                <a:gd name="T0" fmla="*/ 2147483647 w 4576"/>
                                <a:gd name="T1" fmla="*/ 128486777 h 44"/>
                                <a:gd name="T2" fmla="*/ 2147483647 w 4576"/>
                                <a:gd name="T3" fmla="*/ 0 h 44"/>
                                <a:gd name="T4" fmla="*/ 0 w 4576"/>
                                <a:gd name="T5" fmla="*/ 0 h 44"/>
                                <a:gd name="T6" fmla="*/ 0 w 4576"/>
                                <a:gd name="T7" fmla="*/ 148773712 h 44"/>
                                <a:gd name="T8" fmla="*/ 2147483647 w 4576"/>
                                <a:gd name="T9" fmla="*/ 148773712 h 44"/>
                                <a:gd name="T10" fmla="*/ 2147483647 w 4576"/>
                                <a:gd name="T11" fmla="*/ 128486777 h 44"/>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576" h="44">
                                  <a:moveTo>
                                    <a:pt x="4576" y="38"/>
                                  </a:moveTo>
                                  <a:cubicBezTo>
                                    <a:pt x="4542" y="21"/>
                                    <a:pt x="4493" y="0"/>
                                    <a:pt x="4431" y="0"/>
                                  </a:cubicBezTo>
                                  <a:cubicBezTo>
                                    <a:pt x="0" y="0"/>
                                    <a:pt x="0" y="0"/>
                                    <a:pt x="0" y="0"/>
                                  </a:cubicBezTo>
                                  <a:cubicBezTo>
                                    <a:pt x="0" y="44"/>
                                    <a:pt x="0" y="44"/>
                                    <a:pt x="0" y="44"/>
                                  </a:cubicBezTo>
                                  <a:cubicBezTo>
                                    <a:pt x="4485" y="44"/>
                                    <a:pt x="4485" y="44"/>
                                    <a:pt x="4485" y="44"/>
                                  </a:cubicBezTo>
                                  <a:cubicBezTo>
                                    <a:pt x="4485" y="44"/>
                                    <a:pt x="4566" y="40"/>
                                    <a:pt x="4576" y="38"/>
                                  </a:cubicBezTo>
                                </a:path>
                              </a:pathLst>
                            </a:custGeom>
                            <a:solidFill>
                              <a:schemeClr val="accent2">
                                <a:lumMod val="100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9C75CA" id="Group 54" o:spid="_x0000_s1026" alt="background" style="position:absolute;margin-left:-133.25pt;margin-top:.45pt;width:1164.8pt;height:845.65pt;z-index:-251650048;mso-position-vertical-relative:page" coordorigin="-1254,-40" coordsize="23296,1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">
                <v:group id="Group 55" o:spid="_x0000_s1027" alt="background" style="position:absolute;left:-38;top:-40;width:12095;height:16913" coordorigin="-38,-41" coordsize="12095,16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56" o:spid="_x0000_s1028" alt="background" style="position:absolute;left:-38;top:-41;width:11966;height:12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BSqcAA&#10;AADbAAAADwAAAGRycy9kb3ducmV2LnhtbERPTYvCMBC9C/6HMII3TdeDSNcoRVgUPYhV2D3ONmNT&#10;2kxKE2v3328OgsfH+15vB9uInjpfOVbwMU9AEBdOV1wquF2/ZisQPiBrbByTgj/ysN2MR2tMtXvy&#10;hfo8lCKGsE9RgQmhTaX0hSGLfu5a4sjdXWcxRNiVUnf4jOG2kYskWUqLFccGgy3tDBV1/rAKDj9Z&#10;2B9/H0f3nV3q/GTOfV2flZpOhuwTRKAhvMUv90ErWMax8Uv8AXLz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VBSqcAAAADbAAAADwAAAAAAAAAAAAAAAACYAgAAZHJzL2Rvd25y&#10;ZXYueG1sUEsFBgAAAAAEAAQA9QAAAIUDAAAAAA==&#10;" fillcolor="#41b6e6 [3204]" stroked="f"/>
                  <v:rect id="Rectangle 57" o:spid="_x0000_s1029" alt="background" style="position:absolute;left:-38;top:11692;width:12095;height:5180;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FUsUA&#10;AADbAAAADwAAAGRycy9kb3ducmV2LnhtbESPT2vCQBTE74LfYXkFL9JstCA2dRUR+kfQg7G0eHtk&#10;X5Ng9m3YXTX99q4geBxm5jfMbNGZRpzJ+dqyglGSgiAurK65VPC9f3+egvABWWNjmRT8k4fFvN+b&#10;YabthXd0zkMpIoR9hgqqENpMSl9UZNAntiWO3p91BkOUrpTa4SXCTSPHaTqRBmuOCxW2tKqoOOYn&#10;o2Bz2P3WW2rWo2HxqV9S/Dn404dSg6du+QYiUBce4Xv7SyuYvsL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dYVSxQAAANsAAAAPAAAAAAAAAAAAAAAAAJgCAABkcnMv&#10;ZG93bnJldi54bWxQSwUGAAAAAAQABAD1AAAAigMAAAAA&#10;" fillcolor="white [3214]" stroked="f">
                    <v:textbox inset="0,0,0,0"/>
                  </v:rect>
                </v:group>
                <v:group id="Canvas 1059" o:spid="_x0000_s1030" alt="background" style="position:absolute;left:-62;top:913;width:12119;height:830" coordsize="89528,6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rect id="AutoShape 26" o:spid="_x0000_s1031" alt="background" style="position:absolute;width:89528;height:62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1qMsQA&#10;AADbAAAADwAAAGRycy9kb3ducmV2LnhtbESPQWvCQBSE7wX/w/IEL6IbLRRNXUUEMUhBjNbzI/ua&#10;hGbfxuyapP++WxB6HGbmG2a16U0lWmpcaVnBbBqBIM6sLjlXcL3sJwsQziNrrCyTgh9ysFkPXlYY&#10;a9vxmdrU5yJA2MWooPC+jqV0WUEG3dTWxMH7so1BH2STS91gF+CmkvMoepMGSw4LBda0Kyj7Th9G&#10;QZed2tvl4yBP41ti+Z7cd+nnUanRsN++g/DU+//ws51oBct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NajLEAAAA2wAAAA8AAAAAAAAAAAAAAAAAmAIAAGRycy9k&#10;b3ducmV2LnhtbFBLBQYAAAAABAAEAPUAAACJAwAAAAA=&#10;" filled="f" stroked="f">
                    <o:lock v:ext="edit" aspectratio="t"/>
                  </v:rect>
                  <v:rect id="Rectangle 34" o:spid="_x0000_s1032"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S28UA&#10;AADbAAAADwAAAGRycy9kb3ducmV2LnhtbESPQWsCMRSE7wX/Q3hCL0vN1kqxq1GkpUUQhGrr+bF5&#10;boKbl+0mXdd/3whCj8PMfMPMl72rRUdtsJ4VPI5yEMSl15YrBV/794cpiBCRNdaeScGFAiwXg7s5&#10;Ftqf+ZO6XaxEgnAoUIGJsSmkDKUhh2HkG+LkHX3rMCbZVlK3eE5wV8txnj9Lh5bTgsGGXg2Vp92v&#10;UzC+fLw1drsOp4Pts83Pd2aeukyp+2G/moGI1Mf/8K291gpeJnD9kn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ylLbxQAAANsAAAAPAAAAAAAAAAAAAAAAAJgCAABkcnMv&#10;ZG93bnJldi54bWxQSwUGAAAAAAQABAD1AAAAigMAAAAA&#10;" fillcolor="#c8c7c7" stroked="f"/>
                  <v:group id="Group 91" o:spid="_x0000_s1033" style="position:absolute;left:114;top:190;width:89255;height:5950" coordorigin="114,190" coordsize="89255,59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rect id="Rectangle 35" o:spid="_x0000_s1034" alt="background" style="position:absolute;left:146;top:190;width:89223;height:5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F98EA&#10;AADbAAAADwAAAGRycy9kb3ducmV2LnhtbERPyWrDMBC9B/oPYgq9JXICKbEbOYRCa0N7aNN8wGCN&#10;FyqNjKV4+fvqUMjx8fbjabZGjDT4zrGC7SYBQVw53XGj4Prztj6A8AFZo3FMChbycMofVkfMtJv4&#10;m8ZLaEQMYZ+hgjaEPpPSVy1Z9BvXE0eudoPFEOHQSD3gFMOtkbskeZYWO44NLfb02lL1e7lZBR+F&#10;/SrSetndTPq+570p++tnqdTT43x+ARFoDnfxv7vUCtI4Nn6JP0D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hxffBAAAA2wAAAA8AAAAAAAAAAAAAAAAAmAIAAGRycy9kb3du&#10;cmV2LnhtbFBLBQYAAAAABAAEAPUAAACGAwAAAAA=&#10;" fillcolor="#1991c2 [2404]" stroked="f"/>
                    <v:rect id="Rectangle 36" o:spid="_x0000_s1035" alt="background" style="position:absolute;left:114;top:984;width:89255;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6ssMA&#10;AADcAAAADwAAAGRycy9kb3ducmV2LnhtbERPPWvDMBDdA/0P4grdYimGhuBGCSG0xksHJ2mh22Fd&#10;bBPrZCzVdv99FSh0u8f7vO1+tp0YafCtYw2rRIEgrpxpudZwOb8tNyB8QDbYOSYNP+Rhv3tYbDEz&#10;buKSxlOoRQxhn6GGJoQ+k9JXDVn0ieuJI3d1g8UQ4VBLM+AUw20nU6XW0mLLsaHBno4NVbfTt9Uw&#10;56kqPr8qyg/HcoX+fXx+/Ri1fnqcDy8gAs3hX/znLkycr1K4PxMv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oP6ssMAAADcAAAADwAAAAAAAAAAAAAAAACYAgAAZHJzL2Rv&#10;d25yZXYueG1sUEsFBgAAAAAEAAQA9QAAAIgDAAAAAA==&#10;" fillcolor="#004b87 [3205]" stroked="f"/>
                  </v:group>
                </v:group>
                <v:group id="Group 90" o:spid="_x0000_s1036" alt="background" style="position:absolute;left:-1254;top:10023;width:23296;height:6253" coordorigin="31" coordsize="147930,397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48" o:spid="_x0000_s1037" style="position:absolute;left:6432;top:10363;width:76968;height:29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OmM8MA&#10;AADcAAAADwAAAGRycy9kb3ducmV2LnhtbERPTWvCQBC9C/0Pywi96a41hjZ1lSIIherBpNDrkB2T&#10;0Oxsml1N+u/dQsHbPN7nrLejbcWVet841rCYKxDEpTMNVxo+i/3sGYQPyAZbx6ThlzxsNw+TNWbG&#10;DXyiax4qEUPYZ6ihDqHLpPRlTRb93HXEkTu73mKIsK+k6XGI4baVT0ql0mLDsaHGjnY1ld/5xWrA&#10;NDE/x/PyUHxcUnypRrVffSmtH6fj2yuIQGO4i//d7ybOVwn8PRMvkJ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OmM8MAAADcAAAADwAAAAAAAAAAAAAAAACYAgAAZHJzL2Rv&#10;d25yZXYueG1sUEsFBgAAAAAEAAQA9QAAAIgDAAAAAA==&#10;" stroked="f"/>
                  <v:shape id="Freeform 49" o:spid="_x0000_s1038" alt="background" style="position:absolute;left:31;width:123844;height:12071;visibility:visible;mso-wrap-style:square;v-text-anchor:top" coordsize="383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Unz8IA&#10;AADcAAAADwAAAGRycy9kb3ducmV2LnhtbERPTYvCMBC9C/6HMIK3NVVcXapRRFDEFUFd2D2OzdhW&#10;m0lpotZ/b4QFb/N4nzOe1qYQN6pcbllBtxOBIE6szjlV8HNYfHyBcB5ZY2GZFDzIwXTSbIwx1vbO&#10;O7rtfSpCCLsYFWTel7GULsnIoOvYkjhwJ1sZ9AFWqdQV3kO4KWQvigbSYM6hIcOS5hkll/3VKNDn&#10;8nexnnFfHzf0Z7bL780hHyrVbtWzEQhPtX+L/90rHeZHn/B6Jlw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dSfPwgAAANwAAAAPAAAAAAAAAAAAAAAAAJgCAABkcnMvZG93&#10;bnJldi54bWxQSwUGAAAAAAQABAD1AAAAhwMAAAAA&#10;" path="m3831,321c3531,150,3119,,2922,,,,,,,,,374,,374,,374v3389,,3389,,3389,c3559,374,3724,362,3831,321e" fillcolor="#004b87 [3205]" stroked="f">
                    <v:path arrowok="t" o:connecttype="custom" o:connectlocs="2147483646,2147483646;2147483646,0;0,0;0,2147483646;2147483646,2147483646;2147483646,2147483646" o:connectangles="0,0,0,0,0,0"/>
                  </v:shape>
                  <v:shape id="Freeform 50" o:spid="_x0000_s1039" alt="background" style="position:absolute;left:31;top:14014;width:98273;height:6198;visibility:visible;mso-wrap-style:square;v-text-anchor:top" coordsize="3040,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DlcEA&#10;AADcAAAADwAAAGRycy9kb3ducmV2LnhtbERPS4vCMBC+C/sfwix403Q9FKlG2QeiIh58oB6HZmzL&#10;NpPQRK3/3giCt/n4njOetqYWV2p8ZVnBVz8BQZxbXXGhYL+b9YYgfEDWWFsmBXfyMJ18dMaYaXvj&#10;DV23oRAxhH2GCsoQXCalz0sy6PvWEUfubBuDIcKmkLrBWww3tRwkSSoNVhwbSnT0W1L+v70YBXNc&#10;DryT6/TwM1+v8vpoz+7vpFT3s/0egQjUhrf45V7oOD9J4flMvEBO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Qlw5XBAAAA3AAAAA8AAAAAAAAAAAAAAAAAmAIAAGRycy9kb3du&#10;cmV2LnhtbFBLBQYAAAAABAAEAPUAAACGAwAAAAA=&#10;" path="m3040,165c2886,77,2675,,2402,,,,,,,,,192,,192,,192v2641,,2641,,2641,c2901,192,2985,186,3040,165e" fillcolor="#41b6e6 [3204]" stroked="f">
                    <v:path arrowok="t" o:connecttype="custom" o:connectlocs="2147483646,2147483646;2147483646,0;0,0;0,2147483646;2147483646,2147483646;2147483646,2147483646" o:connectangles="0,0,0,0,0,0"/>
                  </v:shape>
                  <v:shape id="Freeform 51" o:spid="_x0000_s1040" alt="background" style="position:absolute;left:31;top:22694;width:147930;height:1423;visibility:visible;mso-wrap-style:square;v-text-anchor:top" coordsize="457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0jtcUA&#10;AADcAAAADwAAAGRycy9kb3ducmV2LnhtbESPT2vCQBDF7wW/wzJCL0U3WqgaXcUKQuip/sHzmB2T&#10;YHY2ZLcxfvvOodDbDO/Ne79ZbXpXq47aUHk2MBknoIhzbysuDJxP+9EcVIjIFmvPZOBJATbrwcsK&#10;U+sffKDuGAslIRxSNFDG2KRah7wkh2HsG2LRbr51GGVtC21bfEi4q/U0ST60w4qlocSGdiXl9+OP&#10;M/DZzfT3Nb+evp6X/Xv/ds4CLTJjXof9dgkqUh//zX/XmRX8RGj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nSO1xQAAANwAAAAPAAAAAAAAAAAAAAAAAJgCAABkcnMv&#10;ZG93bnJldi54bWxQSwUGAAAAAAQABAD1AAAAigMAAAAA&#10;" path="m4576,38c4542,21,4493,,4431,,,,,,,,,44,,44,,44v4485,,4485,,4485,c4485,44,4566,40,4576,38e" fillcolor="#004b87 [3205]" stroked="f">
                    <v:path arrowok="t" o:connecttype="custom" o:connectlocs="2147483646,2147483646;2147483646,0;0,0;0,2147483646;2147483646,2147483646;2147483646,2147483646" o:connectangles="0,0,0,0,0,0"/>
                  </v:shape>
                </v:group>
                <w10:wrap anchory="page"/>
                <w10:anchorlock/>
              </v:group>
            </w:pict>
          </mc:Fallback>
        </mc:AlternateContent>
      </w:r>
    </w:p>
    <w:p w14:paraId="5F3C74F2" w14:textId="2204AB35" w:rsidR="007219C5" w:rsidRPr="006B17BE" w:rsidRDefault="007219C5" w:rsidP="007219C5">
      <w:pPr>
        <w:pStyle w:val="Reference"/>
        <w:rPr>
          <w:rFonts w:asciiTheme="minorHAnsi" w:hAnsiTheme="minorHAnsi"/>
          <w:szCs w:val="24"/>
        </w:rPr>
      </w:pPr>
    </w:p>
    <w:p w14:paraId="781616CB" w14:textId="0298C964" w:rsidR="007219C5" w:rsidRPr="00C65320" w:rsidRDefault="007219C5" w:rsidP="007219C5">
      <w:pPr>
        <w:pStyle w:val="Reference"/>
        <w:rPr>
          <w:rFonts w:asciiTheme="minorHAnsi" w:hAnsiTheme="minorHAnsi"/>
          <w:szCs w:val="24"/>
        </w:rPr>
      </w:pPr>
    </w:p>
    <w:p w14:paraId="02755C9E" w14:textId="77777777" w:rsidR="007219C5" w:rsidRPr="00C65320" w:rsidRDefault="007219C5" w:rsidP="007219C5">
      <w:pPr>
        <w:jc w:val="center"/>
        <w:rPr>
          <w:rFonts w:asciiTheme="minorHAnsi" w:hAnsiTheme="minorHAnsi"/>
          <w:sz w:val="24"/>
          <w:szCs w:val="24"/>
        </w:rPr>
      </w:pPr>
    </w:p>
    <w:p w14:paraId="6B6EB80B" w14:textId="77777777" w:rsidR="007219C5" w:rsidRPr="00C65320" w:rsidRDefault="007219C5" w:rsidP="007219C5">
      <w:pPr>
        <w:rPr>
          <w:rFonts w:asciiTheme="minorHAnsi" w:hAnsiTheme="minorHAnsi"/>
          <w:sz w:val="24"/>
          <w:szCs w:val="24"/>
        </w:rPr>
      </w:pPr>
    </w:p>
    <w:p w14:paraId="11976301" w14:textId="77777777" w:rsidR="007219C5" w:rsidRPr="00C65320" w:rsidRDefault="007219C5" w:rsidP="007219C5">
      <w:pPr>
        <w:rPr>
          <w:rFonts w:asciiTheme="minorHAnsi" w:hAnsiTheme="minorHAnsi"/>
          <w:sz w:val="24"/>
          <w:szCs w:val="24"/>
        </w:rPr>
      </w:pPr>
    </w:p>
    <w:p w14:paraId="7ED829D1" w14:textId="15963849" w:rsidR="00E11A46" w:rsidRPr="00C65320" w:rsidRDefault="00E11A46" w:rsidP="005B103E">
      <w:pPr>
        <w:pStyle w:val="Reference"/>
        <w:rPr>
          <w:rFonts w:asciiTheme="minorHAnsi" w:hAnsiTheme="minorHAnsi"/>
          <w:szCs w:val="24"/>
        </w:rPr>
      </w:pPr>
    </w:p>
    <w:p w14:paraId="42052D20" w14:textId="404BD7B7" w:rsidR="005201FF" w:rsidRPr="00C65320" w:rsidRDefault="005201FF" w:rsidP="00E11A46">
      <w:pPr>
        <w:jc w:val="center"/>
        <w:rPr>
          <w:rFonts w:asciiTheme="minorHAnsi" w:hAnsiTheme="minorHAnsi"/>
          <w:sz w:val="24"/>
          <w:szCs w:val="24"/>
        </w:rPr>
      </w:pPr>
    </w:p>
    <w:p w14:paraId="5EEA0EB0" w14:textId="77777777" w:rsidR="005201FF" w:rsidRPr="00C65320" w:rsidRDefault="005201FF" w:rsidP="005201FF">
      <w:pPr>
        <w:rPr>
          <w:rFonts w:asciiTheme="minorHAnsi" w:hAnsiTheme="minorHAnsi"/>
          <w:sz w:val="24"/>
          <w:szCs w:val="24"/>
        </w:rPr>
      </w:pPr>
    </w:p>
    <w:p w14:paraId="12A18CF0" w14:textId="77777777" w:rsidR="005201FF" w:rsidRPr="00C65320" w:rsidRDefault="005201FF" w:rsidP="005201FF">
      <w:pPr>
        <w:rPr>
          <w:rFonts w:asciiTheme="minorHAnsi" w:hAnsiTheme="minorHAnsi"/>
          <w:sz w:val="24"/>
          <w:szCs w:val="24"/>
        </w:rPr>
      </w:pPr>
    </w:p>
    <w:p w14:paraId="0EB31464" w14:textId="77777777" w:rsidR="005201FF" w:rsidRPr="00C65320" w:rsidRDefault="005201FF" w:rsidP="005201FF">
      <w:pPr>
        <w:rPr>
          <w:rFonts w:asciiTheme="minorHAnsi" w:hAnsiTheme="minorHAnsi"/>
          <w:sz w:val="24"/>
          <w:szCs w:val="24"/>
        </w:rPr>
      </w:pPr>
    </w:p>
    <w:p w14:paraId="3B6AE4D4" w14:textId="77777777" w:rsidR="005201FF" w:rsidRPr="00C65320" w:rsidRDefault="005201FF" w:rsidP="005201FF">
      <w:pPr>
        <w:rPr>
          <w:rFonts w:asciiTheme="minorHAnsi" w:hAnsiTheme="minorHAnsi"/>
          <w:sz w:val="24"/>
          <w:szCs w:val="24"/>
        </w:rPr>
      </w:pPr>
    </w:p>
    <w:p w14:paraId="4765A9BD" w14:textId="77777777" w:rsidR="005201FF" w:rsidRPr="00C65320" w:rsidRDefault="005201FF" w:rsidP="005201FF">
      <w:pPr>
        <w:rPr>
          <w:rFonts w:asciiTheme="minorHAnsi" w:hAnsiTheme="minorHAnsi"/>
          <w:sz w:val="24"/>
          <w:szCs w:val="24"/>
        </w:rPr>
      </w:pPr>
    </w:p>
    <w:p w14:paraId="389F5901" w14:textId="222D94E0" w:rsidR="005201FF" w:rsidRPr="00C65320" w:rsidRDefault="005201FF" w:rsidP="005201FF">
      <w:pPr>
        <w:rPr>
          <w:rFonts w:asciiTheme="minorHAnsi" w:hAnsiTheme="minorHAnsi"/>
          <w:sz w:val="24"/>
          <w:szCs w:val="24"/>
        </w:rPr>
      </w:pPr>
    </w:p>
    <w:p w14:paraId="1BA72C3A" w14:textId="77777777" w:rsidR="005201FF" w:rsidRPr="00C65320" w:rsidRDefault="005201FF" w:rsidP="005201FF">
      <w:pPr>
        <w:rPr>
          <w:rFonts w:asciiTheme="minorHAnsi" w:hAnsiTheme="minorHAnsi"/>
          <w:sz w:val="24"/>
          <w:szCs w:val="24"/>
        </w:rPr>
      </w:pPr>
    </w:p>
    <w:p w14:paraId="638341E2" w14:textId="099AFC1F" w:rsidR="001E781D" w:rsidRPr="00C65320" w:rsidRDefault="001E781D">
      <w:pPr>
        <w:jc w:val="center"/>
        <w:rPr>
          <w:rFonts w:asciiTheme="minorHAnsi" w:hAnsiTheme="minorHAnsi"/>
          <w:sz w:val="24"/>
          <w:szCs w:val="24"/>
        </w:rPr>
      </w:pPr>
    </w:p>
    <w:sectPr w:rsidR="001E781D" w:rsidRPr="00C65320" w:rsidSect="00F60987">
      <w:footerReference w:type="default" r:id="rId7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02F749" w14:textId="77777777" w:rsidR="00424B9E" w:rsidRDefault="00424B9E" w:rsidP="00D94B73">
      <w:pPr>
        <w:spacing w:after="0"/>
      </w:pPr>
      <w:r>
        <w:separator/>
      </w:r>
    </w:p>
  </w:endnote>
  <w:endnote w:type="continuationSeparator" w:id="0">
    <w:p w14:paraId="7DEC1FD2" w14:textId="77777777" w:rsidR="00424B9E" w:rsidRDefault="00424B9E" w:rsidP="00D94B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Feijoa Medium">
    <w:altName w:val="Aria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00"/>
    <w:family w:val="swiss"/>
    <w:notTrueType/>
    <w:pitch w:val="default"/>
    <w:sig w:usb0="00000003" w:usb1="00000000" w:usb2="00000000" w:usb3="00000000" w:csb0="00000001" w:csb1="00000000"/>
  </w:font>
  <w:font w:name="Calibri-BoldItalic">
    <w:altName w:val="Calibri"/>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01505C" w14:textId="77777777" w:rsidR="00296C49" w:rsidRDefault="00296C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5771307"/>
      <w:docPartObj>
        <w:docPartGallery w:val="Page Numbers (Bottom of Page)"/>
        <w:docPartUnique/>
      </w:docPartObj>
    </w:sdtPr>
    <w:sdtEndPr>
      <w:rPr>
        <w:noProof/>
      </w:rPr>
    </w:sdtEndPr>
    <w:sdtContent>
      <w:p w14:paraId="1B599E32" w14:textId="2EFC710D" w:rsidR="00424B9E" w:rsidRDefault="00424B9E">
        <w:pPr>
          <w:pStyle w:val="Footer"/>
          <w:jc w:val="center"/>
        </w:pPr>
        <w:r>
          <w:fldChar w:fldCharType="begin"/>
        </w:r>
        <w:r>
          <w:instrText xml:space="preserve"> PAGE   \* MERGEFORMAT </w:instrText>
        </w:r>
        <w:r>
          <w:fldChar w:fldCharType="separate"/>
        </w:r>
        <w:r w:rsidR="00296C49">
          <w:rPr>
            <w:noProof/>
          </w:rPr>
          <w:t>i</w:t>
        </w:r>
        <w:r>
          <w:rPr>
            <w:noProof/>
          </w:rPr>
          <w:fldChar w:fldCharType="end"/>
        </w:r>
      </w:p>
    </w:sdtContent>
  </w:sdt>
  <w:p w14:paraId="1D4AF023" w14:textId="77777777" w:rsidR="00424B9E" w:rsidRDefault="00424B9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815D70" w14:textId="77777777" w:rsidR="00296C49" w:rsidRDefault="00296C4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00246804"/>
      <w:docPartObj>
        <w:docPartGallery w:val="Page Numbers (Bottom of Page)"/>
        <w:docPartUnique/>
      </w:docPartObj>
    </w:sdtPr>
    <w:sdtEndPr/>
    <w:sdtContent>
      <w:sdt>
        <w:sdtPr>
          <w:id w:val="1036543610"/>
          <w:docPartObj>
            <w:docPartGallery w:val="Page Numbers (Top of Page)"/>
            <w:docPartUnique/>
          </w:docPartObj>
        </w:sdtPr>
        <w:sdtEndPr/>
        <w:sdtContent>
          <w:p w14:paraId="0BD1702D" w14:textId="1F78DE79" w:rsidR="00424B9E" w:rsidRDefault="00424B9E" w:rsidP="000C51BA">
            <w:pPr>
              <w:pStyle w:val="Footer"/>
              <w:jc w:val="right"/>
            </w:pPr>
            <w:r>
              <w:t xml:space="preserve">|  </w:t>
            </w:r>
            <w:r>
              <w:rPr>
                <w:rStyle w:val="PageNumber"/>
              </w:rPr>
              <w:fldChar w:fldCharType="begin"/>
            </w:r>
            <w:r>
              <w:rPr>
                <w:rStyle w:val="PageNumber"/>
              </w:rPr>
              <w:instrText xml:space="preserve"> PAGE </w:instrText>
            </w:r>
            <w:r>
              <w:rPr>
                <w:rStyle w:val="PageNumber"/>
              </w:rPr>
              <w:fldChar w:fldCharType="separate"/>
            </w:r>
            <w:r w:rsidR="00296C49">
              <w:rPr>
                <w:rStyle w:val="PageNumber"/>
                <w:noProof/>
              </w:rPr>
              <w:t>4</w:t>
            </w:r>
            <w:r>
              <w:rPr>
                <w:rStyle w:val="PageNumber"/>
              </w:rPr>
              <w:fldChar w:fldCharType="end"/>
            </w:r>
          </w:p>
          <w:p w14:paraId="5607004B" w14:textId="77777777" w:rsidR="00424B9E" w:rsidRDefault="00296C49">
            <w:pPr>
              <w:pStyle w:val="Footer"/>
              <w:jc w:val="center"/>
            </w:pPr>
          </w:p>
        </w:sdtContent>
      </w:sdt>
    </w:sdtContent>
  </w:sdt>
  <w:p w14:paraId="65A30E51" w14:textId="77777777" w:rsidR="00424B9E" w:rsidRDefault="00424B9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23721F" w14:textId="77777777" w:rsidR="00424B9E" w:rsidRDefault="00424B9E" w:rsidP="00443CD7">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4E2C4D" w14:textId="77777777" w:rsidR="00424B9E" w:rsidRDefault="00424B9E" w:rsidP="00443CD7">
    <w:pPr>
      <w:pStyle w:val="Footer"/>
      <w:jc w:val="right"/>
    </w:pPr>
    <w:r>
      <w:fldChar w:fldCharType="begin"/>
    </w:r>
    <w:r>
      <w:instrText xml:space="preserve"> STYLEREF  CoverTitle </w:instrText>
    </w:r>
    <w:r>
      <w:rPr>
        <w:noProof/>
      </w:rPr>
      <w:fldChar w:fldCharType="end"/>
    </w:r>
    <w:r>
      <w:t xml:space="preserve">  |  </w:t>
    </w:r>
    <w:r>
      <w:rPr>
        <w:rStyle w:val="PageNumber"/>
      </w:rPr>
      <w:fldChar w:fldCharType="begin"/>
    </w:r>
    <w:r>
      <w:rPr>
        <w:rStyle w:val="PageNumber"/>
      </w:rPr>
      <w:instrText xml:space="preserve"> PAGE </w:instrText>
    </w:r>
    <w:r>
      <w:rPr>
        <w:rStyle w:val="PageNumber"/>
      </w:rPr>
      <w:fldChar w:fldCharType="separate"/>
    </w:r>
    <w:r w:rsidR="00296C49">
      <w:rPr>
        <w:rStyle w:val="PageNumber"/>
        <w:noProof/>
      </w:rPr>
      <w:t>77</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52196067"/>
      <w:docPartObj>
        <w:docPartGallery w:val="Page Numbers (Bottom of Page)"/>
        <w:docPartUnique/>
      </w:docPartObj>
    </w:sdtPr>
    <w:sdtEndPr>
      <w:rPr>
        <w:rStyle w:val="PageNumber"/>
        <w:szCs w:val="16"/>
      </w:rPr>
    </w:sdtEndPr>
    <w:sdtContent>
      <w:p w14:paraId="767EC980" w14:textId="7F0DFE6A" w:rsidR="00424B9E" w:rsidRDefault="00424B9E" w:rsidP="00684F4E">
        <w:pPr>
          <w:pStyle w:val="Footer"/>
          <w:jc w:val="right"/>
        </w:pPr>
        <w:r>
          <w:t xml:space="preserve"> |  </w:t>
        </w:r>
        <w:r>
          <w:rPr>
            <w:rStyle w:val="PageNumber"/>
          </w:rPr>
          <w:fldChar w:fldCharType="begin"/>
        </w:r>
        <w:r>
          <w:rPr>
            <w:rStyle w:val="PageNumber"/>
          </w:rPr>
          <w:instrText xml:space="preserve"> PAGE </w:instrText>
        </w:r>
        <w:r>
          <w:rPr>
            <w:rStyle w:val="PageNumber"/>
          </w:rPr>
          <w:fldChar w:fldCharType="separate"/>
        </w:r>
        <w:r w:rsidR="00296C49">
          <w:rPr>
            <w:rStyle w:val="PageNumber"/>
            <w:noProof/>
          </w:rPr>
          <w:t>53</w:t>
        </w:r>
        <w:r>
          <w:rPr>
            <w:rStyle w:val="PageNumber"/>
          </w:rPr>
          <w:fldChar w:fldCharType="end"/>
        </w:r>
      </w:p>
      <w:p w14:paraId="079C9F0E" w14:textId="77777777" w:rsidR="00424B9E" w:rsidRPr="003004DC" w:rsidRDefault="00296C49">
        <w:pPr>
          <w:pStyle w:val="Footer"/>
          <w:rPr>
            <w:rStyle w:val="PageNumber"/>
            <w:szCs w:val="16"/>
          </w:rPr>
        </w:pPr>
      </w:p>
    </w:sdtContent>
  </w:sdt>
  <w:p w14:paraId="1E8E8D3E" w14:textId="77777777" w:rsidR="00424B9E" w:rsidRDefault="00424B9E">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0018174"/>
      <w:docPartObj>
        <w:docPartGallery w:val="Page Numbers (Bottom of Page)"/>
        <w:docPartUnique/>
      </w:docPartObj>
    </w:sdtPr>
    <w:sdtEndPr/>
    <w:sdtContent>
      <w:sdt>
        <w:sdtPr>
          <w:id w:val="2044781023"/>
          <w:docPartObj>
            <w:docPartGallery w:val="Page Numbers (Top of Page)"/>
            <w:docPartUnique/>
          </w:docPartObj>
        </w:sdtPr>
        <w:sdtEndPr/>
        <w:sdtContent>
          <w:p w14:paraId="45390399" w14:textId="58087A7E" w:rsidR="00424B9E" w:rsidRDefault="00424B9E">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sidR="00296C49">
              <w:rPr>
                <w:b/>
                <w:bCs/>
                <w:noProof/>
              </w:rPr>
              <w:t>78</w:t>
            </w:r>
            <w:r>
              <w:rPr>
                <w:b/>
                <w:bCs/>
                <w:sz w:val="24"/>
                <w:szCs w:val="24"/>
              </w:rPr>
              <w:fldChar w:fldCharType="end"/>
            </w:r>
            <w:r>
              <w:t xml:space="preserve"> of </w:t>
            </w:r>
            <w:r w:rsidRPr="00336753">
              <w:rPr>
                <w:b/>
                <w:bCs/>
                <w:noProof/>
              </w:rPr>
              <w:t>3</w:t>
            </w:r>
            <w:r>
              <w:rPr>
                <w:b/>
                <w:bCs/>
                <w:noProof/>
              </w:rPr>
              <w:t>7</w:t>
            </w:r>
          </w:p>
        </w:sdtContent>
      </w:sdt>
    </w:sdtContent>
  </w:sdt>
  <w:p w14:paraId="374BEDB5" w14:textId="77777777" w:rsidR="00424B9E" w:rsidRDefault="00424B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73748A7" w14:textId="77777777" w:rsidR="00424B9E" w:rsidRDefault="00424B9E" w:rsidP="00D94B73">
      <w:pPr>
        <w:spacing w:after="0"/>
      </w:pPr>
      <w:r>
        <w:separator/>
      </w:r>
    </w:p>
  </w:footnote>
  <w:footnote w:type="continuationSeparator" w:id="0">
    <w:p w14:paraId="1C6CB57A" w14:textId="77777777" w:rsidR="00424B9E" w:rsidRDefault="00424B9E" w:rsidP="00D94B73">
      <w:pPr>
        <w:spacing w:after="0"/>
      </w:pPr>
      <w:r>
        <w:continuationSeparator/>
      </w:r>
    </w:p>
  </w:footnote>
  <w:footnote w:id="1">
    <w:p w14:paraId="3EB21154" w14:textId="7389632A" w:rsidR="00424B9E" w:rsidRPr="00FC2E1B" w:rsidRDefault="00424B9E" w:rsidP="00F21221">
      <w:pPr>
        <w:pStyle w:val="FootnoteText"/>
        <w:rPr>
          <w:lang w:val="en-US"/>
        </w:rPr>
      </w:pPr>
      <w:r>
        <w:rPr>
          <w:rStyle w:val="FootnoteReference"/>
        </w:rPr>
        <w:footnoteRef/>
      </w:r>
      <w:r>
        <w:t xml:space="preserve"> A potentially useful simulator is SEAWAT (Langevin et al</w:t>
      </w:r>
      <w:r w:rsidRPr="00DD71FF">
        <w:t>.</w:t>
      </w:r>
      <w:r>
        <w:t xml:space="preserve"> 2007), which has (conservative) salt transport capabilities and is a MODFLOW plugin.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B7FED" w14:textId="77777777" w:rsidR="00296C49" w:rsidRDefault="00296C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7903F" w14:textId="77777777" w:rsidR="00296C49" w:rsidRDefault="00296C4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CE4EEA" w14:textId="77777777" w:rsidR="00296C49" w:rsidRDefault="00296C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F2A79A" w14:textId="77777777" w:rsidR="00424B9E" w:rsidRDefault="00424B9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CC3EF2D2"/>
    <w:lvl w:ilvl="0">
      <w:start w:val="1"/>
      <w:numFmt w:val="lowerLetter"/>
      <w:pStyle w:val="ListNumber2"/>
      <w:lvlText w:val="%1."/>
      <w:lvlJc w:val="left"/>
      <w:pPr>
        <w:ind w:left="643" w:hanging="360"/>
      </w:pPr>
    </w:lvl>
  </w:abstractNum>
  <w:abstractNum w:abstractNumId="1" w15:restartNumberingAfterBreak="0">
    <w:nsid w:val="FFFFFF80"/>
    <w:multiLevelType w:val="singleLevel"/>
    <w:tmpl w:val="B442ECCC"/>
    <w:lvl w:ilvl="0">
      <w:start w:val="1"/>
      <w:numFmt w:val="bullet"/>
      <w:pStyle w:val="ListNumber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B77C9CB0"/>
    <w:lvl w:ilvl="0">
      <w:start w:val="1"/>
      <w:numFmt w:val="bullet"/>
      <w:pStyle w:val="ListNumber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2716FB9A"/>
    <w:lvl w:ilvl="0">
      <w:start w:val="1"/>
      <w:numFmt w:val="bullet"/>
      <w:pStyle w:val="ListBullet5"/>
      <w:lvlText w:val="–"/>
      <w:lvlJc w:val="left"/>
      <w:pPr>
        <w:ind w:left="360" w:hanging="360"/>
      </w:pPr>
      <w:rPr>
        <w:rFonts w:ascii="Feijoa Medium" w:hAnsi="Feijoa Medium" w:hint="default"/>
      </w:rPr>
    </w:lvl>
  </w:abstractNum>
  <w:abstractNum w:abstractNumId="4" w15:restartNumberingAfterBreak="0">
    <w:nsid w:val="FFFFFF88"/>
    <w:multiLevelType w:val="singleLevel"/>
    <w:tmpl w:val="87D43BCA"/>
    <w:lvl w:ilvl="0">
      <w:start w:val="1"/>
      <w:numFmt w:val="decimal"/>
      <w:pStyle w:val="ListBullet4"/>
      <w:lvlText w:val="%1."/>
      <w:lvlJc w:val="left"/>
      <w:pPr>
        <w:ind w:left="360" w:hanging="360"/>
      </w:pPr>
      <w:rPr>
        <w:rFonts w:cs="Times New Roman"/>
      </w:rPr>
    </w:lvl>
  </w:abstractNum>
  <w:abstractNum w:abstractNumId="5" w15:restartNumberingAfterBreak="0">
    <w:nsid w:val="020E1022"/>
    <w:multiLevelType w:val="hybridMultilevel"/>
    <w:tmpl w:val="D960CC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D43117"/>
    <w:multiLevelType w:val="hybridMultilevel"/>
    <w:tmpl w:val="ED2C3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086735F"/>
    <w:multiLevelType w:val="multilevel"/>
    <w:tmpl w:val="F1420D32"/>
    <w:styleLink w:val="TableBullets"/>
    <w:lvl w:ilvl="0">
      <w:start w:val="1"/>
      <w:numFmt w:val="bullet"/>
      <w:pStyle w:val="TableBullet"/>
      <w:lvlText w:val=""/>
      <w:lvlJc w:val="left"/>
      <w:pPr>
        <w:tabs>
          <w:tab w:val="num" w:pos="170"/>
        </w:tabs>
        <w:ind w:left="170" w:hanging="17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0923F43"/>
    <w:multiLevelType w:val="hybridMultilevel"/>
    <w:tmpl w:val="7DB4EDE4"/>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21050236"/>
    <w:multiLevelType w:val="multilevel"/>
    <w:tmpl w:val="9432AB92"/>
    <w:styleLink w:val="Sources"/>
    <w:lvl w:ilvl="0">
      <w:start w:val="1"/>
      <w:numFmt w:val="none"/>
      <w:lvlText w:val="Source:"/>
      <w:lvlJc w:val="left"/>
      <w:pPr>
        <w:tabs>
          <w:tab w:val="num" w:pos="624"/>
        </w:tabs>
        <w:ind w:left="624" w:hanging="624"/>
      </w:pPr>
      <w:rPr>
        <w:rFonts w:cs="Times New Roman" w:hint="default"/>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10" w15:restartNumberingAfterBreak="0">
    <w:nsid w:val="25850AE4"/>
    <w:multiLevelType w:val="singleLevel"/>
    <w:tmpl w:val="DD9C5A5E"/>
    <w:lvl w:ilvl="0">
      <w:start w:val="1"/>
      <w:numFmt w:val="lowerLetter"/>
      <w:pStyle w:val="Para3letter"/>
      <w:lvlText w:val="%1)"/>
      <w:lvlJc w:val="left"/>
      <w:pPr>
        <w:tabs>
          <w:tab w:val="num" w:pos="1588"/>
        </w:tabs>
        <w:ind w:left="1588" w:hanging="397"/>
      </w:pPr>
      <w:rPr>
        <w:rFonts w:hint="default"/>
      </w:rPr>
    </w:lvl>
  </w:abstractNum>
  <w:abstractNum w:abstractNumId="11" w15:restartNumberingAfterBreak="0">
    <w:nsid w:val="28B57485"/>
    <w:multiLevelType w:val="multilevel"/>
    <w:tmpl w:val="0C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2" w15:restartNumberingAfterBreak="0">
    <w:nsid w:val="2CF85CB5"/>
    <w:multiLevelType w:val="hybridMultilevel"/>
    <w:tmpl w:val="B62641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D31E9A"/>
    <w:multiLevelType w:val="hybridMultilevel"/>
    <w:tmpl w:val="720A56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67614C6"/>
    <w:multiLevelType w:val="multilevel"/>
    <w:tmpl w:val="0C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5" w15:restartNumberingAfterBreak="0">
    <w:nsid w:val="3BE8774D"/>
    <w:multiLevelType w:val="hybridMultilevel"/>
    <w:tmpl w:val="2064E24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EA7459B"/>
    <w:multiLevelType w:val="hybridMultilevel"/>
    <w:tmpl w:val="090C4A92"/>
    <w:lvl w:ilvl="0" w:tplc="B29A3278">
      <w:start w:val="1"/>
      <w:numFmt w:val="bullet"/>
      <w:pStyle w:val="Boxedlist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7" w15:restartNumberingAfterBreak="0">
    <w:nsid w:val="419C38E1"/>
    <w:multiLevelType w:val="hybridMultilevel"/>
    <w:tmpl w:val="99B080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265682E"/>
    <w:multiLevelType w:val="multilevel"/>
    <w:tmpl w:val="6E74B694"/>
    <w:styleLink w:val="Bullets"/>
    <w:lvl w:ilvl="0">
      <w:start w:val="1"/>
      <w:numFmt w:val="bullet"/>
      <w:pStyle w:val="ListBullet"/>
      <w:lvlText w:val=""/>
      <w:lvlJc w:val="left"/>
      <w:pPr>
        <w:tabs>
          <w:tab w:val="num" w:pos="199"/>
        </w:tabs>
        <w:ind w:left="199" w:hanging="199"/>
      </w:pPr>
      <w:rPr>
        <w:rFonts w:ascii="Symbol" w:hAnsi="Symbol" w:hint="default"/>
      </w:rPr>
    </w:lvl>
    <w:lvl w:ilvl="1">
      <w:start w:val="1"/>
      <w:numFmt w:val="bullet"/>
      <w:pStyle w:val="ListBullet2"/>
      <w:lvlText w:val="–"/>
      <w:lvlJc w:val="left"/>
      <w:pPr>
        <w:tabs>
          <w:tab w:val="num" w:pos="397"/>
        </w:tabs>
        <w:ind w:left="397" w:hanging="198"/>
      </w:pPr>
      <w:rPr>
        <w:rFonts w:ascii="Arial" w:hAnsi="Arial" w:hint="default"/>
      </w:rPr>
    </w:lvl>
    <w:lvl w:ilvl="2">
      <w:start w:val="1"/>
      <w:numFmt w:val="bullet"/>
      <w:lvlText w:val="–"/>
      <w:lvlJc w:val="left"/>
      <w:pPr>
        <w:tabs>
          <w:tab w:val="num" w:pos="595"/>
        </w:tabs>
        <w:ind w:left="595" w:hanging="198"/>
      </w:pPr>
      <w:rPr>
        <w:rFonts w:ascii="Arial" w:hAnsi="Arial"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left"/>
      <w:pPr>
        <w:ind w:left="4320" w:hanging="36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left"/>
      <w:pPr>
        <w:ind w:left="6480" w:hanging="360"/>
      </w:pPr>
      <w:rPr>
        <w:rFonts w:cs="Times New Roman" w:hint="default"/>
      </w:rPr>
    </w:lvl>
  </w:abstractNum>
  <w:abstractNum w:abstractNumId="19" w15:restartNumberingAfterBreak="0">
    <w:nsid w:val="50022BBE"/>
    <w:multiLevelType w:val="hybridMultilevel"/>
    <w:tmpl w:val="C2C218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B74695"/>
    <w:multiLevelType w:val="hybridMultilevel"/>
    <w:tmpl w:val="1EA4C30C"/>
    <w:lvl w:ilvl="0" w:tplc="6368EFDC">
      <w:start w:val="1"/>
      <w:numFmt w:val="decimal"/>
      <w:lvlText w:val="[%1]."/>
      <w:lvlJc w:val="left"/>
      <w:pPr>
        <w:tabs>
          <w:tab w:val="num" w:pos="510"/>
        </w:tabs>
        <w:ind w:left="851" w:hanging="851"/>
      </w:pPr>
      <w:rPr>
        <w:rFonts w:ascii="Arial" w:hAnsi="Arial" w:cs="Arial" w:hint="default"/>
        <w:b w:val="0"/>
        <w:sz w:val="20"/>
        <w:szCs w:val="20"/>
      </w:rPr>
    </w:lvl>
    <w:lvl w:ilvl="1" w:tplc="FFFFFFFF">
      <w:start w:val="1"/>
      <w:numFmt w:val="decimal"/>
      <w:lvlText w:val="%2."/>
      <w:lvlJc w:val="left"/>
      <w:pPr>
        <w:tabs>
          <w:tab w:val="num" w:pos="1440"/>
        </w:tabs>
        <w:ind w:left="1440" w:hanging="360"/>
      </w:pPr>
      <w:rPr>
        <w:rFonts w:hint="default"/>
        <w:b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59444BE6"/>
    <w:multiLevelType w:val="multilevel"/>
    <w:tmpl w:val="092ADFE4"/>
    <w:lvl w:ilvl="0">
      <w:start w:val="1"/>
      <w:numFmt w:val="decimal"/>
      <w:pStyle w:val="Heading1"/>
      <w:lvlText w:val="%1"/>
      <w:lvlJc w:val="left"/>
      <w:pPr>
        <w:ind w:left="432" w:hanging="432"/>
      </w:pPr>
      <w:rPr>
        <w:rFonts w:cs="Times New Roman" w:hint="default"/>
      </w:rPr>
    </w:lvl>
    <w:lvl w:ilvl="1">
      <w:start w:val="1"/>
      <w:numFmt w:val="decimal"/>
      <w:pStyle w:val="Heading2"/>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1.%2.%3.%4.%5.%6.%7"/>
      <w:lvlJc w:val="left"/>
      <w:pPr>
        <w:ind w:left="1296" w:hanging="1296"/>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22" w15:restartNumberingAfterBreak="0">
    <w:nsid w:val="5A1767B6"/>
    <w:multiLevelType w:val="multilevel"/>
    <w:tmpl w:val="14C8A526"/>
    <w:styleLink w:val="Numbers"/>
    <w:lvl w:ilvl="0">
      <w:start w:val="1"/>
      <w:numFmt w:val="decimal"/>
      <w:pStyle w:val="ListNumber"/>
      <w:lvlText w:val="%1."/>
      <w:lvlJc w:val="left"/>
      <w:pPr>
        <w:tabs>
          <w:tab w:val="num" w:pos="227"/>
        </w:tabs>
        <w:ind w:left="227" w:hanging="227"/>
      </w:pPr>
      <w:rPr>
        <w:rFonts w:cs="Times New Roman" w:hint="default"/>
      </w:rPr>
    </w:lvl>
    <w:lvl w:ilvl="1">
      <w:start w:val="1"/>
      <w:numFmt w:val="none"/>
      <w:lvlText w:val=""/>
      <w:lvlJc w:val="left"/>
      <w:pPr>
        <w:ind w:left="1440" w:hanging="360"/>
      </w:pPr>
      <w:rPr>
        <w:rFonts w:cs="Times New Roman" w:hint="default"/>
      </w:rPr>
    </w:lvl>
    <w:lvl w:ilvl="2">
      <w:start w:val="1"/>
      <w:numFmt w:val="none"/>
      <w:lvlText w:val=""/>
      <w:lvlJc w:val="right"/>
      <w:pPr>
        <w:ind w:left="2160" w:hanging="180"/>
      </w:pPr>
      <w:rPr>
        <w:rFonts w:cs="Times New Roman" w:hint="default"/>
      </w:rPr>
    </w:lvl>
    <w:lvl w:ilvl="3">
      <w:start w:val="1"/>
      <w:numFmt w:val="none"/>
      <w:lvlText w:val=""/>
      <w:lvlJc w:val="left"/>
      <w:pPr>
        <w:ind w:left="2880" w:hanging="360"/>
      </w:pPr>
      <w:rPr>
        <w:rFonts w:cs="Times New Roman" w:hint="default"/>
      </w:rPr>
    </w:lvl>
    <w:lvl w:ilvl="4">
      <w:start w:val="1"/>
      <w:numFmt w:val="none"/>
      <w:lvlText w:val=""/>
      <w:lvlJc w:val="left"/>
      <w:pPr>
        <w:ind w:left="3600" w:hanging="360"/>
      </w:pPr>
      <w:rPr>
        <w:rFonts w:cs="Times New Roman" w:hint="default"/>
      </w:rPr>
    </w:lvl>
    <w:lvl w:ilvl="5">
      <w:start w:val="1"/>
      <w:numFmt w:val="none"/>
      <w:lvlText w:val=""/>
      <w:lvlJc w:val="right"/>
      <w:pPr>
        <w:ind w:left="4320" w:hanging="180"/>
      </w:pPr>
      <w:rPr>
        <w:rFonts w:cs="Times New Roman" w:hint="default"/>
      </w:rPr>
    </w:lvl>
    <w:lvl w:ilvl="6">
      <w:start w:val="1"/>
      <w:numFmt w:val="none"/>
      <w:lvlText w:val=""/>
      <w:lvlJc w:val="left"/>
      <w:pPr>
        <w:ind w:left="5040" w:hanging="360"/>
      </w:pPr>
      <w:rPr>
        <w:rFonts w:cs="Times New Roman" w:hint="default"/>
      </w:rPr>
    </w:lvl>
    <w:lvl w:ilvl="7">
      <w:start w:val="1"/>
      <w:numFmt w:val="none"/>
      <w:lvlText w:val=""/>
      <w:lvlJc w:val="left"/>
      <w:pPr>
        <w:ind w:left="5760" w:hanging="360"/>
      </w:pPr>
      <w:rPr>
        <w:rFonts w:cs="Times New Roman" w:hint="default"/>
      </w:rPr>
    </w:lvl>
    <w:lvl w:ilvl="8">
      <w:start w:val="1"/>
      <w:numFmt w:val="none"/>
      <w:lvlText w:val=""/>
      <w:lvlJc w:val="right"/>
      <w:pPr>
        <w:ind w:left="6480" w:hanging="180"/>
      </w:pPr>
      <w:rPr>
        <w:rFonts w:cs="Times New Roman" w:hint="default"/>
      </w:rPr>
    </w:lvl>
  </w:abstractNum>
  <w:abstractNum w:abstractNumId="23" w15:restartNumberingAfterBreak="0">
    <w:nsid w:val="5D8743A4"/>
    <w:multiLevelType w:val="hybridMultilevel"/>
    <w:tmpl w:val="771E21DE"/>
    <w:lvl w:ilvl="0" w:tplc="05920732">
      <w:start w:val="1"/>
      <w:numFmt w:val="bullet"/>
      <w:pStyle w:val="ListNumber3"/>
      <w:lvlText w:val=""/>
      <w:lvlJc w:val="left"/>
      <w:pPr>
        <w:ind w:left="1267"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F4C27FB"/>
    <w:multiLevelType w:val="multilevel"/>
    <w:tmpl w:val="0C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5" w15:restartNumberingAfterBreak="0">
    <w:nsid w:val="66063429"/>
    <w:multiLevelType w:val="multilevel"/>
    <w:tmpl w:val="FCBECBAC"/>
    <w:lvl w:ilvl="0">
      <w:start w:val="1"/>
      <w:numFmt w:val="upperLetter"/>
      <w:pStyle w:val="AppendixHeading1base"/>
      <w:lvlText w:val="Appendix %1 "/>
      <w:lvlJc w:val="left"/>
      <w:pPr>
        <w:ind w:left="0" w:firstLine="0"/>
      </w:pPr>
      <w:rPr>
        <w:b/>
        <w:bCs w:val="0"/>
        <w:i w:val="0"/>
        <w:iCs w:val="0"/>
        <w:caps w:val="0"/>
        <w:smallCaps w:val="0"/>
        <w:strike w:val="0"/>
        <w:dstrike w:val="0"/>
        <w:noProof w:val="0"/>
        <w:vanish w:val="0"/>
        <w:spacing w:val="0"/>
        <w:kern w:val="0"/>
        <w:position w:val="0"/>
        <w:u w:val="none"/>
        <w:effect w:val="none"/>
        <w:vertAlign w:val="baseline"/>
        <w:em w:val="none"/>
        <w:specVanish w:val="0"/>
      </w:rPr>
    </w:lvl>
    <w:lvl w:ilvl="1">
      <w:start w:val="1"/>
      <w:numFmt w:val="decimal"/>
      <w:pStyle w:val="AppendixHeading2"/>
      <w:lvlText w:val="%1.%2"/>
      <w:lvlJc w:val="left"/>
      <w:pPr>
        <w:ind w:left="0" w:firstLine="0"/>
      </w:pPr>
      <w:rPr>
        <w:rFonts w:hint="default"/>
      </w:rPr>
    </w:lvl>
    <w:lvl w:ilvl="2">
      <w:start w:val="1"/>
      <w:numFmt w:val="decimal"/>
      <w:pStyle w:val="AppendixHeading3"/>
      <w:lvlText w:val="%1.%2.%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26" w15:restartNumberingAfterBreak="0">
    <w:nsid w:val="6CC17F52"/>
    <w:multiLevelType w:val="hybridMultilevel"/>
    <w:tmpl w:val="A2D4151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63B0CF5"/>
    <w:multiLevelType w:val="hybridMultilevel"/>
    <w:tmpl w:val="799E1F1C"/>
    <w:lvl w:ilvl="0" w:tplc="0748901E">
      <w:start w:val="1"/>
      <w:numFmt w:val="bullet"/>
      <w:pStyle w:val="ListBullet3"/>
      <w:lvlText w:val=""/>
      <w:lvlJc w:val="left"/>
      <w:pPr>
        <w:ind w:left="1514" w:hanging="360"/>
      </w:pPr>
      <w:rPr>
        <w:rFonts w:ascii="Wingdings" w:hAnsi="Wingdings" w:hint="default"/>
      </w:rPr>
    </w:lvl>
    <w:lvl w:ilvl="1" w:tplc="0C090003" w:tentative="1">
      <w:start w:val="1"/>
      <w:numFmt w:val="bullet"/>
      <w:lvlText w:val="o"/>
      <w:lvlJc w:val="left"/>
      <w:pPr>
        <w:ind w:left="2234" w:hanging="360"/>
      </w:pPr>
      <w:rPr>
        <w:rFonts w:ascii="Courier New" w:hAnsi="Courier New" w:cs="Courier New" w:hint="default"/>
      </w:rPr>
    </w:lvl>
    <w:lvl w:ilvl="2" w:tplc="0C090005" w:tentative="1">
      <w:start w:val="1"/>
      <w:numFmt w:val="bullet"/>
      <w:lvlText w:val=""/>
      <w:lvlJc w:val="left"/>
      <w:pPr>
        <w:ind w:left="2954" w:hanging="360"/>
      </w:pPr>
      <w:rPr>
        <w:rFonts w:ascii="Wingdings" w:hAnsi="Wingdings" w:hint="default"/>
      </w:rPr>
    </w:lvl>
    <w:lvl w:ilvl="3" w:tplc="0C090001" w:tentative="1">
      <w:start w:val="1"/>
      <w:numFmt w:val="bullet"/>
      <w:lvlText w:val=""/>
      <w:lvlJc w:val="left"/>
      <w:pPr>
        <w:ind w:left="3674" w:hanging="360"/>
      </w:pPr>
      <w:rPr>
        <w:rFonts w:ascii="Symbol" w:hAnsi="Symbol" w:hint="default"/>
      </w:rPr>
    </w:lvl>
    <w:lvl w:ilvl="4" w:tplc="0C090003" w:tentative="1">
      <w:start w:val="1"/>
      <w:numFmt w:val="bullet"/>
      <w:lvlText w:val="o"/>
      <w:lvlJc w:val="left"/>
      <w:pPr>
        <w:ind w:left="4394" w:hanging="360"/>
      </w:pPr>
      <w:rPr>
        <w:rFonts w:ascii="Courier New" w:hAnsi="Courier New" w:cs="Courier New" w:hint="default"/>
      </w:rPr>
    </w:lvl>
    <w:lvl w:ilvl="5" w:tplc="0C090005" w:tentative="1">
      <w:start w:val="1"/>
      <w:numFmt w:val="bullet"/>
      <w:lvlText w:val=""/>
      <w:lvlJc w:val="left"/>
      <w:pPr>
        <w:ind w:left="5114" w:hanging="360"/>
      </w:pPr>
      <w:rPr>
        <w:rFonts w:ascii="Wingdings" w:hAnsi="Wingdings" w:hint="default"/>
      </w:rPr>
    </w:lvl>
    <w:lvl w:ilvl="6" w:tplc="0C090001" w:tentative="1">
      <w:start w:val="1"/>
      <w:numFmt w:val="bullet"/>
      <w:lvlText w:val=""/>
      <w:lvlJc w:val="left"/>
      <w:pPr>
        <w:ind w:left="5834" w:hanging="360"/>
      </w:pPr>
      <w:rPr>
        <w:rFonts w:ascii="Symbol" w:hAnsi="Symbol" w:hint="default"/>
      </w:rPr>
    </w:lvl>
    <w:lvl w:ilvl="7" w:tplc="0C090003" w:tentative="1">
      <w:start w:val="1"/>
      <w:numFmt w:val="bullet"/>
      <w:lvlText w:val="o"/>
      <w:lvlJc w:val="left"/>
      <w:pPr>
        <w:ind w:left="6554" w:hanging="360"/>
      </w:pPr>
      <w:rPr>
        <w:rFonts w:ascii="Courier New" w:hAnsi="Courier New" w:cs="Courier New" w:hint="default"/>
      </w:rPr>
    </w:lvl>
    <w:lvl w:ilvl="8" w:tplc="0C090005" w:tentative="1">
      <w:start w:val="1"/>
      <w:numFmt w:val="bullet"/>
      <w:lvlText w:val=""/>
      <w:lvlJc w:val="left"/>
      <w:pPr>
        <w:ind w:left="7274" w:hanging="360"/>
      </w:pPr>
      <w:rPr>
        <w:rFonts w:ascii="Wingdings" w:hAnsi="Wingdings" w:hint="default"/>
      </w:rPr>
    </w:lvl>
  </w:abstractNum>
  <w:abstractNum w:abstractNumId="28" w15:restartNumberingAfterBreak="0">
    <w:nsid w:val="7F2038EA"/>
    <w:multiLevelType w:val="hybridMultilevel"/>
    <w:tmpl w:val="4DE013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18"/>
  </w:num>
  <w:num w:numId="6">
    <w:abstractNumId w:val="9"/>
  </w:num>
  <w:num w:numId="7">
    <w:abstractNumId w:val="7"/>
  </w:num>
  <w:num w:numId="8">
    <w:abstractNumId w:val="22"/>
  </w:num>
  <w:num w:numId="9">
    <w:abstractNumId w:val="14"/>
  </w:num>
  <w:num w:numId="10">
    <w:abstractNumId w:val="11"/>
  </w:num>
  <w:num w:numId="11">
    <w:abstractNumId w:val="24"/>
  </w:num>
  <w:num w:numId="12">
    <w:abstractNumId w:val="0"/>
  </w:num>
  <w:num w:numId="13">
    <w:abstractNumId w:val="21"/>
  </w:num>
  <w:num w:numId="14">
    <w:abstractNumId w:val="25"/>
  </w:num>
  <w:num w:numId="15">
    <w:abstractNumId w:val="27"/>
  </w:num>
  <w:num w:numId="16">
    <w:abstractNumId w:val="23"/>
  </w:num>
  <w:num w:numId="17">
    <w:abstractNumId w:val="16"/>
  </w:num>
  <w:num w:numId="18">
    <w:abstractNumId w:val="5"/>
  </w:num>
  <w:num w:numId="19">
    <w:abstractNumId w:val="26"/>
  </w:num>
  <w:num w:numId="20">
    <w:abstractNumId w:val="12"/>
  </w:num>
  <w:num w:numId="21">
    <w:abstractNumId w:val="21"/>
  </w:num>
  <w:num w:numId="22">
    <w:abstractNumId w:val="21"/>
  </w:num>
  <w:num w:numId="23">
    <w:abstractNumId w:val="21"/>
  </w:num>
  <w:num w:numId="24">
    <w:abstractNumId w:val="21"/>
  </w:num>
  <w:num w:numId="25">
    <w:abstractNumId w:val="10"/>
  </w:num>
  <w:num w:numId="26">
    <w:abstractNumId w:val="21"/>
  </w:num>
  <w:num w:numId="27">
    <w:abstractNumId w:val="21"/>
  </w:num>
  <w:num w:numId="28">
    <w:abstractNumId w:val="21"/>
  </w:num>
  <w:num w:numId="29">
    <w:abstractNumId w:val="21"/>
  </w:num>
  <w:num w:numId="30">
    <w:abstractNumId w:val="21"/>
  </w:num>
  <w:num w:numId="31">
    <w:abstractNumId w:val="21"/>
  </w:num>
  <w:num w:numId="32">
    <w:abstractNumId w:val="21"/>
  </w:num>
  <w:num w:numId="33">
    <w:abstractNumId w:val="21"/>
  </w:num>
  <w:num w:numId="34">
    <w:abstractNumId w:val="28"/>
  </w:num>
  <w:num w:numId="35">
    <w:abstractNumId w:val="20"/>
  </w:num>
  <w:num w:numId="36">
    <w:abstractNumId w:val="15"/>
  </w:num>
  <w:num w:numId="37">
    <w:abstractNumId w:val="21"/>
  </w:num>
  <w:num w:numId="38">
    <w:abstractNumId w:val="19"/>
  </w:num>
  <w:num w:numId="39">
    <w:abstractNumId w:val="8"/>
  </w:num>
  <w:num w:numId="40">
    <w:abstractNumId w:val="13"/>
  </w:num>
  <w:num w:numId="41">
    <w:abstractNumId w:val="6"/>
  </w:num>
  <w:num w:numId="42">
    <w:abstractNumId w:val="21"/>
  </w:num>
  <w:num w:numId="43">
    <w:abstractNumId w:val="21"/>
  </w:num>
  <w:num w:numId="44">
    <w:abstractNumId w:val="1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linkStyle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xsexsdeavw900aew9xqxrzzyttv0wxs0rf9r&quot;&gt;FAM-Library&lt;record-ids&gt;&lt;item&gt;82&lt;/item&gt;&lt;item&gt;83&lt;/item&gt;&lt;item&gt;84&lt;/item&gt;&lt;item&gt;85&lt;/item&gt;&lt;item&gt;86&lt;/item&gt;&lt;item&gt;87&lt;/item&gt;&lt;item&gt;88&lt;/item&gt;&lt;item&gt;89&lt;/item&gt;&lt;/record-ids&gt;&lt;/item&gt;&lt;/Libraries&gt;"/>
  </w:docVars>
  <w:rsids>
    <w:rsidRoot w:val="00D4703E"/>
    <w:rsid w:val="0000034C"/>
    <w:rsid w:val="00000723"/>
    <w:rsid w:val="00001111"/>
    <w:rsid w:val="00001D9C"/>
    <w:rsid w:val="000027DE"/>
    <w:rsid w:val="00003417"/>
    <w:rsid w:val="0000364F"/>
    <w:rsid w:val="00003BF5"/>
    <w:rsid w:val="00004567"/>
    <w:rsid w:val="00005441"/>
    <w:rsid w:val="000062B9"/>
    <w:rsid w:val="00007BD6"/>
    <w:rsid w:val="0001015B"/>
    <w:rsid w:val="000126FE"/>
    <w:rsid w:val="00014483"/>
    <w:rsid w:val="0001472F"/>
    <w:rsid w:val="00016611"/>
    <w:rsid w:val="00016C65"/>
    <w:rsid w:val="00016D65"/>
    <w:rsid w:val="00016E7C"/>
    <w:rsid w:val="000211A8"/>
    <w:rsid w:val="0002725A"/>
    <w:rsid w:val="0002766A"/>
    <w:rsid w:val="00027B1B"/>
    <w:rsid w:val="00032EB8"/>
    <w:rsid w:val="00032FEE"/>
    <w:rsid w:val="00033AF0"/>
    <w:rsid w:val="00033E87"/>
    <w:rsid w:val="000364A1"/>
    <w:rsid w:val="00036CD0"/>
    <w:rsid w:val="000403DA"/>
    <w:rsid w:val="0004067E"/>
    <w:rsid w:val="0004187F"/>
    <w:rsid w:val="000439E9"/>
    <w:rsid w:val="00044580"/>
    <w:rsid w:val="000449E5"/>
    <w:rsid w:val="0004531A"/>
    <w:rsid w:val="00045A89"/>
    <w:rsid w:val="0004685D"/>
    <w:rsid w:val="00047F33"/>
    <w:rsid w:val="00050E3B"/>
    <w:rsid w:val="0005156A"/>
    <w:rsid w:val="00051CEE"/>
    <w:rsid w:val="00052FB1"/>
    <w:rsid w:val="000535DE"/>
    <w:rsid w:val="0005428E"/>
    <w:rsid w:val="000544E9"/>
    <w:rsid w:val="0005564B"/>
    <w:rsid w:val="00055E93"/>
    <w:rsid w:val="000562A6"/>
    <w:rsid w:val="0006027E"/>
    <w:rsid w:val="00061785"/>
    <w:rsid w:val="00063050"/>
    <w:rsid w:val="000632B3"/>
    <w:rsid w:val="00063679"/>
    <w:rsid w:val="000645A2"/>
    <w:rsid w:val="00064D04"/>
    <w:rsid w:val="000652E9"/>
    <w:rsid w:val="000657EF"/>
    <w:rsid w:val="000661C7"/>
    <w:rsid w:val="00066583"/>
    <w:rsid w:val="00070436"/>
    <w:rsid w:val="0007160D"/>
    <w:rsid w:val="00071B66"/>
    <w:rsid w:val="00072C66"/>
    <w:rsid w:val="0007302F"/>
    <w:rsid w:val="00073047"/>
    <w:rsid w:val="0007545D"/>
    <w:rsid w:val="00076C65"/>
    <w:rsid w:val="00077B6F"/>
    <w:rsid w:val="0008074A"/>
    <w:rsid w:val="000831E3"/>
    <w:rsid w:val="00083EF3"/>
    <w:rsid w:val="00084F5C"/>
    <w:rsid w:val="00085138"/>
    <w:rsid w:val="00085A58"/>
    <w:rsid w:val="00086147"/>
    <w:rsid w:val="00090FC4"/>
    <w:rsid w:val="0009161A"/>
    <w:rsid w:val="00091F18"/>
    <w:rsid w:val="00093D4D"/>
    <w:rsid w:val="00095495"/>
    <w:rsid w:val="0009623F"/>
    <w:rsid w:val="000968B6"/>
    <w:rsid w:val="000A089C"/>
    <w:rsid w:val="000A0B9A"/>
    <w:rsid w:val="000A1734"/>
    <w:rsid w:val="000A1BF4"/>
    <w:rsid w:val="000A347B"/>
    <w:rsid w:val="000A53E9"/>
    <w:rsid w:val="000A7940"/>
    <w:rsid w:val="000A7FA7"/>
    <w:rsid w:val="000B0A8D"/>
    <w:rsid w:val="000B0CCA"/>
    <w:rsid w:val="000B1294"/>
    <w:rsid w:val="000B1D82"/>
    <w:rsid w:val="000B41E3"/>
    <w:rsid w:val="000B5C2F"/>
    <w:rsid w:val="000B6C85"/>
    <w:rsid w:val="000B70EC"/>
    <w:rsid w:val="000B7367"/>
    <w:rsid w:val="000C37BB"/>
    <w:rsid w:val="000C393F"/>
    <w:rsid w:val="000C403F"/>
    <w:rsid w:val="000C4386"/>
    <w:rsid w:val="000C51BA"/>
    <w:rsid w:val="000C5AB5"/>
    <w:rsid w:val="000C5BC1"/>
    <w:rsid w:val="000C7139"/>
    <w:rsid w:val="000C7878"/>
    <w:rsid w:val="000D0DA5"/>
    <w:rsid w:val="000D3AF7"/>
    <w:rsid w:val="000D3E5B"/>
    <w:rsid w:val="000D504C"/>
    <w:rsid w:val="000D551D"/>
    <w:rsid w:val="000D59C4"/>
    <w:rsid w:val="000E0622"/>
    <w:rsid w:val="000E0DE7"/>
    <w:rsid w:val="000E1472"/>
    <w:rsid w:val="000E286F"/>
    <w:rsid w:val="000E3660"/>
    <w:rsid w:val="000E3AC2"/>
    <w:rsid w:val="000E4458"/>
    <w:rsid w:val="000E588B"/>
    <w:rsid w:val="000E717E"/>
    <w:rsid w:val="000F150B"/>
    <w:rsid w:val="000F1673"/>
    <w:rsid w:val="000F5AA6"/>
    <w:rsid w:val="000F6802"/>
    <w:rsid w:val="000F6B30"/>
    <w:rsid w:val="000F7AC6"/>
    <w:rsid w:val="00100240"/>
    <w:rsid w:val="00100ADF"/>
    <w:rsid w:val="00101FFA"/>
    <w:rsid w:val="00102E6C"/>
    <w:rsid w:val="00103102"/>
    <w:rsid w:val="00103A45"/>
    <w:rsid w:val="00103A7A"/>
    <w:rsid w:val="00103B1B"/>
    <w:rsid w:val="00103B67"/>
    <w:rsid w:val="00103F59"/>
    <w:rsid w:val="00104398"/>
    <w:rsid w:val="00104883"/>
    <w:rsid w:val="00104C29"/>
    <w:rsid w:val="001055AD"/>
    <w:rsid w:val="00107B60"/>
    <w:rsid w:val="001101E9"/>
    <w:rsid w:val="001105A6"/>
    <w:rsid w:val="001108B5"/>
    <w:rsid w:val="00111B62"/>
    <w:rsid w:val="00112094"/>
    <w:rsid w:val="0011621F"/>
    <w:rsid w:val="00116981"/>
    <w:rsid w:val="00117F02"/>
    <w:rsid w:val="00120EFC"/>
    <w:rsid w:val="00120F05"/>
    <w:rsid w:val="001224A8"/>
    <w:rsid w:val="00123C8E"/>
    <w:rsid w:val="001247C1"/>
    <w:rsid w:val="0012677A"/>
    <w:rsid w:val="0012768A"/>
    <w:rsid w:val="001310BD"/>
    <w:rsid w:val="001310F3"/>
    <w:rsid w:val="00131434"/>
    <w:rsid w:val="0013147D"/>
    <w:rsid w:val="0013589C"/>
    <w:rsid w:val="00135EF5"/>
    <w:rsid w:val="00137DFF"/>
    <w:rsid w:val="0014013E"/>
    <w:rsid w:val="00140201"/>
    <w:rsid w:val="001421C7"/>
    <w:rsid w:val="00142CF2"/>
    <w:rsid w:val="001431DD"/>
    <w:rsid w:val="00143E84"/>
    <w:rsid w:val="001455D0"/>
    <w:rsid w:val="00145A3A"/>
    <w:rsid w:val="0014612E"/>
    <w:rsid w:val="00146AB1"/>
    <w:rsid w:val="00153281"/>
    <w:rsid w:val="00156A93"/>
    <w:rsid w:val="00156D0B"/>
    <w:rsid w:val="0015769F"/>
    <w:rsid w:val="00161AF0"/>
    <w:rsid w:val="001623E3"/>
    <w:rsid w:val="00162B7F"/>
    <w:rsid w:val="00162BEF"/>
    <w:rsid w:val="00164905"/>
    <w:rsid w:val="00166013"/>
    <w:rsid w:val="00166B28"/>
    <w:rsid w:val="00170324"/>
    <w:rsid w:val="0017075A"/>
    <w:rsid w:val="00170CC9"/>
    <w:rsid w:val="00171679"/>
    <w:rsid w:val="00172765"/>
    <w:rsid w:val="00172785"/>
    <w:rsid w:val="00174301"/>
    <w:rsid w:val="00176769"/>
    <w:rsid w:val="001772DD"/>
    <w:rsid w:val="00177966"/>
    <w:rsid w:val="001801C3"/>
    <w:rsid w:val="00180290"/>
    <w:rsid w:val="00180DB5"/>
    <w:rsid w:val="001818CD"/>
    <w:rsid w:val="001835E3"/>
    <w:rsid w:val="00183F6A"/>
    <w:rsid w:val="00186D1F"/>
    <w:rsid w:val="00190A24"/>
    <w:rsid w:val="00192038"/>
    <w:rsid w:val="00194820"/>
    <w:rsid w:val="001948A4"/>
    <w:rsid w:val="00194EEA"/>
    <w:rsid w:val="00195059"/>
    <w:rsid w:val="00197787"/>
    <w:rsid w:val="001977E2"/>
    <w:rsid w:val="001A0E56"/>
    <w:rsid w:val="001A1516"/>
    <w:rsid w:val="001A17F9"/>
    <w:rsid w:val="001A333E"/>
    <w:rsid w:val="001A3E16"/>
    <w:rsid w:val="001A4AF0"/>
    <w:rsid w:val="001A4D01"/>
    <w:rsid w:val="001A57A8"/>
    <w:rsid w:val="001A5CCF"/>
    <w:rsid w:val="001A6CD6"/>
    <w:rsid w:val="001A6FFA"/>
    <w:rsid w:val="001B0231"/>
    <w:rsid w:val="001B0FA2"/>
    <w:rsid w:val="001B2E54"/>
    <w:rsid w:val="001B45BF"/>
    <w:rsid w:val="001B50D7"/>
    <w:rsid w:val="001B520A"/>
    <w:rsid w:val="001B5B4A"/>
    <w:rsid w:val="001B63B7"/>
    <w:rsid w:val="001B7857"/>
    <w:rsid w:val="001B7EBE"/>
    <w:rsid w:val="001C203B"/>
    <w:rsid w:val="001C2DD8"/>
    <w:rsid w:val="001C375F"/>
    <w:rsid w:val="001C4205"/>
    <w:rsid w:val="001C43CD"/>
    <w:rsid w:val="001C5F21"/>
    <w:rsid w:val="001C6589"/>
    <w:rsid w:val="001C6CC8"/>
    <w:rsid w:val="001C72B6"/>
    <w:rsid w:val="001D1A1E"/>
    <w:rsid w:val="001D3D09"/>
    <w:rsid w:val="001D50AF"/>
    <w:rsid w:val="001D5E6F"/>
    <w:rsid w:val="001D648D"/>
    <w:rsid w:val="001D688A"/>
    <w:rsid w:val="001D6A1D"/>
    <w:rsid w:val="001D76F5"/>
    <w:rsid w:val="001E1551"/>
    <w:rsid w:val="001E1AD8"/>
    <w:rsid w:val="001E1C03"/>
    <w:rsid w:val="001E3958"/>
    <w:rsid w:val="001E4184"/>
    <w:rsid w:val="001E4602"/>
    <w:rsid w:val="001E4E8B"/>
    <w:rsid w:val="001E507E"/>
    <w:rsid w:val="001E54E8"/>
    <w:rsid w:val="001E6D84"/>
    <w:rsid w:val="001E781D"/>
    <w:rsid w:val="001E7F0B"/>
    <w:rsid w:val="001F20C0"/>
    <w:rsid w:val="001F2188"/>
    <w:rsid w:val="001F2236"/>
    <w:rsid w:val="001F462C"/>
    <w:rsid w:val="001F4C4B"/>
    <w:rsid w:val="001F4DAE"/>
    <w:rsid w:val="001F582F"/>
    <w:rsid w:val="001F7C2C"/>
    <w:rsid w:val="001F7EFD"/>
    <w:rsid w:val="00201A43"/>
    <w:rsid w:val="00201AD7"/>
    <w:rsid w:val="00202F80"/>
    <w:rsid w:val="00204B14"/>
    <w:rsid w:val="002058BB"/>
    <w:rsid w:val="002059E4"/>
    <w:rsid w:val="0020774C"/>
    <w:rsid w:val="00207DA6"/>
    <w:rsid w:val="00207FE3"/>
    <w:rsid w:val="002108A8"/>
    <w:rsid w:val="002109BA"/>
    <w:rsid w:val="0021143B"/>
    <w:rsid w:val="00214511"/>
    <w:rsid w:val="00216BFA"/>
    <w:rsid w:val="00217DE3"/>
    <w:rsid w:val="0022112D"/>
    <w:rsid w:val="00221500"/>
    <w:rsid w:val="002217F0"/>
    <w:rsid w:val="00221E23"/>
    <w:rsid w:val="00222E1A"/>
    <w:rsid w:val="002234EC"/>
    <w:rsid w:val="0022392C"/>
    <w:rsid w:val="00223EF0"/>
    <w:rsid w:val="00225575"/>
    <w:rsid w:val="00225909"/>
    <w:rsid w:val="00227636"/>
    <w:rsid w:val="00227F75"/>
    <w:rsid w:val="00231BAE"/>
    <w:rsid w:val="00232BC1"/>
    <w:rsid w:val="00232EA9"/>
    <w:rsid w:val="00233613"/>
    <w:rsid w:val="00236B21"/>
    <w:rsid w:val="00237045"/>
    <w:rsid w:val="00237495"/>
    <w:rsid w:val="0023768B"/>
    <w:rsid w:val="00241CAB"/>
    <w:rsid w:val="0024235C"/>
    <w:rsid w:val="0024289B"/>
    <w:rsid w:val="00242B4F"/>
    <w:rsid w:val="002441A5"/>
    <w:rsid w:val="002468AA"/>
    <w:rsid w:val="002477B9"/>
    <w:rsid w:val="00251003"/>
    <w:rsid w:val="0025248C"/>
    <w:rsid w:val="00253471"/>
    <w:rsid w:val="002554D7"/>
    <w:rsid w:val="00256F40"/>
    <w:rsid w:val="00257FC2"/>
    <w:rsid w:val="00260010"/>
    <w:rsid w:val="002609A8"/>
    <w:rsid w:val="0026150B"/>
    <w:rsid w:val="00262B50"/>
    <w:rsid w:val="00263B18"/>
    <w:rsid w:val="00265980"/>
    <w:rsid w:val="00265E96"/>
    <w:rsid w:val="00266BFF"/>
    <w:rsid w:val="00266D27"/>
    <w:rsid w:val="0026758B"/>
    <w:rsid w:val="00271532"/>
    <w:rsid w:val="0027183F"/>
    <w:rsid w:val="00271860"/>
    <w:rsid w:val="00272259"/>
    <w:rsid w:val="00272F6F"/>
    <w:rsid w:val="00276604"/>
    <w:rsid w:val="00276BE5"/>
    <w:rsid w:val="002777B5"/>
    <w:rsid w:val="002803A9"/>
    <w:rsid w:val="00280FF5"/>
    <w:rsid w:val="00284045"/>
    <w:rsid w:val="002843FA"/>
    <w:rsid w:val="00284647"/>
    <w:rsid w:val="00284CA7"/>
    <w:rsid w:val="00287A00"/>
    <w:rsid w:val="00287A19"/>
    <w:rsid w:val="00290056"/>
    <w:rsid w:val="002917B2"/>
    <w:rsid w:val="002929D4"/>
    <w:rsid w:val="00292CF8"/>
    <w:rsid w:val="00293127"/>
    <w:rsid w:val="00294470"/>
    <w:rsid w:val="0029489A"/>
    <w:rsid w:val="00296C49"/>
    <w:rsid w:val="002A03F3"/>
    <w:rsid w:val="002B2706"/>
    <w:rsid w:val="002B27AF"/>
    <w:rsid w:val="002B4DBF"/>
    <w:rsid w:val="002B6CCA"/>
    <w:rsid w:val="002B727F"/>
    <w:rsid w:val="002B7934"/>
    <w:rsid w:val="002C07C4"/>
    <w:rsid w:val="002C09E5"/>
    <w:rsid w:val="002C13E7"/>
    <w:rsid w:val="002C17C8"/>
    <w:rsid w:val="002C366F"/>
    <w:rsid w:val="002C6EB1"/>
    <w:rsid w:val="002C7C04"/>
    <w:rsid w:val="002D12C2"/>
    <w:rsid w:val="002D20B2"/>
    <w:rsid w:val="002D2EB5"/>
    <w:rsid w:val="002D3BA2"/>
    <w:rsid w:val="002D56A9"/>
    <w:rsid w:val="002D58BB"/>
    <w:rsid w:val="002D6479"/>
    <w:rsid w:val="002D6563"/>
    <w:rsid w:val="002D664F"/>
    <w:rsid w:val="002D6AEF"/>
    <w:rsid w:val="002D72D3"/>
    <w:rsid w:val="002E0995"/>
    <w:rsid w:val="002E1546"/>
    <w:rsid w:val="002E2837"/>
    <w:rsid w:val="002E3E3F"/>
    <w:rsid w:val="002E45FC"/>
    <w:rsid w:val="002E46B4"/>
    <w:rsid w:val="002E5602"/>
    <w:rsid w:val="002E5741"/>
    <w:rsid w:val="002E5D51"/>
    <w:rsid w:val="002E6EA3"/>
    <w:rsid w:val="002E7535"/>
    <w:rsid w:val="002E79F2"/>
    <w:rsid w:val="002F20B4"/>
    <w:rsid w:val="002F2D56"/>
    <w:rsid w:val="002F3590"/>
    <w:rsid w:val="002F367D"/>
    <w:rsid w:val="002F3C41"/>
    <w:rsid w:val="002F4503"/>
    <w:rsid w:val="002F509C"/>
    <w:rsid w:val="002F7A5F"/>
    <w:rsid w:val="002F7C4A"/>
    <w:rsid w:val="003000F2"/>
    <w:rsid w:val="003005E9"/>
    <w:rsid w:val="00300A08"/>
    <w:rsid w:val="0030194F"/>
    <w:rsid w:val="00302C78"/>
    <w:rsid w:val="0030310B"/>
    <w:rsid w:val="00303534"/>
    <w:rsid w:val="00303BDF"/>
    <w:rsid w:val="00303F51"/>
    <w:rsid w:val="00304C74"/>
    <w:rsid w:val="00306011"/>
    <w:rsid w:val="00310010"/>
    <w:rsid w:val="00311676"/>
    <w:rsid w:val="0031633A"/>
    <w:rsid w:val="0031770D"/>
    <w:rsid w:val="003205D1"/>
    <w:rsid w:val="00321E53"/>
    <w:rsid w:val="00324CBB"/>
    <w:rsid w:val="00324D45"/>
    <w:rsid w:val="0032581D"/>
    <w:rsid w:val="00327BE5"/>
    <w:rsid w:val="00330C5C"/>
    <w:rsid w:val="00333B4F"/>
    <w:rsid w:val="003343B3"/>
    <w:rsid w:val="003344A2"/>
    <w:rsid w:val="00336753"/>
    <w:rsid w:val="00336AB4"/>
    <w:rsid w:val="0033776F"/>
    <w:rsid w:val="0034040D"/>
    <w:rsid w:val="00340D71"/>
    <w:rsid w:val="0034150F"/>
    <w:rsid w:val="003436E6"/>
    <w:rsid w:val="003456B9"/>
    <w:rsid w:val="00345B47"/>
    <w:rsid w:val="00346473"/>
    <w:rsid w:val="0035183B"/>
    <w:rsid w:val="00352030"/>
    <w:rsid w:val="00352808"/>
    <w:rsid w:val="00353E75"/>
    <w:rsid w:val="003540AC"/>
    <w:rsid w:val="003562A9"/>
    <w:rsid w:val="00357417"/>
    <w:rsid w:val="003578A4"/>
    <w:rsid w:val="00357DCC"/>
    <w:rsid w:val="0036473C"/>
    <w:rsid w:val="003649B4"/>
    <w:rsid w:val="00365D10"/>
    <w:rsid w:val="00365E19"/>
    <w:rsid w:val="00366365"/>
    <w:rsid w:val="00371617"/>
    <w:rsid w:val="0037219E"/>
    <w:rsid w:val="00372278"/>
    <w:rsid w:val="00372493"/>
    <w:rsid w:val="0037286B"/>
    <w:rsid w:val="00372AF9"/>
    <w:rsid w:val="00373299"/>
    <w:rsid w:val="0037390E"/>
    <w:rsid w:val="00373E8B"/>
    <w:rsid w:val="00373F0D"/>
    <w:rsid w:val="003755E7"/>
    <w:rsid w:val="00375662"/>
    <w:rsid w:val="0037567E"/>
    <w:rsid w:val="003777D4"/>
    <w:rsid w:val="00377A16"/>
    <w:rsid w:val="0038004C"/>
    <w:rsid w:val="00381A29"/>
    <w:rsid w:val="0038213F"/>
    <w:rsid w:val="00383CBE"/>
    <w:rsid w:val="00383F24"/>
    <w:rsid w:val="003842C0"/>
    <w:rsid w:val="003857E0"/>
    <w:rsid w:val="00385CC7"/>
    <w:rsid w:val="003861F9"/>
    <w:rsid w:val="0038676C"/>
    <w:rsid w:val="0038681E"/>
    <w:rsid w:val="00386A0E"/>
    <w:rsid w:val="00386B21"/>
    <w:rsid w:val="00387266"/>
    <w:rsid w:val="003904D6"/>
    <w:rsid w:val="003908A7"/>
    <w:rsid w:val="00391DA9"/>
    <w:rsid w:val="003920C9"/>
    <w:rsid w:val="00392685"/>
    <w:rsid w:val="00393DF8"/>
    <w:rsid w:val="00395528"/>
    <w:rsid w:val="00395DDB"/>
    <w:rsid w:val="003A1176"/>
    <w:rsid w:val="003A1E2E"/>
    <w:rsid w:val="003A258A"/>
    <w:rsid w:val="003A3096"/>
    <w:rsid w:val="003A3C92"/>
    <w:rsid w:val="003A5495"/>
    <w:rsid w:val="003A5A2A"/>
    <w:rsid w:val="003A5AEF"/>
    <w:rsid w:val="003A5BBD"/>
    <w:rsid w:val="003A614C"/>
    <w:rsid w:val="003A7498"/>
    <w:rsid w:val="003A76D0"/>
    <w:rsid w:val="003B0886"/>
    <w:rsid w:val="003B1B53"/>
    <w:rsid w:val="003B23C8"/>
    <w:rsid w:val="003B2531"/>
    <w:rsid w:val="003B2D61"/>
    <w:rsid w:val="003B2F9C"/>
    <w:rsid w:val="003B3F54"/>
    <w:rsid w:val="003B520C"/>
    <w:rsid w:val="003B5397"/>
    <w:rsid w:val="003B5789"/>
    <w:rsid w:val="003C0D43"/>
    <w:rsid w:val="003C2197"/>
    <w:rsid w:val="003C470D"/>
    <w:rsid w:val="003C5087"/>
    <w:rsid w:val="003C5BF2"/>
    <w:rsid w:val="003C62A3"/>
    <w:rsid w:val="003C6B68"/>
    <w:rsid w:val="003C769F"/>
    <w:rsid w:val="003D10B8"/>
    <w:rsid w:val="003D1A45"/>
    <w:rsid w:val="003D1C86"/>
    <w:rsid w:val="003D296D"/>
    <w:rsid w:val="003D2FA4"/>
    <w:rsid w:val="003D38BF"/>
    <w:rsid w:val="003D5E68"/>
    <w:rsid w:val="003E01A7"/>
    <w:rsid w:val="003E0508"/>
    <w:rsid w:val="003E0CF5"/>
    <w:rsid w:val="003E0DEB"/>
    <w:rsid w:val="003E174A"/>
    <w:rsid w:val="003E259A"/>
    <w:rsid w:val="003E25AB"/>
    <w:rsid w:val="003E2872"/>
    <w:rsid w:val="003E2ED7"/>
    <w:rsid w:val="003E3CFA"/>
    <w:rsid w:val="003E46E0"/>
    <w:rsid w:val="003E578F"/>
    <w:rsid w:val="003F1D70"/>
    <w:rsid w:val="003F2977"/>
    <w:rsid w:val="003F3CD3"/>
    <w:rsid w:val="003F3CF6"/>
    <w:rsid w:val="003F6DF8"/>
    <w:rsid w:val="003F7967"/>
    <w:rsid w:val="003F7BCE"/>
    <w:rsid w:val="00400510"/>
    <w:rsid w:val="004005AE"/>
    <w:rsid w:val="00400AC5"/>
    <w:rsid w:val="00401491"/>
    <w:rsid w:val="00402D71"/>
    <w:rsid w:val="00402EDB"/>
    <w:rsid w:val="004041D3"/>
    <w:rsid w:val="00405065"/>
    <w:rsid w:val="00405FBA"/>
    <w:rsid w:val="00406BF6"/>
    <w:rsid w:val="00406FCC"/>
    <w:rsid w:val="00407A39"/>
    <w:rsid w:val="00410E67"/>
    <w:rsid w:val="004138A9"/>
    <w:rsid w:val="00415646"/>
    <w:rsid w:val="00416150"/>
    <w:rsid w:val="00417ECC"/>
    <w:rsid w:val="00420742"/>
    <w:rsid w:val="00420BD0"/>
    <w:rsid w:val="00420CA6"/>
    <w:rsid w:val="00421F1C"/>
    <w:rsid w:val="00422954"/>
    <w:rsid w:val="0042469E"/>
    <w:rsid w:val="00424B9E"/>
    <w:rsid w:val="00424D3D"/>
    <w:rsid w:val="00424EC9"/>
    <w:rsid w:val="00425C43"/>
    <w:rsid w:val="004262F9"/>
    <w:rsid w:val="00426358"/>
    <w:rsid w:val="00426E3D"/>
    <w:rsid w:val="00427320"/>
    <w:rsid w:val="0042755E"/>
    <w:rsid w:val="00430678"/>
    <w:rsid w:val="0043078E"/>
    <w:rsid w:val="00432BF2"/>
    <w:rsid w:val="00432FF8"/>
    <w:rsid w:val="0043453C"/>
    <w:rsid w:val="004355D7"/>
    <w:rsid w:val="00435E1A"/>
    <w:rsid w:val="00436591"/>
    <w:rsid w:val="00436BCB"/>
    <w:rsid w:val="00437176"/>
    <w:rsid w:val="00437F3B"/>
    <w:rsid w:val="0044150A"/>
    <w:rsid w:val="00441AA6"/>
    <w:rsid w:val="00443A21"/>
    <w:rsid w:val="00443CD7"/>
    <w:rsid w:val="004440A1"/>
    <w:rsid w:val="00444388"/>
    <w:rsid w:val="00445717"/>
    <w:rsid w:val="00446136"/>
    <w:rsid w:val="00446854"/>
    <w:rsid w:val="0045034D"/>
    <w:rsid w:val="00450A33"/>
    <w:rsid w:val="00450ED1"/>
    <w:rsid w:val="00451ACC"/>
    <w:rsid w:val="004520DC"/>
    <w:rsid w:val="00452A1B"/>
    <w:rsid w:val="00452F96"/>
    <w:rsid w:val="0045364E"/>
    <w:rsid w:val="0045487B"/>
    <w:rsid w:val="00454928"/>
    <w:rsid w:val="00455CE4"/>
    <w:rsid w:val="00455E88"/>
    <w:rsid w:val="004560C9"/>
    <w:rsid w:val="00460AD2"/>
    <w:rsid w:val="004620C1"/>
    <w:rsid w:val="00462F04"/>
    <w:rsid w:val="00463A4D"/>
    <w:rsid w:val="00463CC9"/>
    <w:rsid w:val="00464D5A"/>
    <w:rsid w:val="004656A7"/>
    <w:rsid w:val="00465ACA"/>
    <w:rsid w:val="004679F0"/>
    <w:rsid w:val="00467C7C"/>
    <w:rsid w:val="0047193D"/>
    <w:rsid w:val="00473921"/>
    <w:rsid w:val="00473D15"/>
    <w:rsid w:val="00474DA6"/>
    <w:rsid w:val="004801FD"/>
    <w:rsid w:val="00480224"/>
    <w:rsid w:val="00481D40"/>
    <w:rsid w:val="00484A1A"/>
    <w:rsid w:val="00484A60"/>
    <w:rsid w:val="00486590"/>
    <w:rsid w:val="004867A7"/>
    <w:rsid w:val="00486C7F"/>
    <w:rsid w:val="0049042B"/>
    <w:rsid w:val="004905EA"/>
    <w:rsid w:val="00490FAF"/>
    <w:rsid w:val="004915E7"/>
    <w:rsid w:val="00491715"/>
    <w:rsid w:val="0049196F"/>
    <w:rsid w:val="004934F9"/>
    <w:rsid w:val="0049461B"/>
    <w:rsid w:val="00495576"/>
    <w:rsid w:val="0049575A"/>
    <w:rsid w:val="00495B36"/>
    <w:rsid w:val="004A0745"/>
    <w:rsid w:val="004A07A6"/>
    <w:rsid w:val="004A0F9C"/>
    <w:rsid w:val="004A113A"/>
    <w:rsid w:val="004A12AF"/>
    <w:rsid w:val="004A13C9"/>
    <w:rsid w:val="004A2435"/>
    <w:rsid w:val="004A274C"/>
    <w:rsid w:val="004A7384"/>
    <w:rsid w:val="004A7D07"/>
    <w:rsid w:val="004B0061"/>
    <w:rsid w:val="004B0571"/>
    <w:rsid w:val="004B0F71"/>
    <w:rsid w:val="004B126A"/>
    <w:rsid w:val="004B271A"/>
    <w:rsid w:val="004B2724"/>
    <w:rsid w:val="004B4C9B"/>
    <w:rsid w:val="004B7567"/>
    <w:rsid w:val="004C22EA"/>
    <w:rsid w:val="004C2D40"/>
    <w:rsid w:val="004C2FD2"/>
    <w:rsid w:val="004C332D"/>
    <w:rsid w:val="004C3BAC"/>
    <w:rsid w:val="004C4A33"/>
    <w:rsid w:val="004C5695"/>
    <w:rsid w:val="004C57F1"/>
    <w:rsid w:val="004C5F54"/>
    <w:rsid w:val="004C7501"/>
    <w:rsid w:val="004D0B41"/>
    <w:rsid w:val="004D1A79"/>
    <w:rsid w:val="004D22D5"/>
    <w:rsid w:val="004D24B4"/>
    <w:rsid w:val="004D2EE8"/>
    <w:rsid w:val="004D323D"/>
    <w:rsid w:val="004D35C4"/>
    <w:rsid w:val="004D3EC3"/>
    <w:rsid w:val="004D4C94"/>
    <w:rsid w:val="004D72AF"/>
    <w:rsid w:val="004E0CB9"/>
    <w:rsid w:val="004E10EE"/>
    <w:rsid w:val="004E14D9"/>
    <w:rsid w:val="004E1C00"/>
    <w:rsid w:val="004E47D7"/>
    <w:rsid w:val="004E4A89"/>
    <w:rsid w:val="004E5BE8"/>
    <w:rsid w:val="004F0866"/>
    <w:rsid w:val="004F12DE"/>
    <w:rsid w:val="004F1746"/>
    <w:rsid w:val="004F242D"/>
    <w:rsid w:val="004F55A4"/>
    <w:rsid w:val="004F63F0"/>
    <w:rsid w:val="004F6468"/>
    <w:rsid w:val="004F7D73"/>
    <w:rsid w:val="00500A96"/>
    <w:rsid w:val="0050175D"/>
    <w:rsid w:val="00501BD7"/>
    <w:rsid w:val="005020D3"/>
    <w:rsid w:val="005043A1"/>
    <w:rsid w:val="00504674"/>
    <w:rsid w:val="005059E9"/>
    <w:rsid w:val="00505A18"/>
    <w:rsid w:val="00506293"/>
    <w:rsid w:val="00514AFC"/>
    <w:rsid w:val="00514CD5"/>
    <w:rsid w:val="00515537"/>
    <w:rsid w:val="005201FF"/>
    <w:rsid w:val="005224A6"/>
    <w:rsid w:val="005234E0"/>
    <w:rsid w:val="0052559E"/>
    <w:rsid w:val="00527DC0"/>
    <w:rsid w:val="00527F20"/>
    <w:rsid w:val="00530A79"/>
    <w:rsid w:val="00530BB6"/>
    <w:rsid w:val="00531E09"/>
    <w:rsid w:val="005331D8"/>
    <w:rsid w:val="005338E2"/>
    <w:rsid w:val="00533E57"/>
    <w:rsid w:val="00535331"/>
    <w:rsid w:val="0053544B"/>
    <w:rsid w:val="00535606"/>
    <w:rsid w:val="005357C3"/>
    <w:rsid w:val="0053664E"/>
    <w:rsid w:val="00542B8D"/>
    <w:rsid w:val="00542BBD"/>
    <w:rsid w:val="00542D27"/>
    <w:rsid w:val="00543FF6"/>
    <w:rsid w:val="00544BC7"/>
    <w:rsid w:val="005474E4"/>
    <w:rsid w:val="00547B92"/>
    <w:rsid w:val="00551047"/>
    <w:rsid w:val="00551522"/>
    <w:rsid w:val="00552EE0"/>
    <w:rsid w:val="0055324B"/>
    <w:rsid w:val="00554939"/>
    <w:rsid w:val="005623D0"/>
    <w:rsid w:val="00562D85"/>
    <w:rsid w:val="0056617E"/>
    <w:rsid w:val="0056669D"/>
    <w:rsid w:val="00566AB4"/>
    <w:rsid w:val="00567304"/>
    <w:rsid w:val="00567A32"/>
    <w:rsid w:val="00570834"/>
    <w:rsid w:val="00570ECF"/>
    <w:rsid w:val="005721D9"/>
    <w:rsid w:val="005759F3"/>
    <w:rsid w:val="00580CEB"/>
    <w:rsid w:val="005810E7"/>
    <w:rsid w:val="005818B6"/>
    <w:rsid w:val="00581AF5"/>
    <w:rsid w:val="0058253B"/>
    <w:rsid w:val="0058588A"/>
    <w:rsid w:val="005869C3"/>
    <w:rsid w:val="0058748A"/>
    <w:rsid w:val="00587C8F"/>
    <w:rsid w:val="00587D8E"/>
    <w:rsid w:val="005909E6"/>
    <w:rsid w:val="005916E4"/>
    <w:rsid w:val="00593442"/>
    <w:rsid w:val="0059364C"/>
    <w:rsid w:val="00593E00"/>
    <w:rsid w:val="00595AA1"/>
    <w:rsid w:val="00596C40"/>
    <w:rsid w:val="005974C2"/>
    <w:rsid w:val="0059788C"/>
    <w:rsid w:val="00597FBB"/>
    <w:rsid w:val="005A17E6"/>
    <w:rsid w:val="005A1BB7"/>
    <w:rsid w:val="005A1C8C"/>
    <w:rsid w:val="005A2C02"/>
    <w:rsid w:val="005A3378"/>
    <w:rsid w:val="005A3F05"/>
    <w:rsid w:val="005A5266"/>
    <w:rsid w:val="005A6DC0"/>
    <w:rsid w:val="005A710E"/>
    <w:rsid w:val="005B0004"/>
    <w:rsid w:val="005B103E"/>
    <w:rsid w:val="005B208B"/>
    <w:rsid w:val="005B310B"/>
    <w:rsid w:val="005B4247"/>
    <w:rsid w:val="005B64E5"/>
    <w:rsid w:val="005C0075"/>
    <w:rsid w:val="005C0219"/>
    <w:rsid w:val="005C14F8"/>
    <w:rsid w:val="005C1F35"/>
    <w:rsid w:val="005C2E8A"/>
    <w:rsid w:val="005C5E60"/>
    <w:rsid w:val="005C6167"/>
    <w:rsid w:val="005C6921"/>
    <w:rsid w:val="005C7125"/>
    <w:rsid w:val="005C7C4A"/>
    <w:rsid w:val="005C7C55"/>
    <w:rsid w:val="005D0444"/>
    <w:rsid w:val="005D0A6E"/>
    <w:rsid w:val="005D1E18"/>
    <w:rsid w:val="005D218D"/>
    <w:rsid w:val="005D341E"/>
    <w:rsid w:val="005D4093"/>
    <w:rsid w:val="005D4732"/>
    <w:rsid w:val="005D4E0F"/>
    <w:rsid w:val="005D5CC1"/>
    <w:rsid w:val="005D7D47"/>
    <w:rsid w:val="005E0AF2"/>
    <w:rsid w:val="005E0C6B"/>
    <w:rsid w:val="005E1433"/>
    <w:rsid w:val="005E14C4"/>
    <w:rsid w:val="005E2118"/>
    <w:rsid w:val="005E2F4C"/>
    <w:rsid w:val="005E5A44"/>
    <w:rsid w:val="005F151C"/>
    <w:rsid w:val="005F3468"/>
    <w:rsid w:val="005F3CFF"/>
    <w:rsid w:val="005F527E"/>
    <w:rsid w:val="005F5731"/>
    <w:rsid w:val="005F6090"/>
    <w:rsid w:val="005F61B3"/>
    <w:rsid w:val="005F640A"/>
    <w:rsid w:val="005F68B7"/>
    <w:rsid w:val="005F7F18"/>
    <w:rsid w:val="00601BC5"/>
    <w:rsid w:val="006028CD"/>
    <w:rsid w:val="006033AB"/>
    <w:rsid w:val="00603E50"/>
    <w:rsid w:val="00604A15"/>
    <w:rsid w:val="00605603"/>
    <w:rsid w:val="00605F3E"/>
    <w:rsid w:val="00605FF9"/>
    <w:rsid w:val="0060642D"/>
    <w:rsid w:val="00613947"/>
    <w:rsid w:val="00615131"/>
    <w:rsid w:val="00616A9B"/>
    <w:rsid w:val="00620399"/>
    <w:rsid w:val="006209BA"/>
    <w:rsid w:val="00621419"/>
    <w:rsid w:val="006219F8"/>
    <w:rsid w:val="00622053"/>
    <w:rsid w:val="006236CB"/>
    <w:rsid w:val="00623C36"/>
    <w:rsid w:val="00631C57"/>
    <w:rsid w:val="00632932"/>
    <w:rsid w:val="00633160"/>
    <w:rsid w:val="00634926"/>
    <w:rsid w:val="00635FF5"/>
    <w:rsid w:val="00636464"/>
    <w:rsid w:val="0064020A"/>
    <w:rsid w:val="00641A69"/>
    <w:rsid w:val="006421E7"/>
    <w:rsid w:val="006426F6"/>
    <w:rsid w:val="00644E2F"/>
    <w:rsid w:val="00651817"/>
    <w:rsid w:val="006520DB"/>
    <w:rsid w:val="00653E2B"/>
    <w:rsid w:val="00653EA8"/>
    <w:rsid w:val="00654294"/>
    <w:rsid w:val="00654EA8"/>
    <w:rsid w:val="006552DB"/>
    <w:rsid w:val="00655BC5"/>
    <w:rsid w:val="00656020"/>
    <w:rsid w:val="006562EA"/>
    <w:rsid w:val="00656546"/>
    <w:rsid w:val="0065669A"/>
    <w:rsid w:val="00656CA6"/>
    <w:rsid w:val="00656E89"/>
    <w:rsid w:val="00657D39"/>
    <w:rsid w:val="00661F4B"/>
    <w:rsid w:val="00662036"/>
    <w:rsid w:val="00663ADC"/>
    <w:rsid w:val="00663DE3"/>
    <w:rsid w:val="00665062"/>
    <w:rsid w:val="00665667"/>
    <w:rsid w:val="00665AE3"/>
    <w:rsid w:val="0066717A"/>
    <w:rsid w:val="00670FE9"/>
    <w:rsid w:val="00671842"/>
    <w:rsid w:val="006727A7"/>
    <w:rsid w:val="00673952"/>
    <w:rsid w:val="006756D8"/>
    <w:rsid w:val="00676B4E"/>
    <w:rsid w:val="00676BEA"/>
    <w:rsid w:val="006771F9"/>
    <w:rsid w:val="00677CFA"/>
    <w:rsid w:val="00680E0A"/>
    <w:rsid w:val="006842B6"/>
    <w:rsid w:val="00684F4E"/>
    <w:rsid w:val="00686DF3"/>
    <w:rsid w:val="00691317"/>
    <w:rsid w:val="00692074"/>
    <w:rsid w:val="0069236E"/>
    <w:rsid w:val="00692EC8"/>
    <w:rsid w:val="006939D9"/>
    <w:rsid w:val="00693CD3"/>
    <w:rsid w:val="00693F47"/>
    <w:rsid w:val="00693FC0"/>
    <w:rsid w:val="006948B0"/>
    <w:rsid w:val="00696E11"/>
    <w:rsid w:val="006A3468"/>
    <w:rsid w:val="006A4714"/>
    <w:rsid w:val="006A4913"/>
    <w:rsid w:val="006A4B53"/>
    <w:rsid w:val="006A506C"/>
    <w:rsid w:val="006A50C0"/>
    <w:rsid w:val="006A5A6C"/>
    <w:rsid w:val="006A5A8F"/>
    <w:rsid w:val="006A5C1D"/>
    <w:rsid w:val="006A5E4F"/>
    <w:rsid w:val="006A5E8B"/>
    <w:rsid w:val="006A62C4"/>
    <w:rsid w:val="006B000A"/>
    <w:rsid w:val="006B071D"/>
    <w:rsid w:val="006B1054"/>
    <w:rsid w:val="006B17BE"/>
    <w:rsid w:val="006B1A9A"/>
    <w:rsid w:val="006B2967"/>
    <w:rsid w:val="006B3E04"/>
    <w:rsid w:val="006B422E"/>
    <w:rsid w:val="006C01F9"/>
    <w:rsid w:val="006C0364"/>
    <w:rsid w:val="006C109F"/>
    <w:rsid w:val="006C1419"/>
    <w:rsid w:val="006C1555"/>
    <w:rsid w:val="006C28CF"/>
    <w:rsid w:val="006C2AFE"/>
    <w:rsid w:val="006C2F04"/>
    <w:rsid w:val="006C32E8"/>
    <w:rsid w:val="006C37E7"/>
    <w:rsid w:val="006C3FA5"/>
    <w:rsid w:val="006C4FCA"/>
    <w:rsid w:val="006C59FE"/>
    <w:rsid w:val="006D1552"/>
    <w:rsid w:val="006D2343"/>
    <w:rsid w:val="006D24B4"/>
    <w:rsid w:val="006D38D1"/>
    <w:rsid w:val="006D3A94"/>
    <w:rsid w:val="006D5FE9"/>
    <w:rsid w:val="006D6551"/>
    <w:rsid w:val="006D79A0"/>
    <w:rsid w:val="006D7E65"/>
    <w:rsid w:val="006E00BB"/>
    <w:rsid w:val="006E0365"/>
    <w:rsid w:val="006E0E79"/>
    <w:rsid w:val="006E1B72"/>
    <w:rsid w:val="006E1BEE"/>
    <w:rsid w:val="006E233A"/>
    <w:rsid w:val="006E37E7"/>
    <w:rsid w:val="006E505D"/>
    <w:rsid w:val="006E5477"/>
    <w:rsid w:val="006E55A0"/>
    <w:rsid w:val="006E7B97"/>
    <w:rsid w:val="006F04AC"/>
    <w:rsid w:val="006F1751"/>
    <w:rsid w:val="006F2AF8"/>
    <w:rsid w:val="006F587D"/>
    <w:rsid w:val="006F5C3A"/>
    <w:rsid w:val="006F63C1"/>
    <w:rsid w:val="006F7423"/>
    <w:rsid w:val="0070107C"/>
    <w:rsid w:val="00702757"/>
    <w:rsid w:val="00702A49"/>
    <w:rsid w:val="00702CDD"/>
    <w:rsid w:val="00703EF1"/>
    <w:rsid w:val="007067B8"/>
    <w:rsid w:val="00711980"/>
    <w:rsid w:val="00713200"/>
    <w:rsid w:val="00715247"/>
    <w:rsid w:val="007178EF"/>
    <w:rsid w:val="007179D3"/>
    <w:rsid w:val="0072162E"/>
    <w:rsid w:val="007219C5"/>
    <w:rsid w:val="007224B5"/>
    <w:rsid w:val="007228AC"/>
    <w:rsid w:val="00722D41"/>
    <w:rsid w:val="00723A10"/>
    <w:rsid w:val="007242CD"/>
    <w:rsid w:val="00724E00"/>
    <w:rsid w:val="00725A64"/>
    <w:rsid w:val="00730067"/>
    <w:rsid w:val="00730EE4"/>
    <w:rsid w:val="00733DFE"/>
    <w:rsid w:val="00734F06"/>
    <w:rsid w:val="007355D0"/>
    <w:rsid w:val="00735843"/>
    <w:rsid w:val="00737728"/>
    <w:rsid w:val="00737CC9"/>
    <w:rsid w:val="00740792"/>
    <w:rsid w:val="007418A6"/>
    <w:rsid w:val="007455CA"/>
    <w:rsid w:val="00745B92"/>
    <w:rsid w:val="00745D0E"/>
    <w:rsid w:val="0074678C"/>
    <w:rsid w:val="00750284"/>
    <w:rsid w:val="007509DC"/>
    <w:rsid w:val="00750B05"/>
    <w:rsid w:val="007515B6"/>
    <w:rsid w:val="00751A0C"/>
    <w:rsid w:val="007520D3"/>
    <w:rsid w:val="0075292E"/>
    <w:rsid w:val="00752F38"/>
    <w:rsid w:val="007539BB"/>
    <w:rsid w:val="007547E7"/>
    <w:rsid w:val="00755A4C"/>
    <w:rsid w:val="00757C84"/>
    <w:rsid w:val="007609CF"/>
    <w:rsid w:val="007632A4"/>
    <w:rsid w:val="00763DDA"/>
    <w:rsid w:val="00764BC9"/>
    <w:rsid w:val="00766B48"/>
    <w:rsid w:val="007710B2"/>
    <w:rsid w:val="007714BA"/>
    <w:rsid w:val="007740DB"/>
    <w:rsid w:val="007745F2"/>
    <w:rsid w:val="00774A28"/>
    <w:rsid w:val="00774EF8"/>
    <w:rsid w:val="00775931"/>
    <w:rsid w:val="00776114"/>
    <w:rsid w:val="00776605"/>
    <w:rsid w:val="00777649"/>
    <w:rsid w:val="00777672"/>
    <w:rsid w:val="00781670"/>
    <w:rsid w:val="00782D05"/>
    <w:rsid w:val="007831C4"/>
    <w:rsid w:val="00784655"/>
    <w:rsid w:val="007856ED"/>
    <w:rsid w:val="00786AE5"/>
    <w:rsid w:val="00790838"/>
    <w:rsid w:val="00790AF6"/>
    <w:rsid w:val="00792040"/>
    <w:rsid w:val="00792626"/>
    <w:rsid w:val="0079280A"/>
    <w:rsid w:val="00793242"/>
    <w:rsid w:val="0079356A"/>
    <w:rsid w:val="007939E0"/>
    <w:rsid w:val="00794942"/>
    <w:rsid w:val="0079517D"/>
    <w:rsid w:val="00795897"/>
    <w:rsid w:val="00797FA0"/>
    <w:rsid w:val="007A0AD9"/>
    <w:rsid w:val="007A2DF9"/>
    <w:rsid w:val="007A40E4"/>
    <w:rsid w:val="007A727C"/>
    <w:rsid w:val="007B01EE"/>
    <w:rsid w:val="007B18A0"/>
    <w:rsid w:val="007B24EC"/>
    <w:rsid w:val="007B487B"/>
    <w:rsid w:val="007B55BE"/>
    <w:rsid w:val="007B5651"/>
    <w:rsid w:val="007B5992"/>
    <w:rsid w:val="007B6101"/>
    <w:rsid w:val="007C09CA"/>
    <w:rsid w:val="007C1732"/>
    <w:rsid w:val="007C25DA"/>
    <w:rsid w:val="007C30F8"/>
    <w:rsid w:val="007C311F"/>
    <w:rsid w:val="007C3396"/>
    <w:rsid w:val="007C3A95"/>
    <w:rsid w:val="007C4CF1"/>
    <w:rsid w:val="007C4FBE"/>
    <w:rsid w:val="007C5B07"/>
    <w:rsid w:val="007C60FC"/>
    <w:rsid w:val="007C6319"/>
    <w:rsid w:val="007C7A74"/>
    <w:rsid w:val="007D148A"/>
    <w:rsid w:val="007D1F6B"/>
    <w:rsid w:val="007D3D98"/>
    <w:rsid w:val="007D42B0"/>
    <w:rsid w:val="007D73E5"/>
    <w:rsid w:val="007D7FD8"/>
    <w:rsid w:val="007E02C9"/>
    <w:rsid w:val="007E0C14"/>
    <w:rsid w:val="007E2D83"/>
    <w:rsid w:val="007E2ED9"/>
    <w:rsid w:val="007E484D"/>
    <w:rsid w:val="007E4903"/>
    <w:rsid w:val="007E5078"/>
    <w:rsid w:val="007F0564"/>
    <w:rsid w:val="007F0629"/>
    <w:rsid w:val="007F15BB"/>
    <w:rsid w:val="007F3086"/>
    <w:rsid w:val="007F32E5"/>
    <w:rsid w:val="007F3ED8"/>
    <w:rsid w:val="007F4938"/>
    <w:rsid w:val="007F4D3C"/>
    <w:rsid w:val="007F5C39"/>
    <w:rsid w:val="008004BC"/>
    <w:rsid w:val="00800EA2"/>
    <w:rsid w:val="008021A6"/>
    <w:rsid w:val="00802AAE"/>
    <w:rsid w:val="00802CE2"/>
    <w:rsid w:val="00804157"/>
    <w:rsid w:val="00806F59"/>
    <w:rsid w:val="00806F84"/>
    <w:rsid w:val="0080751F"/>
    <w:rsid w:val="00813FB0"/>
    <w:rsid w:val="008143B0"/>
    <w:rsid w:val="00815C12"/>
    <w:rsid w:val="008164DA"/>
    <w:rsid w:val="00820460"/>
    <w:rsid w:val="00820486"/>
    <w:rsid w:val="00821D40"/>
    <w:rsid w:val="00822A5C"/>
    <w:rsid w:val="00822D21"/>
    <w:rsid w:val="00823561"/>
    <w:rsid w:val="00824F31"/>
    <w:rsid w:val="00826113"/>
    <w:rsid w:val="008302B1"/>
    <w:rsid w:val="00831278"/>
    <w:rsid w:val="00832400"/>
    <w:rsid w:val="00832BA3"/>
    <w:rsid w:val="00834079"/>
    <w:rsid w:val="0083458D"/>
    <w:rsid w:val="0083515B"/>
    <w:rsid w:val="0083547D"/>
    <w:rsid w:val="0084056B"/>
    <w:rsid w:val="00843959"/>
    <w:rsid w:val="0084396E"/>
    <w:rsid w:val="00844F98"/>
    <w:rsid w:val="0084502A"/>
    <w:rsid w:val="0085057F"/>
    <w:rsid w:val="00850F7B"/>
    <w:rsid w:val="0085147E"/>
    <w:rsid w:val="0085151C"/>
    <w:rsid w:val="00851821"/>
    <w:rsid w:val="00851F39"/>
    <w:rsid w:val="00852209"/>
    <w:rsid w:val="008536AD"/>
    <w:rsid w:val="008541AD"/>
    <w:rsid w:val="008542B3"/>
    <w:rsid w:val="008544BC"/>
    <w:rsid w:val="0085584B"/>
    <w:rsid w:val="00857104"/>
    <w:rsid w:val="008579DA"/>
    <w:rsid w:val="008605E3"/>
    <w:rsid w:val="0086119B"/>
    <w:rsid w:val="00861973"/>
    <w:rsid w:val="00862C35"/>
    <w:rsid w:val="00862D8A"/>
    <w:rsid w:val="008633E2"/>
    <w:rsid w:val="0086391A"/>
    <w:rsid w:val="00863A67"/>
    <w:rsid w:val="00864287"/>
    <w:rsid w:val="0086686D"/>
    <w:rsid w:val="008677F5"/>
    <w:rsid w:val="00867F57"/>
    <w:rsid w:val="00872EA4"/>
    <w:rsid w:val="00873703"/>
    <w:rsid w:val="008743BE"/>
    <w:rsid w:val="008745BE"/>
    <w:rsid w:val="00874827"/>
    <w:rsid w:val="00874B5A"/>
    <w:rsid w:val="008753AF"/>
    <w:rsid w:val="00877D61"/>
    <w:rsid w:val="008829FF"/>
    <w:rsid w:val="00882A44"/>
    <w:rsid w:val="00883C4E"/>
    <w:rsid w:val="00883FE4"/>
    <w:rsid w:val="00884C18"/>
    <w:rsid w:val="00885219"/>
    <w:rsid w:val="00885E1F"/>
    <w:rsid w:val="00886C05"/>
    <w:rsid w:val="0088713D"/>
    <w:rsid w:val="008916B1"/>
    <w:rsid w:val="00892562"/>
    <w:rsid w:val="0089268F"/>
    <w:rsid w:val="008927E3"/>
    <w:rsid w:val="0089442F"/>
    <w:rsid w:val="00894AA9"/>
    <w:rsid w:val="00895846"/>
    <w:rsid w:val="00896942"/>
    <w:rsid w:val="008A074A"/>
    <w:rsid w:val="008A0C2B"/>
    <w:rsid w:val="008A1FC9"/>
    <w:rsid w:val="008A3274"/>
    <w:rsid w:val="008A3746"/>
    <w:rsid w:val="008A3F82"/>
    <w:rsid w:val="008A4070"/>
    <w:rsid w:val="008A4B8F"/>
    <w:rsid w:val="008A4BB7"/>
    <w:rsid w:val="008A5C4F"/>
    <w:rsid w:val="008A6DCE"/>
    <w:rsid w:val="008B470C"/>
    <w:rsid w:val="008B7B3C"/>
    <w:rsid w:val="008C2110"/>
    <w:rsid w:val="008C2757"/>
    <w:rsid w:val="008C3355"/>
    <w:rsid w:val="008C4479"/>
    <w:rsid w:val="008C4C0C"/>
    <w:rsid w:val="008C6320"/>
    <w:rsid w:val="008C638F"/>
    <w:rsid w:val="008C7E04"/>
    <w:rsid w:val="008D0438"/>
    <w:rsid w:val="008D0C42"/>
    <w:rsid w:val="008D1FDD"/>
    <w:rsid w:val="008D506F"/>
    <w:rsid w:val="008D5AC7"/>
    <w:rsid w:val="008D6C2C"/>
    <w:rsid w:val="008D7722"/>
    <w:rsid w:val="008D7940"/>
    <w:rsid w:val="008E05DF"/>
    <w:rsid w:val="008E0881"/>
    <w:rsid w:val="008E215A"/>
    <w:rsid w:val="008E4668"/>
    <w:rsid w:val="008E5F86"/>
    <w:rsid w:val="008E6145"/>
    <w:rsid w:val="008E7ED9"/>
    <w:rsid w:val="008F00FA"/>
    <w:rsid w:val="008F18B4"/>
    <w:rsid w:val="008F18C2"/>
    <w:rsid w:val="008F2498"/>
    <w:rsid w:val="008F2A98"/>
    <w:rsid w:val="008F4454"/>
    <w:rsid w:val="008F4943"/>
    <w:rsid w:val="008F54E9"/>
    <w:rsid w:val="008F550C"/>
    <w:rsid w:val="008F58A4"/>
    <w:rsid w:val="008F6A9C"/>
    <w:rsid w:val="008F7CC5"/>
    <w:rsid w:val="009007F6"/>
    <w:rsid w:val="00901024"/>
    <w:rsid w:val="0090104C"/>
    <w:rsid w:val="009010B8"/>
    <w:rsid w:val="00901F00"/>
    <w:rsid w:val="0090296A"/>
    <w:rsid w:val="009045D7"/>
    <w:rsid w:val="0090658F"/>
    <w:rsid w:val="009065B7"/>
    <w:rsid w:val="00907373"/>
    <w:rsid w:val="0090765A"/>
    <w:rsid w:val="00911067"/>
    <w:rsid w:val="00912129"/>
    <w:rsid w:val="00912142"/>
    <w:rsid w:val="00914EA4"/>
    <w:rsid w:val="00915273"/>
    <w:rsid w:val="00915FCA"/>
    <w:rsid w:val="00917690"/>
    <w:rsid w:val="00917E9E"/>
    <w:rsid w:val="009204C0"/>
    <w:rsid w:val="0092151B"/>
    <w:rsid w:val="009216C9"/>
    <w:rsid w:val="00921E76"/>
    <w:rsid w:val="0092289F"/>
    <w:rsid w:val="00922A2F"/>
    <w:rsid w:val="00923508"/>
    <w:rsid w:val="009248DC"/>
    <w:rsid w:val="0092550A"/>
    <w:rsid w:val="00925F14"/>
    <w:rsid w:val="0092716E"/>
    <w:rsid w:val="00932BF1"/>
    <w:rsid w:val="00933BC6"/>
    <w:rsid w:val="00934C14"/>
    <w:rsid w:val="00935F6D"/>
    <w:rsid w:val="0093655B"/>
    <w:rsid w:val="00937A00"/>
    <w:rsid w:val="00937DA4"/>
    <w:rsid w:val="00937EE6"/>
    <w:rsid w:val="00943632"/>
    <w:rsid w:val="00946CE6"/>
    <w:rsid w:val="009470DC"/>
    <w:rsid w:val="00950113"/>
    <w:rsid w:val="009514A0"/>
    <w:rsid w:val="009519CC"/>
    <w:rsid w:val="009519E7"/>
    <w:rsid w:val="00952D09"/>
    <w:rsid w:val="0095657D"/>
    <w:rsid w:val="009623DF"/>
    <w:rsid w:val="00962454"/>
    <w:rsid w:val="0096268A"/>
    <w:rsid w:val="009648A9"/>
    <w:rsid w:val="00964B7B"/>
    <w:rsid w:val="00964F93"/>
    <w:rsid w:val="00965378"/>
    <w:rsid w:val="00965F0B"/>
    <w:rsid w:val="0096604A"/>
    <w:rsid w:val="009661BA"/>
    <w:rsid w:val="00966DDE"/>
    <w:rsid w:val="00970274"/>
    <w:rsid w:val="00970866"/>
    <w:rsid w:val="0097147B"/>
    <w:rsid w:val="009724A3"/>
    <w:rsid w:val="009727F7"/>
    <w:rsid w:val="0097548B"/>
    <w:rsid w:val="00975632"/>
    <w:rsid w:val="00976756"/>
    <w:rsid w:val="00976E7C"/>
    <w:rsid w:val="00977E94"/>
    <w:rsid w:val="00980196"/>
    <w:rsid w:val="009806D6"/>
    <w:rsid w:val="00982110"/>
    <w:rsid w:val="00983682"/>
    <w:rsid w:val="00983CF8"/>
    <w:rsid w:val="00984FE7"/>
    <w:rsid w:val="009865BC"/>
    <w:rsid w:val="00986A57"/>
    <w:rsid w:val="00986E62"/>
    <w:rsid w:val="009871CE"/>
    <w:rsid w:val="009902B9"/>
    <w:rsid w:val="00990735"/>
    <w:rsid w:val="009910B5"/>
    <w:rsid w:val="009918D5"/>
    <w:rsid w:val="00991B34"/>
    <w:rsid w:val="00991F5A"/>
    <w:rsid w:val="00992332"/>
    <w:rsid w:val="0099399A"/>
    <w:rsid w:val="00994C96"/>
    <w:rsid w:val="00995CB8"/>
    <w:rsid w:val="00996FB5"/>
    <w:rsid w:val="00997792"/>
    <w:rsid w:val="00997F26"/>
    <w:rsid w:val="009A0B6E"/>
    <w:rsid w:val="009A0D64"/>
    <w:rsid w:val="009A16F0"/>
    <w:rsid w:val="009A3903"/>
    <w:rsid w:val="009A555D"/>
    <w:rsid w:val="009A70AC"/>
    <w:rsid w:val="009B0372"/>
    <w:rsid w:val="009B1457"/>
    <w:rsid w:val="009B1499"/>
    <w:rsid w:val="009B2B68"/>
    <w:rsid w:val="009B3252"/>
    <w:rsid w:val="009B3FA1"/>
    <w:rsid w:val="009B40D8"/>
    <w:rsid w:val="009B4FFE"/>
    <w:rsid w:val="009B7718"/>
    <w:rsid w:val="009B777A"/>
    <w:rsid w:val="009B7B67"/>
    <w:rsid w:val="009C0CE9"/>
    <w:rsid w:val="009C1857"/>
    <w:rsid w:val="009C2280"/>
    <w:rsid w:val="009C25F8"/>
    <w:rsid w:val="009C2712"/>
    <w:rsid w:val="009C31FC"/>
    <w:rsid w:val="009C38A5"/>
    <w:rsid w:val="009C5475"/>
    <w:rsid w:val="009C69AA"/>
    <w:rsid w:val="009C6A36"/>
    <w:rsid w:val="009D0F20"/>
    <w:rsid w:val="009D4398"/>
    <w:rsid w:val="009D642E"/>
    <w:rsid w:val="009D6D27"/>
    <w:rsid w:val="009D6FBB"/>
    <w:rsid w:val="009E14F4"/>
    <w:rsid w:val="009E152D"/>
    <w:rsid w:val="009E2DD9"/>
    <w:rsid w:val="009E2E2B"/>
    <w:rsid w:val="009E3C91"/>
    <w:rsid w:val="009E554A"/>
    <w:rsid w:val="009E687B"/>
    <w:rsid w:val="009E76E0"/>
    <w:rsid w:val="009F13E2"/>
    <w:rsid w:val="009F1E79"/>
    <w:rsid w:val="009F55CC"/>
    <w:rsid w:val="009F6087"/>
    <w:rsid w:val="009F7699"/>
    <w:rsid w:val="00A00E82"/>
    <w:rsid w:val="00A0187F"/>
    <w:rsid w:val="00A02180"/>
    <w:rsid w:val="00A0234E"/>
    <w:rsid w:val="00A03EE4"/>
    <w:rsid w:val="00A04364"/>
    <w:rsid w:val="00A048A6"/>
    <w:rsid w:val="00A04A05"/>
    <w:rsid w:val="00A06BCD"/>
    <w:rsid w:val="00A07243"/>
    <w:rsid w:val="00A07ED2"/>
    <w:rsid w:val="00A10150"/>
    <w:rsid w:val="00A11DA8"/>
    <w:rsid w:val="00A12D70"/>
    <w:rsid w:val="00A12E5B"/>
    <w:rsid w:val="00A13705"/>
    <w:rsid w:val="00A13815"/>
    <w:rsid w:val="00A16827"/>
    <w:rsid w:val="00A1682A"/>
    <w:rsid w:val="00A17458"/>
    <w:rsid w:val="00A2056B"/>
    <w:rsid w:val="00A20614"/>
    <w:rsid w:val="00A20B74"/>
    <w:rsid w:val="00A219A8"/>
    <w:rsid w:val="00A21AEF"/>
    <w:rsid w:val="00A2214B"/>
    <w:rsid w:val="00A22C40"/>
    <w:rsid w:val="00A23B69"/>
    <w:rsid w:val="00A23CAE"/>
    <w:rsid w:val="00A2488B"/>
    <w:rsid w:val="00A261C1"/>
    <w:rsid w:val="00A269A7"/>
    <w:rsid w:val="00A2723D"/>
    <w:rsid w:val="00A274A4"/>
    <w:rsid w:val="00A30DA3"/>
    <w:rsid w:val="00A30F18"/>
    <w:rsid w:val="00A315F5"/>
    <w:rsid w:val="00A31D2D"/>
    <w:rsid w:val="00A3362B"/>
    <w:rsid w:val="00A3444D"/>
    <w:rsid w:val="00A36511"/>
    <w:rsid w:val="00A374D0"/>
    <w:rsid w:val="00A3782F"/>
    <w:rsid w:val="00A37F08"/>
    <w:rsid w:val="00A424F6"/>
    <w:rsid w:val="00A42A3E"/>
    <w:rsid w:val="00A42DD1"/>
    <w:rsid w:val="00A44899"/>
    <w:rsid w:val="00A4506D"/>
    <w:rsid w:val="00A466B7"/>
    <w:rsid w:val="00A470BF"/>
    <w:rsid w:val="00A50EF4"/>
    <w:rsid w:val="00A52D81"/>
    <w:rsid w:val="00A537C4"/>
    <w:rsid w:val="00A547B4"/>
    <w:rsid w:val="00A54DF1"/>
    <w:rsid w:val="00A5665D"/>
    <w:rsid w:val="00A56F18"/>
    <w:rsid w:val="00A56F3B"/>
    <w:rsid w:val="00A6268F"/>
    <w:rsid w:val="00A62DEA"/>
    <w:rsid w:val="00A62E6D"/>
    <w:rsid w:val="00A63A44"/>
    <w:rsid w:val="00A64251"/>
    <w:rsid w:val="00A64C51"/>
    <w:rsid w:val="00A65B58"/>
    <w:rsid w:val="00A66B28"/>
    <w:rsid w:val="00A67271"/>
    <w:rsid w:val="00A67296"/>
    <w:rsid w:val="00A67897"/>
    <w:rsid w:val="00A67A22"/>
    <w:rsid w:val="00A67C57"/>
    <w:rsid w:val="00A70F9F"/>
    <w:rsid w:val="00A72401"/>
    <w:rsid w:val="00A72A70"/>
    <w:rsid w:val="00A74837"/>
    <w:rsid w:val="00A76044"/>
    <w:rsid w:val="00A802A6"/>
    <w:rsid w:val="00A817C7"/>
    <w:rsid w:val="00A8232A"/>
    <w:rsid w:val="00A82EB2"/>
    <w:rsid w:val="00A83A47"/>
    <w:rsid w:val="00A83EE1"/>
    <w:rsid w:val="00A84D76"/>
    <w:rsid w:val="00A84DDC"/>
    <w:rsid w:val="00A85508"/>
    <w:rsid w:val="00A86DC3"/>
    <w:rsid w:val="00A9012E"/>
    <w:rsid w:val="00A90318"/>
    <w:rsid w:val="00A90958"/>
    <w:rsid w:val="00A90B3C"/>
    <w:rsid w:val="00A92585"/>
    <w:rsid w:val="00A945EA"/>
    <w:rsid w:val="00A9465E"/>
    <w:rsid w:val="00A94D34"/>
    <w:rsid w:val="00A96E51"/>
    <w:rsid w:val="00AA16BE"/>
    <w:rsid w:val="00AA2036"/>
    <w:rsid w:val="00AA25E7"/>
    <w:rsid w:val="00AA2BB7"/>
    <w:rsid w:val="00AA4447"/>
    <w:rsid w:val="00AA4717"/>
    <w:rsid w:val="00AA6D5B"/>
    <w:rsid w:val="00AA7655"/>
    <w:rsid w:val="00AB0084"/>
    <w:rsid w:val="00AB17FB"/>
    <w:rsid w:val="00AB2546"/>
    <w:rsid w:val="00AB2B41"/>
    <w:rsid w:val="00AB3962"/>
    <w:rsid w:val="00AB41F4"/>
    <w:rsid w:val="00AB4274"/>
    <w:rsid w:val="00AB4729"/>
    <w:rsid w:val="00AB4D01"/>
    <w:rsid w:val="00AB4E3B"/>
    <w:rsid w:val="00AB50B8"/>
    <w:rsid w:val="00AB6D25"/>
    <w:rsid w:val="00AC1D98"/>
    <w:rsid w:val="00AC2006"/>
    <w:rsid w:val="00AC20CD"/>
    <w:rsid w:val="00AC21D3"/>
    <w:rsid w:val="00AC3BD2"/>
    <w:rsid w:val="00AC4BAB"/>
    <w:rsid w:val="00AC529D"/>
    <w:rsid w:val="00AC625A"/>
    <w:rsid w:val="00AC6306"/>
    <w:rsid w:val="00AD0379"/>
    <w:rsid w:val="00AD06F5"/>
    <w:rsid w:val="00AD085B"/>
    <w:rsid w:val="00AD124E"/>
    <w:rsid w:val="00AD126A"/>
    <w:rsid w:val="00AD12B8"/>
    <w:rsid w:val="00AD178B"/>
    <w:rsid w:val="00AD216B"/>
    <w:rsid w:val="00AD2E3A"/>
    <w:rsid w:val="00AD3948"/>
    <w:rsid w:val="00AD3FB8"/>
    <w:rsid w:val="00AD4A96"/>
    <w:rsid w:val="00AD4B83"/>
    <w:rsid w:val="00AD674F"/>
    <w:rsid w:val="00AD67A6"/>
    <w:rsid w:val="00AD6CCF"/>
    <w:rsid w:val="00AD6ECC"/>
    <w:rsid w:val="00AD7349"/>
    <w:rsid w:val="00AE07E8"/>
    <w:rsid w:val="00AE109D"/>
    <w:rsid w:val="00AE21D2"/>
    <w:rsid w:val="00AE21EF"/>
    <w:rsid w:val="00AE25A9"/>
    <w:rsid w:val="00AE3D62"/>
    <w:rsid w:val="00AE6EDD"/>
    <w:rsid w:val="00AF018D"/>
    <w:rsid w:val="00AF0D10"/>
    <w:rsid w:val="00AF19FC"/>
    <w:rsid w:val="00AF25E0"/>
    <w:rsid w:val="00AF2A2E"/>
    <w:rsid w:val="00AF5890"/>
    <w:rsid w:val="00AF5B65"/>
    <w:rsid w:val="00AF5C7D"/>
    <w:rsid w:val="00AF7DF2"/>
    <w:rsid w:val="00B01A36"/>
    <w:rsid w:val="00B01CBB"/>
    <w:rsid w:val="00B029DE"/>
    <w:rsid w:val="00B03586"/>
    <w:rsid w:val="00B061B4"/>
    <w:rsid w:val="00B10A0D"/>
    <w:rsid w:val="00B110FD"/>
    <w:rsid w:val="00B117E1"/>
    <w:rsid w:val="00B1257D"/>
    <w:rsid w:val="00B12A75"/>
    <w:rsid w:val="00B13049"/>
    <w:rsid w:val="00B13C65"/>
    <w:rsid w:val="00B14366"/>
    <w:rsid w:val="00B14500"/>
    <w:rsid w:val="00B148B9"/>
    <w:rsid w:val="00B17136"/>
    <w:rsid w:val="00B20B7C"/>
    <w:rsid w:val="00B213BB"/>
    <w:rsid w:val="00B2245A"/>
    <w:rsid w:val="00B23585"/>
    <w:rsid w:val="00B2470F"/>
    <w:rsid w:val="00B24A6F"/>
    <w:rsid w:val="00B261AC"/>
    <w:rsid w:val="00B261F8"/>
    <w:rsid w:val="00B26FC3"/>
    <w:rsid w:val="00B27868"/>
    <w:rsid w:val="00B31BE5"/>
    <w:rsid w:val="00B31F0D"/>
    <w:rsid w:val="00B33A9E"/>
    <w:rsid w:val="00B400FB"/>
    <w:rsid w:val="00B40ED3"/>
    <w:rsid w:val="00B41602"/>
    <w:rsid w:val="00B42047"/>
    <w:rsid w:val="00B42BFF"/>
    <w:rsid w:val="00B43CE8"/>
    <w:rsid w:val="00B4569C"/>
    <w:rsid w:val="00B477EC"/>
    <w:rsid w:val="00B51702"/>
    <w:rsid w:val="00B5246F"/>
    <w:rsid w:val="00B52FEF"/>
    <w:rsid w:val="00B5415A"/>
    <w:rsid w:val="00B54F63"/>
    <w:rsid w:val="00B56464"/>
    <w:rsid w:val="00B57115"/>
    <w:rsid w:val="00B5728B"/>
    <w:rsid w:val="00B5732C"/>
    <w:rsid w:val="00B576DC"/>
    <w:rsid w:val="00B57A6F"/>
    <w:rsid w:val="00B57C0A"/>
    <w:rsid w:val="00B613EF"/>
    <w:rsid w:val="00B61BEF"/>
    <w:rsid w:val="00B61DEF"/>
    <w:rsid w:val="00B6430C"/>
    <w:rsid w:val="00B65FE6"/>
    <w:rsid w:val="00B66C54"/>
    <w:rsid w:val="00B66D97"/>
    <w:rsid w:val="00B6712B"/>
    <w:rsid w:val="00B6770A"/>
    <w:rsid w:val="00B678C3"/>
    <w:rsid w:val="00B67DFF"/>
    <w:rsid w:val="00B7061C"/>
    <w:rsid w:val="00B70A33"/>
    <w:rsid w:val="00B70EF7"/>
    <w:rsid w:val="00B739AA"/>
    <w:rsid w:val="00B74AB1"/>
    <w:rsid w:val="00B74E08"/>
    <w:rsid w:val="00B74E75"/>
    <w:rsid w:val="00B757AD"/>
    <w:rsid w:val="00B7769C"/>
    <w:rsid w:val="00B80C82"/>
    <w:rsid w:val="00B81BA9"/>
    <w:rsid w:val="00B82E0A"/>
    <w:rsid w:val="00B8340F"/>
    <w:rsid w:val="00B84E40"/>
    <w:rsid w:val="00B8549F"/>
    <w:rsid w:val="00B85D23"/>
    <w:rsid w:val="00B85D42"/>
    <w:rsid w:val="00B85E83"/>
    <w:rsid w:val="00B863F3"/>
    <w:rsid w:val="00B869D8"/>
    <w:rsid w:val="00B871EC"/>
    <w:rsid w:val="00B87A4D"/>
    <w:rsid w:val="00B908B1"/>
    <w:rsid w:val="00B90CE5"/>
    <w:rsid w:val="00B919C3"/>
    <w:rsid w:val="00B93A44"/>
    <w:rsid w:val="00B9437A"/>
    <w:rsid w:val="00B95176"/>
    <w:rsid w:val="00B951B6"/>
    <w:rsid w:val="00B97E9A"/>
    <w:rsid w:val="00BA0331"/>
    <w:rsid w:val="00BA03BB"/>
    <w:rsid w:val="00BA0ABF"/>
    <w:rsid w:val="00BA0F4E"/>
    <w:rsid w:val="00BA45A3"/>
    <w:rsid w:val="00BA4FAD"/>
    <w:rsid w:val="00BA5770"/>
    <w:rsid w:val="00BA6230"/>
    <w:rsid w:val="00BB12B2"/>
    <w:rsid w:val="00BB161E"/>
    <w:rsid w:val="00BB272B"/>
    <w:rsid w:val="00BB5A37"/>
    <w:rsid w:val="00BB7AFC"/>
    <w:rsid w:val="00BC0EEA"/>
    <w:rsid w:val="00BC1296"/>
    <w:rsid w:val="00BC190D"/>
    <w:rsid w:val="00BC1993"/>
    <w:rsid w:val="00BC2A7A"/>
    <w:rsid w:val="00BC2E49"/>
    <w:rsid w:val="00BC2FAD"/>
    <w:rsid w:val="00BC3BAA"/>
    <w:rsid w:val="00BD0126"/>
    <w:rsid w:val="00BD0769"/>
    <w:rsid w:val="00BD10D9"/>
    <w:rsid w:val="00BD10FF"/>
    <w:rsid w:val="00BD1E48"/>
    <w:rsid w:val="00BD33E2"/>
    <w:rsid w:val="00BD387B"/>
    <w:rsid w:val="00BD3A27"/>
    <w:rsid w:val="00BD3E9A"/>
    <w:rsid w:val="00BD48AF"/>
    <w:rsid w:val="00BD5B8A"/>
    <w:rsid w:val="00BD5ED7"/>
    <w:rsid w:val="00BD7047"/>
    <w:rsid w:val="00BD7D54"/>
    <w:rsid w:val="00BD7E43"/>
    <w:rsid w:val="00BE2EB2"/>
    <w:rsid w:val="00BE576F"/>
    <w:rsid w:val="00BE6AAD"/>
    <w:rsid w:val="00BE70FA"/>
    <w:rsid w:val="00BE765F"/>
    <w:rsid w:val="00BF090F"/>
    <w:rsid w:val="00BF162B"/>
    <w:rsid w:val="00BF21AA"/>
    <w:rsid w:val="00BF2855"/>
    <w:rsid w:val="00BF2F51"/>
    <w:rsid w:val="00BF3888"/>
    <w:rsid w:val="00BF4C9D"/>
    <w:rsid w:val="00BF6E05"/>
    <w:rsid w:val="00BF6FB2"/>
    <w:rsid w:val="00C006BA"/>
    <w:rsid w:val="00C00807"/>
    <w:rsid w:val="00C0242D"/>
    <w:rsid w:val="00C0285F"/>
    <w:rsid w:val="00C02A3A"/>
    <w:rsid w:val="00C02EF1"/>
    <w:rsid w:val="00C030AA"/>
    <w:rsid w:val="00C04601"/>
    <w:rsid w:val="00C048B8"/>
    <w:rsid w:val="00C04D86"/>
    <w:rsid w:val="00C0524A"/>
    <w:rsid w:val="00C05846"/>
    <w:rsid w:val="00C06A9C"/>
    <w:rsid w:val="00C06C02"/>
    <w:rsid w:val="00C10EE9"/>
    <w:rsid w:val="00C144CB"/>
    <w:rsid w:val="00C14948"/>
    <w:rsid w:val="00C14E0E"/>
    <w:rsid w:val="00C15348"/>
    <w:rsid w:val="00C15753"/>
    <w:rsid w:val="00C164C0"/>
    <w:rsid w:val="00C165AB"/>
    <w:rsid w:val="00C173B5"/>
    <w:rsid w:val="00C173FE"/>
    <w:rsid w:val="00C17EE2"/>
    <w:rsid w:val="00C23BC0"/>
    <w:rsid w:val="00C26524"/>
    <w:rsid w:val="00C2761E"/>
    <w:rsid w:val="00C27CA8"/>
    <w:rsid w:val="00C32889"/>
    <w:rsid w:val="00C3311C"/>
    <w:rsid w:val="00C35870"/>
    <w:rsid w:val="00C3694F"/>
    <w:rsid w:val="00C37233"/>
    <w:rsid w:val="00C37990"/>
    <w:rsid w:val="00C4036D"/>
    <w:rsid w:val="00C40A0E"/>
    <w:rsid w:val="00C440EA"/>
    <w:rsid w:val="00C45DEC"/>
    <w:rsid w:val="00C472F8"/>
    <w:rsid w:val="00C47820"/>
    <w:rsid w:val="00C47FA6"/>
    <w:rsid w:val="00C50798"/>
    <w:rsid w:val="00C51288"/>
    <w:rsid w:val="00C52E29"/>
    <w:rsid w:val="00C52FC0"/>
    <w:rsid w:val="00C54983"/>
    <w:rsid w:val="00C54AC6"/>
    <w:rsid w:val="00C55495"/>
    <w:rsid w:val="00C56A57"/>
    <w:rsid w:val="00C5773E"/>
    <w:rsid w:val="00C57806"/>
    <w:rsid w:val="00C6006A"/>
    <w:rsid w:val="00C622E5"/>
    <w:rsid w:val="00C628DD"/>
    <w:rsid w:val="00C62E92"/>
    <w:rsid w:val="00C6344F"/>
    <w:rsid w:val="00C63B7D"/>
    <w:rsid w:val="00C640A1"/>
    <w:rsid w:val="00C65320"/>
    <w:rsid w:val="00C67736"/>
    <w:rsid w:val="00C70867"/>
    <w:rsid w:val="00C70D97"/>
    <w:rsid w:val="00C73F9F"/>
    <w:rsid w:val="00C74C05"/>
    <w:rsid w:val="00C808A6"/>
    <w:rsid w:val="00C81056"/>
    <w:rsid w:val="00C811D5"/>
    <w:rsid w:val="00C81EFE"/>
    <w:rsid w:val="00C823C6"/>
    <w:rsid w:val="00C82529"/>
    <w:rsid w:val="00C82C9D"/>
    <w:rsid w:val="00C862A9"/>
    <w:rsid w:val="00C86A2E"/>
    <w:rsid w:val="00C86B3E"/>
    <w:rsid w:val="00C91DC9"/>
    <w:rsid w:val="00C92683"/>
    <w:rsid w:val="00C92BFF"/>
    <w:rsid w:val="00C92E76"/>
    <w:rsid w:val="00C95403"/>
    <w:rsid w:val="00C958D5"/>
    <w:rsid w:val="00C97850"/>
    <w:rsid w:val="00CA353A"/>
    <w:rsid w:val="00CA4221"/>
    <w:rsid w:val="00CA5511"/>
    <w:rsid w:val="00CA5904"/>
    <w:rsid w:val="00CA5AD5"/>
    <w:rsid w:val="00CA5F96"/>
    <w:rsid w:val="00CA64EF"/>
    <w:rsid w:val="00CB2866"/>
    <w:rsid w:val="00CB32C3"/>
    <w:rsid w:val="00CB38FA"/>
    <w:rsid w:val="00CB3B78"/>
    <w:rsid w:val="00CB5A96"/>
    <w:rsid w:val="00CB5D62"/>
    <w:rsid w:val="00CC0AC1"/>
    <w:rsid w:val="00CC2251"/>
    <w:rsid w:val="00CC29FE"/>
    <w:rsid w:val="00CC2E96"/>
    <w:rsid w:val="00CC387A"/>
    <w:rsid w:val="00CC3E9D"/>
    <w:rsid w:val="00CC4024"/>
    <w:rsid w:val="00CC5D78"/>
    <w:rsid w:val="00CC5DBC"/>
    <w:rsid w:val="00CC61EC"/>
    <w:rsid w:val="00CC6713"/>
    <w:rsid w:val="00CD05A0"/>
    <w:rsid w:val="00CD2483"/>
    <w:rsid w:val="00CD307C"/>
    <w:rsid w:val="00CD535A"/>
    <w:rsid w:val="00CD78F5"/>
    <w:rsid w:val="00CE0632"/>
    <w:rsid w:val="00CE46FD"/>
    <w:rsid w:val="00CE4A75"/>
    <w:rsid w:val="00CE75FD"/>
    <w:rsid w:val="00CF1662"/>
    <w:rsid w:val="00CF22E1"/>
    <w:rsid w:val="00CF2655"/>
    <w:rsid w:val="00CF43F0"/>
    <w:rsid w:val="00CF48CD"/>
    <w:rsid w:val="00CF5F55"/>
    <w:rsid w:val="00D00A8B"/>
    <w:rsid w:val="00D016CB"/>
    <w:rsid w:val="00D02CB8"/>
    <w:rsid w:val="00D031C3"/>
    <w:rsid w:val="00D03D09"/>
    <w:rsid w:val="00D04D3D"/>
    <w:rsid w:val="00D04DAF"/>
    <w:rsid w:val="00D0566F"/>
    <w:rsid w:val="00D0610D"/>
    <w:rsid w:val="00D07B5F"/>
    <w:rsid w:val="00D10E5E"/>
    <w:rsid w:val="00D111BF"/>
    <w:rsid w:val="00D1165C"/>
    <w:rsid w:val="00D117E4"/>
    <w:rsid w:val="00D11A32"/>
    <w:rsid w:val="00D11BB7"/>
    <w:rsid w:val="00D11ED0"/>
    <w:rsid w:val="00D12FCF"/>
    <w:rsid w:val="00D152F6"/>
    <w:rsid w:val="00D1655B"/>
    <w:rsid w:val="00D17AC9"/>
    <w:rsid w:val="00D17E8A"/>
    <w:rsid w:val="00D20C05"/>
    <w:rsid w:val="00D22D32"/>
    <w:rsid w:val="00D2362F"/>
    <w:rsid w:val="00D257A3"/>
    <w:rsid w:val="00D26C89"/>
    <w:rsid w:val="00D270DC"/>
    <w:rsid w:val="00D27CCB"/>
    <w:rsid w:val="00D30ADC"/>
    <w:rsid w:val="00D33C3B"/>
    <w:rsid w:val="00D34998"/>
    <w:rsid w:val="00D34B5E"/>
    <w:rsid w:val="00D3535D"/>
    <w:rsid w:val="00D3621B"/>
    <w:rsid w:val="00D377AE"/>
    <w:rsid w:val="00D3789C"/>
    <w:rsid w:val="00D40860"/>
    <w:rsid w:val="00D40F57"/>
    <w:rsid w:val="00D41A45"/>
    <w:rsid w:val="00D422F0"/>
    <w:rsid w:val="00D42FCA"/>
    <w:rsid w:val="00D43FC3"/>
    <w:rsid w:val="00D445CB"/>
    <w:rsid w:val="00D44B3B"/>
    <w:rsid w:val="00D4539E"/>
    <w:rsid w:val="00D4703E"/>
    <w:rsid w:val="00D470A3"/>
    <w:rsid w:val="00D51352"/>
    <w:rsid w:val="00D527B0"/>
    <w:rsid w:val="00D530AE"/>
    <w:rsid w:val="00D55885"/>
    <w:rsid w:val="00D562B7"/>
    <w:rsid w:val="00D57737"/>
    <w:rsid w:val="00D610A6"/>
    <w:rsid w:val="00D61689"/>
    <w:rsid w:val="00D61860"/>
    <w:rsid w:val="00D62252"/>
    <w:rsid w:val="00D64967"/>
    <w:rsid w:val="00D66A31"/>
    <w:rsid w:val="00D67169"/>
    <w:rsid w:val="00D70584"/>
    <w:rsid w:val="00D70720"/>
    <w:rsid w:val="00D70EE2"/>
    <w:rsid w:val="00D727D7"/>
    <w:rsid w:val="00D72A00"/>
    <w:rsid w:val="00D7303C"/>
    <w:rsid w:val="00D734A2"/>
    <w:rsid w:val="00D7522E"/>
    <w:rsid w:val="00D75450"/>
    <w:rsid w:val="00D76AC2"/>
    <w:rsid w:val="00D76F07"/>
    <w:rsid w:val="00D77850"/>
    <w:rsid w:val="00D77F64"/>
    <w:rsid w:val="00D8229A"/>
    <w:rsid w:val="00D826CC"/>
    <w:rsid w:val="00D826EC"/>
    <w:rsid w:val="00D83A38"/>
    <w:rsid w:val="00D84881"/>
    <w:rsid w:val="00D84E8D"/>
    <w:rsid w:val="00D85352"/>
    <w:rsid w:val="00D85E76"/>
    <w:rsid w:val="00D86E0D"/>
    <w:rsid w:val="00D8730A"/>
    <w:rsid w:val="00D916B1"/>
    <w:rsid w:val="00D921E5"/>
    <w:rsid w:val="00D92DF1"/>
    <w:rsid w:val="00D93AC0"/>
    <w:rsid w:val="00D94B73"/>
    <w:rsid w:val="00D96951"/>
    <w:rsid w:val="00DA06B1"/>
    <w:rsid w:val="00DA10E2"/>
    <w:rsid w:val="00DA15B4"/>
    <w:rsid w:val="00DA394F"/>
    <w:rsid w:val="00DA6081"/>
    <w:rsid w:val="00DA7BB6"/>
    <w:rsid w:val="00DB111B"/>
    <w:rsid w:val="00DB254A"/>
    <w:rsid w:val="00DB2C8B"/>
    <w:rsid w:val="00DB309C"/>
    <w:rsid w:val="00DB36FC"/>
    <w:rsid w:val="00DB393B"/>
    <w:rsid w:val="00DB3C2A"/>
    <w:rsid w:val="00DB45A9"/>
    <w:rsid w:val="00DB50DA"/>
    <w:rsid w:val="00DB5176"/>
    <w:rsid w:val="00DB532D"/>
    <w:rsid w:val="00DB69BE"/>
    <w:rsid w:val="00DB6A8A"/>
    <w:rsid w:val="00DB7C8E"/>
    <w:rsid w:val="00DC01D1"/>
    <w:rsid w:val="00DC1144"/>
    <w:rsid w:val="00DC40BB"/>
    <w:rsid w:val="00DC424A"/>
    <w:rsid w:val="00DC5488"/>
    <w:rsid w:val="00DC6127"/>
    <w:rsid w:val="00DC6B01"/>
    <w:rsid w:val="00DD0F42"/>
    <w:rsid w:val="00DD2116"/>
    <w:rsid w:val="00DD2DB2"/>
    <w:rsid w:val="00DD35C7"/>
    <w:rsid w:val="00DD4165"/>
    <w:rsid w:val="00DD4636"/>
    <w:rsid w:val="00DD4CFC"/>
    <w:rsid w:val="00DD71FF"/>
    <w:rsid w:val="00DD7985"/>
    <w:rsid w:val="00DE00BF"/>
    <w:rsid w:val="00DE09BA"/>
    <w:rsid w:val="00DE1229"/>
    <w:rsid w:val="00DE19B6"/>
    <w:rsid w:val="00DE24FB"/>
    <w:rsid w:val="00DE2EAF"/>
    <w:rsid w:val="00DE3738"/>
    <w:rsid w:val="00DE6059"/>
    <w:rsid w:val="00DF0156"/>
    <w:rsid w:val="00DF0BBC"/>
    <w:rsid w:val="00DF28A4"/>
    <w:rsid w:val="00DF3695"/>
    <w:rsid w:val="00DF382A"/>
    <w:rsid w:val="00DF3853"/>
    <w:rsid w:val="00DF40A2"/>
    <w:rsid w:val="00DF53A0"/>
    <w:rsid w:val="00DF55D8"/>
    <w:rsid w:val="00DF5939"/>
    <w:rsid w:val="00DF59B0"/>
    <w:rsid w:val="00DF773F"/>
    <w:rsid w:val="00E00A18"/>
    <w:rsid w:val="00E0139D"/>
    <w:rsid w:val="00E05F5A"/>
    <w:rsid w:val="00E07213"/>
    <w:rsid w:val="00E10726"/>
    <w:rsid w:val="00E10E30"/>
    <w:rsid w:val="00E11A46"/>
    <w:rsid w:val="00E13E54"/>
    <w:rsid w:val="00E14CB3"/>
    <w:rsid w:val="00E1653C"/>
    <w:rsid w:val="00E17228"/>
    <w:rsid w:val="00E2193E"/>
    <w:rsid w:val="00E21B4C"/>
    <w:rsid w:val="00E232D5"/>
    <w:rsid w:val="00E23503"/>
    <w:rsid w:val="00E23647"/>
    <w:rsid w:val="00E2401C"/>
    <w:rsid w:val="00E24D70"/>
    <w:rsid w:val="00E2736B"/>
    <w:rsid w:val="00E31599"/>
    <w:rsid w:val="00E317B2"/>
    <w:rsid w:val="00E32FB9"/>
    <w:rsid w:val="00E3323D"/>
    <w:rsid w:val="00E347B8"/>
    <w:rsid w:val="00E3522B"/>
    <w:rsid w:val="00E35425"/>
    <w:rsid w:val="00E35CD2"/>
    <w:rsid w:val="00E35D22"/>
    <w:rsid w:val="00E3668B"/>
    <w:rsid w:val="00E409DA"/>
    <w:rsid w:val="00E413BB"/>
    <w:rsid w:val="00E4171A"/>
    <w:rsid w:val="00E429A5"/>
    <w:rsid w:val="00E44068"/>
    <w:rsid w:val="00E46A9C"/>
    <w:rsid w:val="00E47351"/>
    <w:rsid w:val="00E4787C"/>
    <w:rsid w:val="00E5055C"/>
    <w:rsid w:val="00E50573"/>
    <w:rsid w:val="00E50FF0"/>
    <w:rsid w:val="00E51C58"/>
    <w:rsid w:val="00E51CF1"/>
    <w:rsid w:val="00E51FD1"/>
    <w:rsid w:val="00E52560"/>
    <w:rsid w:val="00E52880"/>
    <w:rsid w:val="00E53521"/>
    <w:rsid w:val="00E55ABE"/>
    <w:rsid w:val="00E563C4"/>
    <w:rsid w:val="00E5654F"/>
    <w:rsid w:val="00E57CC6"/>
    <w:rsid w:val="00E60247"/>
    <w:rsid w:val="00E61515"/>
    <w:rsid w:val="00E61F68"/>
    <w:rsid w:val="00E62EB3"/>
    <w:rsid w:val="00E63313"/>
    <w:rsid w:val="00E63327"/>
    <w:rsid w:val="00E6367D"/>
    <w:rsid w:val="00E6599D"/>
    <w:rsid w:val="00E6614C"/>
    <w:rsid w:val="00E67C87"/>
    <w:rsid w:val="00E701E0"/>
    <w:rsid w:val="00E70EEF"/>
    <w:rsid w:val="00E70F03"/>
    <w:rsid w:val="00E71206"/>
    <w:rsid w:val="00E72586"/>
    <w:rsid w:val="00E74963"/>
    <w:rsid w:val="00E765EE"/>
    <w:rsid w:val="00E76D38"/>
    <w:rsid w:val="00E832E8"/>
    <w:rsid w:val="00E85946"/>
    <w:rsid w:val="00E85B70"/>
    <w:rsid w:val="00E85C10"/>
    <w:rsid w:val="00E87215"/>
    <w:rsid w:val="00E877DC"/>
    <w:rsid w:val="00E87BD9"/>
    <w:rsid w:val="00E901E4"/>
    <w:rsid w:val="00E920CD"/>
    <w:rsid w:val="00E92431"/>
    <w:rsid w:val="00E930DE"/>
    <w:rsid w:val="00E93108"/>
    <w:rsid w:val="00E937FE"/>
    <w:rsid w:val="00E950AA"/>
    <w:rsid w:val="00E9594A"/>
    <w:rsid w:val="00E97F5A"/>
    <w:rsid w:val="00EA022A"/>
    <w:rsid w:val="00EA0B3F"/>
    <w:rsid w:val="00EA1664"/>
    <w:rsid w:val="00EA2032"/>
    <w:rsid w:val="00EA312F"/>
    <w:rsid w:val="00EA336A"/>
    <w:rsid w:val="00EA33F5"/>
    <w:rsid w:val="00EA3FFE"/>
    <w:rsid w:val="00EA5376"/>
    <w:rsid w:val="00EA5C75"/>
    <w:rsid w:val="00EB0152"/>
    <w:rsid w:val="00EB130B"/>
    <w:rsid w:val="00EB31B5"/>
    <w:rsid w:val="00EB31CC"/>
    <w:rsid w:val="00EB3563"/>
    <w:rsid w:val="00EB5054"/>
    <w:rsid w:val="00EB6650"/>
    <w:rsid w:val="00EB6CEA"/>
    <w:rsid w:val="00EB72F7"/>
    <w:rsid w:val="00EB781B"/>
    <w:rsid w:val="00EB7F94"/>
    <w:rsid w:val="00EC0A07"/>
    <w:rsid w:val="00EC11D7"/>
    <w:rsid w:val="00EC22A8"/>
    <w:rsid w:val="00EC2578"/>
    <w:rsid w:val="00EC348C"/>
    <w:rsid w:val="00EC40B1"/>
    <w:rsid w:val="00ED2BE4"/>
    <w:rsid w:val="00ED3184"/>
    <w:rsid w:val="00ED3AC2"/>
    <w:rsid w:val="00ED3C96"/>
    <w:rsid w:val="00ED3FB0"/>
    <w:rsid w:val="00ED49B1"/>
    <w:rsid w:val="00ED5705"/>
    <w:rsid w:val="00ED78EB"/>
    <w:rsid w:val="00ED7D6F"/>
    <w:rsid w:val="00EE1219"/>
    <w:rsid w:val="00EE22DA"/>
    <w:rsid w:val="00EE2854"/>
    <w:rsid w:val="00EE2CB1"/>
    <w:rsid w:val="00EE47F3"/>
    <w:rsid w:val="00EE57EB"/>
    <w:rsid w:val="00EE6430"/>
    <w:rsid w:val="00EE78A5"/>
    <w:rsid w:val="00EF005C"/>
    <w:rsid w:val="00EF1577"/>
    <w:rsid w:val="00EF3DAF"/>
    <w:rsid w:val="00EF50F3"/>
    <w:rsid w:val="00EF5B40"/>
    <w:rsid w:val="00EF5C08"/>
    <w:rsid w:val="00F00E72"/>
    <w:rsid w:val="00F031BD"/>
    <w:rsid w:val="00F03F22"/>
    <w:rsid w:val="00F054DC"/>
    <w:rsid w:val="00F06571"/>
    <w:rsid w:val="00F1081A"/>
    <w:rsid w:val="00F1261A"/>
    <w:rsid w:val="00F12A19"/>
    <w:rsid w:val="00F136F1"/>
    <w:rsid w:val="00F138AF"/>
    <w:rsid w:val="00F13BB8"/>
    <w:rsid w:val="00F144AE"/>
    <w:rsid w:val="00F14B3A"/>
    <w:rsid w:val="00F159A2"/>
    <w:rsid w:val="00F15B93"/>
    <w:rsid w:val="00F163E0"/>
    <w:rsid w:val="00F168FB"/>
    <w:rsid w:val="00F21221"/>
    <w:rsid w:val="00F22434"/>
    <w:rsid w:val="00F24FC6"/>
    <w:rsid w:val="00F250ED"/>
    <w:rsid w:val="00F253D3"/>
    <w:rsid w:val="00F2588A"/>
    <w:rsid w:val="00F25E5F"/>
    <w:rsid w:val="00F26072"/>
    <w:rsid w:val="00F2751B"/>
    <w:rsid w:val="00F27B40"/>
    <w:rsid w:val="00F30743"/>
    <w:rsid w:val="00F312F5"/>
    <w:rsid w:val="00F318DF"/>
    <w:rsid w:val="00F31DC3"/>
    <w:rsid w:val="00F31F2F"/>
    <w:rsid w:val="00F31F39"/>
    <w:rsid w:val="00F326BC"/>
    <w:rsid w:val="00F32EE9"/>
    <w:rsid w:val="00F3348B"/>
    <w:rsid w:val="00F37498"/>
    <w:rsid w:val="00F40B83"/>
    <w:rsid w:val="00F41AC7"/>
    <w:rsid w:val="00F41BB2"/>
    <w:rsid w:val="00F4334C"/>
    <w:rsid w:val="00F43B7E"/>
    <w:rsid w:val="00F44DD4"/>
    <w:rsid w:val="00F45210"/>
    <w:rsid w:val="00F45BED"/>
    <w:rsid w:val="00F45D22"/>
    <w:rsid w:val="00F463B6"/>
    <w:rsid w:val="00F46B81"/>
    <w:rsid w:val="00F471C4"/>
    <w:rsid w:val="00F473F6"/>
    <w:rsid w:val="00F47819"/>
    <w:rsid w:val="00F5129E"/>
    <w:rsid w:val="00F51731"/>
    <w:rsid w:val="00F52605"/>
    <w:rsid w:val="00F55331"/>
    <w:rsid w:val="00F554C6"/>
    <w:rsid w:val="00F55DED"/>
    <w:rsid w:val="00F55F5D"/>
    <w:rsid w:val="00F5758B"/>
    <w:rsid w:val="00F578C8"/>
    <w:rsid w:val="00F57BE4"/>
    <w:rsid w:val="00F60987"/>
    <w:rsid w:val="00F60B90"/>
    <w:rsid w:val="00F60C6D"/>
    <w:rsid w:val="00F60D3A"/>
    <w:rsid w:val="00F6310B"/>
    <w:rsid w:val="00F63461"/>
    <w:rsid w:val="00F6459D"/>
    <w:rsid w:val="00F649F7"/>
    <w:rsid w:val="00F65138"/>
    <w:rsid w:val="00F6653B"/>
    <w:rsid w:val="00F70A12"/>
    <w:rsid w:val="00F749C5"/>
    <w:rsid w:val="00F75E92"/>
    <w:rsid w:val="00F769C3"/>
    <w:rsid w:val="00F76BF4"/>
    <w:rsid w:val="00F816D3"/>
    <w:rsid w:val="00F81FC5"/>
    <w:rsid w:val="00F820CF"/>
    <w:rsid w:val="00F8392A"/>
    <w:rsid w:val="00F83A11"/>
    <w:rsid w:val="00F83A40"/>
    <w:rsid w:val="00F840DF"/>
    <w:rsid w:val="00F857BE"/>
    <w:rsid w:val="00F858EA"/>
    <w:rsid w:val="00F86750"/>
    <w:rsid w:val="00F90BA4"/>
    <w:rsid w:val="00F90DA2"/>
    <w:rsid w:val="00F91370"/>
    <w:rsid w:val="00F91E29"/>
    <w:rsid w:val="00F94051"/>
    <w:rsid w:val="00FA4373"/>
    <w:rsid w:val="00FA48B7"/>
    <w:rsid w:val="00FA53F8"/>
    <w:rsid w:val="00FA5440"/>
    <w:rsid w:val="00FA5596"/>
    <w:rsid w:val="00FA5FC7"/>
    <w:rsid w:val="00FA691E"/>
    <w:rsid w:val="00FA7897"/>
    <w:rsid w:val="00FB0B0C"/>
    <w:rsid w:val="00FB1E80"/>
    <w:rsid w:val="00FB1EAE"/>
    <w:rsid w:val="00FB3476"/>
    <w:rsid w:val="00FB4F7A"/>
    <w:rsid w:val="00FB56EE"/>
    <w:rsid w:val="00FB59B4"/>
    <w:rsid w:val="00FB70ED"/>
    <w:rsid w:val="00FB755D"/>
    <w:rsid w:val="00FB7827"/>
    <w:rsid w:val="00FC05A9"/>
    <w:rsid w:val="00FC2980"/>
    <w:rsid w:val="00FC2EC5"/>
    <w:rsid w:val="00FC2F51"/>
    <w:rsid w:val="00FC41AF"/>
    <w:rsid w:val="00FC4955"/>
    <w:rsid w:val="00FC586D"/>
    <w:rsid w:val="00FC6C0E"/>
    <w:rsid w:val="00FC7C23"/>
    <w:rsid w:val="00FD0BA6"/>
    <w:rsid w:val="00FD3D5F"/>
    <w:rsid w:val="00FD63F1"/>
    <w:rsid w:val="00FD7E9F"/>
    <w:rsid w:val="00FE01E0"/>
    <w:rsid w:val="00FE1236"/>
    <w:rsid w:val="00FE162B"/>
    <w:rsid w:val="00FE19D7"/>
    <w:rsid w:val="00FE2609"/>
    <w:rsid w:val="00FE2E72"/>
    <w:rsid w:val="00FE3075"/>
    <w:rsid w:val="00FE3429"/>
    <w:rsid w:val="00FE48F2"/>
    <w:rsid w:val="00FE5386"/>
    <w:rsid w:val="00FE587C"/>
    <w:rsid w:val="00FE5BA1"/>
    <w:rsid w:val="00FF0BF3"/>
    <w:rsid w:val="00FF13D9"/>
    <w:rsid w:val="00FF1D05"/>
    <w:rsid w:val="00FF2875"/>
    <w:rsid w:val="00FF593E"/>
    <w:rsid w:val="00FF604A"/>
    <w:rsid w:val="00FF6934"/>
    <w:rsid w:val="00FF7A0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5E4704"/>
  <w15:chartTrackingRefBased/>
  <w15:docId w15:val="{2D79934B-5A22-4FC0-9515-452007EDD9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iPriority="1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4"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iPriority="2"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lsdException w:name="List Bullet 4" w:semiHidden="1" w:unhideWhenUsed="1"/>
    <w:lsdException w:name="List Bullet 5" w:semiHidden="1" w:unhideWhenUsed="1"/>
    <w:lsdException w:name="List Number 2" w:semiHidden="1" w:uiPriority="2" w:unhideWhenUsed="1" w:qFormat="1"/>
    <w:lsdException w:name="List Number 3" w:semiHidden="1" w:uiPriority="2"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1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1047"/>
    <w:pPr>
      <w:spacing w:after="120" w:line="240" w:lineRule="auto"/>
    </w:pPr>
    <w:rPr>
      <w:rFonts w:ascii="Calibri" w:eastAsia="Calibri" w:hAnsi="Calibri" w:cs="Times New Roman"/>
      <w:color w:val="000000"/>
      <w:lang w:eastAsia="en-AU"/>
    </w:rPr>
  </w:style>
  <w:style w:type="paragraph" w:styleId="Heading1">
    <w:name w:val="heading 1"/>
    <w:next w:val="BodyText"/>
    <w:link w:val="Heading1Char"/>
    <w:uiPriority w:val="1"/>
    <w:qFormat/>
    <w:rsid w:val="00551047"/>
    <w:pPr>
      <w:keepNext/>
      <w:keepLines/>
      <w:pageBreakBefore/>
      <w:numPr>
        <w:numId w:val="13"/>
      </w:numPr>
      <w:tabs>
        <w:tab w:val="left" w:pos="1134"/>
      </w:tabs>
      <w:spacing w:after="960" w:line="480" w:lineRule="exact"/>
      <w:ind w:left="1134" w:hanging="1134"/>
      <w:outlineLvl w:val="0"/>
    </w:pPr>
    <w:rPr>
      <w:rFonts w:ascii="Calibri" w:eastAsiaTheme="majorEastAsia" w:hAnsi="Calibri" w:cstheme="majorBidi"/>
      <w:b/>
      <w:bCs/>
      <w:color w:val="004B87" w:themeColor="accent2"/>
      <w:sz w:val="44"/>
      <w:szCs w:val="28"/>
      <w:lang w:eastAsia="en-AU"/>
    </w:rPr>
  </w:style>
  <w:style w:type="paragraph" w:styleId="Heading2">
    <w:name w:val="heading 2"/>
    <w:basedOn w:val="Heading1"/>
    <w:next w:val="BodyText"/>
    <w:link w:val="Heading2Char"/>
    <w:uiPriority w:val="1"/>
    <w:qFormat/>
    <w:rsid w:val="00551047"/>
    <w:pPr>
      <w:pageBreakBefore w:val="0"/>
      <w:numPr>
        <w:ilvl w:val="1"/>
      </w:numPr>
      <w:spacing w:before="360" w:after="240" w:line="240" w:lineRule="auto"/>
      <w:ind w:left="1134" w:hanging="1134"/>
      <w:outlineLvl w:val="1"/>
    </w:pPr>
    <w:rPr>
      <w:b w:val="0"/>
      <w:sz w:val="32"/>
      <w:szCs w:val="26"/>
    </w:rPr>
  </w:style>
  <w:style w:type="paragraph" w:styleId="Heading3">
    <w:name w:val="heading 3"/>
    <w:basedOn w:val="Heading2"/>
    <w:next w:val="BodyText"/>
    <w:link w:val="Heading3Char"/>
    <w:uiPriority w:val="1"/>
    <w:qFormat/>
    <w:rsid w:val="00551047"/>
    <w:pPr>
      <w:numPr>
        <w:ilvl w:val="2"/>
      </w:numPr>
      <w:ind w:left="1134" w:hanging="1134"/>
      <w:outlineLvl w:val="2"/>
    </w:pPr>
    <w:rPr>
      <w:b/>
      <w:color w:val="auto"/>
      <w:sz w:val="26"/>
    </w:rPr>
  </w:style>
  <w:style w:type="paragraph" w:styleId="Heading4">
    <w:name w:val="heading 4"/>
    <w:basedOn w:val="Heading3"/>
    <w:next w:val="BodyText"/>
    <w:link w:val="Heading4Char"/>
    <w:uiPriority w:val="1"/>
    <w:qFormat/>
    <w:rsid w:val="00551047"/>
    <w:pPr>
      <w:numPr>
        <w:ilvl w:val="0"/>
        <w:numId w:val="0"/>
      </w:numPr>
      <w:spacing w:before="240" w:after="120"/>
      <w:outlineLvl w:val="3"/>
    </w:pPr>
    <w:rPr>
      <w:iCs/>
      <w:color w:val="1991C2" w:themeColor="accent1" w:themeShade="BF"/>
      <w:spacing w:val="1"/>
      <w:sz w:val="24"/>
    </w:rPr>
  </w:style>
  <w:style w:type="paragraph" w:styleId="Heading5">
    <w:name w:val="heading 5"/>
    <w:basedOn w:val="Heading4"/>
    <w:next w:val="BodyText"/>
    <w:link w:val="Heading5Char"/>
    <w:uiPriority w:val="1"/>
    <w:qFormat/>
    <w:rsid w:val="00551047"/>
    <w:pPr>
      <w:outlineLvl w:val="4"/>
    </w:pPr>
    <w:rPr>
      <w:color w:val="auto"/>
      <w:sz w:val="22"/>
    </w:rPr>
  </w:style>
  <w:style w:type="paragraph" w:styleId="Heading6">
    <w:name w:val="heading 6"/>
    <w:basedOn w:val="Normal"/>
    <w:next w:val="Normal"/>
    <w:link w:val="Heading6Char"/>
    <w:uiPriority w:val="99"/>
    <w:semiHidden/>
    <w:qFormat/>
    <w:rsid w:val="00551047"/>
    <w:pPr>
      <w:keepNext/>
      <w:keepLines/>
      <w:spacing w:before="200"/>
      <w:outlineLvl w:val="5"/>
    </w:pPr>
    <w:rPr>
      <w:rFonts w:eastAsiaTheme="majorEastAsia" w:cstheme="majorBidi"/>
      <w:i/>
      <w:iCs/>
    </w:rPr>
  </w:style>
  <w:style w:type="paragraph" w:styleId="Heading7">
    <w:name w:val="heading 7"/>
    <w:basedOn w:val="Normal"/>
    <w:next w:val="Normal"/>
    <w:link w:val="Heading7Char"/>
    <w:uiPriority w:val="99"/>
    <w:semiHidden/>
    <w:qFormat/>
    <w:rsid w:val="00551047"/>
    <w:pPr>
      <w:spacing w:before="240" w:after="60"/>
      <w:outlineLvl w:val="6"/>
    </w:pPr>
    <w:rPr>
      <w:rFonts w:asciiTheme="minorHAnsi" w:hAnsiTheme="minorHAnsi" w:cstheme="majorBidi"/>
      <w:sz w:val="24"/>
      <w:szCs w:val="24"/>
    </w:rPr>
  </w:style>
  <w:style w:type="paragraph" w:styleId="Heading8">
    <w:name w:val="heading 8"/>
    <w:basedOn w:val="Normal"/>
    <w:next w:val="Normal"/>
    <w:link w:val="Heading8Char"/>
    <w:uiPriority w:val="99"/>
    <w:semiHidden/>
    <w:qFormat/>
    <w:rsid w:val="00551047"/>
    <w:pPr>
      <w:spacing w:before="240" w:after="60"/>
      <w:outlineLvl w:val="7"/>
    </w:pPr>
    <w:rPr>
      <w:rFonts w:asciiTheme="minorHAnsi" w:hAnsiTheme="minorHAnsi" w:cstheme="majorBidi"/>
      <w:i/>
      <w:iCs/>
      <w:sz w:val="24"/>
      <w:szCs w:val="24"/>
    </w:rPr>
  </w:style>
  <w:style w:type="paragraph" w:styleId="Heading9">
    <w:name w:val="heading 9"/>
    <w:aliases w:val="Appendix Heading 1"/>
    <w:basedOn w:val="AppendixHeading1base"/>
    <w:next w:val="BodyText"/>
    <w:link w:val="Heading9Char"/>
    <w:uiPriority w:val="10"/>
    <w:rsid w:val="00551047"/>
    <w:pPr>
      <w:spacing w:after="1080"/>
      <w:outlineLvl w:val="8"/>
    </w:pPr>
    <w:rPr>
      <w:color w:val="004B87"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551047"/>
    <w:rPr>
      <w:rFonts w:ascii="Calibri" w:eastAsiaTheme="majorEastAsia" w:hAnsi="Calibri" w:cstheme="majorBidi"/>
      <w:b/>
      <w:bCs/>
      <w:color w:val="004B87" w:themeColor="accent2"/>
      <w:sz w:val="44"/>
      <w:szCs w:val="28"/>
      <w:lang w:eastAsia="en-AU"/>
    </w:rPr>
  </w:style>
  <w:style w:type="paragraph" w:styleId="Title">
    <w:name w:val="Title"/>
    <w:basedOn w:val="Normal"/>
    <w:next w:val="Normal"/>
    <w:link w:val="TitleChar"/>
    <w:uiPriority w:val="10"/>
    <w:qFormat/>
    <w:rsid w:val="005810E7"/>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10E7"/>
    <w:rPr>
      <w:rFonts w:asciiTheme="majorHAnsi" w:eastAsiaTheme="majorEastAsia" w:hAnsiTheme="majorHAnsi" w:cstheme="majorBidi"/>
      <w:spacing w:val="-10"/>
      <w:kern w:val="28"/>
      <w:sz w:val="56"/>
      <w:szCs w:val="56"/>
    </w:rPr>
  </w:style>
  <w:style w:type="paragraph" w:styleId="Caption">
    <w:name w:val="caption"/>
    <w:aliases w:val="Figure Caption"/>
    <w:basedOn w:val="BodyText"/>
    <w:next w:val="BodyText"/>
    <w:link w:val="CaptionChar"/>
    <w:uiPriority w:val="4"/>
    <w:qFormat/>
    <w:rsid w:val="00551047"/>
    <w:pPr>
      <w:keepNext/>
      <w:spacing w:before="180" w:after="180"/>
      <w:contextualSpacing/>
    </w:pPr>
    <w:rPr>
      <w:b/>
      <w:bCs/>
      <w:color w:val="1991C2" w:themeColor="accent1" w:themeShade="BF"/>
      <w:sz w:val="20"/>
      <w:szCs w:val="18"/>
    </w:rPr>
  </w:style>
  <w:style w:type="table" w:styleId="TableGrid">
    <w:name w:val="Table Grid"/>
    <w:basedOn w:val="TableNormal"/>
    <w:uiPriority w:val="99"/>
    <w:rsid w:val="00551047"/>
    <w:pPr>
      <w:spacing w:after="0" w:line="240" w:lineRule="auto"/>
    </w:pPr>
    <w:rPr>
      <w:rFonts w:ascii="Calibri" w:hAnsi="Calibri" w:cs="Times New Roman"/>
      <w:sz w:val="20"/>
      <w:szCs w:val="20"/>
      <w:lang w:eastAsia="en-AU"/>
    </w:rPr>
    <w:tblPr>
      <w:tblBorders>
        <w:top w:val="single" w:sz="4" w:space="0" w:color="00313C"/>
        <w:left w:val="single" w:sz="4" w:space="0" w:color="00313C"/>
        <w:bottom w:val="single" w:sz="4" w:space="0" w:color="00313C"/>
        <w:right w:val="single" w:sz="4" w:space="0" w:color="00313C"/>
        <w:insideH w:val="single" w:sz="4" w:space="0" w:color="00313C"/>
        <w:insideV w:val="single" w:sz="4" w:space="0" w:color="00313C"/>
      </w:tblBorders>
    </w:tblPr>
  </w:style>
  <w:style w:type="table" w:styleId="GridTable1Light-Accent5">
    <w:name w:val="Grid Table 1 Light Accent 5"/>
    <w:basedOn w:val="TableNormal"/>
    <w:uiPriority w:val="46"/>
    <w:rsid w:val="00484A1A"/>
    <w:pPr>
      <w:spacing w:after="0" w:line="240" w:lineRule="auto"/>
    </w:pPr>
    <w:tblPr>
      <w:tblStyleRowBandSize w:val="1"/>
      <w:tblStyleColBandSize w:val="1"/>
      <w:tblBorders>
        <w:top w:val="single" w:sz="4" w:space="0" w:color="85E9FF" w:themeColor="accent5" w:themeTint="66"/>
        <w:left w:val="single" w:sz="4" w:space="0" w:color="85E9FF" w:themeColor="accent5" w:themeTint="66"/>
        <w:bottom w:val="single" w:sz="4" w:space="0" w:color="85E9FF" w:themeColor="accent5" w:themeTint="66"/>
        <w:right w:val="single" w:sz="4" w:space="0" w:color="85E9FF" w:themeColor="accent5" w:themeTint="66"/>
        <w:insideH w:val="single" w:sz="4" w:space="0" w:color="85E9FF" w:themeColor="accent5" w:themeTint="66"/>
        <w:insideV w:val="single" w:sz="4" w:space="0" w:color="85E9FF" w:themeColor="accent5" w:themeTint="66"/>
      </w:tblBorders>
    </w:tblPr>
    <w:tblStylePr w:type="firstRow">
      <w:rPr>
        <w:b/>
        <w:bCs/>
      </w:rPr>
      <w:tblPr/>
      <w:tcPr>
        <w:tcBorders>
          <w:bottom w:val="single" w:sz="12" w:space="0" w:color="48DEFF" w:themeColor="accent5" w:themeTint="99"/>
        </w:tcBorders>
      </w:tcPr>
    </w:tblStylePr>
    <w:tblStylePr w:type="lastRow">
      <w:rPr>
        <w:b/>
        <w:bCs/>
      </w:rPr>
      <w:tblPr/>
      <w:tcPr>
        <w:tcBorders>
          <w:top w:val="double" w:sz="2" w:space="0" w:color="48DEFF" w:themeColor="accent5" w:themeTint="99"/>
        </w:tcBorders>
      </w:tcPr>
    </w:tblStylePr>
    <w:tblStylePr w:type="firstCol">
      <w:rPr>
        <w:b/>
        <w:bCs/>
      </w:rPr>
    </w:tblStylePr>
    <w:tblStylePr w:type="lastCol">
      <w:rPr>
        <w:b/>
        <w:bCs/>
      </w:rPr>
    </w:tblStylePr>
  </w:style>
  <w:style w:type="character" w:styleId="Hyperlink">
    <w:name w:val="Hyperlink"/>
    <w:basedOn w:val="DefaultParagraphFont"/>
    <w:uiPriority w:val="99"/>
    <w:qFormat/>
    <w:rsid w:val="00551047"/>
    <w:rPr>
      <w:rFonts w:cs="Times New Roman"/>
      <w:color w:val="1991C2" w:themeColor="accent1" w:themeShade="BF"/>
      <w:u w:val="none"/>
    </w:rPr>
  </w:style>
  <w:style w:type="paragraph" w:styleId="ListParagraph">
    <w:name w:val="List Paragraph"/>
    <w:basedOn w:val="Normal"/>
    <w:uiPriority w:val="99"/>
    <w:qFormat/>
    <w:rsid w:val="00551047"/>
    <w:pPr>
      <w:spacing w:before="180" w:line="264" w:lineRule="auto"/>
      <w:ind w:left="720"/>
      <w:contextualSpacing/>
    </w:pPr>
    <w:rPr>
      <w:sz w:val="24"/>
      <w:szCs w:val="24"/>
    </w:rPr>
  </w:style>
  <w:style w:type="paragraph" w:styleId="BalloonText">
    <w:name w:val="Balloon Text"/>
    <w:basedOn w:val="Normal"/>
    <w:link w:val="BalloonTextChar"/>
    <w:uiPriority w:val="99"/>
    <w:semiHidden/>
    <w:rsid w:val="0055104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1047"/>
    <w:rPr>
      <w:rFonts w:ascii="Tahoma" w:eastAsia="Calibri" w:hAnsi="Tahoma" w:cs="Tahoma"/>
      <w:color w:val="000000"/>
      <w:sz w:val="16"/>
      <w:szCs w:val="16"/>
      <w:lang w:eastAsia="en-AU"/>
    </w:rPr>
  </w:style>
  <w:style w:type="character" w:customStyle="1" w:styleId="mi">
    <w:name w:val="mi"/>
    <w:basedOn w:val="DefaultParagraphFont"/>
    <w:rsid w:val="004D22D5"/>
  </w:style>
  <w:style w:type="character" w:customStyle="1" w:styleId="CaptionChar">
    <w:name w:val="Caption Char"/>
    <w:aliases w:val="Figure Caption Char"/>
    <w:link w:val="Caption"/>
    <w:uiPriority w:val="4"/>
    <w:rsid w:val="002917B2"/>
    <w:rPr>
      <w:rFonts w:ascii="Calibri" w:eastAsia="Calibri" w:hAnsi="Calibri" w:cs="Times New Roman"/>
      <w:b/>
      <w:bCs/>
      <w:color w:val="1991C2" w:themeColor="accent1" w:themeShade="BF"/>
      <w:sz w:val="20"/>
      <w:szCs w:val="18"/>
      <w:lang w:eastAsia="en-AU"/>
    </w:rPr>
  </w:style>
  <w:style w:type="paragraph" w:customStyle="1" w:styleId="OWStablecaption">
    <w:name w:val="OWS table caption"/>
    <w:basedOn w:val="Normal"/>
    <w:link w:val="OWStablecaptionChar"/>
    <w:qFormat/>
    <w:rsid w:val="002917B2"/>
    <w:pPr>
      <w:keepNext/>
      <w:keepLines/>
      <w:autoSpaceDE w:val="0"/>
      <w:autoSpaceDN w:val="0"/>
      <w:spacing w:before="360"/>
    </w:pPr>
    <w:rPr>
      <w:rFonts w:ascii="Arial" w:eastAsia="Times New Roman" w:hAnsi="Arial"/>
      <w:color w:val="000000" w:themeColor="text2"/>
      <w:sz w:val="20"/>
      <w:szCs w:val="20"/>
      <w:lang w:val="en-GB"/>
    </w:rPr>
  </w:style>
  <w:style w:type="character" w:customStyle="1" w:styleId="OWStablecaptionChar">
    <w:name w:val="OWS table caption Char"/>
    <w:basedOn w:val="CaptionChar"/>
    <w:link w:val="OWStablecaption"/>
    <w:rsid w:val="002917B2"/>
    <w:rPr>
      <w:rFonts w:ascii="Arial" w:eastAsia="Times New Roman" w:hAnsi="Arial" w:cs="Times New Roman"/>
      <w:b/>
      <w:bCs/>
      <w:i/>
      <w:iCs/>
      <w:color w:val="000000" w:themeColor="text2"/>
      <w:sz w:val="20"/>
      <w:szCs w:val="20"/>
      <w:lang w:val="en-GB" w:eastAsia="en-AU"/>
    </w:rPr>
  </w:style>
  <w:style w:type="character" w:styleId="CommentReference">
    <w:name w:val="annotation reference"/>
    <w:basedOn w:val="DefaultParagraphFont"/>
    <w:uiPriority w:val="99"/>
    <w:semiHidden/>
    <w:rsid w:val="00551047"/>
    <w:rPr>
      <w:rFonts w:cs="Times New Roman"/>
      <w:sz w:val="16"/>
      <w:szCs w:val="16"/>
    </w:rPr>
  </w:style>
  <w:style w:type="paragraph" w:styleId="CommentText">
    <w:name w:val="annotation text"/>
    <w:basedOn w:val="Normal"/>
    <w:link w:val="CommentTextChar"/>
    <w:uiPriority w:val="99"/>
    <w:semiHidden/>
    <w:rsid w:val="00551047"/>
    <w:rPr>
      <w:sz w:val="20"/>
      <w:szCs w:val="20"/>
    </w:rPr>
  </w:style>
  <w:style w:type="character" w:customStyle="1" w:styleId="CommentTextChar">
    <w:name w:val="Comment Text Char"/>
    <w:basedOn w:val="DefaultParagraphFont"/>
    <w:link w:val="CommentText"/>
    <w:uiPriority w:val="99"/>
    <w:semiHidden/>
    <w:rsid w:val="00551047"/>
    <w:rPr>
      <w:rFonts w:ascii="Calibri" w:eastAsia="Calibri" w:hAnsi="Calibri" w:cs="Times New Roman"/>
      <w:color w:val="000000"/>
      <w:sz w:val="20"/>
      <w:szCs w:val="20"/>
      <w:lang w:eastAsia="en-AU"/>
    </w:rPr>
  </w:style>
  <w:style w:type="paragraph" w:styleId="CommentSubject">
    <w:name w:val="annotation subject"/>
    <w:basedOn w:val="CommentText"/>
    <w:next w:val="CommentText"/>
    <w:link w:val="CommentSubjectChar"/>
    <w:uiPriority w:val="99"/>
    <w:semiHidden/>
    <w:rsid w:val="00551047"/>
    <w:rPr>
      <w:b/>
      <w:bCs/>
    </w:rPr>
  </w:style>
  <w:style w:type="character" w:customStyle="1" w:styleId="CommentSubjectChar">
    <w:name w:val="Comment Subject Char"/>
    <w:basedOn w:val="CommentTextChar"/>
    <w:link w:val="CommentSubject"/>
    <w:uiPriority w:val="99"/>
    <w:semiHidden/>
    <w:rsid w:val="00551047"/>
    <w:rPr>
      <w:rFonts w:ascii="Calibri" w:eastAsia="Calibri" w:hAnsi="Calibri" w:cs="Times New Roman"/>
      <w:b/>
      <w:bCs/>
      <w:color w:val="000000"/>
      <w:sz w:val="20"/>
      <w:szCs w:val="20"/>
      <w:lang w:eastAsia="en-AU"/>
    </w:rPr>
  </w:style>
  <w:style w:type="paragraph" w:customStyle="1" w:styleId="Body">
    <w:name w:val="Body"/>
    <w:basedOn w:val="Normal"/>
    <w:link w:val="BodyChar"/>
    <w:qFormat/>
    <w:rsid w:val="006C32E8"/>
    <w:pPr>
      <w:suppressAutoHyphens/>
      <w:autoSpaceDE w:val="0"/>
      <w:autoSpaceDN w:val="0"/>
      <w:adjustRightInd w:val="0"/>
      <w:spacing w:after="113" w:line="280" w:lineRule="atLeast"/>
      <w:textAlignment w:val="center"/>
    </w:pPr>
    <w:rPr>
      <w:rFonts w:eastAsiaTheme="minorEastAsia" w:cs="Calibri"/>
      <w:szCs w:val="18"/>
      <w:lang w:val="en-GB" w:eastAsia="ja-JP"/>
    </w:rPr>
  </w:style>
  <w:style w:type="character" w:customStyle="1" w:styleId="BodyChar">
    <w:name w:val="Body Char"/>
    <w:basedOn w:val="DefaultParagraphFont"/>
    <w:link w:val="Body"/>
    <w:rsid w:val="006C32E8"/>
    <w:rPr>
      <w:rFonts w:ascii="Calibri" w:eastAsiaTheme="minorEastAsia" w:hAnsi="Calibri" w:cs="Calibri"/>
      <w:color w:val="000000"/>
      <w:sz w:val="18"/>
      <w:szCs w:val="18"/>
      <w:lang w:val="en-GB" w:eastAsia="ja-JP"/>
    </w:rPr>
  </w:style>
  <w:style w:type="character" w:customStyle="1" w:styleId="Heading2Char">
    <w:name w:val="Heading 2 Char"/>
    <w:basedOn w:val="DefaultParagraphFont"/>
    <w:link w:val="Heading2"/>
    <w:uiPriority w:val="1"/>
    <w:rsid w:val="00551047"/>
    <w:rPr>
      <w:rFonts w:ascii="Calibri" w:eastAsiaTheme="majorEastAsia" w:hAnsi="Calibri" w:cstheme="majorBidi"/>
      <w:bCs/>
      <w:color w:val="004B87" w:themeColor="accent2"/>
      <w:sz w:val="32"/>
      <w:szCs w:val="26"/>
      <w:lang w:eastAsia="en-AU"/>
    </w:rPr>
  </w:style>
  <w:style w:type="paragraph" w:styleId="Header">
    <w:name w:val="header"/>
    <w:basedOn w:val="Normal"/>
    <w:link w:val="HeaderChar"/>
    <w:uiPriority w:val="99"/>
    <w:rsid w:val="00551047"/>
    <w:rPr>
      <w:caps/>
      <w:color w:val="FFFFFF"/>
      <w:spacing w:val="16"/>
    </w:rPr>
  </w:style>
  <w:style w:type="character" w:customStyle="1" w:styleId="HeaderChar">
    <w:name w:val="Header Char"/>
    <w:basedOn w:val="DefaultParagraphFont"/>
    <w:link w:val="Header"/>
    <w:uiPriority w:val="99"/>
    <w:rsid w:val="00551047"/>
    <w:rPr>
      <w:rFonts w:ascii="Calibri" w:eastAsia="Calibri" w:hAnsi="Calibri" w:cs="Times New Roman"/>
      <w:caps/>
      <w:color w:val="FFFFFF"/>
      <w:spacing w:val="16"/>
      <w:lang w:eastAsia="en-AU"/>
    </w:rPr>
  </w:style>
  <w:style w:type="paragraph" w:styleId="Footer">
    <w:name w:val="footer"/>
    <w:basedOn w:val="BodyText"/>
    <w:link w:val="FooterChar"/>
    <w:uiPriority w:val="99"/>
    <w:qFormat/>
    <w:rsid w:val="00551047"/>
    <w:pPr>
      <w:tabs>
        <w:tab w:val="center" w:pos="4513"/>
        <w:tab w:val="right" w:pos="9026"/>
      </w:tabs>
      <w:spacing w:before="0" w:line="220" w:lineRule="atLeast"/>
    </w:pPr>
    <w:rPr>
      <w:color w:val="auto"/>
      <w:sz w:val="16"/>
    </w:rPr>
  </w:style>
  <w:style w:type="character" w:customStyle="1" w:styleId="FooterChar">
    <w:name w:val="Footer Char"/>
    <w:basedOn w:val="DefaultParagraphFont"/>
    <w:link w:val="Footer"/>
    <w:uiPriority w:val="99"/>
    <w:rsid w:val="00551047"/>
    <w:rPr>
      <w:rFonts w:ascii="Calibri" w:eastAsia="Calibri" w:hAnsi="Calibri" w:cs="Times New Roman"/>
      <w:sz w:val="16"/>
      <w:lang w:eastAsia="en-AU"/>
    </w:rPr>
  </w:style>
  <w:style w:type="character" w:customStyle="1" w:styleId="Heading3Char">
    <w:name w:val="Heading 3 Char"/>
    <w:basedOn w:val="DefaultParagraphFont"/>
    <w:link w:val="Heading3"/>
    <w:uiPriority w:val="1"/>
    <w:rsid w:val="00551047"/>
    <w:rPr>
      <w:rFonts w:ascii="Calibri" w:eastAsiaTheme="majorEastAsia" w:hAnsi="Calibri" w:cstheme="majorBidi"/>
      <w:b/>
      <w:bCs/>
      <w:sz w:val="26"/>
      <w:szCs w:val="26"/>
      <w:lang w:eastAsia="en-AU"/>
    </w:rPr>
  </w:style>
  <w:style w:type="character" w:customStyle="1" w:styleId="Heading4Char">
    <w:name w:val="Heading 4 Char"/>
    <w:basedOn w:val="DefaultParagraphFont"/>
    <w:link w:val="Heading4"/>
    <w:uiPriority w:val="1"/>
    <w:rsid w:val="00551047"/>
    <w:rPr>
      <w:rFonts w:ascii="Calibri" w:eastAsiaTheme="majorEastAsia" w:hAnsi="Calibri" w:cstheme="majorBidi"/>
      <w:b/>
      <w:bCs/>
      <w:iCs/>
      <w:color w:val="1991C2" w:themeColor="accent1" w:themeShade="BF"/>
      <w:spacing w:val="1"/>
      <w:sz w:val="24"/>
      <w:szCs w:val="26"/>
      <w:lang w:eastAsia="en-AU"/>
    </w:rPr>
  </w:style>
  <w:style w:type="character" w:customStyle="1" w:styleId="Heading5Char">
    <w:name w:val="Heading 5 Char"/>
    <w:basedOn w:val="DefaultParagraphFont"/>
    <w:link w:val="Heading5"/>
    <w:uiPriority w:val="1"/>
    <w:rsid w:val="00551047"/>
    <w:rPr>
      <w:rFonts w:ascii="Calibri" w:eastAsiaTheme="majorEastAsia" w:hAnsi="Calibri" w:cstheme="majorBidi"/>
      <w:b/>
      <w:bCs/>
      <w:iCs/>
      <w:spacing w:val="1"/>
      <w:szCs w:val="26"/>
      <w:lang w:eastAsia="en-AU"/>
    </w:rPr>
  </w:style>
  <w:style w:type="character" w:customStyle="1" w:styleId="Heading6Char">
    <w:name w:val="Heading 6 Char"/>
    <w:basedOn w:val="DefaultParagraphFont"/>
    <w:link w:val="Heading6"/>
    <w:uiPriority w:val="99"/>
    <w:semiHidden/>
    <w:rsid w:val="00551047"/>
    <w:rPr>
      <w:rFonts w:ascii="Calibri" w:eastAsiaTheme="majorEastAsia" w:hAnsi="Calibri" w:cstheme="majorBidi"/>
      <w:i/>
      <w:iCs/>
      <w:color w:val="000000"/>
      <w:lang w:eastAsia="en-AU"/>
    </w:rPr>
  </w:style>
  <w:style w:type="character" w:customStyle="1" w:styleId="Heading7Char">
    <w:name w:val="Heading 7 Char"/>
    <w:basedOn w:val="DefaultParagraphFont"/>
    <w:link w:val="Heading7"/>
    <w:uiPriority w:val="99"/>
    <w:semiHidden/>
    <w:rsid w:val="00551047"/>
    <w:rPr>
      <w:rFonts w:eastAsia="Calibri" w:cstheme="majorBidi"/>
      <w:color w:val="000000"/>
      <w:sz w:val="24"/>
      <w:szCs w:val="24"/>
      <w:lang w:eastAsia="en-AU"/>
    </w:rPr>
  </w:style>
  <w:style w:type="character" w:customStyle="1" w:styleId="Heading8Char">
    <w:name w:val="Heading 8 Char"/>
    <w:basedOn w:val="DefaultParagraphFont"/>
    <w:link w:val="Heading8"/>
    <w:uiPriority w:val="99"/>
    <w:semiHidden/>
    <w:rsid w:val="00551047"/>
    <w:rPr>
      <w:rFonts w:eastAsia="Calibri" w:cstheme="majorBidi"/>
      <w:i/>
      <w:iCs/>
      <w:color w:val="000000"/>
      <w:sz w:val="24"/>
      <w:szCs w:val="24"/>
      <w:lang w:eastAsia="en-AU"/>
    </w:rPr>
  </w:style>
  <w:style w:type="character" w:customStyle="1" w:styleId="Heading9Char">
    <w:name w:val="Heading 9 Char"/>
    <w:aliases w:val="Appendix Heading 1 Char"/>
    <w:basedOn w:val="DefaultParagraphFont"/>
    <w:link w:val="Heading9"/>
    <w:uiPriority w:val="10"/>
    <w:rsid w:val="00551047"/>
    <w:rPr>
      <w:rFonts w:ascii="Calibri" w:eastAsiaTheme="majorEastAsia" w:hAnsi="Calibri" w:cstheme="majorBidi"/>
      <w:b/>
      <w:bCs/>
      <w:color w:val="004B87" w:themeColor="accent2"/>
      <w:sz w:val="44"/>
      <w:szCs w:val="28"/>
      <w:lang w:eastAsia="en-AU"/>
    </w:rPr>
  </w:style>
  <w:style w:type="paragraph" w:styleId="ListBullet">
    <w:name w:val="List Bullet"/>
    <w:basedOn w:val="BodyText"/>
    <w:next w:val="BodyText"/>
    <w:uiPriority w:val="2"/>
    <w:qFormat/>
    <w:rsid w:val="00551047"/>
    <w:pPr>
      <w:numPr>
        <w:numId w:val="5"/>
      </w:numPr>
      <w:tabs>
        <w:tab w:val="left" w:pos="397"/>
      </w:tabs>
      <w:spacing w:before="60" w:after="60"/>
      <w:ind w:left="198" w:hanging="198"/>
    </w:pPr>
  </w:style>
  <w:style w:type="paragraph" w:styleId="ListNumber">
    <w:name w:val="List Number"/>
    <w:basedOn w:val="BodyText"/>
    <w:next w:val="BodyText"/>
    <w:uiPriority w:val="2"/>
    <w:qFormat/>
    <w:rsid w:val="00551047"/>
    <w:pPr>
      <w:numPr>
        <w:numId w:val="8"/>
      </w:numPr>
      <w:tabs>
        <w:tab w:val="clear" w:pos="227"/>
        <w:tab w:val="left" w:pos="397"/>
      </w:tabs>
      <w:ind w:left="397" w:hanging="397"/>
    </w:pPr>
  </w:style>
  <w:style w:type="paragraph" w:styleId="ListBullet2">
    <w:name w:val="List Bullet 2"/>
    <w:basedOn w:val="ListBullet"/>
    <w:next w:val="BodyText"/>
    <w:uiPriority w:val="2"/>
    <w:qFormat/>
    <w:rsid w:val="00551047"/>
    <w:pPr>
      <w:numPr>
        <w:ilvl w:val="1"/>
      </w:numPr>
      <w:tabs>
        <w:tab w:val="clear" w:pos="397"/>
        <w:tab w:val="left" w:pos="794"/>
      </w:tabs>
      <w:ind w:left="794" w:hanging="357"/>
    </w:pPr>
  </w:style>
  <w:style w:type="paragraph" w:styleId="TOC1">
    <w:name w:val="toc 1"/>
    <w:basedOn w:val="BodyText"/>
    <w:next w:val="TOC2"/>
    <w:uiPriority w:val="39"/>
    <w:unhideWhenUsed/>
    <w:rsid w:val="00551047"/>
    <w:pPr>
      <w:pBdr>
        <w:top w:val="single" w:sz="4" w:space="1" w:color="004B87" w:themeColor="accent2"/>
        <w:left w:val="single" w:sz="4" w:space="4" w:color="004B87" w:themeColor="accent2"/>
        <w:bottom w:val="single" w:sz="4" w:space="1" w:color="004B87" w:themeColor="accent2"/>
        <w:right w:val="single" w:sz="4" w:space="4" w:color="004B87" w:themeColor="accent2"/>
      </w:pBdr>
      <w:shd w:val="clear" w:color="auto" w:fill="004B87" w:themeFill="accent2"/>
      <w:tabs>
        <w:tab w:val="left" w:pos="737"/>
        <w:tab w:val="right" w:pos="9639"/>
      </w:tabs>
      <w:spacing w:before="240" w:after="180"/>
    </w:pPr>
    <w:rPr>
      <w:b/>
      <w:noProof/>
      <w:color w:val="FFFFFF"/>
    </w:rPr>
  </w:style>
  <w:style w:type="paragraph" w:styleId="TOC2">
    <w:name w:val="toc 2"/>
    <w:basedOn w:val="BodyText"/>
    <w:uiPriority w:val="39"/>
    <w:unhideWhenUsed/>
    <w:rsid w:val="00551047"/>
    <w:pPr>
      <w:tabs>
        <w:tab w:val="left" w:pos="737"/>
        <w:tab w:val="left" w:pos="1531"/>
        <w:tab w:val="right" w:leader="dot" w:pos="9639"/>
      </w:tabs>
      <w:ind w:right="284"/>
    </w:pPr>
    <w:rPr>
      <w:noProof/>
      <w:color w:val="004B87" w:themeColor="accent2"/>
    </w:rPr>
  </w:style>
  <w:style w:type="character" w:styleId="PageNumber">
    <w:name w:val="page number"/>
    <w:basedOn w:val="DefaultParagraphFont"/>
    <w:uiPriority w:val="99"/>
    <w:semiHidden/>
    <w:rsid w:val="00551047"/>
    <w:rPr>
      <w:rFonts w:ascii="Calibri" w:hAnsi="Calibri" w:cs="Times New Roman"/>
      <w:sz w:val="16"/>
    </w:rPr>
  </w:style>
  <w:style w:type="paragraph" w:styleId="TOC3">
    <w:name w:val="toc 3"/>
    <w:basedOn w:val="BodyText"/>
    <w:uiPriority w:val="39"/>
    <w:unhideWhenUsed/>
    <w:rsid w:val="00551047"/>
    <w:pPr>
      <w:tabs>
        <w:tab w:val="left" w:pos="1531"/>
        <w:tab w:val="right" w:leader="dot" w:pos="9639"/>
      </w:tabs>
      <w:spacing w:before="60"/>
      <w:ind w:left="737" w:right="284"/>
    </w:pPr>
    <w:rPr>
      <w:color w:val="004B87" w:themeColor="accent2"/>
    </w:rPr>
  </w:style>
  <w:style w:type="paragraph" w:customStyle="1" w:styleId="CoverTitle">
    <w:name w:val="CoverTitle"/>
    <w:next w:val="CoverSubtitle"/>
    <w:uiPriority w:val="12"/>
    <w:qFormat/>
    <w:rsid w:val="00551047"/>
    <w:pPr>
      <w:spacing w:after="170" w:line="216" w:lineRule="auto"/>
    </w:pPr>
    <w:rPr>
      <w:rFonts w:ascii="Calibri" w:eastAsiaTheme="majorEastAsia" w:hAnsi="Calibri" w:cstheme="majorBidi"/>
      <w:b/>
      <w:color w:val="004B87" w:themeColor="accent2"/>
      <w:spacing w:val="5"/>
      <w:kern w:val="28"/>
      <w:sz w:val="80"/>
      <w:szCs w:val="52"/>
      <w:lang w:eastAsia="en-AU"/>
    </w:rPr>
  </w:style>
  <w:style w:type="paragraph" w:customStyle="1" w:styleId="PartTitle">
    <w:name w:val="PartTitle"/>
    <w:next w:val="PartSubtitle"/>
    <w:uiPriority w:val="15"/>
    <w:qFormat/>
    <w:rsid w:val="00551047"/>
    <w:pPr>
      <w:keepNext/>
      <w:tabs>
        <w:tab w:val="left" w:pos="2552"/>
      </w:tabs>
      <w:spacing w:after="0" w:line="240" w:lineRule="auto"/>
      <w:ind w:left="2552" w:hanging="2552"/>
      <w:outlineLvl w:val="0"/>
    </w:pPr>
    <w:rPr>
      <w:rFonts w:ascii="Calibri" w:eastAsia="Calibri" w:hAnsi="Calibri" w:cs="Times New Roman"/>
      <w:b/>
      <w:color w:val="1991C2" w:themeColor="accent1" w:themeShade="BF"/>
      <w:sz w:val="80"/>
      <w:lang w:eastAsia="en-AU"/>
    </w:rPr>
  </w:style>
  <w:style w:type="paragraph" w:customStyle="1" w:styleId="PartSubtitle">
    <w:name w:val="PartSubtitle"/>
    <w:basedOn w:val="PartTitle"/>
    <w:next w:val="BodyText"/>
    <w:uiPriority w:val="15"/>
    <w:qFormat/>
    <w:rsid w:val="00551047"/>
    <w:pPr>
      <w:spacing w:before="360" w:after="240" w:line="340" w:lineRule="atLeast"/>
      <w:outlineLvl w:val="9"/>
    </w:pPr>
    <w:rPr>
      <w:b w:val="0"/>
      <w:color w:val="004B87" w:themeColor="accent2"/>
      <w:sz w:val="34"/>
    </w:rPr>
  </w:style>
  <w:style w:type="paragraph" w:customStyle="1" w:styleId="ListofFiguresandTablesTOCHeading">
    <w:name w:val="List of Figures and Tables TOC Heading"/>
    <w:basedOn w:val="TOCHeading"/>
    <w:next w:val="TableofFigures"/>
    <w:uiPriority w:val="14"/>
    <w:qFormat/>
    <w:rsid w:val="00551047"/>
  </w:style>
  <w:style w:type="paragraph" w:styleId="ListBullet3">
    <w:name w:val="List Bullet 3"/>
    <w:basedOn w:val="ListBullet2"/>
    <w:uiPriority w:val="2"/>
    <w:rsid w:val="00551047"/>
    <w:pPr>
      <w:numPr>
        <w:ilvl w:val="0"/>
        <w:numId w:val="15"/>
      </w:numPr>
      <w:tabs>
        <w:tab w:val="clear" w:pos="794"/>
        <w:tab w:val="left" w:pos="851"/>
      </w:tabs>
      <w:ind w:left="1497" w:hanging="340"/>
    </w:pPr>
  </w:style>
  <w:style w:type="paragraph" w:styleId="FootnoteText">
    <w:name w:val="footnote text"/>
    <w:basedOn w:val="BodyText"/>
    <w:link w:val="FootnoteTextChar"/>
    <w:uiPriority w:val="9"/>
    <w:qFormat/>
    <w:rsid w:val="00551047"/>
    <w:pPr>
      <w:spacing w:before="60" w:line="180" w:lineRule="atLeast"/>
    </w:pPr>
    <w:rPr>
      <w:sz w:val="16"/>
      <w:szCs w:val="20"/>
    </w:rPr>
  </w:style>
  <w:style w:type="character" w:customStyle="1" w:styleId="FootnoteTextChar">
    <w:name w:val="Footnote Text Char"/>
    <w:basedOn w:val="DefaultParagraphFont"/>
    <w:link w:val="FootnoteText"/>
    <w:uiPriority w:val="9"/>
    <w:rsid w:val="00551047"/>
    <w:rPr>
      <w:rFonts w:ascii="Calibri" w:eastAsia="Calibri" w:hAnsi="Calibri" w:cs="Times New Roman"/>
      <w:color w:val="000000"/>
      <w:sz w:val="16"/>
      <w:szCs w:val="20"/>
      <w:lang w:eastAsia="en-AU"/>
    </w:rPr>
  </w:style>
  <w:style w:type="paragraph" w:customStyle="1" w:styleId="FootnoteHeading">
    <w:name w:val="Footnote Heading"/>
    <w:basedOn w:val="FootnoteText"/>
    <w:uiPriority w:val="9"/>
    <w:qFormat/>
    <w:rsid w:val="00551047"/>
    <w:rPr>
      <w:b/>
    </w:rPr>
  </w:style>
  <w:style w:type="paragraph" w:customStyle="1" w:styleId="FigureTableSource">
    <w:name w:val="Figure/Table Source"/>
    <w:basedOn w:val="BodyText"/>
    <w:next w:val="BodyText"/>
    <w:uiPriority w:val="4"/>
    <w:qFormat/>
    <w:rsid w:val="00551047"/>
    <w:pPr>
      <w:tabs>
        <w:tab w:val="left" w:pos="539"/>
      </w:tabs>
      <w:spacing w:after="240" w:line="180" w:lineRule="atLeast"/>
    </w:pPr>
    <w:rPr>
      <w:sz w:val="16"/>
      <w:szCs w:val="20"/>
    </w:rPr>
  </w:style>
  <w:style w:type="paragraph" w:customStyle="1" w:styleId="TableText">
    <w:name w:val="TableText"/>
    <w:basedOn w:val="Normal"/>
    <w:uiPriority w:val="5"/>
    <w:qFormat/>
    <w:rsid w:val="00551047"/>
    <w:pPr>
      <w:spacing w:before="60" w:after="60"/>
    </w:pPr>
    <w:rPr>
      <w:sz w:val="18"/>
    </w:rPr>
  </w:style>
  <w:style w:type="paragraph" w:customStyle="1" w:styleId="TableBullet">
    <w:name w:val="TableBullet"/>
    <w:basedOn w:val="TableText"/>
    <w:next w:val="TableText"/>
    <w:uiPriority w:val="5"/>
    <w:qFormat/>
    <w:rsid w:val="00551047"/>
    <w:pPr>
      <w:numPr>
        <w:numId w:val="7"/>
      </w:numPr>
    </w:pPr>
  </w:style>
  <w:style w:type="paragraph" w:customStyle="1" w:styleId="RowHeading">
    <w:name w:val="RowHeading"/>
    <w:basedOn w:val="TableText"/>
    <w:next w:val="TableText"/>
    <w:uiPriority w:val="5"/>
    <w:qFormat/>
    <w:rsid w:val="00551047"/>
    <w:rPr>
      <w:b/>
      <w:color w:val="auto"/>
    </w:rPr>
  </w:style>
  <w:style w:type="paragraph" w:customStyle="1" w:styleId="ColumnHeading">
    <w:name w:val="ColumnHeading"/>
    <w:basedOn w:val="TableText"/>
    <w:uiPriority w:val="5"/>
    <w:qFormat/>
    <w:rsid w:val="00551047"/>
    <w:pPr>
      <w:spacing w:after="0" w:line="180" w:lineRule="atLeast"/>
    </w:pPr>
    <w:rPr>
      <w:b/>
      <w:caps/>
      <w:color w:val="FFFFFF"/>
      <w:sz w:val="16"/>
    </w:rPr>
  </w:style>
  <w:style w:type="paragraph" w:customStyle="1" w:styleId="CoverSubtitle">
    <w:name w:val="CoverSubtitle"/>
    <w:next w:val="BodyText"/>
    <w:uiPriority w:val="12"/>
    <w:qFormat/>
    <w:rsid w:val="00551047"/>
    <w:pPr>
      <w:numPr>
        <w:ilvl w:val="1"/>
      </w:numPr>
      <w:spacing w:after="170" w:line="240" w:lineRule="auto"/>
    </w:pPr>
    <w:rPr>
      <w:rFonts w:ascii="Calibri" w:eastAsiaTheme="majorEastAsia" w:hAnsi="Calibri" w:cstheme="majorBidi"/>
      <w:iCs/>
      <w:color w:val="000000" w:themeColor="text2"/>
      <w:spacing w:val="15"/>
      <w:sz w:val="34"/>
      <w:szCs w:val="24"/>
      <w:lang w:eastAsia="en-AU"/>
    </w:rPr>
  </w:style>
  <w:style w:type="paragraph" w:customStyle="1" w:styleId="BackCoverContactHeading">
    <w:name w:val="BackCover ContactHeading"/>
    <w:next w:val="BackCoverContactDetails"/>
    <w:uiPriority w:val="18"/>
    <w:qFormat/>
    <w:rsid w:val="00551047"/>
    <w:pPr>
      <w:spacing w:before="360" w:after="60" w:line="240" w:lineRule="auto"/>
    </w:pPr>
    <w:rPr>
      <w:rFonts w:ascii="Calibri" w:eastAsia="Calibri" w:hAnsi="Calibri" w:cs="Times New Roman"/>
      <w:caps/>
      <w:sz w:val="18"/>
      <w:szCs w:val="20"/>
      <w:lang w:eastAsia="en-AU"/>
    </w:rPr>
  </w:style>
  <w:style w:type="paragraph" w:customStyle="1" w:styleId="BackCoverContactDetails">
    <w:name w:val="BackCover ContactDetails"/>
    <w:uiPriority w:val="18"/>
    <w:qFormat/>
    <w:rsid w:val="00551047"/>
    <w:pPr>
      <w:tabs>
        <w:tab w:val="left" w:pos="199"/>
      </w:tabs>
      <w:spacing w:after="0" w:line="240" w:lineRule="auto"/>
    </w:pPr>
    <w:rPr>
      <w:rFonts w:ascii="Calibri" w:eastAsia="Calibri" w:hAnsi="Calibri" w:cs="Times New Roman"/>
      <w:sz w:val="18"/>
      <w:lang w:eastAsia="en-AU"/>
    </w:rPr>
  </w:style>
  <w:style w:type="character" w:customStyle="1" w:styleId="BackCoverContactBold">
    <w:name w:val="BackCover ContactBold"/>
    <w:basedOn w:val="DefaultParagraphFont"/>
    <w:uiPriority w:val="18"/>
    <w:qFormat/>
    <w:rsid w:val="00551047"/>
    <w:rPr>
      <w:b/>
    </w:rPr>
  </w:style>
  <w:style w:type="paragraph" w:styleId="TOCHeading">
    <w:name w:val="TOC Heading"/>
    <w:basedOn w:val="Heading1"/>
    <w:next w:val="Normal"/>
    <w:link w:val="TOCHeadingChar"/>
    <w:uiPriority w:val="19"/>
    <w:semiHidden/>
    <w:rsid w:val="00551047"/>
    <w:pPr>
      <w:pageBreakBefore w:val="0"/>
      <w:numPr>
        <w:numId w:val="0"/>
      </w:numPr>
      <w:spacing w:before="480" w:after="240"/>
      <w:outlineLvl w:val="1"/>
    </w:pPr>
    <w:rPr>
      <w:bCs w:val="0"/>
    </w:rPr>
  </w:style>
  <w:style w:type="paragraph" w:styleId="TOC4">
    <w:name w:val="toc 4"/>
    <w:basedOn w:val="Normal"/>
    <w:next w:val="Normal"/>
    <w:autoRedefine/>
    <w:uiPriority w:val="99"/>
    <w:semiHidden/>
    <w:rsid w:val="00551047"/>
    <w:pPr>
      <w:spacing w:after="100"/>
      <w:ind w:left="660"/>
    </w:pPr>
  </w:style>
  <w:style w:type="paragraph" w:styleId="TOC9">
    <w:name w:val="toc 9"/>
    <w:basedOn w:val="Normal"/>
    <w:next w:val="Normal"/>
    <w:autoRedefine/>
    <w:uiPriority w:val="99"/>
    <w:semiHidden/>
    <w:rsid w:val="00551047"/>
    <w:pPr>
      <w:spacing w:after="100"/>
      <w:ind w:left="1760"/>
    </w:pPr>
  </w:style>
  <w:style w:type="paragraph" w:customStyle="1" w:styleId="Headerurl">
    <w:name w:val="Header url"/>
    <w:basedOn w:val="Header"/>
    <w:uiPriority w:val="99"/>
    <w:semiHidden/>
    <w:rsid w:val="00551047"/>
    <w:pPr>
      <w:tabs>
        <w:tab w:val="center" w:pos="4153"/>
        <w:tab w:val="right" w:pos="8306"/>
      </w:tabs>
      <w:spacing w:after="0"/>
    </w:pPr>
    <w:rPr>
      <w:b/>
      <w:color w:val="00313C"/>
      <w:szCs w:val="24"/>
    </w:rPr>
  </w:style>
  <w:style w:type="character" w:customStyle="1" w:styleId="PartNumber">
    <w:name w:val="PartNumber"/>
    <w:basedOn w:val="DefaultParagraphFont"/>
    <w:uiPriority w:val="15"/>
    <w:qFormat/>
    <w:rsid w:val="00551047"/>
    <w:rPr>
      <w:color w:val="004B87" w:themeColor="accent2"/>
    </w:rPr>
  </w:style>
  <w:style w:type="paragraph" w:customStyle="1" w:styleId="Heading1notnumbered">
    <w:name w:val="Heading 1 not numbered"/>
    <w:basedOn w:val="Heading1"/>
    <w:next w:val="BodyText"/>
    <w:uiPriority w:val="1"/>
    <w:rsid w:val="00551047"/>
    <w:pPr>
      <w:numPr>
        <w:numId w:val="0"/>
      </w:numPr>
    </w:pPr>
  </w:style>
  <w:style w:type="paragraph" w:customStyle="1" w:styleId="Heading3notnumbered">
    <w:name w:val="Heading 3 not numbered"/>
    <w:basedOn w:val="Heading3"/>
    <w:next w:val="BodyText"/>
    <w:uiPriority w:val="1"/>
    <w:qFormat/>
    <w:rsid w:val="00551047"/>
    <w:pPr>
      <w:numPr>
        <w:ilvl w:val="0"/>
        <w:numId w:val="0"/>
      </w:numPr>
    </w:pPr>
  </w:style>
  <w:style w:type="paragraph" w:customStyle="1" w:styleId="Heading2notnumbered">
    <w:name w:val="Heading 2 not numbered"/>
    <w:basedOn w:val="Heading2"/>
    <w:next w:val="BodyText"/>
    <w:uiPriority w:val="1"/>
    <w:qFormat/>
    <w:rsid w:val="00551047"/>
    <w:pPr>
      <w:numPr>
        <w:ilvl w:val="0"/>
        <w:numId w:val="0"/>
      </w:numPr>
    </w:pPr>
  </w:style>
  <w:style w:type="paragraph" w:customStyle="1" w:styleId="Heading1noTOC">
    <w:name w:val="Heading 1 no TOC"/>
    <w:basedOn w:val="Heading1notnumbered"/>
    <w:next w:val="BodyText"/>
    <w:uiPriority w:val="1"/>
    <w:qFormat/>
    <w:rsid w:val="00551047"/>
  </w:style>
  <w:style w:type="character" w:customStyle="1" w:styleId="TOCHeadingChar">
    <w:name w:val="TOC Heading Char"/>
    <w:basedOn w:val="DefaultParagraphFont"/>
    <w:link w:val="TOCHeading"/>
    <w:uiPriority w:val="19"/>
    <w:semiHidden/>
    <w:locked/>
    <w:rsid w:val="00551047"/>
    <w:rPr>
      <w:rFonts w:ascii="Calibri" w:eastAsiaTheme="majorEastAsia" w:hAnsi="Calibri" w:cstheme="majorBidi"/>
      <w:b/>
      <w:color w:val="004B87" w:themeColor="accent2"/>
      <w:sz w:val="44"/>
      <w:szCs w:val="28"/>
      <w:lang w:eastAsia="en-AU"/>
    </w:rPr>
  </w:style>
  <w:style w:type="paragraph" w:styleId="BlockText">
    <w:name w:val="Block Text"/>
    <w:basedOn w:val="Normal"/>
    <w:uiPriority w:val="99"/>
    <w:semiHidden/>
    <w:rsid w:val="00551047"/>
    <w:pPr>
      <w:ind w:left="1440" w:right="1440"/>
    </w:pPr>
  </w:style>
  <w:style w:type="paragraph" w:styleId="BodyText">
    <w:name w:val="Body Text"/>
    <w:link w:val="BodyTextChar"/>
    <w:qFormat/>
    <w:rsid w:val="00551047"/>
    <w:pPr>
      <w:spacing w:before="120" w:after="120" w:line="264" w:lineRule="auto"/>
    </w:pPr>
    <w:rPr>
      <w:rFonts w:ascii="Calibri" w:eastAsia="Calibri" w:hAnsi="Calibri" w:cs="Times New Roman"/>
      <w:color w:val="000000"/>
      <w:sz w:val="24"/>
      <w:lang w:eastAsia="en-AU"/>
    </w:rPr>
  </w:style>
  <w:style w:type="character" w:customStyle="1" w:styleId="BodyTextChar">
    <w:name w:val="Body Text Char"/>
    <w:basedOn w:val="DefaultParagraphFont"/>
    <w:link w:val="BodyText"/>
    <w:rsid w:val="00551047"/>
    <w:rPr>
      <w:rFonts w:ascii="Calibri" w:eastAsia="Calibri" w:hAnsi="Calibri" w:cs="Times New Roman"/>
      <w:color w:val="000000"/>
      <w:sz w:val="24"/>
      <w:lang w:eastAsia="en-AU"/>
    </w:rPr>
  </w:style>
  <w:style w:type="paragraph" w:styleId="BodyText2">
    <w:name w:val="Body Text 2"/>
    <w:basedOn w:val="Normal"/>
    <w:link w:val="BodyText2Char"/>
    <w:uiPriority w:val="99"/>
    <w:semiHidden/>
    <w:rsid w:val="00551047"/>
    <w:pPr>
      <w:spacing w:line="480" w:lineRule="auto"/>
    </w:pPr>
  </w:style>
  <w:style w:type="character" w:customStyle="1" w:styleId="BodyText2Char">
    <w:name w:val="Body Text 2 Char"/>
    <w:basedOn w:val="DefaultParagraphFont"/>
    <w:link w:val="BodyText2"/>
    <w:uiPriority w:val="99"/>
    <w:semiHidden/>
    <w:rsid w:val="00551047"/>
    <w:rPr>
      <w:rFonts w:ascii="Calibri" w:eastAsia="Calibri" w:hAnsi="Calibri" w:cs="Times New Roman"/>
      <w:color w:val="000000"/>
      <w:lang w:eastAsia="en-AU"/>
    </w:rPr>
  </w:style>
  <w:style w:type="paragraph" w:styleId="BodyText3">
    <w:name w:val="Body Text 3"/>
    <w:basedOn w:val="Normal"/>
    <w:link w:val="BodyText3Char"/>
    <w:uiPriority w:val="99"/>
    <w:semiHidden/>
    <w:rsid w:val="00551047"/>
    <w:rPr>
      <w:sz w:val="16"/>
      <w:szCs w:val="16"/>
    </w:rPr>
  </w:style>
  <w:style w:type="character" w:customStyle="1" w:styleId="BodyText3Char">
    <w:name w:val="Body Text 3 Char"/>
    <w:basedOn w:val="DefaultParagraphFont"/>
    <w:link w:val="BodyText3"/>
    <w:uiPriority w:val="99"/>
    <w:semiHidden/>
    <w:rsid w:val="00551047"/>
    <w:rPr>
      <w:rFonts w:ascii="Calibri" w:eastAsia="Calibri" w:hAnsi="Calibri" w:cs="Times New Roman"/>
      <w:color w:val="000000"/>
      <w:sz w:val="16"/>
      <w:szCs w:val="16"/>
      <w:lang w:eastAsia="en-AU"/>
    </w:rPr>
  </w:style>
  <w:style w:type="paragraph" w:styleId="BodyTextFirstIndent">
    <w:name w:val="Body Text First Indent"/>
    <w:basedOn w:val="BodyText"/>
    <w:link w:val="BodyTextFirstIndentChar"/>
    <w:uiPriority w:val="99"/>
    <w:semiHidden/>
    <w:rsid w:val="00551047"/>
    <w:pPr>
      <w:ind w:firstLine="210"/>
    </w:pPr>
  </w:style>
  <w:style w:type="character" w:customStyle="1" w:styleId="BodyTextFirstIndentChar">
    <w:name w:val="Body Text First Indent Char"/>
    <w:basedOn w:val="BodyTextChar"/>
    <w:link w:val="BodyTextFirstIndent"/>
    <w:uiPriority w:val="99"/>
    <w:semiHidden/>
    <w:rsid w:val="00551047"/>
    <w:rPr>
      <w:rFonts w:ascii="Calibri" w:eastAsia="Calibri" w:hAnsi="Calibri" w:cs="Times New Roman"/>
      <w:color w:val="000000"/>
      <w:sz w:val="24"/>
      <w:lang w:eastAsia="en-AU"/>
    </w:rPr>
  </w:style>
  <w:style w:type="paragraph" w:styleId="BodyTextIndent">
    <w:name w:val="Body Text Indent"/>
    <w:basedOn w:val="Normal"/>
    <w:link w:val="BodyTextIndentChar"/>
    <w:uiPriority w:val="99"/>
    <w:semiHidden/>
    <w:rsid w:val="00551047"/>
    <w:pPr>
      <w:ind w:left="283"/>
    </w:pPr>
  </w:style>
  <w:style w:type="character" w:customStyle="1" w:styleId="BodyTextIndentChar">
    <w:name w:val="Body Text Indent Char"/>
    <w:basedOn w:val="DefaultParagraphFont"/>
    <w:link w:val="BodyTextIndent"/>
    <w:uiPriority w:val="99"/>
    <w:semiHidden/>
    <w:rsid w:val="00551047"/>
    <w:rPr>
      <w:rFonts w:ascii="Calibri" w:eastAsia="Calibri" w:hAnsi="Calibri" w:cs="Times New Roman"/>
      <w:color w:val="000000"/>
      <w:lang w:eastAsia="en-AU"/>
    </w:rPr>
  </w:style>
  <w:style w:type="paragraph" w:styleId="BodyTextFirstIndent2">
    <w:name w:val="Body Text First Indent 2"/>
    <w:basedOn w:val="BodyTextIndent"/>
    <w:link w:val="BodyTextFirstIndent2Char"/>
    <w:uiPriority w:val="99"/>
    <w:semiHidden/>
    <w:rsid w:val="00551047"/>
    <w:pPr>
      <w:ind w:firstLine="210"/>
    </w:pPr>
  </w:style>
  <w:style w:type="character" w:customStyle="1" w:styleId="BodyTextFirstIndent2Char">
    <w:name w:val="Body Text First Indent 2 Char"/>
    <w:basedOn w:val="BodyTextIndentChar"/>
    <w:link w:val="BodyTextFirstIndent2"/>
    <w:uiPriority w:val="99"/>
    <w:semiHidden/>
    <w:rsid w:val="00551047"/>
    <w:rPr>
      <w:rFonts w:ascii="Calibri" w:eastAsia="Calibri" w:hAnsi="Calibri" w:cs="Times New Roman"/>
      <w:color w:val="000000"/>
      <w:lang w:eastAsia="en-AU"/>
    </w:rPr>
  </w:style>
  <w:style w:type="paragraph" w:styleId="BodyTextIndent2">
    <w:name w:val="Body Text Indent 2"/>
    <w:basedOn w:val="Normal"/>
    <w:link w:val="BodyTextIndent2Char"/>
    <w:uiPriority w:val="99"/>
    <w:semiHidden/>
    <w:rsid w:val="00551047"/>
    <w:pPr>
      <w:spacing w:line="480" w:lineRule="auto"/>
      <w:ind w:left="283"/>
    </w:pPr>
  </w:style>
  <w:style w:type="character" w:customStyle="1" w:styleId="BodyTextIndent2Char">
    <w:name w:val="Body Text Indent 2 Char"/>
    <w:basedOn w:val="DefaultParagraphFont"/>
    <w:link w:val="BodyTextIndent2"/>
    <w:uiPriority w:val="99"/>
    <w:semiHidden/>
    <w:rsid w:val="00551047"/>
    <w:rPr>
      <w:rFonts w:ascii="Calibri" w:eastAsia="Calibri" w:hAnsi="Calibri" w:cs="Times New Roman"/>
      <w:color w:val="000000"/>
      <w:lang w:eastAsia="en-AU"/>
    </w:rPr>
  </w:style>
  <w:style w:type="paragraph" w:styleId="BodyTextIndent3">
    <w:name w:val="Body Text Indent 3"/>
    <w:basedOn w:val="Normal"/>
    <w:link w:val="BodyTextIndent3Char"/>
    <w:uiPriority w:val="99"/>
    <w:semiHidden/>
    <w:rsid w:val="00551047"/>
    <w:pPr>
      <w:ind w:left="283"/>
    </w:pPr>
    <w:rPr>
      <w:sz w:val="16"/>
      <w:szCs w:val="16"/>
    </w:rPr>
  </w:style>
  <w:style w:type="character" w:customStyle="1" w:styleId="BodyTextIndent3Char">
    <w:name w:val="Body Text Indent 3 Char"/>
    <w:basedOn w:val="DefaultParagraphFont"/>
    <w:link w:val="BodyTextIndent3"/>
    <w:uiPriority w:val="99"/>
    <w:semiHidden/>
    <w:rsid w:val="00551047"/>
    <w:rPr>
      <w:rFonts w:ascii="Calibri" w:eastAsia="Calibri" w:hAnsi="Calibri" w:cs="Times New Roman"/>
      <w:color w:val="000000"/>
      <w:sz w:val="16"/>
      <w:szCs w:val="16"/>
      <w:lang w:eastAsia="en-AU"/>
    </w:rPr>
  </w:style>
  <w:style w:type="paragraph" w:styleId="Closing">
    <w:name w:val="Closing"/>
    <w:basedOn w:val="Normal"/>
    <w:link w:val="ClosingChar"/>
    <w:uiPriority w:val="99"/>
    <w:semiHidden/>
    <w:rsid w:val="00551047"/>
    <w:pPr>
      <w:ind w:left="4252"/>
    </w:pPr>
  </w:style>
  <w:style w:type="character" w:customStyle="1" w:styleId="ClosingChar">
    <w:name w:val="Closing Char"/>
    <w:basedOn w:val="DefaultParagraphFont"/>
    <w:link w:val="Closing"/>
    <w:uiPriority w:val="99"/>
    <w:semiHidden/>
    <w:rsid w:val="00551047"/>
    <w:rPr>
      <w:rFonts w:ascii="Calibri" w:eastAsia="Calibri" w:hAnsi="Calibri" w:cs="Times New Roman"/>
      <w:color w:val="000000"/>
      <w:lang w:eastAsia="en-AU"/>
    </w:rPr>
  </w:style>
  <w:style w:type="paragraph" w:styleId="Date">
    <w:name w:val="Date"/>
    <w:basedOn w:val="Normal"/>
    <w:next w:val="Normal"/>
    <w:link w:val="DateChar"/>
    <w:uiPriority w:val="99"/>
    <w:semiHidden/>
    <w:rsid w:val="00551047"/>
  </w:style>
  <w:style w:type="character" w:customStyle="1" w:styleId="DateChar">
    <w:name w:val="Date Char"/>
    <w:basedOn w:val="DefaultParagraphFont"/>
    <w:link w:val="Date"/>
    <w:uiPriority w:val="99"/>
    <w:semiHidden/>
    <w:rsid w:val="00551047"/>
    <w:rPr>
      <w:rFonts w:ascii="Calibri" w:eastAsia="Calibri" w:hAnsi="Calibri" w:cs="Times New Roman"/>
      <w:color w:val="000000"/>
      <w:lang w:eastAsia="en-AU"/>
    </w:rPr>
  </w:style>
  <w:style w:type="paragraph" w:styleId="E-mailSignature">
    <w:name w:val="E-mail Signature"/>
    <w:basedOn w:val="Normal"/>
    <w:link w:val="E-mailSignatureChar"/>
    <w:uiPriority w:val="99"/>
    <w:semiHidden/>
    <w:rsid w:val="00551047"/>
  </w:style>
  <w:style w:type="character" w:customStyle="1" w:styleId="E-mailSignatureChar">
    <w:name w:val="E-mail Signature Char"/>
    <w:basedOn w:val="DefaultParagraphFont"/>
    <w:link w:val="E-mailSignature"/>
    <w:uiPriority w:val="99"/>
    <w:semiHidden/>
    <w:rsid w:val="00551047"/>
    <w:rPr>
      <w:rFonts w:ascii="Calibri" w:eastAsia="Calibri" w:hAnsi="Calibri" w:cs="Times New Roman"/>
      <w:color w:val="000000"/>
      <w:lang w:eastAsia="en-AU"/>
    </w:rPr>
  </w:style>
  <w:style w:type="character" w:styleId="Emphasis">
    <w:name w:val="Emphasis"/>
    <w:basedOn w:val="DefaultParagraphFont"/>
    <w:uiPriority w:val="99"/>
    <w:rsid w:val="00551047"/>
    <w:rPr>
      <w:rFonts w:cs="Times New Roman"/>
      <w:i/>
      <w:iCs/>
    </w:rPr>
  </w:style>
  <w:style w:type="paragraph" w:styleId="EnvelopeAddress">
    <w:name w:val="envelope address"/>
    <w:basedOn w:val="Normal"/>
    <w:uiPriority w:val="99"/>
    <w:semiHidden/>
    <w:rsid w:val="00551047"/>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uiPriority w:val="99"/>
    <w:semiHidden/>
    <w:rsid w:val="00551047"/>
    <w:rPr>
      <w:rFonts w:ascii="Arial" w:hAnsi="Arial" w:cs="Arial"/>
      <w:sz w:val="20"/>
      <w:szCs w:val="20"/>
    </w:rPr>
  </w:style>
  <w:style w:type="character" w:styleId="FollowedHyperlink">
    <w:name w:val="FollowedHyperlink"/>
    <w:basedOn w:val="DefaultParagraphFont"/>
    <w:uiPriority w:val="99"/>
    <w:semiHidden/>
    <w:rsid w:val="00551047"/>
    <w:rPr>
      <w:rFonts w:cs="Times New Roman"/>
      <w:color w:val="auto"/>
      <w:u w:val="none"/>
    </w:rPr>
  </w:style>
  <w:style w:type="character" w:styleId="FootnoteReference">
    <w:name w:val="footnote reference"/>
    <w:basedOn w:val="DefaultParagraphFont"/>
    <w:uiPriority w:val="9"/>
    <w:rsid w:val="00551047"/>
    <w:rPr>
      <w:rFonts w:cs="Times New Roman"/>
      <w:vertAlign w:val="superscript"/>
    </w:rPr>
  </w:style>
  <w:style w:type="character" w:styleId="HTMLAcronym">
    <w:name w:val="HTML Acronym"/>
    <w:basedOn w:val="DefaultParagraphFont"/>
    <w:uiPriority w:val="99"/>
    <w:semiHidden/>
    <w:rsid w:val="00551047"/>
    <w:rPr>
      <w:rFonts w:cs="Times New Roman"/>
    </w:rPr>
  </w:style>
  <w:style w:type="paragraph" w:styleId="HTMLAddress">
    <w:name w:val="HTML Address"/>
    <w:basedOn w:val="Normal"/>
    <w:link w:val="HTMLAddressChar"/>
    <w:uiPriority w:val="99"/>
    <w:semiHidden/>
    <w:rsid w:val="00551047"/>
    <w:rPr>
      <w:i/>
      <w:iCs/>
    </w:rPr>
  </w:style>
  <w:style w:type="character" w:customStyle="1" w:styleId="HTMLAddressChar">
    <w:name w:val="HTML Address Char"/>
    <w:basedOn w:val="DefaultParagraphFont"/>
    <w:link w:val="HTMLAddress"/>
    <w:uiPriority w:val="99"/>
    <w:semiHidden/>
    <w:rsid w:val="00551047"/>
    <w:rPr>
      <w:rFonts w:ascii="Calibri" w:eastAsia="Calibri" w:hAnsi="Calibri" w:cs="Times New Roman"/>
      <w:i/>
      <w:iCs/>
      <w:color w:val="000000"/>
      <w:lang w:eastAsia="en-AU"/>
    </w:rPr>
  </w:style>
  <w:style w:type="character" w:styleId="HTMLCite">
    <w:name w:val="HTML Cite"/>
    <w:basedOn w:val="DefaultParagraphFont"/>
    <w:uiPriority w:val="99"/>
    <w:semiHidden/>
    <w:rsid w:val="00551047"/>
    <w:rPr>
      <w:rFonts w:cs="Times New Roman"/>
      <w:i/>
      <w:iCs/>
    </w:rPr>
  </w:style>
  <w:style w:type="character" w:styleId="HTMLCode">
    <w:name w:val="HTML Code"/>
    <w:basedOn w:val="DefaultParagraphFont"/>
    <w:uiPriority w:val="99"/>
    <w:semiHidden/>
    <w:rsid w:val="00551047"/>
    <w:rPr>
      <w:rFonts w:ascii="Courier New" w:hAnsi="Courier New" w:cs="Courier New"/>
      <w:sz w:val="20"/>
      <w:szCs w:val="20"/>
    </w:rPr>
  </w:style>
  <w:style w:type="character" w:styleId="HTMLDefinition">
    <w:name w:val="HTML Definition"/>
    <w:basedOn w:val="DefaultParagraphFont"/>
    <w:uiPriority w:val="99"/>
    <w:semiHidden/>
    <w:rsid w:val="00551047"/>
    <w:rPr>
      <w:rFonts w:cs="Times New Roman"/>
      <w:i/>
      <w:iCs/>
    </w:rPr>
  </w:style>
  <w:style w:type="character" w:styleId="HTMLKeyboard">
    <w:name w:val="HTML Keyboard"/>
    <w:basedOn w:val="DefaultParagraphFont"/>
    <w:uiPriority w:val="99"/>
    <w:semiHidden/>
    <w:rsid w:val="00551047"/>
    <w:rPr>
      <w:rFonts w:ascii="Courier New" w:hAnsi="Courier New" w:cs="Courier New"/>
      <w:sz w:val="20"/>
      <w:szCs w:val="20"/>
    </w:rPr>
  </w:style>
  <w:style w:type="paragraph" w:styleId="HTMLPreformatted">
    <w:name w:val="HTML Preformatted"/>
    <w:basedOn w:val="Normal"/>
    <w:link w:val="HTMLPreformattedChar"/>
    <w:uiPriority w:val="99"/>
    <w:semiHidden/>
    <w:rsid w:val="00551047"/>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551047"/>
    <w:rPr>
      <w:rFonts w:ascii="Courier New" w:eastAsia="Calibri" w:hAnsi="Courier New" w:cs="Courier New"/>
      <w:color w:val="000000"/>
      <w:sz w:val="20"/>
      <w:szCs w:val="20"/>
      <w:lang w:eastAsia="en-AU"/>
    </w:rPr>
  </w:style>
  <w:style w:type="character" w:styleId="HTMLSample">
    <w:name w:val="HTML Sample"/>
    <w:basedOn w:val="DefaultParagraphFont"/>
    <w:uiPriority w:val="99"/>
    <w:semiHidden/>
    <w:rsid w:val="00551047"/>
    <w:rPr>
      <w:rFonts w:ascii="Courier New" w:hAnsi="Courier New" w:cs="Courier New"/>
    </w:rPr>
  </w:style>
  <w:style w:type="character" w:styleId="HTMLTypewriter">
    <w:name w:val="HTML Typewriter"/>
    <w:basedOn w:val="DefaultParagraphFont"/>
    <w:uiPriority w:val="99"/>
    <w:semiHidden/>
    <w:rsid w:val="00551047"/>
    <w:rPr>
      <w:rFonts w:ascii="Courier New" w:hAnsi="Courier New" w:cs="Courier New"/>
      <w:sz w:val="20"/>
      <w:szCs w:val="20"/>
    </w:rPr>
  </w:style>
  <w:style w:type="character" w:styleId="HTMLVariable">
    <w:name w:val="HTML Variable"/>
    <w:basedOn w:val="DefaultParagraphFont"/>
    <w:uiPriority w:val="99"/>
    <w:semiHidden/>
    <w:rsid w:val="00551047"/>
    <w:rPr>
      <w:rFonts w:cs="Times New Roman"/>
      <w:i/>
      <w:iCs/>
    </w:rPr>
  </w:style>
  <w:style w:type="character" w:styleId="LineNumber">
    <w:name w:val="line number"/>
    <w:basedOn w:val="DefaultParagraphFont"/>
    <w:uiPriority w:val="99"/>
    <w:semiHidden/>
    <w:rsid w:val="00551047"/>
    <w:rPr>
      <w:rFonts w:cs="Times New Roman"/>
    </w:rPr>
  </w:style>
  <w:style w:type="paragraph" w:styleId="List">
    <w:name w:val="List"/>
    <w:basedOn w:val="Normal"/>
    <w:uiPriority w:val="99"/>
    <w:semiHidden/>
    <w:rsid w:val="00551047"/>
    <w:pPr>
      <w:ind w:left="283" w:hanging="283"/>
    </w:pPr>
  </w:style>
  <w:style w:type="paragraph" w:styleId="List2">
    <w:name w:val="List 2"/>
    <w:basedOn w:val="Normal"/>
    <w:uiPriority w:val="99"/>
    <w:semiHidden/>
    <w:rsid w:val="00551047"/>
    <w:pPr>
      <w:ind w:left="566" w:hanging="283"/>
    </w:pPr>
  </w:style>
  <w:style w:type="paragraph" w:styleId="List3">
    <w:name w:val="List 3"/>
    <w:basedOn w:val="Normal"/>
    <w:uiPriority w:val="99"/>
    <w:semiHidden/>
    <w:rsid w:val="00551047"/>
    <w:pPr>
      <w:ind w:left="849" w:hanging="283"/>
    </w:pPr>
  </w:style>
  <w:style w:type="paragraph" w:styleId="List4">
    <w:name w:val="List 4"/>
    <w:basedOn w:val="Normal"/>
    <w:uiPriority w:val="99"/>
    <w:semiHidden/>
    <w:rsid w:val="00551047"/>
    <w:pPr>
      <w:ind w:left="1132" w:hanging="283"/>
    </w:pPr>
  </w:style>
  <w:style w:type="paragraph" w:styleId="List5">
    <w:name w:val="List 5"/>
    <w:basedOn w:val="Normal"/>
    <w:uiPriority w:val="99"/>
    <w:semiHidden/>
    <w:rsid w:val="00551047"/>
    <w:pPr>
      <w:ind w:left="1415" w:hanging="283"/>
    </w:pPr>
  </w:style>
  <w:style w:type="paragraph" w:styleId="ListBullet4">
    <w:name w:val="List Bullet 4"/>
    <w:basedOn w:val="Normal"/>
    <w:uiPriority w:val="99"/>
    <w:semiHidden/>
    <w:rsid w:val="00551047"/>
    <w:pPr>
      <w:numPr>
        <w:numId w:val="1"/>
      </w:numPr>
      <w:tabs>
        <w:tab w:val="num" w:pos="1209"/>
      </w:tabs>
      <w:ind w:left="1209"/>
    </w:pPr>
  </w:style>
  <w:style w:type="paragraph" w:styleId="ListBullet5">
    <w:name w:val="List Bullet 5"/>
    <w:basedOn w:val="Normal"/>
    <w:uiPriority w:val="99"/>
    <w:semiHidden/>
    <w:rsid w:val="00551047"/>
    <w:pPr>
      <w:numPr>
        <w:numId w:val="2"/>
      </w:numPr>
      <w:tabs>
        <w:tab w:val="num" w:pos="926"/>
        <w:tab w:val="num" w:pos="1492"/>
      </w:tabs>
      <w:ind w:left="1492"/>
    </w:pPr>
  </w:style>
  <w:style w:type="paragraph" w:styleId="ListContinue">
    <w:name w:val="List Continue"/>
    <w:basedOn w:val="Normal"/>
    <w:uiPriority w:val="99"/>
    <w:semiHidden/>
    <w:rsid w:val="00551047"/>
    <w:pPr>
      <w:ind w:left="283"/>
    </w:pPr>
  </w:style>
  <w:style w:type="paragraph" w:styleId="ListContinue2">
    <w:name w:val="List Continue 2"/>
    <w:basedOn w:val="Normal"/>
    <w:uiPriority w:val="99"/>
    <w:semiHidden/>
    <w:rsid w:val="00551047"/>
    <w:pPr>
      <w:ind w:left="566"/>
    </w:pPr>
  </w:style>
  <w:style w:type="paragraph" w:styleId="ListContinue3">
    <w:name w:val="List Continue 3"/>
    <w:basedOn w:val="Normal"/>
    <w:uiPriority w:val="99"/>
    <w:semiHidden/>
    <w:rsid w:val="00551047"/>
    <w:pPr>
      <w:ind w:left="849"/>
    </w:pPr>
  </w:style>
  <w:style w:type="paragraph" w:styleId="ListContinue4">
    <w:name w:val="List Continue 4"/>
    <w:basedOn w:val="Normal"/>
    <w:uiPriority w:val="99"/>
    <w:semiHidden/>
    <w:rsid w:val="00551047"/>
    <w:pPr>
      <w:ind w:left="1132"/>
    </w:pPr>
  </w:style>
  <w:style w:type="paragraph" w:styleId="ListContinue5">
    <w:name w:val="List Continue 5"/>
    <w:basedOn w:val="Normal"/>
    <w:uiPriority w:val="99"/>
    <w:semiHidden/>
    <w:rsid w:val="00551047"/>
    <w:pPr>
      <w:ind w:left="1415"/>
    </w:pPr>
  </w:style>
  <w:style w:type="paragraph" w:styleId="ListNumber3">
    <w:name w:val="List Number 3"/>
    <w:basedOn w:val="ListNumber2"/>
    <w:uiPriority w:val="2"/>
    <w:rsid w:val="00551047"/>
    <w:pPr>
      <w:numPr>
        <w:numId w:val="16"/>
      </w:numPr>
      <w:tabs>
        <w:tab w:val="clear" w:pos="397"/>
      </w:tabs>
      <w:ind w:left="1078" w:hanging="284"/>
    </w:pPr>
  </w:style>
  <w:style w:type="paragraph" w:styleId="ListNumber4">
    <w:name w:val="List Number 4"/>
    <w:basedOn w:val="Normal"/>
    <w:uiPriority w:val="99"/>
    <w:semiHidden/>
    <w:rsid w:val="00551047"/>
    <w:pPr>
      <w:numPr>
        <w:numId w:val="3"/>
      </w:numPr>
    </w:pPr>
  </w:style>
  <w:style w:type="paragraph" w:styleId="ListNumber5">
    <w:name w:val="List Number 5"/>
    <w:basedOn w:val="Normal"/>
    <w:uiPriority w:val="99"/>
    <w:semiHidden/>
    <w:rsid w:val="00551047"/>
    <w:pPr>
      <w:numPr>
        <w:numId w:val="4"/>
      </w:numPr>
    </w:pPr>
  </w:style>
  <w:style w:type="paragraph" w:styleId="MessageHeader">
    <w:name w:val="Message Header"/>
    <w:basedOn w:val="Normal"/>
    <w:link w:val="MessageHeaderChar"/>
    <w:uiPriority w:val="99"/>
    <w:semiHidden/>
    <w:rsid w:val="0055104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basedOn w:val="DefaultParagraphFont"/>
    <w:link w:val="MessageHeader"/>
    <w:uiPriority w:val="99"/>
    <w:semiHidden/>
    <w:rsid w:val="00551047"/>
    <w:rPr>
      <w:rFonts w:ascii="Arial" w:eastAsia="Calibri" w:hAnsi="Arial" w:cs="Arial"/>
      <w:color w:val="000000"/>
      <w:sz w:val="24"/>
      <w:szCs w:val="24"/>
      <w:shd w:val="pct20" w:color="auto" w:fill="auto"/>
      <w:lang w:eastAsia="en-AU"/>
    </w:rPr>
  </w:style>
  <w:style w:type="paragraph" w:styleId="NormalWeb">
    <w:name w:val="Normal (Web)"/>
    <w:basedOn w:val="Normal"/>
    <w:uiPriority w:val="99"/>
    <w:semiHidden/>
    <w:rsid w:val="00551047"/>
    <w:rPr>
      <w:rFonts w:ascii="Times New Roman" w:hAnsi="Times New Roman"/>
      <w:sz w:val="24"/>
      <w:szCs w:val="24"/>
    </w:rPr>
  </w:style>
  <w:style w:type="paragraph" w:styleId="NormalIndent">
    <w:name w:val="Normal Indent"/>
    <w:basedOn w:val="Normal"/>
    <w:uiPriority w:val="99"/>
    <w:semiHidden/>
    <w:rsid w:val="00551047"/>
    <w:pPr>
      <w:ind w:left="720"/>
    </w:pPr>
  </w:style>
  <w:style w:type="paragraph" w:styleId="NoteHeading">
    <w:name w:val="Note Heading"/>
    <w:basedOn w:val="Normal"/>
    <w:next w:val="Normal"/>
    <w:link w:val="NoteHeadingChar"/>
    <w:uiPriority w:val="99"/>
    <w:semiHidden/>
    <w:rsid w:val="00551047"/>
  </w:style>
  <w:style w:type="character" w:customStyle="1" w:styleId="NoteHeadingChar">
    <w:name w:val="Note Heading Char"/>
    <w:basedOn w:val="DefaultParagraphFont"/>
    <w:link w:val="NoteHeading"/>
    <w:uiPriority w:val="99"/>
    <w:semiHidden/>
    <w:rsid w:val="00551047"/>
    <w:rPr>
      <w:rFonts w:ascii="Calibri" w:eastAsia="Calibri" w:hAnsi="Calibri" w:cs="Times New Roman"/>
      <w:color w:val="000000"/>
      <w:lang w:eastAsia="en-AU"/>
    </w:rPr>
  </w:style>
  <w:style w:type="paragraph" w:styleId="PlainText">
    <w:name w:val="Plain Text"/>
    <w:basedOn w:val="Normal"/>
    <w:link w:val="PlainTextChar"/>
    <w:uiPriority w:val="99"/>
    <w:semiHidden/>
    <w:rsid w:val="00551047"/>
    <w:rPr>
      <w:rFonts w:ascii="Courier New" w:hAnsi="Courier New" w:cs="Courier New"/>
      <w:sz w:val="20"/>
      <w:szCs w:val="20"/>
    </w:rPr>
  </w:style>
  <w:style w:type="character" w:customStyle="1" w:styleId="PlainTextChar">
    <w:name w:val="Plain Text Char"/>
    <w:basedOn w:val="DefaultParagraphFont"/>
    <w:link w:val="PlainText"/>
    <w:uiPriority w:val="99"/>
    <w:semiHidden/>
    <w:rsid w:val="00551047"/>
    <w:rPr>
      <w:rFonts w:ascii="Courier New" w:eastAsia="Calibri" w:hAnsi="Courier New" w:cs="Courier New"/>
      <w:color w:val="000000"/>
      <w:sz w:val="20"/>
      <w:szCs w:val="20"/>
      <w:lang w:eastAsia="en-AU"/>
    </w:rPr>
  </w:style>
  <w:style w:type="paragraph" w:styleId="Salutation">
    <w:name w:val="Salutation"/>
    <w:basedOn w:val="Normal"/>
    <w:next w:val="Normal"/>
    <w:link w:val="SalutationChar"/>
    <w:uiPriority w:val="99"/>
    <w:semiHidden/>
    <w:rsid w:val="00551047"/>
  </w:style>
  <w:style w:type="character" w:customStyle="1" w:styleId="SalutationChar">
    <w:name w:val="Salutation Char"/>
    <w:basedOn w:val="DefaultParagraphFont"/>
    <w:link w:val="Salutation"/>
    <w:uiPriority w:val="99"/>
    <w:semiHidden/>
    <w:rsid w:val="00551047"/>
    <w:rPr>
      <w:rFonts w:ascii="Calibri" w:eastAsia="Calibri" w:hAnsi="Calibri" w:cs="Times New Roman"/>
      <w:color w:val="000000"/>
      <w:lang w:eastAsia="en-AU"/>
    </w:rPr>
  </w:style>
  <w:style w:type="paragraph" w:styleId="Signature">
    <w:name w:val="Signature"/>
    <w:basedOn w:val="Normal"/>
    <w:link w:val="SignatureChar"/>
    <w:uiPriority w:val="99"/>
    <w:semiHidden/>
    <w:rsid w:val="00551047"/>
    <w:pPr>
      <w:ind w:left="4252"/>
    </w:pPr>
  </w:style>
  <w:style w:type="character" w:customStyle="1" w:styleId="SignatureChar">
    <w:name w:val="Signature Char"/>
    <w:basedOn w:val="DefaultParagraphFont"/>
    <w:link w:val="Signature"/>
    <w:uiPriority w:val="99"/>
    <w:semiHidden/>
    <w:rsid w:val="00551047"/>
    <w:rPr>
      <w:rFonts w:ascii="Calibri" w:eastAsia="Calibri" w:hAnsi="Calibri" w:cs="Times New Roman"/>
      <w:color w:val="000000"/>
      <w:lang w:eastAsia="en-AU"/>
    </w:rPr>
  </w:style>
  <w:style w:type="character" w:styleId="Strong">
    <w:name w:val="Strong"/>
    <w:basedOn w:val="DefaultParagraphFont"/>
    <w:uiPriority w:val="99"/>
    <w:rsid w:val="00551047"/>
    <w:rPr>
      <w:rFonts w:cs="Times New Roman"/>
      <w:b/>
      <w:bCs/>
    </w:rPr>
  </w:style>
  <w:style w:type="table" w:styleId="Table3Deffects1">
    <w:name w:val="Table 3D effects 1"/>
    <w:basedOn w:val="TableNormal"/>
    <w:uiPriority w:val="99"/>
    <w:rsid w:val="00551047"/>
    <w:pPr>
      <w:spacing w:after="120" w:line="240" w:lineRule="auto"/>
    </w:pPr>
    <w:rPr>
      <w:rFonts w:ascii="Calibri" w:eastAsia="Times New Roman" w:hAnsi="Calibri" w:cs="Times New Roman"/>
      <w:sz w:val="20"/>
      <w:szCs w:val="20"/>
      <w:lang w:eastAsia="en-AU"/>
    </w:rPr>
    <w:tblPr/>
    <w:tcPr>
      <w:shd w:val="solid" w:color="C0C0C0" w:fill="FFFFFF"/>
    </w:tc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1"/>
    </w:tblPr>
    <w:tcPr>
      <w:shd w:val="solid" w:color="C0C0C0" w:fill="FFFFFF"/>
    </w:tc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3Deffects3">
    <w:name w:val="Table 3D effects 3"/>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1"/>
      <w:tblStyleColBandSize w:val="1"/>
    </w:tblPr>
    <w:tblStylePr w:type="firstRow">
      <w:rPr>
        <w:rFonts w:cs="Times New Roman"/>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1">
    <w:name w:val="Table Classic 1"/>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lassic2">
    <w:name w:val="Table Classic 2"/>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shd w:val="solid" w:color="C0C0C0" w:fill="FFFFFF"/>
      </w:tcPr>
    </w:tblStylePr>
    <w:tblStylePr w:type="neCel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rPr>
      <w:tblPr/>
      <w:tcPr>
        <w:tcBorders>
          <w:tl2br w:val="none" w:sz="0" w:space="0" w:color="auto"/>
          <w:tr2bl w:val="none" w:sz="0" w:space="0" w:color="auto"/>
        </w:tcBorders>
      </w:tcPr>
    </w:tblStylePr>
  </w:style>
  <w:style w:type="table" w:styleId="TableClassic3">
    <w:name w:val="Table Classic 3"/>
    <w:basedOn w:val="TableNormal"/>
    <w:uiPriority w:val="99"/>
    <w:rsid w:val="00551047"/>
    <w:pPr>
      <w:spacing w:after="120" w:line="240" w:lineRule="auto"/>
    </w:pPr>
    <w:rPr>
      <w:rFonts w:ascii="Calibri" w:eastAsia="Times New Roman" w:hAnsi="Calibri" w:cs="Times New Roman"/>
      <w:color w:val="000080"/>
      <w:sz w:val="20"/>
      <w:szCs w:val="20"/>
      <w:lang w:eastAsia="en-AU"/>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rPr>
      <w:tblPr/>
      <w:tcPr>
        <w:tcBorders>
          <w:tl2br w:val="none" w:sz="0" w:space="0" w:color="auto"/>
          <w:tr2bl w:val="none" w:sz="0" w:space="0" w:color="auto"/>
        </w:tcBorders>
      </w:tcPr>
    </w:tblStylePr>
  </w:style>
  <w:style w:type="table" w:styleId="TableClassic4">
    <w:name w:val="Table Classic 4"/>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0000"/>
        <w:left w:val="single" w:sz="6" w:space="0" w:color="000000"/>
        <w:bottom w:val="single" w:sz="12" w:space="0" w:color="000000"/>
        <w:right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orful1">
    <w:name w:val="Table Colorful 1"/>
    <w:basedOn w:val="TableNormal"/>
    <w:uiPriority w:val="99"/>
    <w:rsid w:val="00551047"/>
    <w:pPr>
      <w:spacing w:after="120" w:line="240" w:lineRule="auto"/>
    </w:pPr>
    <w:rPr>
      <w:rFonts w:ascii="Calibri" w:eastAsia="Times New Roman" w:hAnsi="Calibri" w:cs="Times New Roman"/>
      <w:color w:val="FFFFFF"/>
      <w:sz w:val="20"/>
      <w:szCs w:val="20"/>
      <w:lang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rPr>
      <w:tblPr/>
      <w:tcPr>
        <w:tcBorders>
          <w:tl2br w:val="none" w:sz="0" w:space="0" w:color="auto"/>
          <w:tr2bl w:val="none" w:sz="0" w:space="0" w:color="auto"/>
        </w:tcBorders>
        <w:shd w:val="solid" w:color="000000" w:fill="FFFFFF"/>
      </w:tcPr>
    </w:tblStylePr>
    <w:tblStylePr w:type="firstCol">
      <w:rPr>
        <w:rFonts w:cs="Times New Roman"/>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rPr>
      <w:tblPr/>
      <w:tcPr>
        <w:tcBorders>
          <w:tl2br w:val="none" w:sz="0" w:space="0" w:color="auto"/>
          <w:tr2bl w:val="none" w:sz="0" w:space="0" w:color="auto"/>
        </w:tcBorders>
      </w:tcPr>
    </w:tblStylePr>
  </w:style>
  <w:style w:type="table" w:styleId="TableColorful2">
    <w:name w:val="Table Colorful 2"/>
    <w:basedOn w:val="TableNormal"/>
    <w:uiPriority w:val="99"/>
    <w:rsid w:val="00551047"/>
    <w:pPr>
      <w:spacing w:after="120" w:line="240" w:lineRule="auto"/>
    </w:pPr>
    <w:rPr>
      <w:rFonts w:ascii="Calibri" w:eastAsia="Times New Roman" w:hAnsi="Calibri" w:cs="Times New Roman"/>
      <w:sz w:val="20"/>
      <w:szCs w:val="20"/>
      <w:lang w:eastAsia="en-AU"/>
    </w:rPr>
    <w:tblPr>
      <w:tblBorders>
        <w:bottom w:val="single" w:sz="12" w:space="0" w:color="000000"/>
      </w:tblBorders>
    </w:tblPr>
    <w:tcPr>
      <w:shd w:val="pct20" w:color="FFFF00" w:fill="FFFFFF"/>
    </w:tcPr>
    <w:tblStylePr w:type="firstRow">
      <w:rPr>
        <w:rFonts w:cs="Times New Roman"/>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rPr>
      <w:tblPr/>
      <w:tcPr>
        <w:tcBorders>
          <w:tl2br w:val="none" w:sz="0" w:space="0" w:color="auto"/>
          <w:tr2bl w:val="none" w:sz="0" w:space="0" w:color="auto"/>
        </w:tcBorders>
      </w:tcPr>
    </w:tblStylePr>
  </w:style>
  <w:style w:type="table" w:styleId="TableColorful3">
    <w:name w:val="Table Colorful 3"/>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551047"/>
    <w:pPr>
      <w:spacing w:after="120" w:line="240" w:lineRule="auto"/>
    </w:pPr>
    <w:rPr>
      <w:rFonts w:ascii="Calibri" w:eastAsia="Times New Roman" w:hAnsi="Calibri" w:cs="Times New Roman"/>
      <w:b/>
      <w:bCs/>
      <w:sz w:val="20"/>
      <w:szCs w:val="20"/>
      <w:lang w:eastAsia="en-AU"/>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bottom w:val="double" w:sz="6"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25" w:color="000000" w:fill="FFFFFF"/>
      </w:tcPr>
    </w:tblStylePr>
    <w:tblStylePr w:type="band2Vert">
      <w:rPr>
        <w:rFonts w:cs="Times New Roman"/>
      </w:rPr>
      <w:tblPr/>
      <w:tcPr>
        <w:shd w:val="pct25" w:color="FF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2">
    <w:name w:val="Table Columns 2"/>
    <w:basedOn w:val="TableNormal"/>
    <w:uiPriority w:val="99"/>
    <w:rsid w:val="00551047"/>
    <w:pPr>
      <w:spacing w:after="120" w:line="240" w:lineRule="auto"/>
    </w:pPr>
    <w:rPr>
      <w:rFonts w:ascii="Calibri" w:eastAsia="Times New Roman" w:hAnsi="Calibri" w:cs="Times New Roman"/>
      <w:b/>
      <w:bCs/>
      <w:sz w:val="20"/>
      <w:szCs w:val="20"/>
      <w:lang w:eastAsia="en-AU"/>
    </w:rPr>
    <w:tblPr>
      <w:tblStyleColBandSize w:val="1"/>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30" w:color="000000" w:fill="FFFFFF"/>
      </w:tcPr>
    </w:tblStylePr>
    <w:tblStylePr w:type="band2Vert">
      <w:rPr>
        <w:rFonts w:cs="Times New Roman"/>
      </w:rPr>
      <w:tblPr/>
      <w:tcPr>
        <w:shd w:val="pct25" w:color="00FF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Columns3">
    <w:name w:val="Table Columns 3"/>
    <w:basedOn w:val="TableNormal"/>
    <w:uiPriority w:val="99"/>
    <w:rsid w:val="00551047"/>
    <w:pPr>
      <w:spacing w:after="120" w:line="240" w:lineRule="auto"/>
    </w:pPr>
    <w:rPr>
      <w:rFonts w:ascii="Calibri" w:eastAsia="Times New Roman" w:hAnsi="Calibri" w:cs="Times New Roman"/>
      <w:b/>
      <w:bCs/>
      <w:sz w:val="20"/>
      <w:szCs w:val="20"/>
      <w:lang w:eastAsia="en-AU"/>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op w:val="single" w:sz="6" w:space="0" w:color="000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tblStylePr w:type="band2Vert">
      <w:rPr>
        <w:rFonts w:cs="Times New Roman"/>
      </w:rPr>
      <w:tblPr/>
      <w:tcPr>
        <w:shd w:val="pct10" w:color="000000" w:fill="FFFFFF"/>
      </w:tcPr>
    </w:tblStylePr>
    <w:tblStylePr w:type="neCell">
      <w:rPr>
        <w:rFonts w:cs="Times New Roman"/>
      </w:rPr>
      <w:tblPr/>
      <w:tcPr>
        <w:tcBorders>
          <w:tl2br w:val="none" w:sz="0" w:space="0" w:color="auto"/>
          <w:tr2bl w:val="none" w:sz="0" w:space="0" w:color="auto"/>
        </w:tcBorders>
      </w:tcPr>
    </w:tblStylePr>
  </w:style>
  <w:style w:type="table" w:styleId="TableColumns4">
    <w:name w:val="Table Columns 4"/>
    <w:basedOn w:val="TableNormal"/>
    <w:uiPriority w:val="99"/>
    <w:rsid w:val="00551047"/>
    <w:pPr>
      <w:spacing w:after="120" w:line="240" w:lineRule="auto"/>
    </w:pPr>
    <w:rPr>
      <w:rFonts w:ascii="Calibri" w:eastAsia="Times New Roman" w:hAnsi="Calibri" w:cs="Times New Roman"/>
      <w:sz w:val="20"/>
      <w:szCs w:val="20"/>
      <w:lang w:eastAsia="en-AU"/>
    </w:rPr>
    <w:tblPr>
      <w:tblStyleColBandSize w:val="1"/>
    </w:tblPr>
    <w:tblStylePr w:type="firstRow">
      <w:rPr>
        <w:rFonts w:cs="Times New Roman"/>
      </w:rPr>
      <w:tblPr/>
      <w:tcPr>
        <w:tcBorders>
          <w:tl2br w:val="none" w:sz="0" w:space="0" w:color="auto"/>
          <w:tr2bl w:val="none" w:sz="0" w:space="0" w:color="auto"/>
        </w:tcBorders>
        <w:shd w:val="solid" w:color="0000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pct50" w:color="008080" w:fill="FFFFFF"/>
      </w:tcPr>
    </w:tblStylePr>
    <w:tblStylePr w:type="band2Vert">
      <w:rPr>
        <w:rFonts w:cs="Times New Roman"/>
      </w:rPr>
      <w:tblPr/>
      <w:tcPr>
        <w:shd w:val="pct10" w:color="000000" w:fill="FFFFFF"/>
      </w:tcPr>
    </w:tblStylePr>
  </w:style>
  <w:style w:type="table" w:styleId="TableColumns5">
    <w:name w:val="Table Columns 5"/>
    <w:basedOn w:val="TableNormal"/>
    <w:uiPriority w:val="99"/>
    <w:rsid w:val="00551047"/>
    <w:pPr>
      <w:spacing w:after="120" w:line="240" w:lineRule="auto"/>
    </w:pPr>
    <w:rPr>
      <w:rFonts w:ascii="Calibri" w:eastAsia="Times New Roman" w:hAnsi="Calibri" w:cs="Times New Roman"/>
      <w:sz w:val="20"/>
      <w:szCs w:val="20"/>
      <w:lang w:eastAsia="en-AU"/>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80808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Vert">
      <w:rPr>
        <w:rFonts w:cs="Times New Roman"/>
      </w:rPr>
      <w:tblPr/>
      <w:tcPr>
        <w:shd w:val="solid" w:color="C0C0C0" w:fill="FFFFFF"/>
      </w:tcPr>
    </w:tblStylePr>
  </w:style>
  <w:style w:type="table" w:styleId="TableContemporary">
    <w:name w:val="Table Contemporary"/>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1"/>
      <w:tblBorders>
        <w:insideH w:val="single" w:sz="18" w:space="0" w:color="FFFFFF"/>
        <w:insideV w:val="single" w:sz="18" w:space="0" w:color="FFFFFF"/>
      </w:tblBorders>
    </w:tblPr>
    <w:tblStylePr w:type="firstRow">
      <w:rPr>
        <w:rFonts w:cs="Times New Roman"/>
      </w:rPr>
      <w:tblPr/>
      <w:tcPr>
        <w:tcBorders>
          <w:tl2br w:val="none" w:sz="0" w:space="0" w:color="auto"/>
          <w:tr2bl w:val="none" w:sz="0" w:space="0" w:color="auto"/>
        </w:tcBorders>
        <w:shd w:val="pct20" w:color="000000" w:fill="FFFFFF"/>
      </w:tcPr>
    </w:tblStylePr>
    <w:tblStylePr w:type="band1Horz">
      <w:rPr>
        <w:rFonts w:cs="Times New Roman"/>
      </w:rPr>
      <w:tblPr/>
      <w:tcPr>
        <w:tcBorders>
          <w:tl2br w:val="none" w:sz="0" w:space="0" w:color="auto"/>
          <w:tr2bl w:val="none" w:sz="0" w:space="0" w:color="auto"/>
        </w:tcBorders>
        <w:shd w:val="pct5" w:color="000000" w:fill="FFFFFF"/>
      </w:tcPr>
    </w:tblStylePr>
    <w:tblStylePr w:type="band2Horz">
      <w:rPr>
        <w:rFonts w:cs="Times New Roman"/>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551047"/>
    <w:pPr>
      <w:spacing w:after="120" w:line="240" w:lineRule="auto"/>
    </w:pPr>
    <w:rPr>
      <w:rFonts w:ascii="Calibri" w:eastAsia="Times New Roman" w:hAnsi="Calibri" w:cs="Times New Roman"/>
      <w:sz w:val="20"/>
      <w:szCs w:val="20"/>
      <w:lang w:eastAsia="en-AU"/>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style>
  <w:style w:type="table" w:styleId="TableGrid1">
    <w:name w:val="Table Grid 1"/>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2">
    <w:name w:val="Table Grid 2"/>
    <w:basedOn w:val="TableNormal"/>
    <w:uiPriority w:val="99"/>
    <w:rsid w:val="00551047"/>
    <w:pPr>
      <w:spacing w:after="120" w:line="240" w:lineRule="auto"/>
    </w:pPr>
    <w:rPr>
      <w:rFonts w:ascii="Calibri" w:eastAsia="Times New Roman" w:hAnsi="Calibri" w:cs="Times New Roman"/>
      <w:sz w:val="20"/>
      <w:szCs w:val="20"/>
      <w:lang w:eastAsia="en-AU"/>
    </w:rPr>
    <w:tblPr>
      <w:tblBorders>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3">
    <w:name w:val="Table Grid 3"/>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Grid4">
    <w:name w:val="Table Grid 4"/>
    <w:basedOn w:val="TableNormal"/>
    <w:uiPriority w:val="99"/>
    <w:rsid w:val="00551047"/>
    <w:pPr>
      <w:spacing w:after="120" w:line="240" w:lineRule="auto"/>
    </w:pPr>
    <w:rPr>
      <w:rFonts w:ascii="Calibri" w:eastAsia="Times New Roman" w:hAnsi="Calibri" w:cs="Times New Roman"/>
      <w:sz w:val="20"/>
      <w:szCs w:val="20"/>
      <w:lang w:eastAsia="en-AU"/>
    </w:r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rPr>
      <w:tblPr/>
      <w:tcPr>
        <w:tcBorders>
          <w:top w:val="single" w:sz="6" w:space="0" w:color="000000"/>
          <w:tl2br w:val="none" w:sz="0" w:space="0" w:color="auto"/>
          <w:tr2bl w:val="none" w:sz="0" w:space="0" w:color="auto"/>
        </w:tcBorders>
        <w:shd w:val="pct30" w:color="FFFF00" w:fill="FFFFFF"/>
      </w:tcPr>
    </w:tblStylePr>
    <w:tblStylePr w:type="lastCol">
      <w:rPr>
        <w:rFonts w:cs="Times New Roman"/>
      </w:rPr>
      <w:tblPr/>
      <w:tcPr>
        <w:tcBorders>
          <w:tl2br w:val="none" w:sz="0" w:space="0" w:color="auto"/>
          <w:tr2bl w:val="none" w:sz="0" w:space="0" w:color="auto"/>
        </w:tcBorders>
      </w:tcPr>
    </w:tblStylePr>
  </w:style>
  <w:style w:type="table" w:styleId="TableGrid5">
    <w:name w:val="Table Grid 5"/>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551047"/>
    <w:pPr>
      <w:spacing w:after="120" w:line="240" w:lineRule="auto"/>
    </w:pPr>
    <w:rPr>
      <w:rFonts w:ascii="Calibri" w:eastAsia="Times New Roman" w:hAnsi="Calibri" w:cs="Times New Roman"/>
      <w:b/>
      <w:bCs/>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rPr>
      <w:tblPr/>
      <w:tcPr>
        <w:tcBorders>
          <w:tl2br w:val="none" w:sz="0" w:space="0" w:color="auto"/>
          <w:tr2bl w:val="none" w:sz="0" w:space="0" w:color="auto"/>
        </w:tcBorders>
        <w:shd w:val="solid" w:color="000080" w:fill="FFFFFF"/>
      </w:tcPr>
    </w:tblStylePr>
    <w:tblStylePr w:type="lastRow">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style>
  <w:style w:type="table" w:styleId="TableList1">
    <w:name w:val="Table List 1"/>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solid" w:color="C0C0C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2">
    <w:name w:val="Table List 2"/>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2"/>
      <w:tblBorders>
        <w:bottom w:val="single" w:sz="12" w:space="0" w:color="808080"/>
      </w:tblBorders>
    </w:tblPr>
    <w:tblStylePr w:type="firstRow">
      <w:rPr>
        <w:rFonts w:cs="Times New Roman"/>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FF00" w:fill="FFFFFF"/>
      </w:tcPr>
    </w:tblStylePr>
    <w:tblStylePr w:type="band2Horz">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3">
    <w:name w:val="Table List 3"/>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0000"/>
        <w:bottom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List4">
    <w:name w:val="Table List 4"/>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style>
  <w:style w:type="table" w:styleId="TableList6">
    <w:name w:val="Table List 6"/>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rPr>
      <w:tblPr/>
      <w:tcPr>
        <w:tcBorders>
          <w:bottom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rPr>
      <w:tblPr/>
      <w:tcPr>
        <w:tcBorders>
          <w:top w:val="single" w:sz="12" w:space="0" w:color="008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551047"/>
    <w:pPr>
      <w:spacing w:after="120" w:line="240" w:lineRule="auto"/>
    </w:pPr>
    <w:rPr>
      <w:rFonts w:ascii="Calibri" w:eastAsia="Times New Roman" w:hAnsi="Calibri" w:cs="Times New Roman"/>
      <w:sz w:val="20"/>
      <w:szCs w:val="20"/>
      <w:lang w:eastAsia="en-AU"/>
    </w:rP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6" w:space="0" w:color="000000"/>
          <w:tl2br w:val="none" w:sz="0" w:space="0" w:color="auto"/>
          <w:tr2bl w:val="none" w:sz="0" w:space="0" w:color="auto"/>
        </w:tcBorders>
      </w:tcPr>
    </w:tblStylePr>
    <w:tblStylePr w:type="neCell">
      <w:rPr>
        <w:rFonts w:cs="Times New Roman"/>
      </w:rPr>
      <w:tblPr/>
      <w:tcPr>
        <w:tcBorders>
          <w:left w:val="none" w:sz="0" w:space="0" w:color="auto"/>
          <w:tl2br w:val="none" w:sz="0" w:space="0" w:color="auto"/>
          <w:tr2bl w:val="none" w:sz="0" w:space="0" w:color="auto"/>
        </w:tcBorders>
      </w:tcPr>
    </w:tblStylePr>
    <w:tblStylePr w:type="swCell">
      <w:rPr>
        <w:rFonts w:cs="Times New Roman"/>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551047"/>
    <w:pPr>
      <w:spacing w:after="120" w:line="240" w:lineRule="auto"/>
    </w:pPr>
    <w:rPr>
      <w:rFonts w:ascii="Calibri" w:eastAsia="Times New Roman" w:hAnsi="Calibri" w:cs="Times New Roman"/>
      <w:sz w:val="20"/>
      <w:szCs w:val="20"/>
      <w:lang w:eastAsia="en-A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Subtle2">
    <w:name w:val="Table Subtle 2"/>
    <w:basedOn w:val="TableNormal"/>
    <w:uiPriority w:val="99"/>
    <w:rsid w:val="00551047"/>
    <w:pPr>
      <w:spacing w:after="120" w:line="240" w:lineRule="auto"/>
    </w:pPr>
    <w:rPr>
      <w:rFonts w:ascii="Calibri" w:eastAsia="Times New Roman" w:hAnsi="Calibri" w:cs="Times New Roman"/>
      <w:sz w:val="20"/>
      <w:szCs w:val="20"/>
      <w:lang w:eastAsia="en-AU"/>
    </w:r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rPr>
      <w:tblPr/>
      <w:tcPr>
        <w:tcBorders>
          <w:tl2br w:val="none" w:sz="0" w:space="0" w:color="auto"/>
          <w:tr2bl w:val="none" w:sz="0" w:space="0" w:color="auto"/>
        </w:tcBorders>
      </w:tcPr>
    </w:tblStylePr>
    <w:tblStylePr w:type="swCell">
      <w:rPr>
        <w:rFonts w:cs="Times New Roman"/>
      </w:rPr>
      <w:tblPr/>
      <w:tcPr>
        <w:tcBorders>
          <w:tl2br w:val="none" w:sz="0" w:space="0" w:color="auto"/>
          <w:tr2bl w:val="none" w:sz="0" w:space="0" w:color="auto"/>
        </w:tcBorders>
      </w:tcPr>
    </w:tblStylePr>
  </w:style>
  <w:style w:type="table" w:styleId="TableTheme">
    <w:name w:val="Table Theme"/>
    <w:basedOn w:val="TableNormal"/>
    <w:uiPriority w:val="99"/>
    <w:rsid w:val="00551047"/>
    <w:pPr>
      <w:spacing w:after="120" w:line="240" w:lineRule="auto"/>
    </w:pPr>
    <w:rPr>
      <w:rFonts w:ascii="Calibri" w:eastAsia="Times New Roman"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551047"/>
    <w:pPr>
      <w:spacing w:after="120" w:line="240" w:lineRule="auto"/>
    </w:pPr>
    <w:rPr>
      <w:rFonts w:ascii="Calibri" w:eastAsia="Times New Roman" w:hAnsi="Calibri" w:cs="Times New Roman"/>
      <w:sz w:val="20"/>
      <w:szCs w:val="20"/>
      <w:lang w:eastAsia="en-AU"/>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2">
    <w:name w:val="Table Web 2"/>
    <w:basedOn w:val="TableNormal"/>
    <w:uiPriority w:val="99"/>
    <w:rsid w:val="00551047"/>
    <w:pPr>
      <w:spacing w:after="120" w:line="240" w:lineRule="auto"/>
    </w:pPr>
    <w:rPr>
      <w:rFonts w:ascii="Calibri" w:eastAsia="Times New Roman" w:hAnsi="Calibri" w:cs="Times New Roman"/>
      <w:sz w:val="20"/>
      <w:szCs w:val="20"/>
      <w:lang w:eastAsia="en-A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table" w:styleId="TableWeb3">
    <w:name w:val="Table Web 3"/>
    <w:basedOn w:val="TableNormal"/>
    <w:uiPriority w:val="99"/>
    <w:rsid w:val="00551047"/>
    <w:pPr>
      <w:spacing w:after="120" w:line="240" w:lineRule="auto"/>
    </w:pPr>
    <w:rPr>
      <w:rFonts w:ascii="Calibri" w:eastAsia="Times New Roman" w:hAnsi="Calibri" w:cs="Times New Roman"/>
      <w:sz w:val="20"/>
      <w:szCs w:val="20"/>
      <w:lang w:eastAsia="en-AU"/>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rPr>
      <w:tblPr/>
      <w:tcPr>
        <w:tcBorders>
          <w:tl2br w:val="none" w:sz="0" w:space="0" w:color="auto"/>
          <w:tr2bl w:val="none" w:sz="0" w:space="0" w:color="auto"/>
        </w:tcBorders>
      </w:tcPr>
    </w:tblStylePr>
  </w:style>
  <w:style w:type="paragraph" w:customStyle="1" w:styleId="VersoPageHeading">
    <w:name w:val="Verso Page Heading"/>
    <w:uiPriority w:val="12"/>
    <w:qFormat/>
    <w:rsid w:val="00551047"/>
    <w:pPr>
      <w:spacing w:before="180" w:after="60" w:line="240" w:lineRule="auto"/>
    </w:pPr>
    <w:rPr>
      <w:rFonts w:ascii="Calibri" w:eastAsia="Times New Roman" w:hAnsi="Calibri" w:cs="Times New Roman"/>
      <w:bCs/>
      <w:color w:val="004B87" w:themeColor="accent2"/>
      <w:sz w:val="24"/>
      <w:szCs w:val="26"/>
    </w:rPr>
  </w:style>
  <w:style w:type="paragraph" w:customStyle="1" w:styleId="BusinessUnitName">
    <w:name w:val="Business Unit Name"/>
    <w:uiPriority w:val="12"/>
    <w:rsid w:val="00551047"/>
    <w:pPr>
      <w:spacing w:after="0" w:line="240" w:lineRule="auto"/>
    </w:pPr>
    <w:rPr>
      <w:rFonts w:ascii="Calibri" w:hAnsi="Calibri" w:cs="Times New Roman"/>
      <w:b/>
      <w:caps/>
      <w:noProof/>
      <w:color w:val="FFFFFF"/>
      <w:spacing w:val="16"/>
      <w:szCs w:val="24"/>
    </w:rPr>
  </w:style>
  <w:style w:type="paragraph" w:styleId="DocumentMap">
    <w:name w:val="Document Map"/>
    <w:basedOn w:val="Normal"/>
    <w:link w:val="DocumentMapChar"/>
    <w:uiPriority w:val="99"/>
    <w:semiHidden/>
    <w:rsid w:val="0055104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semiHidden/>
    <w:rsid w:val="00551047"/>
    <w:rPr>
      <w:rFonts w:ascii="Tahoma" w:eastAsia="Calibri" w:hAnsi="Tahoma" w:cs="Tahoma"/>
      <w:color w:val="000000"/>
      <w:sz w:val="20"/>
      <w:szCs w:val="20"/>
      <w:shd w:val="clear" w:color="auto" w:fill="000080"/>
      <w:lang w:eastAsia="en-AU"/>
    </w:rPr>
  </w:style>
  <w:style w:type="character" w:styleId="EndnoteReference">
    <w:name w:val="endnote reference"/>
    <w:basedOn w:val="DefaultParagraphFont"/>
    <w:uiPriority w:val="99"/>
    <w:semiHidden/>
    <w:rsid w:val="00551047"/>
    <w:rPr>
      <w:rFonts w:cs="Times New Roman"/>
      <w:vertAlign w:val="superscript"/>
    </w:rPr>
  </w:style>
  <w:style w:type="paragraph" w:styleId="EndnoteText">
    <w:name w:val="endnote text"/>
    <w:basedOn w:val="Normal"/>
    <w:link w:val="EndnoteTextChar"/>
    <w:uiPriority w:val="99"/>
    <w:semiHidden/>
    <w:rsid w:val="00551047"/>
    <w:rPr>
      <w:sz w:val="20"/>
      <w:szCs w:val="20"/>
    </w:rPr>
  </w:style>
  <w:style w:type="character" w:customStyle="1" w:styleId="EndnoteTextChar">
    <w:name w:val="Endnote Text Char"/>
    <w:basedOn w:val="DefaultParagraphFont"/>
    <w:link w:val="EndnoteText"/>
    <w:uiPriority w:val="99"/>
    <w:semiHidden/>
    <w:rsid w:val="00551047"/>
    <w:rPr>
      <w:rFonts w:ascii="Calibri" w:eastAsia="Calibri" w:hAnsi="Calibri" w:cs="Times New Roman"/>
      <w:color w:val="000000"/>
      <w:sz w:val="20"/>
      <w:szCs w:val="20"/>
      <w:lang w:eastAsia="en-AU"/>
    </w:rPr>
  </w:style>
  <w:style w:type="paragraph" w:styleId="Index1">
    <w:name w:val="index 1"/>
    <w:basedOn w:val="Normal"/>
    <w:next w:val="Normal"/>
    <w:autoRedefine/>
    <w:uiPriority w:val="99"/>
    <w:semiHidden/>
    <w:rsid w:val="00551047"/>
    <w:pPr>
      <w:ind w:left="220" w:hanging="220"/>
    </w:pPr>
  </w:style>
  <w:style w:type="paragraph" w:styleId="Index2">
    <w:name w:val="index 2"/>
    <w:basedOn w:val="Normal"/>
    <w:next w:val="Normal"/>
    <w:autoRedefine/>
    <w:uiPriority w:val="99"/>
    <w:semiHidden/>
    <w:rsid w:val="00551047"/>
    <w:pPr>
      <w:ind w:left="440" w:hanging="220"/>
    </w:pPr>
  </w:style>
  <w:style w:type="paragraph" w:styleId="Index3">
    <w:name w:val="index 3"/>
    <w:basedOn w:val="Normal"/>
    <w:next w:val="Normal"/>
    <w:autoRedefine/>
    <w:uiPriority w:val="99"/>
    <w:semiHidden/>
    <w:rsid w:val="00551047"/>
    <w:pPr>
      <w:ind w:left="660" w:hanging="220"/>
    </w:pPr>
  </w:style>
  <w:style w:type="paragraph" w:styleId="Index4">
    <w:name w:val="index 4"/>
    <w:basedOn w:val="Normal"/>
    <w:next w:val="Normal"/>
    <w:autoRedefine/>
    <w:uiPriority w:val="99"/>
    <w:semiHidden/>
    <w:rsid w:val="00551047"/>
    <w:pPr>
      <w:ind w:left="880" w:hanging="220"/>
    </w:pPr>
  </w:style>
  <w:style w:type="paragraph" w:styleId="Index5">
    <w:name w:val="index 5"/>
    <w:basedOn w:val="Normal"/>
    <w:next w:val="Normal"/>
    <w:autoRedefine/>
    <w:uiPriority w:val="99"/>
    <w:semiHidden/>
    <w:rsid w:val="00551047"/>
    <w:pPr>
      <w:ind w:left="1100" w:hanging="220"/>
    </w:pPr>
  </w:style>
  <w:style w:type="paragraph" w:styleId="Index6">
    <w:name w:val="index 6"/>
    <w:basedOn w:val="Normal"/>
    <w:next w:val="Normal"/>
    <w:autoRedefine/>
    <w:uiPriority w:val="99"/>
    <w:semiHidden/>
    <w:rsid w:val="00551047"/>
    <w:pPr>
      <w:ind w:left="1320" w:hanging="220"/>
    </w:pPr>
  </w:style>
  <w:style w:type="paragraph" w:styleId="Index7">
    <w:name w:val="index 7"/>
    <w:basedOn w:val="Normal"/>
    <w:next w:val="Normal"/>
    <w:autoRedefine/>
    <w:uiPriority w:val="99"/>
    <w:semiHidden/>
    <w:rsid w:val="00551047"/>
    <w:pPr>
      <w:ind w:left="1540" w:hanging="220"/>
    </w:pPr>
  </w:style>
  <w:style w:type="paragraph" w:styleId="Index8">
    <w:name w:val="index 8"/>
    <w:basedOn w:val="Normal"/>
    <w:next w:val="Normal"/>
    <w:autoRedefine/>
    <w:uiPriority w:val="99"/>
    <w:semiHidden/>
    <w:rsid w:val="00551047"/>
    <w:pPr>
      <w:ind w:left="1760" w:hanging="220"/>
    </w:pPr>
  </w:style>
  <w:style w:type="paragraph" w:styleId="Index9">
    <w:name w:val="index 9"/>
    <w:basedOn w:val="Normal"/>
    <w:next w:val="Normal"/>
    <w:autoRedefine/>
    <w:uiPriority w:val="99"/>
    <w:semiHidden/>
    <w:rsid w:val="00551047"/>
    <w:pPr>
      <w:ind w:left="1980" w:hanging="220"/>
    </w:pPr>
  </w:style>
  <w:style w:type="paragraph" w:styleId="IndexHeading">
    <w:name w:val="index heading"/>
    <w:basedOn w:val="Normal"/>
    <w:next w:val="Index1"/>
    <w:uiPriority w:val="99"/>
    <w:semiHidden/>
    <w:rsid w:val="00551047"/>
    <w:rPr>
      <w:rFonts w:ascii="Arial" w:hAnsi="Arial" w:cs="Arial"/>
      <w:b/>
      <w:bCs/>
    </w:rPr>
  </w:style>
  <w:style w:type="paragraph" w:styleId="MacroText">
    <w:name w:val="macro"/>
    <w:link w:val="MacroTextChar"/>
    <w:uiPriority w:val="99"/>
    <w:semiHidden/>
    <w:rsid w:val="00551047"/>
    <w:pPr>
      <w:tabs>
        <w:tab w:val="left" w:pos="480"/>
        <w:tab w:val="left" w:pos="960"/>
        <w:tab w:val="left" w:pos="1440"/>
        <w:tab w:val="left" w:pos="1920"/>
        <w:tab w:val="left" w:pos="2400"/>
        <w:tab w:val="left" w:pos="2880"/>
        <w:tab w:val="left" w:pos="3360"/>
        <w:tab w:val="left" w:pos="3840"/>
        <w:tab w:val="left" w:pos="4320"/>
      </w:tabs>
      <w:spacing w:after="120" w:line="240" w:lineRule="auto"/>
    </w:pPr>
    <w:rPr>
      <w:rFonts w:ascii="Courier New" w:hAnsi="Courier New" w:cs="Courier New"/>
      <w:color w:val="000000"/>
      <w:sz w:val="20"/>
      <w:szCs w:val="20"/>
    </w:rPr>
  </w:style>
  <w:style w:type="character" w:customStyle="1" w:styleId="MacroTextChar">
    <w:name w:val="Macro Text Char"/>
    <w:basedOn w:val="DefaultParagraphFont"/>
    <w:link w:val="MacroText"/>
    <w:uiPriority w:val="99"/>
    <w:semiHidden/>
    <w:rsid w:val="00551047"/>
    <w:rPr>
      <w:rFonts w:ascii="Courier New" w:hAnsi="Courier New" w:cs="Courier New"/>
      <w:color w:val="000000"/>
      <w:sz w:val="20"/>
      <w:szCs w:val="20"/>
    </w:rPr>
  </w:style>
  <w:style w:type="paragraph" w:styleId="TableofAuthorities">
    <w:name w:val="table of authorities"/>
    <w:basedOn w:val="Normal"/>
    <w:next w:val="Normal"/>
    <w:uiPriority w:val="99"/>
    <w:semiHidden/>
    <w:rsid w:val="00551047"/>
    <w:pPr>
      <w:ind w:left="220" w:hanging="220"/>
    </w:pPr>
  </w:style>
  <w:style w:type="paragraph" w:styleId="TableofFigures">
    <w:name w:val="table of figures"/>
    <w:basedOn w:val="BodyText"/>
    <w:next w:val="BodyText"/>
    <w:uiPriority w:val="99"/>
    <w:rsid w:val="00551047"/>
    <w:pPr>
      <w:tabs>
        <w:tab w:val="right" w:leader="dot" w:pos="9639"/>
      </w:tabs>
      <w:spacing w:before="0"/>
      <w:ind w:right="284"/>
    </w:pPr>
  </w:style>
  <w:style w:type="paragraph" w:styleId="TOAHeading">
    <w:name w:val="toa heading"/>
    <w:basedOn w:val="Normal"/>
    <w:next w:val="Normal"/>
    <w:uiPriority w:val="99"/>
    <w:semiHidden/>
    <w:rsid w:val="00551047"/>
    <w:pPr>
      <w:spacing w:before="120"/>
    </w:pPr>
    <w:rPr>
      <w:rFonts w:ascii="Arial" w:hAnsi="Arial" w:cs="Arial"/>
      <w:b/>
      <w:bCs/>
      <w:sz w:val="24"/>
      <w:szCs w:val="24"/>
    </w:rPr>
  </w:style>
  <w:style w:type="paragraph" w:styleId="TOC5">
    <w:name w:val="toc 5"/>
    <w:basedOn w:val="Normal"/>
    <w:next w:val="Normal"/>
    <w:autoRedefine/>
    <w:uiPriority w:val="99"/>
    <w:semiHidden/>
    <w:rsid w:val="00551047"/>
    <w:pPr>
      <w:ind w:left="880"/>
    </w:pPr>
  </w:style>
  <w:style w:type="paragraph" w:styleId="TOC6">
    <w:name w:val="toc 6"/>
    <w:basedOn w:val="Normal"/>
    <w:next w:val="Normal"/>
    <w:autoRedefine/>
    <w:uiPriority w:val="99"/>
    <w:semiHidden/>
    <w:rsid w:val="00551047"/>
    <w:pPr>
      <w:ind w:left="1100"/>
    </w:pPr>
  </w:style>
  <w:style w:type="paragraph" w:styleId="TOC7">
    <w:name w:val="toc 7"/>
    <w:basedOn w:val="Normal"/>
    <w:next w:val="Normal"/>
    <w:autoRedefine/>
    <w:uiPriority w:val="99"/>
    <w:semiHidden/>
    <w:rsid w:val="00551047"/>
    <w:pPr>
      <w:ind w:left="1320"/>
    </w:pPr>
  </w:style>
  <w:style w:type="paragraph" w:styleId="TOC8">
    <w:name w:val="toc 8"/>
    <w:basedOn w:val="Normal"/>
    <w:next w:val="Normal"/>
    <w:autoRedefine/>
    <w:uiPriority w:val="99"/>
    <w:semiHidden/>
    <w:rsid w:val="00551047"/>
    <w:pPr>
      <w:ind w:left="1540"/>
    </w:pPr>
  </w:style>
  <w:style w:type="numbering" w:customStyle="1" w:styleId="TableBullets">
    <w:name w:val="TableBullets"/>
    <w:uiPriority w:val="99"/>
    <w:rsid w:val="00551047"/>
    <w:pPr>
      <w:numPr>
        <w:numId w:val="7"/>
      </w:numPr>
    </w:pPr>
  </w:style>
  <w:style w:type="numbering" w:customStyle="1" w:styleId="Sources">
    <w:name w:val="Sources"/>
    <w:rsid w:val="00551047"/>
    <w:pPr>
      <w:numPr>
        <w:numId w:val="6"/>
      </w:numPr>
    </w:pPr>
  </w:style>
  <w:style w:type="numbering" w:styleId="1ai">
    <w:name w:val="Outline List 1"/>
    <w:basedOn w:val="NoList"/>
    <w:uiPriority w:val="99"/>
    <w:semiHidden/>
    <w:unhideWhenUsed/>
    <w:rsid w:val="00551047"/>
    <w:pPr>
      <w:numPr>
        <w:numId w:val="10"/>
      </w:numPr>
    </w:pPr>
  </w:style>
  <w:style w:type="numbering" w:styleId="111111">
    <w:name w:val="Outline List 2"/>
    <w:basedOn w:val="NoList"/>
    <w:uiPriority w:val="99"/>
    <w:semiHidden/>
    <w:unhideWhenUsed/>
    <w:rsid w:val="00551047"/>
    <w:pPr>
      <w:numPr>
        <w:numId w:val="9"/>
      </w:numPr>
    </w:pPr>
  </w:style>
  <w:style w:type="numbering" w:customStyle="1" w:styleId="Bullets">
    <w:name w:val="Bullets"/>
    <w:rsid w:val="00551047"/>
    <w:pPr>
      <w:numPr>
        <w:numId w:val="5"/>
      </w:numPr>
    </w:pPr>
  </w:style>
  <w:style w:type="numbering" w:customStyle="1" w:styleId="Numbers">
    <w:name w:val="Numbers"/>
    <w:rsid w:val="00551047"/>
    <w:pPr>
      <w:numPr>
        <w:numId w:val="8"/>
      </w:numPr>
    </w:pPr>
  </w:style>
  <w:style w:type="numbering" w:styleId="ArticleSection">
    <w:name w:val="Outline List 3"/>
    <w:basedOn w:val="NoList"/>
    <w:uiPriority w:val="99"/>
    <w:semiHidden/>
    <w:unhideWhenUsed/>
    <w:rsid w:val="00551047"/>
    <w:pPr>
      <w:numPr>
        <w:numId w:val="11"/>
      </w:numPr>
    </w:pPr>
  </w:style>
  <w:style w:type="paragraph" w:customStyle="1" w:styleId="AppendixHeading1base">
    <w:name w:val="Appendix Heading 1 base"/>
    <w:uiPriority w:val="20"/>
    <w:semiHidden/>
    <w:qFormat/>
    <w:rsid w:val="00551047"/>
    <w:pPr>
      <w:keepNext/>
      <w:pageBreakBefore/>
      <w:numPr>
        <w:numId w:val="14"/>
      </w:numPr>
      <w:tabs>
        <w:tab w:val="left" w:pos="2268"/>
      </w:tabs>
      <w:spacing w:after="0" w:line="240" w:lineRule="auto"/>
    </w:pPr>
    <w:rPr>
      <w:rFonts w:ascii="Calibri" w:eastAsiaTheme="majorEastAsia" w:hAnsi="Calibri" w:cstheme="majorBidi"/>
      <w:b/>
      <w:bCs/>
      <w:color w:val="41B6E6" w:themeColor="accent1"/>
      <w:sz w:val="44"/>
      <w:szCs w:val="28"/>
      <w:lang w:eastAsia="en-AU"/>
    </w:rPr>
  </w:style>
  <w:style w:type="paragraph" w:customStyle="1" w:styleId="AppendixHeading2">
    <w:name w:val="Appendix Heading 2"/>
    <w:basedOn w:val="Heading2"/>
    <w:next w:val="BodyText"/>
    <w:uiPriority w:val="11"/>
    <w:qFormat/>
    <w:rsid w:val="00551047"/>
    <w:pPr>
      <w:numPr>
        <w:numId w:val="14"/>
      </w:numPr>
      <w:ind w:left="1134" w:hanging="1134"/>
    </w:pPr>
  </w:style>
  <w:style w:type="paragraph" w:customStyle="1" w:styleId="AppendixHeading3">
    <w:name w:val="Appendix Heading 3"/>
    <w:basedOn w:val="Heading3"/>
    <w:next w:val="BodyText"/>
    <w:uiPriority w:val="11"/>
    <w:qFormat/>
    <w:rsid w:val="00551047"/>
    <w:pPr>
      <w:numPr>
        <w:numId w:val="14"/>
      </w:numPr>
      <w:ind w:left="1134" w:hanging="1134"/>
    </w:pPr>
  </w:style>
  <w:style w:type="paragraph" w:customStyle="1" w:styleId="AppendixHeading4">
    <w:name w:val="Appendix Heading 4"/>
    <w:basedOn w:val="Heading4"/>
    <w:next w:val="BodyText"/>
    <w:uiPriority w:val="11"/>
    <w:qFormat/>
    <w:rsid w:val="00551047"/>
  </w:style>
  <w:style w:type="paragraph" w:customStyle="1" w:styleId="Equation">
    <w:name w:val="Equation"/>
    <w:basedOn w:val="BodyText"/>
    <w:next w:val="BodyText"/>
    <w:uiPriority w:val="7"/>
    <w:qFormat/>
    <w:rsid w:val="00551047"/>
    <w:pPr>
      <w:tabs>
        <w:tab w:val="right" w:pos="9639"/>
      </w:tabs>
      <w:spacing w:before="240" w:after="240"/>
      <w:ind w:left="567"/>
    </w:pPr>
    <w:rPr>
      <w:rFonts w:asciiTheme="minorHAnsi" w:eastAsia="Times New Roman" w:hAnsiTheme="minorHAnsi"/>
      <w:color w:val="auto"/>
      <w:szCs w:val="24"/>
      <w:lang w:eastAsia="en-US"/>
    </w:rPr>
  </w:style>
  <w:style w:type="paragraph" w:customStyle="1" w:styleId="Reference">
    <w:name w:val="Reference"/>
    <w:basedOn w:val="BodyText"/>
    <w:next w:val="BodyText"/>
    <w:link w:val="ReferenceChar"/>
    <w:uiPriority w:val="4"/>
    <w:qFormat/>
    <w:rsid w:val="00551047"/>
    <w:pPr>
      <w:ind w:left="567" w:hanging="567"/>
    </w:pPr>
  </w:style>
  <w:style w:type="paragraph" w:styleId="ListNumber2">
    <w:name w:val="List Number 2"/>
    <w:basedOn w:val="ListNumber"/>
    <w:next w:val="BodyText"/>
    <w:uiPriority w:val="2"/>
    <w:qFormat/>
    <w:rsid w:val="00551047"/>
    <w:pPr>
      <w:numPr>
        <w:numId w:val="12"/>
      </w:numPr>
      <w:tabs>
        <w:tab w:val="left" w:pos="794"/>
      </w:tabs>
      <w:spacing w:before="60" w:after="60"/>
      <w:ind w:left="794" w:hanging="397"/>
    </w:pPr>
  </w:style>
  <w:style w:type="character" w:customStyle="1" w:styleId="Italics">
    <w:name w:val="Italics"/>
    <w:basedOn w:val="DefaultParagraphFont"/>
    <w:uiPriority w:val="3"/>
    <w:qFormat/>
    <w:rsid w:val="00551047"/>
    <w:rPr>
      <w:i/>
    </w:rPr>
  </w:style>
  <w:style w:type="table" w:customStyle="1" w:styleId="LightShading1">
    <w:name w:val="Light Shading1"/>
    <w:basedOn w:val="TableNormal"/>
    <w:uiPriority w:val="60"/>
    <w:rsid w:val="00551047"/>
    <w:pPr>
      <w:spacing w:after="0" w:line="240" w:lineRule="auto"/>
    </w:pPr>
    <w:rPr>
      <w:rFonts w:ascii="Calibri" w:hAnsi="Calibri" w:cs="Times New Roman"/>
      <w:color w:val="000000" w:themeColor="text1" w:themeShade="BF"/>
      <w:lang w:eastAsia="en-AU"/>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TableCSIRO">
    <w:name w:val="Table_CSIRO"/>
    <w:basedOn w:val="TableNormal"/>
    <w:uiPriority w:val="99"/>
    <w:qFormat/>
    <w:rsid w:val="00551047"/>
    <w:pPr>
      <w:spacing w:after="0" w:line="240" w:lineRule="auto"/>
    </w:pPr>
    <w:rPr>
      <w:rFonts w:ascii="Calibri" w:hAnsi="Calibri" w:cs="Times New Roman"/>
      <w:lang w:eastAsia="en-AU"/>
    </w:rPr>
    <w:tblPr>
      <w:tblStyleRowBandSize w:val="1"/>
      <w:tblInd w:w="113" w:type="dxa"/>
      <w:tblBorders>
        <w:bottom w:val="single" w:sz="4" w:space="0" w:color="auto"/>
      </w:tblBorders>
      <w:tblCellMar>
        <w:left w:w="85" w:type="dxa"/>
        <w:bottom w:w="28" w:type="dxa"/>
        <w:right w:w="85" w:type="dxa"/>
      </w:tblCellMar>
    </w:tblPr>
    <w:tblStylePr w:type="firstRow">
      <w:pPr>
        <w:spacing w:before="0" w:after="0" w:line="240" w:lineRule="auto"/>
      </w:pPr>
      <w:rPr>
        <w:b/>
        <w:bCs/>
        <w:color w:val="FFFFFF" w:themeColor="background1"/>
      </w:rPr>
      <w:tblPr/>
      <w:tcPr>
        <w:tcBorders>
          <w:top w:val="nil"/>
          <w:left w:val="nil"/>
          <w:bottom w:val="nil"/>
          <w:right w:val="nil"/>
          <w:insideH w:val="nil"/>
          <w:insideV w:val="nil"/>
          <w:tl2br w:val="nil"/>
          <w:tr2bl w:val="nil"/>
        </w:tcBorders>
        <w:shd w:val="clear" w:color="auto" w:fill="000000" w:themeFill="text1"/>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Horz">
      <w:tblPr/>
      <w:tcPr>
        <w:tcBorders>
          <w:left w:val="nil"/>
          <w:right w:val="nil"/>
          <w:insideH w:val="nil"/>
          <w:insideV w:val="nil"/>
        </w:tcBorders>
        <w:shd w:val="clear" w:color="auto" w:fill="EDEDED"/>
      </w:tcPr>
    </w:tblStylePr>
  </w:style>
  <w:style w:type="paragraph" w:customStyle="1" w:styleId="CaptionNote">
    <w:name w:val="Caption Note"/>
    <w:basedOn w:val="Caption"/>
    <w:next w:val="BodyText"/>
    <w:uiPriority w:val="4"/>
    <w:qFormat/>
    <w:rsid w:val="00551047"/>
    <w:pPr>
      <w:spacing w:before="0"/>
    </w:pPr>
  </w:style>
  <w:style w:type="character" w:customStyle="1" w:styleId="Bold">
    <w:name w:val="Bold"/>
    <w:basedOn w:val="DefaultParagraphFont"/>
    <w:uiPriority w:val="3"/>
    <w:qFormat/>
    <w:rsid w:val="00551047"/>
    <w:rPr>
      <w:b/>
    </w:rPr>
  </w:style>
  <w:style w:type="character" w:styleId="IntenseEmphasis">
    <w:name w:val="Intense Emphasis"/>
    <w:basedOn w:val="DefaultParagraphFont"/>
    <w:uiPriority w:val="21"/>
    <w:qFormat/>
    <w:rsid w:val="00551047"/>
    <w:rPr>
      <w:b/>
      <w:bCs/>
      <w:i/>
      <w:iCs/>
      <w:color w:val="004B87" w:themeColor="accent2"/>
    </w:rPr>
  </w:style>
  <w:style w:type="character" w:styleId="SubtleEmphasis">
    <w:name w:val="Subtle Emphasis"/>
    <w:basedOn w:val="DefaultParagraphFont"/>
    <w:uiPriority w:val="19"/>
    <w:qFormat/>
    <w:rsid w:val="00551047"/>
    <w:rPr>
      <w:i/>
      <w:iCs/>
      <w:color w:val="595959" w:themeColor="text1" w:themeTint="A6"/>
    </w:rPr>
  </w:style>
  <w:style w:type="paragraph" w:styleId="IntenseQuote">
    <w:name w:val="Intense Quote"/>
    <w:basedOn w:val="Normal"/>
    <w:next w:val="Normal"/>
    <w:link w:val="IntenseQuoteChar"/>
    <w:uiPriority w:val="30"/>
    <w:qFormat/>
    <w:rsid w:val="00551047"/>
    <w:pPr>
      <w:pBdr>
        <w:bottom w:val="single" w:sz="4" w:space="4" w:color="004B87" w:themeColor="accent2"/>
      </w:pBdr>
      <w:spacing w:before="200" w:after="280"/>
      <w:ind w:left="936" w:right="936"/>
    </w:pPr>
    <w:rPr>
      <w:b/>
      <w:bCs/>
      <w:i/>
      <w:iCs/>
      <w:color w:val="004B87" w:themeColor="accent2"/>
    </w:rPr>
  </w:style>
  <w:style w:type="character" w:customStyle="1" w:styleId="IntenseQuoteChar">
    <w:name w:val="Intense Quote Char"/>
    <w:basedOn w:val="DefaultParagraphFont"/>
    <w:link w:val="IntenseQuote"/>
    <w:uiPriority w:val="30"/>
    <w:rsid w:val="00551047"/>
    <w:rPr>
      <w:rFonts w:ascii="Calibri" w:eastAsia="Calibri" w:hAnsi="Calibri" w:cs="Times New Roman"/>
      <w:b/>
      <w:bCs/>
      <w:i/>
      <w:iCs/>
      <w:color w:val="004B87" w:themeColor="accent2"/>
      <w:lang w:eastAsia="en-AU"/>
    </w:rPr>
  </w:style>
  <w:style w:type="paragraph" w:customStyle="1" w:styleId="Boxedheading">
    <w:name w:val="Boxed heading"/>
    <w:uiPriority w:val="19"/>
    <w:qFormat/>
    <w:rsid w:val="00551047"/>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8EDFF" w:themeFill="accent2" w:themeFillTint="1A"/>
      <w:spacing w:before="360" w:after="240" w:line="240" w:lineRule="auto"/>
      <w:ind w:left="227" w:right="227"/>
    </w:pPr>
    <w:rPr>
      <w:rFonts w:ascii="Calibri" w:eastAsia="Calibri" w:hAnsi="Calibri" w:cs="Times New Roman"/>
      <w:b/>
      <w:color w:val="000000"/>
      <w:sz w:val="28"/>
      <w:szCs w:val="28"/>
      <w:lang w:eastAsia="en-AU"/>
    </w:rPr>
  </w:style>
  <w:style w:type="paragraph" w:customStyle="1" w:styleId="Boxedtext">
    <w:name w:val="Boxed text"/>
    <w:uiPriority w:val="19"/>
    <w:qFormat/>
    <w:rsid w:val="00551047"/>
    <w:pPr>
      <w:pBdr>
        <w:top w:val="single" w:sz="4" w:space="10" w:color="FFFFFF" w:themeColor="background1"/>
        <w:left w:val="single" w:sz="4" w:space="10" w:color="FFFFFF" w:themeColor="background1"/>
        <w:bottom w:val="single" w:sz="4" w:space="10" w:color="FFFFFF" w:themeColor="background1"/>
        <w:right w:val="single" w:sz="4" w:space="10" w:color="FFFFFF" w:themeColor="background1"/>
      </w:pBdr>
      <w:shd w:val="clear" w:color="auto" w:fill="D8EDFF" w:themeFill="accent2" w:themeFillTint="1A"/>
      <w:spacing w:before="180" w:after="180" w:line="240" w:lineRule="auto"/>
      <w:ind w:left="227" w:right="227"/>
    </w:pPr>
    <w:rPr>
      <w:rFonts w:ascii="Calibri" w:eastAsia="Calibri" w:hAnsi="Calibri" w:cs="Times New Roman"/>
      <w:color w:val="000000"/>
      <w:sz w:val="24"/>
      <w:szCs w:val="24"/>
      <w:lang w:eastAsia="en-AU"/>
    </w:rPr>
  </w:style>
  <w:style w:type="paragraph" w:customStyle="1" w:styleId="Boxedlistbullet">
    <w:name w:val="Boxed list bullet"/>
    <w:basedOn w:val="Boxedtext"/>
    <w:uiPriority w:val="19"/>
    <w:qFormat/>
    <w:rsid w:val="00551047"/>
    <w:pPr>
      <w:numPr>
        <w:numId w:val="17"/>
      </w:numPr>
      <w:spacing w:before="0" w:after="0"/>
      <w:ind w:left="454" w:hanging="227"/>
      <w:contextualSpacing/>
    </w:pPr>
  </w:style>
  <w:style w:type="paragraph" w:customStyle="1" w:styleId="TableCaption">
    <w:name w:val="Table Caption"/>
    <w:basedOn w:val="Caption"/>
    <w:link w:val="TableCaptionChar"/>
    <w:qFormat/>
    <w:rsid w:val="00D562B7"/>
    <w:pPr>
      <w:pBdr>
        <w:top w:val="single" w:sz="4" w:space="1" w:color="auto"/>
      </w:pBdr>
    </w:pPr>
    <w:rPr>
      <w:b w:val="0"/>
      <w:i/>
      <w:color w:val="000000" w:themeColor="text2"/>
      <w:sz w:val="18"/>
    </w:rPr>
  </w:style>
  <w:style w:type="character" w:customStyle="1" w:styleId="TableCaptionChar">
    <w:name w:val="Table Caption Char"/>
    <w:basedOn w:val="CaptionChar"/>
    <w:link w:val="TableCaption"/>
    <w:rsid w:val="00D562B7"/>
    <w:rPr>
      <w:rFonts w:ascii="Calibri" w:eastAsia="Calibri" w:hAnsi="Calibri" w:cs="Times New Roman"/>
      <w:b w:val="0"/>
      <w:bCs/>
      <w:i/>
      <w:color w:val="000000" w:themeColor="text2"/>
      <w:sz w:val="18"/>
      <w:szCs w:val="18"/>
      <w:lang w:eastAsia="en-AU"/>
    </w:rPr>
  </w:style>
  <w:style w:type="paragraph" w:customStyle="1" w:styleId="H1">
    <w:name w:val="H1"/>
    <w:basedOn w:val="Normal"/>
    <w:qFormat/>
    <w:rsid w:val="00D85352"/>
    <w:pPr>
      <w:pageBreakBefore/>
      <w:widowControl w:val="0"/>
      <w:suppressAutoHyphens/>
      <w:autoSpaceDE w:val="0"/>
      <w:autoSpaceDN w:val="0"/>
      <w:adjustRightInd w:val="0"/>
      <w:spacing w:after="567"/>
    </w:pPr>
    <w:rPr>
      <w:rFonts w:ascii="Calibri-Bold" w:eastAsiaTheme="minorEastAsia" w:hAnsi="Calibri-Bold" w:cs="Calibri-Bold"/>
      <w:b/>
      <w:bCs/>
      <w:color w:val="00AEEF"/>
      <w:sz w:val="48"/>
      <w:szCs w:val="48"/>
      <w:lang w:val="en-GB" w:eastAsia="ja-JP"/>
    </w:rPr>
  </w:style>
  <w:style w:type="character" w:customStyle="1" w:styleId="OWSTableheadingChar">
    <w:name w:val="OWS Table heading Char"/>
    <w:basedOn w:val="BodyChar"/>
    <w:link w:val="OWSTableheading"/>
    <w:locked/>
    <w:rsid w:val="00A83A47"/>
    <w:rPr>
      <w:rFonts w:ascii="Calibri" w:eastAsiaTheme="minorEastAsia" w:hAnsi="Calibri" w:cs="Arial"/>
      <w:b/>
      <w:color w:val="000000"/>
      <w:sz w:val="20"/>
      <w:szCs w:val="20"/>
      <w:lang w:val="en-GB" w:eastAsia="ja-JP"/>
    </w:rPr>
  </w:style>
  <w:style w:type="paragraph" w:customStyle="1" w:styleId="OWSTableheading">
    <w:name w:val="OWS Table heading"/>
    <w:basedOn w:val="Body"/>
    <w:link w:val="OWSTableheadingChar"/>
    <w:qFormat/>
    <w:rsid w:val="00A83A47"/>
    <w:pPr>
      <w:widowControl w:val="0"/>
      <w:spacing w:before="80" w:after="80" w:line="240" w:lineRule="auto"/>
      <w:textAlignment w:val="auto"/>
    </w:pPr>
    <w:rPr>
      <w:rFonts w:eastAsiaTheme="minorHAnsi" w:cs="Arial"/>
      <w:b/>
      <w:color w:val="auto"/>
      <w:sz w:val="20"/>
      <w:szCs w:val="20"/>
      <w:lang w:val="en-AU" w:eastAsia="en-US"/>
    </w:rPr>
  </w:style>
  <w:style w:type="character" w:customStyle="1" w:styleId="OWSTabletextChar">
    <w:name w:val="OWS Table text Char"/>
    <w:basedOn w:val="BodyChar"/>
    <w:link w:val="OWSTabletext"/>
    <w:locked/>
    <w:rsid w:val="00A83A47"/>
    <w:rPr>
      <w:rFonts w:ascii="Calibri" w:eastAsiaTheme="minorEastAsia" w:hAnsi="Calibri" w:cs="Arial"/>
      <w:color w:val="000000"/>
      <w:sz w:val="18"/>
      <w:szCs w:val="20"/>
      <w:lang w:val="en-GB" w:eastAsia="ja-JP"/>
    </w:rPr>
  </w:style>
  <w:style w:type="paragraph" w:customStyle="1" w:styleId="OWSTabletext">
    <w:name w:val="OWS Table text"/>
    <w:basedOn w:val="Body"/>
    <w:link w:val="OWSTabletextChar"/>
    <w:qFormat/>
    <w:rsid w:val="00A83A47"/>
    <w:pPr>
      <w:widowControl w:val="0"/>
      <w:spacing w:before="80" w:after="80" w:line="240" w:lineRule="auto"/>
      <w:textAlignment w:val="auto"/>
    </w:pPr>
    <w:rPr>
      <w:rFonts w:eastAsiaTheme="minorHAnsi" w:cs="Arial"/>
      <w:sz w:val="18"/>
      <w:szCs w:val="20"/>
      <w:lang w:val="en-AU" w:eastAsia="en-US"/>
    </w:rPr>
  </w:style>
  <w:style w:type="character" w:customStyle="1" w:styleId="apple-converted-space">
    <w:name w:val="apple-converted-space"/>
    <w:basedOn w:val="DefaultParagraphFont"/>
    <w:rsid w:val="00A83A47"/>
  </w:style>
  <w:style w:type="paragraph" w:styleId="Revision">
    <w:name w:val="Revision"/>
    <w:hidden/>
    <w:uiPriority w:val="99"/>
    <w:semiHidden/>
    <w:rsid w:val="007B6101"/>
    <w:pPr>
      <w:spacing w:after="0" w:line="240" w:lineRule="auto"/>
    </w:pPr>
    <w:rPr>
      <w:rFonts w:ascii="Calibri" w:eastAsia="Calibri" w:hAnsi="Calibri" w:cs="Times New Roman"/>
      <w:color w:val="000000"/>
      <w:lang w:eastAsia="en-AU"/>
    </w:rPr>
  </w:style>
  <w:style w:type="character" w:styleId="PlaceholderText">
    <w:name w:val="Placeholder Text"/>
    <w:basedOn w:val="DefaultParagraphFont"/>
    <w:uiPriority w:val="99"/>
    <w:semiHidden/>
    <w:rsid w:val="007E0C14"/>
    <w:rPr>
      <w:color w:val="808080"/>
    </w:rPr>
  </w:style>
  <w:style w:type="table" w:styleId="ListTable3-Accent1">
    <w:name w:val="List Table 3 Accent 1"/>
    <w:basedOn w:val="TableNormal"/>
    <w:uiPriority w:val="48"/>
    <w:rsid w:val="00AA16BE"/>
    <w:pPr>
      <w:spacing w:after="0" w:line="240" w:lineRule="auto"/>
      <w:jc w:val="both"/>
    </w:pPr>
    <w:tblPr>
      <w:tblStyleRowBandSize w:val="1"/>
      <w:tblStyleColBandSize w:val="1"/>
      <w:tblBorders>
        <w:top w:val="single" w:sz="4" w:space="0" w:color="41B6E6" w:themeColor="accent1"/>
        <w:left w:val="single" w:sz="4" w:space="0" w:color="41B6E6" w:themeColor="accent1"/>
        <w:bottom w:val="single" w:sz="4" w:space="0" w:color="41B6E6" w:themeColor="accent1"/>
        <w:right w:val="single" w:sz="4" w:space="0" w:color="41B6E6" w:themeColor="accent1"/>
      </w:tblBorders>
    </w:tblPr>
    <w:tblStylePr w:type="firstRow">
      <w:rPr>
        <w:b/>
        <w:bCs/>
        <w:color w:val="FFFFFF" w:themeColor="background1"/>
      </w:rPr>
      <w:tblPr/>
      <w:tcPr>
        <w:shd w:val="clear" w:color="auto" w:fill="41B6E6" w:themeFill="accent1"/>
      </w:tcPr>
    </w:tblStylePr>
    <w:tblStylePr w:type="lastRow">
      <w:rPr>
        <w:b/>
        <w:bCs/>
      </w:rPr>
      <w:tblPr/>
      <w:tcPr>
        <w:tcBorders>
          <w:top w:val="double" w:sz="4" w:space="0" w:color="41B6E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1B6E6" w:themeColor="accent1"/>
          <w:right w:val="single" w:sz="4" w:space="0" w:color="41B6E6" w:themeColor="accent1"/>
        </w:tcBorders>
      </w:tcPr>
    </w:tblStylePr>
    <w:tblStylePr w:type="band1Horz">
      <w:tblPr/>
      <w:tcPr>
        <w:tcBorders>
          <w:top w:val="single" w:sz="4" w:space="0" w:color="41B6E6" w:themeColor="accent1"/>
          <w:bottom w:val="single" w:sz="4" w:space="0" w:color="41B6E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1B6E6" w:themeColor="accent1"/>
          <w:left w:val="nil"/>
        </w:tcBorders>
      </w:tcPr>
    </w:tblStylePr>
    <w:tblStylePr w:type="swCell">
      <w:tblPr/>
      <w:tcPr>
        <w:tcBorders>
          <w:top w:val="double" w:sz="4" w:space="0" w:color="41B6E6" w:themeColor="accent1"/>
          <w:right w:val="nil"/>
        </w:tcBorders>
      </w:tcPr>
    </w:tblStylePr>
  </w:style>
  <w:style w:type="paragraph" w:customStyle="1" w:styleId="Default">
    <w:name w:val="Default"/>
    <w:rsid w:val="009E554A"/>
    <w:pPr>
      <w:autoSpaceDE w:val="0"/>
      <w:autoSpaceDN w:val="0"/>
      <w:adjustRightInd w:val="0"/>
      <w:spacing w:after="0" w:line="240" w:lineRule="auto"/>
    </w:pPr>
    <w:rPr>
      <w:rFonts w:ascii="Arial" w:hAnsi="Arial" w:cs="Arial"/>
      <w:color w:val="000000"/>
      <w:sz w:val="24"/>
      <w:szCs w:val="24"/>
    </w:rPr>
  </w:style>
  <w:style w:type="paragraph" w:customStyle="1" w:styleId="ImagecaptionTextstyles">
    <w:name w:val="Image caption (Text styles)"/>
    <w:basedOn w:val="Normal"/>
    <w:uiPriority w:val="99"/>
    <w:rsid w:val="00B477EC"/>
    <w:pPr>
      <w:widowControl w:val="0"/>
      <w:pBdr>
        <w:top w:val="single" w:sz="4" w:space="8" w:color="auto"/>
      </w:pBdr>
      <w:suppressAutoHyphens/>
      <w:autoSpaceDE w:val="0"/>
      <w:autoSpaceDN w:val="0"/>
      <w:adjustRightInd w:val="0"/>
      <w:spacing w:after="0" w:line="240" w:lineRule="atLeast"/>
      <w:textAlignment w:val="center"/>
    </w:pPr>
    <w:rPr>
      <w:rFonts w:ascii="Calibri-BoldItalic" w:eastAsiaTheme="minorEastAsia" w:hAnsi="Calibri-BoldItalic" w:cs="Calibri-BoldItalic"/>
      <w:b/>
      <w:bCs/>
      <w:i/>
      <w:iCs/>
      <w:sz w:val="14"/>
      <w:szCs w:val="14"/>
      <w:lang w:val="en-GB" w:eastAsia="ja-JP"/>
    </w:rPr>
  </w:style>
  <w:style w:type="paragraph" w:customStyle="1" w:styleId="OWSNormal9pt">
    <w:name w:val="OWS Normal 9pt"/>
    <w:basedOn w:val="Normal"/>
    <w:link w:val="OWSNormal9ptChar"/>
    <w:qFormat/>
    <w:rsid w:val="00B477EC"/>
    <w:pPr>
      <w:autoSpaceDE w:val="0"/>
      <w:autoSpaceDN w:val="0"/>
      <w:spacing w:before="200" w:after="200"/>
    </w:pPr>
    <w:rPr>
      <w:rFonts w:eastAsiaTheme="minorEastAsia" w:cs="Arial"/>
      <w:sz w:val="18"/>
      <w:lang w:val="en-US" w:eastAsia="ja-JP"/>
    </w:rPr>
  </w:style>
  <w:style w:type="character" w:customStyle="1" w:styleId="OWSNormal9ptChar">
    <w:name w:val="OWS Normal 9pt Char"/>
    <w:basedOn w:val="DefaultParagraphFont"/>
    <w:link w:val="OWSNormal9pt"/>
    <w:rsid w:val="00B477EC"/>
    <w:rPr>
      <w:rFonts w:ascii="Calibri" w:eastAsiaTheme="minorEastAsia" w:hAnsi="Calibri" w:cs="Arial"/>
      <w:color w:val="000000"/>
      <w:sz w:val="18"/>
      <w:lang w:val="en-US" w:eastAsia="ja-JP"/>
    </w:rPr>
  </w:style>
  <w:style w:type="paragraph" w:customStyle="1" w:styleId="Para3letter">
    <w:name w:val="Para 3 letter"/>
    <w:basedOn w:val="Normal"/>
    <w:uiPriority w:val="99"/>
    <w:rsid w:val="00C3694F"/>
    <w:pPr>
      <w:numPr>
        <w:numId w:val="25"/>
      </w:numPr>
      <w:tabs>
        <w:tab w:val="clear" w:pos="1588"/>
        <w:tab w:val="num" w:pos="360"/>
      </w:tabs>
      <w:autoSpaceDE w:val="0"/>
      <w:autoSpaceDN w:val="0"/>
      <w:spacing w:after="60" w:line="300" w:lineRule="auto"/>
      <w:ind w:left="1191" w:firstLine="0"/>
    </w:pPr>
    <w:rPr>
      <w:rFonts w:ascii="Times New Roman" w:eastAsia="Times New Roman" w:hAnsi="Times New Roman"/>
      <w:szCs w:val="20"/>
      <w:lang w:val="en-GB" w:eastAsia="en-US"/>
    </w:rPr>
  </w:style>
  <w:style w:type="paragraph" w:customStyle="1" w:styleId="OWSReferencelist">
    <w:name w:val="OWS Reference list"/>
    <w:basedOn w:val="Normal"/>
    <w:qFormat/>
    <w:rsid w:val="00051CEE"/>
    <w:pPr>
      <w:autoSpaceDE w:val="0"/>
      <w:autoSpaceDN w:val="0"/>
      <w:ind w:left="720" w:hanging="720"/>
    </w:pPr>
    <w:rPr>
      <w:rFonts w:ascii="Arial" w:eastAsiaTheme="minorEastAsia" w:hAnsi="Arial" w:cs="Arial"/>
      <w:color w:val="auto"/>
      <w:sz w:val="20"/>
      <w:szCs w:val="20"/>
      <w:lang w:val="en-US" w:eastAsia="ja-JP"/>
    </w:rPr>
  </w:style>
  <w:style w:type="character" w:customStyle="1" w:styleId="citationyear">
    <w:name w:val="citation_year"/>
    <w:basedOn w:val="DefaultParagraphFont"/>
    <w:rsid w:val="000E588B"/>
  </w:style>
  <w:style w:type="character" w:customStyle="1" w:styleId="citationvolume">
    <w:name w:val="citation_volume"/>
    <w:basedOn w:val="DefaultParagraphFont"/>
    <w:rsid w:val="000E588B"/>
  </w:style>
  <w:style w:type="paragraph" w:customStyle="1" w:styleId="EndNoteBibliographyTitle">
    <w:name w:val="EndNote Bibliography Title"/>
    <w:basedOn w:val="Normal"/>
    <w:link w:val="EndNoteBibliographyTitleChar"/>
    <w:rsid w:val="00AC3BD2"/>
    <w:pPr>
      <w:spacing w:after="0"/>
      <w:jc w:val="center"/>
    </w:pPr>
    <w:rPr>
      <w:noProof/>
    </w:rPr>
  </w:style>
  <w:style w:type="character" w:customStyle="1" w:styleId="ReferenceChar">
    <w:name w:val="Reference Char"/>
    <w:basedOn w:val="BodyTextChar"/>
    <w:link w:val="Reference"/>
    <w:uiPriority w:val="4"/>
    <w:rsid w:val="00AC3BD2"/>
    <w:rPr>
      <w:rFonts w:ascii="Calibri" w:eastAsia="Calibri" w:hAnsi="Calibri" w:cs="Times New Roman"/>
      <w:color w:val="000000"/>
      <w:sz w:val="24"/>
      <w:lang w:eastAsia="en-AU"/>
    </w:rPr>
  </w:style>
  <w:style w:type="character" w:customStyle="1" w:styleId="EndNoteBibliographyTitleChar">
    <w:name w:val="EndNote Bibliography Title Char"/>
    <w:basedOn w:val="ReferenceChar"/>
    <w:link w:val="EndNoteBibliographyTitle"/>
    <w:rsid w:val="00AC3BD2"/>
    <w:rPr>
      <w:rFonts w:ascii="Calibri" w:eastAsia="Calibri" w:hAnsi="Calibri" w:cs="Times New Roman"/>
      <w:noProof/>
      <w:color w:val="000000"/>
      <w:sz w:val="24"/>
      <w:lang w:eastAsia="en-AU"/>
    </w:rPr>
  </w:style>
  <w:style w:type="paragraph" w:customStyle="1" w:styleId="EndNoteBibliography">
    <w:name w:val="EndNote Bibliography"/>
    <w:basedOn w:val="Normal"/>
    <w:link w:val="EndNoteBibliographyChar"/>
    <w:rsid w:val="00AC3BD2"/>
    <w:rPr>
      <w:noProof/>
    </w:rPr>
  </w:style>
  <w:style w:type="character" w:customStyle="1" w:styleId="EndNoteBibliographyChar">
    <w:name w:val="EndNote Bibliography Char"/>
    <w:basedOn w:val="ReferenceChar"/>
    <w:link w:val="EndNoteBibliography"/>
    <w:rsid w:val="00AC3BD2"/>
    <w:rPr>
      <w:rFonts w:ascii="Calibri" w:eastAsia="Calibri" w:hAnsi="Calibri" w:cs="Times New Roman"/>
      <w:noProof/>
      <w:color w:val="000000"/>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390536">
      <w:bodyDiv w:val="1"/>
      <w:marLeft w:val="0"/>
      <w:marRight w:val="0"/>
      <w:marTop w:val="0"/>
      <w:marBottom w:val="0"/>
      <w:divBdr>
        <w:top w:val="none" w:sz="0" w:space="0" w:color="auto"/>
        <w:left w:val="none" w:sz="0" w:space="0" w:color="auto"/>
        <w:bottom w:val="none" w:sz="0" w:space="0" w:color="auto"/>
        <w:right w:val="none" w:sz="0" w:space="0" w:color="auto"/>
      </w:divBdr>
    </w:div>
    <w:div w:id="277689671">
      <w:bodyDiv w:val="1"/>
      <w:marLeft w:val="0"/>
      <w:marRight w:val="0"/>
      <w:marTop w:val="0"/>
      <w:marBottom w:val="0"/>
      <w:divBdr>
        <w:top w:val="none" w:sz="0" w:space="0" w:color="auto"/>
        <w:left w:val="none" w:sz="0" w:space="0" w:color="auto"/>
        <w:bottom w:val="none" w:sz="0" w:space="0" w:color="auto"/>
        <w:right w:val="none" w:sz="0" w:space="0" w:color="auto"/>
      </w:divBdr>
    </w:div>
    <w:div w:id="283773774">
      <w:bodyDiv w:val="1"/>
      <w:marLeft w:val="0"/>
      <w:marRight w:val="0"/>
      <w:marTop w:val="0"/>
      <w:marBottom w:val="0"/>
      <w:divBdr>
        <w:top w:val="none" w:sz="0" w:space="0" w:color="auto"/>
        <w:left w:val="none" w:sz="0" w:space="0" w:color="auto"/>
        <w:bottom w:val="none" w:sz="0" w:space="0" w:color="auto"/>
        <w:right w:val="none" w:sz="0" w:space="0" w:color="auto"/>
      </w:divBdr>
    </w:div>
    <w:div w:id="443616298">
      <w:bodyDiv w:val="1"/>
      <w:marLeft w:val="0"/>
      <w:marRight w:val="0"/>
      <w:marTop w:val="0"/>
      <w:marBottom w:val="0"/>
      <w:divBdr>
        <w:top w:val="none" w:sz="0" w:space="0" w:color="auto"/>
        <w:left w:val="none" w:sz="0" w:space="0" w:color="auto"/>
        <w:bottom w:val="none" w:sz="0" w:space="0" w:color="auto"/>
        <w:right w:val="none" w:sz="0" w:space="0" w:color="auto"/>
      </w:divBdr>
    </w:div>
    <w:div w:id="1003356422">
      <w:bodyDiv w:val="1"/>
      <w:marLeft w:val="0"/>
      <w:marRight w:val="0"/>
      <w:marTop w:val="0"/>
      <w:marBottom w:val="0"/>
      <w:divBdr>
        <w:top w:val="none" w:sz="0" w:space="0" w:color="auto"/>
        <w:left w:val="none" w:sz="0" w:space="0" w:color="auto"/>
        <w:bottom w:val="none" w:sz="0" w:space="0" w:color="auto"/>
        <w:right w:val="none" w:sz="0" w:space="0" w:color="auto"/>
      </w:divBdr>
    </w:div>
    <w:div w:id="1013799638">
      <w:bodyDiv w:val="1"/>
      <w:marLeft w:val="0"/>
      <w:marRight w:val="0"/>
      <w:marTop w:val="0"/>
      <w:marBottom w:val="0"/>
      <w:divBdr>
        <w:top w:val="none" w:sz="0" w:space="0" w:color="auto"/>
        <w:left w:val="none" w:sz="0" w:space="0" w:color="auto"/>
        <w:bottom w:val="none" w:sz="0" w:space="0" w:color="auto"/>
        <w:right w:val="none" w:sz="0" w:space="0" w:color="auto"/>
      </w:divBdr>
    </w:div>
    <w:div w:id="1023478439">
      <w:bodyDiv w:val="1"/>
      <w:marLeft w:val="0"/>
      <w:marRight w:val="0"/>
      <w:marTop w:val="0"/>
      <w:marBottom w:val="0"/>
      <w:divBdr>
        <w:top w:val="none" w:sz="0" w:space="0" w:color="auto"/>
        <w:left w:val="none" w:sz="0" w:space="0" w:color="auto"/>
        <w:bottom w:val="none" w:sz="0" w:space="0" w:color="auto"/>
        <w:right w:val="none" w:sz="0" w:space="0" w:color="auto"/>
      </w:divBdr>
    </w:div>
    <w:div w:id="1035499036">
      <w:bodyDiv w:val="1"/>
      <w:marLeft w:val="0"/>
      <w:marRight w:val="0"/>
      <w:marTop w:val="0"/>
      <w:marBottom w:val="0"/>
      <w:divBdr>
        <w:top w:val="none" w:sz="0" w:space="0" w:color="auto"/>
        <w:left w:val="none" w:sz="0" w:space="0" w:color="auto"/>
        <w:bottom w:val="none" w:sz="0" w:space="0" w:color="auto"/>
        <w:right w:val="none" w:sz="0" w:space="0" w:color="auto"/>
      </w:divBdr>
    </w:div>
    <w:div w:id="1057970394">
      <w:bodyDiv w:val="1"/>
      <w:marLeft w:val="0"/>
      <w:marRight w:val="0"/>
      <w:marTop w:val="0"/>
      <w:marBottom w:val="0"/>
      <w:divBdr>
        <w:top w:val="none" w:sz="0" w:space="0" w:color="auto"/>
        <w:left w:val="none" w:sz="0" w:space="0" w:color="auto"/>
        <w:bottom w:val="none" w:sz="0" w:space="0" w:color="auto"/>
        <w:right w:val="none" w:sz="0" w:space="0" w:color="auto"/>
      </w:divBdr>
    </w:div>
    <w:div w:id="1070272154">
      <w:bodyDiv w:val="1"/>
      <w:marLeft w:val="0"/>
      <w:marRight w:val="0"/>
      <w:marTop w:val="0"/>
      <w:marBottom w:val="0"/>
      <w:divBdr>
        <w:top w:val="none" w:sz="0" w:space="0" w:color="auto"/>
        <w:left w:val="none" w:sz="0" w:space="0" w:color="auto"/>
        <w:bottom w:val="none" w:sz="0" w:space="0" w:color="auto"/>
        <w:right w:val="none" w:sz="0" w:space="0" w:color="auto"/>
      </w:divBdr>
    </w:div>
    <w:div w:id="1112631704">
      <w:bodyDiv w:val="1"/>
      <w:marLeft w:val="0"/>
      <w:marRight w:val="0"/>
      <w:marTop w:val="0"/>
      <w:marBottom w:val="0"/>
      <w:divBdr>
        <w:top w:val="none" w:sz="0" w:space="0" w:color="auto"/>
        <w:left w:val="none" w:sz="0" w:space="0" w:color="auto"/>
        <w:bottom w:val="none" w:sz="0" w:space="0" w:color="auto"/>
        <w:right w:val="none" w:sz="0" w:space="0" w:color="auto"/>
      </w:divBdr>
    </w:div>
    <w:div w:id="1237007667">
      <w:bodyDiv w:val="1"/>
      <w:marLeft w:val="0"/>
      <w:marRight w:val="0"/>
      <w:marTop w:val="0"/>
      <w:marBottom w:val="0"/>
      <w:divBdr>
        <w:top w:val="none" w:sz="0" w:space="0" w:color="auto"/>
        <w:left w:val="none" w:sz="0" w:space="0" w:color="auto"/>
        <w:bottom w:val="none" w:sz="0" w:space="0" w:color="auto"/>
        <w:right w:val="none" w:sz="0" w:space="0" w:color="auto"/>
      </w:divBdr>
    </w:div>
    <w:div w:id="1260484315">
      <w:bodyDiv w:val="1"/>
      <w:marLeft w:val="0"/>
      <w:marRight w:val="0"/>
      <w:marTop w:val="0"/>
      <w:marBottom w:val="0"/>
      <w:divBdr>
        <w:top w:val="none" w:sz="0" w:space="0" w:color="auto"/>
        <w:left w:val="none" w:sz="0" w:space="0" w:color="auto"/>
        <w:bottom w:val="none" w:sz="0" w:space="0" w:color="auto"/>
        <w:right w:val="none" w:sz="0" w:space="0" w:color="auto"/>
      </w:divBdr>
    </w:div>
    <w:div w:id="1441605412">
      <w:bodyDiv w:val="1"/>
      <w:marLeft w:val="0"/>
      <w:marRight w:val="0"/>
      <w:marTop w:val="0"/>
      <w:marBottom w:val="0"/>
      <w:divBdr>
        <w:top w:val="none" w:sz="0" w:space="0" w:color="auto"/>
        <w:left w:val="none" w:sz="0" w:space="0" w:color="auto"/>
        <w:bottom w:val="none" w:sz="0" w:space="0" w:color="auto"/>
        <w:right w:val="none" w:sz="0" w:space="0" w:color="auto"/>
      </w:divBdr>
    </w:div>
    <w:div w:id="1603340304">
      <w:bodyDiv w:val="1"/>
      <w:marLeft w:val="0"/>
      <w:marRight w:val="0"/>
      <w:marTop w:val="0"/>
      <w:marBottom w:val="0"/>
      <w:divBdr>
        <w:top w:val="none" w:sz="0" w:space="0" w:color="auto"/>
        <w:left w:val="none" w:sz="0" w:space="0" w:color="auto"/>
        <w:bottom w:val="none" w:sz="0" w:space="0" w:color="auto"/>
        <w:right w:val="none" w:sz="0" w:space="0" w:color="auto"/>
      </w:divBdr>
    </w:div>
    <w:div w:id="179378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glossary.oilfield.slb.com/en/Terms/s/slurry.aspx" TargetMode="External"/><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footer" Target="footer4.xml"/><Relationship Id="rId63" Type="http://schemas.openxmlformats.org/officeDocument/2006/relationships/image" Target="media/image46.png"/><Relationship Id="rId68" Type="http://schemas.openxmlformats.org/officeDocument/2006/relationships/footer" Target="footer5.xml"/><Relationship Id="rId7" Type="http://schemas.openxmlformats.org/officeDocument/2006/relationships/image" Target="media/image1.emf"/><Relationship Id="rId71" Type="http://schemas.openxmlformats.org/officeDocument/2006/relationships/footer" Target="footer7.xml"/><Relationship Id="rId2" Type="http://schemas.openxmlformats.org/officeDocument/2006/relationships/styles" Target="styles.xml"/><Relationship Id="rId16" Type="http://schemas.openxmlformats.org/officeDocument/2006/relationships/hyperlink" Target="http://www.glossary.oilfield.slb.com/en/Terms/w/wireline.aspx" TargetMode="External"/><Relationship Id="rId29" Type="http://schemas.openxmlformats.org/officeDocument/2006/relationships/image" Target="media/image13.png"/><Relationship Id="rId11" Type="http://schemas.openxmlformats.org/officeDocument/2006/relationships/header" Target="head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jpeg"/><Relationship Id="rId58" Type="http://schemas.openxmlformats.org/officeDocument/2006/relationships/image" Target="media/image41.jpeg"/><Relationship Id="rId66" Type="http://schemas.openxmlformats.org/officeDocument/2006/relationships/hyperlink" Target="https://www.arrowenergy.com.au/__data/assets/pdf_file/0013/1273/Well-Integrity.pdf" TargetMode="External"/><Relationship Id="rId7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0.jpeg"/><Relationship Id="rId61" Type="http://schemas.openxmlformats.org/officeDocument/2006/relationships/image" Target="media/image44.png"/><Relationship Id="rId10" Type="http://schemas.openxmlformats.org/officeDocument/2006/relationships/header" Target="header1.xml"/><Relationship Id="rId19"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jpeg"/><Relationship Id="rId60" Type="http://schemas.openxmlformats.org/officeDocument/2006/relationships/image" Target="media/image43.emf"/><Relationship Id="rId65" Type="http://schemas.openxmlformats.org/officeDocument/2006/relationships/hyperlink" Target="http://www.appea.com.au/csg/about-csg/fact-sheets.html" TargetMode="External"/><Relationship Id="rId73"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enquiries@csiro.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emf"/><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9.jpeg"/><Relationship Id="rId64" Type="http://schemas.openxmlformats.org/officeDocument/2006/relationships/image" Target="media/image47.png"/><Relationship Id="rId69" Type="http://schemas.openxmlformats.org/officeDocument/2006/relationships/footer" Target="footer6.xml"/><Relationship Id="rId8" Type="http://schemas.openxmlformats.org/officeDocument/2006/relationships/image" Target="media/image2.emf"/><Relationship Id="rId51" Type="http://schemas.openxmlformats.org/officeDocument/2006/relationships/image" Target="media/image35.png"/><Relationship Id="rId72" Type="http://schemas.openxmlformats.org/officeDocument/2006/relationships/footer" Target="footer8.xml"/><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www.glossary.oilfield.slb.com/en/Terms/c/cement.aspx" TargetMode="External"/><Relationship Id="rId25" Type="http://schemas.openxmlformats.org/officeDocument/2006/relationships/image" Target="media/image9.emf"/><Relationship Id="rId33" Type="http://schemas.openxmlformats.org/officeDocument/2006/relationships/image" Target="media/image17.emf"/><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2.emf"/><Relationship Id="rId67" Type="http://schemas.openxmlformats.org/officeDocument/2006/relationships/hyperlink" Target="http://dx.doi.org/10.1073/pnas.1221635110" TargetMode="External"/><Relationship Id="rId20" Type="http://schemas.openxmlformats.org/officeDocument/2006/relationships/image" Target="media/image4.jpeg"/><Relationship Id="rId41" Type="http://schemas.openxmlformats.org/officeDocument/2006/relationships/image" Target="media/image25.png"/><Relationship Id="rId54" Type="http://schemas.openxmlformats.org/officeDocument/2006/relationships/image" Target="media/image38.emf"/><Relationship Id="rId62" Type="http://schemas.openxmlformats.org/officeDocument/2006/relationships/image" Target="media/image45.png"/><Relationship Id="rId70"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CSIRO Sky">
      <a:dk1>
        <a:sysClr val="windowText" lastClr="000000"/>
      </a:dk1>
      <a:lt1>
        <a:srgbClr val="FFFFFF"/>
      </a:lt1>
      <a:dk2>
        <a:srgbClr val="000000"/>
      </a:dk2>
      <a:lt2>
        <a:srgbClr val="FFFFFF"/>
      </a:lt2>
      <a:accent1>
        <a:srgbClr val="41B6E6"/>
      </a:accent1>
      <a:accent2>
        <a:srgbClr val="004B87"/>
      </a:accent2>
      <a:accent3>
        <a:srgbClr val="78BE20"/>
      </a:accent3>
      <a:accent4>
        <a:srgbClr val="4A7729"/>
      </a:accent4>
      <a:accent5>
        <a:srgbClr val="00A9CE"/>
      </a:accent5>
      <a:accent6>
        <a:srgbClr val="00313C"/>
      </a:accent6>
      <a:hlink>
        <a:srgbClr val="9FAEE5"/>
      </a:hlink>
      <a:folHlink>
        <a:srgbClr val="1E22AA"/>
      </a:folHlink>
    </a:clrScheme>
    <a:fontScheme name="CSIRO Fonts">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2CD5141E.dotm</Template>
  <TotalTime>0</TotalTime>
  <Pages>95</Pages>
  <Words>36502</Words>
  <Characters>208062</Characters>
  <Application>Microsoft Office Word</Application>
  <DocSecurity>4</DocSecurity>
  <Lines>1733</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of regional-scale effects on groundwater balance and quality linked to increased inter-aquifer leakage</dc:title>
  <dc:subject/>
  <dc:creator>Saskia Noorduijn, Jim McCallum, Rebecca Doble, Bailin Wu, Dirk Mallants</dc:creator>
  <cp:keywords/>
  <dc:description/>
  <cp:lastModifiedBy>Durack, Bec</cp:lastModifiedBy>
  <cp:revision>2</cp:revision>
  <dcterms:created xsi:type="dcterms:W3CDTF">2018-03-08T03:48:00Z</dcterms:created>
  <dcterms:modified xsi:type="dcterms:W3CDTF">2018-03-08T03:48:00Z</dcterms:modified>
</cp:coreProperties>
</file>