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6567D" w14:textId="12B22D54" w:rsidR="00C944F8" w:rsidRDefault="00961AF4" w:rsidP="006F41DF">
      <w:pPr>
        <w:pStyle w:val="Heading4"/>
        <w:tabs>
          <w:tab w:val="left" w:pos="2680"/>
        </w:tabs>
        <w:ind w:left="1361"/>
      </w:pPr>
      <w:r>
        <w:t xml:space="preserve">Final </w:t>
      </w:r>
      <w:r w:rsidR="006F41DF">
        <w:t xml:space="preserve">Report </w:t>
      </w:r>
    </w:p>
    <w:p w14:paraId="57B4C974" w14:textId="32ECEDE7" w:rsidR="00C944F8" w:rsidRDefault="009E616A" w:rsidP="00C944F8">
      <w:pPr>
        <w:pStyle w:val="ReportTitle"/>
        <w:ind w:left="1361"/>
      </w:pPr>
      <w:bookmarkStart w:id="0" w:name="_GoBack"/>
      <w:r>
        <w:t>Assessment of the voluntary phase out of microbeads</w:t>
      </w:r>
      <w:bookmarkEnd w:id="0"/>
    </w:p>
    <w:p w14:paraId="4DA158A8" w14:textId="77777777" w:rsidR="00C944F8" w:rsidRDefault="00C944F8" w:rsidP="00C944F8">
      <w:pPr>
        <w:pStyle w:val="ReportTitle"/>
        <w:ind w:left="1361"/>
      </w:pPr>
    </w:p>
    <w:p w14:paraId="57999666" w14:textId="039241E0" w:rsidR="00C944F8" w:rsidRDefault="006F41DF" w:rsidP="00C944F8">
      <w:pPr>
        <w:pStyle w:val="Reportsubtitle"/>
        <w:ind w:left="1361"/>
      </w:pPr>
      <w:r>
        <w:t>May 2018</w:t>
      </w:r>
    </w:p>
    <w:p w14:paraId="3A2B9894" w14:textId="77777777" w:rsidR="007A252C" w:rsidRDefault="007A252C" w:rsidP="007A252C">
      <w:pPr>
        <w:pStyle w:val="Heading1"/>
      </w:pPr>
    </w:p>
    <w:p w14:paraId="35893138" w14:textId="77777777" w:rsidR="007A252C" w:rsidRDefault="007A252C" w:rsidP="007A252C"/>
    <w:p w14:paraId="6B3207CF" w14:textId="77777777" w:rsidR="007A252C" w:rsidRPr="007A252C" w:rsidRDefault="007A252C" w:rsidP="007A252C"/>
    <w:p w14:paraId="79628190" w14:textId="61E21691" w:rsidR="00BE3F0C" w:rsidRDefault="00BE3F0C" w:rsidP="007A252C"/>
    <w:p w14:paraId="71252407" w14:textId="77777777" w:rsidR="00BE3F0C" w:rsidRPr="00BE3F0C" w:rsidRDefault="00BE3F0C" w:rsidP="00BE3F0C"/>
    <w:p w14:paraId="3988B475" w14:textId="7C838FD4" w:rsidR="00BE3F0C" w:rsidRDefault="00BE3F0C" w:rsidP="00BE3F0C">
      <w:pPr>
        <w:tabs>
          <w:tab w:val="left" w:pos="900"/>
        </w:tabs>
      </w:pPr>
      <w:r>
        <w:tab/>
      </w:r>
    </w:p>
    <w:p w14:paraId="2310EDD4" w14:textId="30F7F3D9" w:rsidR="00BE3F0C" w:rsidRDefault="00BE3F0C" w:rsidP="00BE3F0C"/>
    <w:p w14:paraId="33529CC1" w14:textId="77777777" w:rsidR="007A252C" w:rsidRPr="00BE3F0C" w:rsidRDefault="007A252C" w:rsidP="00BE3F0C">
      <w:pPr>
        <w:sectPr w:rsidR="007A252C" w:rsidRPr="00BE3F0C" w:rsidSect="00C944F8">
          <w:headerReference w:type="even" r:id="rId8"/>
          <w:headerReference w:type="default" r:id="rId9"/>
          <w:footerReference w:type="even" r:id="rId10"/>
          <w:footerReference w:type="default" r:id="rId11"/>
          <w:headerReference w:type="first" r:id="rId12"/>
          <w:footerReference w:type="first" r:id="rId13"/>
          <w:pgSz w:w="11906" w:h="16838" w:code="9"/>
          <w:pgMar w:top="3969" w:right="1276" w:bottom="567" w:left="1418" w:header="425" w:footer="425" w:gutter="0"/>
          <w:pgNumType w:start="1"/>
          <w:cols w:space="708"/>
          <w:titlePg/>
          <w:docGrid w:linePitch="360"/>
        </w:sectPr>
      </w:pPr>
    </w:p>
    <w:sdt>
      <w:sdtPr>
        <w:rPr>
          <w:rFonts w:eastAsia="Calibri" w:cs="Times New Roman"/>
          <w:b w:val="0"/>
          <w:bCs w:val="0"/>
          <w:caps w:val="0"/>
          <w:szCs w:val="22"/>
          <w:lang w:val="en-AU"/>
        </w:rPr>
        <w:id w:val="9750151"/>
        <w:docPartObj>
          <w:docPartGallery w:val="Table of Contents"/>
          <w:docPartUnique/>
        </w:docPartObj>
      </w:sdtPr>
      <w:sdtEndPr/>
      <w:sdtContent>
        <w:p w14:paraId="53116AC5" w14:textId="77777777" w:rsidR="00D5672F" w:rsidRDefault="00D5672F" w:rsidP="00D5672F">
          <w:pPr>
            <w:pStyle w:val="TOCHeading"/>
          </w:pPr>
          <w:r w:rsidRPr="005525F2">
            <w:t>Contents</w:t>
          </w:r>
        </w:p>
        <w:p w14:paraId="7922C6F8" w14:textId="77777777" w:rsidR="007C2804" w:rsidRDefault="00715967">
          <w:pPr>
            <w:pStyle w:val="TOC1"/>
            <w:tabs>
              <w:tab w:val="right" w:leader="dot" w:pos="9202"/>
            </w:tabs>
            <w:rPr>
              <w:rFonts w:asciiTheme="minorHAnsi" w:eastAsiaTheme="minorEastAsia" w:hAnsiTheme="minorHAnsi" w:cstheme="minorBidi"/>
              <w:b w:val="0"/>
              <w:noProof/>
              <w:lang w:eastAsia="en-AU"/>
            </w:rPr>
          </w:pPr>
          <w:r>
            <w:fldChar w:fldCharType="begin"/>
          </w:r>
          <w:r w:rsidR="00D5672F">
            <w:instrText xml:space="preserve"> TOC \o "1-3" \h \z \u </w:instrText>
          </w:r>
          <w:r>
            <w:fldChar w:fldCharType="separate"/>
          </w:r>
          <w:hyperlink w:anchor="_Toc513732732" w:history="1">
            <w:r w:rsidR="007C2804" w:rsidRPr="00384CEB">
              <w:rPr>
                <w:rStyle w:val="Hyperlink"/>
                <w:noProof/>
              </w:rPr>
              <w:t>Background</w:t>
            </w:r>
            <w:r w:rsidR="007C2804">
              <w:rPr>
                <w:noProof/>
                <w:webHidden/>
              </w:rPr>
              <w:tab/>
            </w:r>
            <w:r w:rsidR="007C2804">
              <w:rPr>
                <w:noProof/>
                <w:webHidden/>
              </w:rPr>
              <w:fldChar w:fldCharType="begin"/>
            </w:r>
            <w:r w:rsidR="007C2804">
              <w:rPr>
                <w:noProof/>
                <w:webHidden/>
              </w:rPr>
              <w:instrText xml:space="preserve"> PAGEREF _Toc513732732 \h </w:instrText>
            </w:r>
            <w:r w:rsidR="007C2804">
              <w:rPr>
                <w:noProof/>
                <w:webHidden/>
              </w:rPr>
            </w:r>
            <w:r w:rsidR="007C2804">
              <w:rPr>
                <w:noProof/>
                <w:webHidden/>
              </w:rPr>
              <w:fldChar w:fldCharType="separate"/>
            </w:r>
            <w:r w:rsidR="007C2804">
              <w:rPr>
                <w:noProof/>
                <w:webHidden/>
              </w:rPr>
              <w:t>3</w:t>
            </w:r>
            <w:r w:rsidR="007C2804">
              <w:rPr>
                <w:noProof/>
                <w:webHidden/>
              </w:rPr>
              <w:fldChar w:fldCharType="end"/>
            </w:r>
          </w:hyperlink>
        </w:p>
        <w:p w14:paraId="46381380" w14:textId="77777777" w:rsidR="007C2804" w:rsidRDefault="005F5D5C">
          <w:pPr>
            <w:pStyle w:val="TOC1"/>
            <w:tabs>
              <w:tab w:val="right" w:leader="dot" w:pos="9202"/>
            </w:tabs>
            <w:rPr>
              <w:rFonts w:asciiTheme="minorHAnsi" w:eastAsiaTheme="minorEastAsia" w:hAnsiTheme="minorHAnsi" w:cstheme="minorBidi"/>
              <w:b w:val="0"/>
              <w:noProof/>
              <w:lang w:eastAsia="en-AU"/>
            </w:rPr>
          </w:pPr>
          <w:hyperlink w:anchor="_Toc513732733" w:history="1">
            <w:r w:rsidR="007C2804" w:rsidRPr="00384CEB">
              <w:rPr>
                <w:rStyle w:val="Hyperlink"/>
                <w:noProof/>
              </w:rPr>
              <w:t>Findings</w:t>
            </w:r>
            <w:r w:rsidR="007C2804">
              <w:rPr>
                <w:noProof/>
                <w:webHidden/>
              </w:rPr>
              <w:tab/>
            </w:r>
            <w:r w:rsidR="007C2804">
              <w:rPr>
                <w:noProof/>
                <w:webHidden/>
              </w:rPr>
              <w:fldChar w:fldCharType="begin"/>
            </w:r>
            <w:r w:rsidR="007C2804">
              <w:rPr>
                <w:noProof/>
                <w:webHidden/>
              </w:rPr>
              <w:instrText xml:space="preserve"> PAGEREF _Toc513732733 \h </w:instrText>
            </w:r>
            <w:r w:rsidR="007C2804">
              <w:rPr>
                <w:noProof/>
                <w:webHidden/>
              </w:rPr>
            </w:r>
            <w:r w:rsidR="007C2804">
              <w:rPr>
                <w:noProof/>
                <w:webHidden/>
              </w:rPr>
              <w:fldChar w:fldCharType="separate"/>
            </w:r>
            <w:r w:rsidR="007C2804">
              <w:rPr>
                <w:noProof/>
                <w:webHidden/>
              </w:rPr>
              <w:t>2</w:t>
            </w:r>
            <w:r w:rsidR="007C2804">
              <w:rPr>
                <w:noProof/>
                <w:webHidden/>
              </w:rPr>
              <w:fldChar w:fldCharType="end"/>
            </w:r>
          </w:hyperlink>
        </w:p>
        <w:p w14:paraId="7050F5A1" w14:textId="77777777" w:rsidR="007C2804" w:rsidRDefault="005F5D5C">
          <w:pPr>
            <w:pStyle w:val="TOC2"/>
            <w:tabs>
              <w:tab w:val="right" w:leader="dot" w:pos="9202"/>
            </w:tabs>
            <w:rPr>
              <w:rFonts w:asciiTheme="minorHAnsi" w:eastAsiaTheme="minorEastAsia" w:hAnsiTheme="minorHAnsi" w:cstheme="minorBidi"/>
              <w:noProof/>
              <w:lang w:eastAsia="en-AU"/>
            </w:rPr>
          </w:pPr>
          <w:hyperlink w:anchor="_Toc513732734" w:history="1">
            <w:r w:rsidR="007C2804" w:rsidRPr="00384CEB">
              <w:rPr>
                <w:rStyle w:val="Hyperlink"/>
                <w:noProof/>
              </w:rPr>
              <w:t>Commitments by companies: BeadRecede campaign led by Accord</w:t>
            </w:r>
            <w:r w:rsidR="007C2804">
              <w:rPr>
                <w:noProof/>
                <w:webHidden/>
              </w:rPr>
              <w:tab/>
            </w:r>
            <w:r w:rsidR="007C2804">
              <w:rPr>
                <w:noProof/>
                <w:webHidden/>
              </w:rPr>
              <w:fldChar w:fldCharType="begin"/>
            </w:r>
            <w:r w:rsidR="007C2804">
              <w:rPr>
                <w:noProof/>
                <w:webHidden/>
              </w:rPr>
              <w:instrText xml:space="preserve"> PAGEREF _Toc513732734 \h </w:instrText>
            </w:r>
            <w:r w:rsidR="007C2804">
              <w:rPr>
                <w:noProof/>
                <w:webHidden/>
              </w:rPr>
            </w:r>
            <w:r w:rsidR="007C2804">
              <w:rPr>
                <w:noProof/>
                <w:webHidden/>
              </w:rPr>
              <w:fldChar w:fldCharType="separate"/>
            </w:r>
            <w:r w:rsidR="007C2804">
              <w:rPr>
                <w:noProof/>
                <w:webHidden/>
              </w:rPr>
              <w:t>3</w:t>
            </w:r>
            <w:r w:rsidR="007C2804">
              <w:rPr>
                <w:noProof/>
                <w:webHidden/>
              </w:rPr>
              <w:fldChar w:fldCharType="end"/>
            </w:r>
          </w:hyperlink>
        </w:p>
        <w:p w14:paraId="6CEC2369" w14:textId="77777777" w:rsidR="007C2804" w:rsidRDefault="005F5D5C">
          <w:pPr>
            <w:pStyle w:val="TOC2"/>
            <w:tabs>
              <w:tab w:val="right" w:leader="dot" w:pos="9202"/>
            </w:tabs>
            <w:rPr>
              <w:rFonts w:asciiTheme="minorHAnsi" w:eastAsiaTheme="minorEastAsia" w:hAnsiTheme="minorHAnsi" w:cstheme="minorBidi"/>
              <w:noProof/>
              <w:lang w:eastAsia="en-AU"/>
            </w:rPr>
          </w:pPr>
          <w:hyperlink w:anchor="_Toc513732735" w:history="1">
            <w:r w:rsidR="007C2804" w:rsidRPr="00384CEB">
              <w:rPr>
                <w:rStyle w:val="Hyperlink"/>
                <w:noProof/>
              </w:rPr>
              <w:t>Independent assessment of the sale of microbeads and other non-soluble plastic polymers</w:t>
            </w:r>
            <w:r w:rsidR="007C2804">
              <w:rPr>
                <w:noProof/>
                <w:webHidden/>
              </w:rPr>
              <w:tab/>
            </w:r>
            <w:r w:rsidR="007C2804">
              <w:rPr>
                <w:noProof/>
                <w:webHidden/>
              </w:rPr>
              <w:fldChar w:fldCharType="begin"/>
            </w:r>
            <w:r w:rsidR="007C2804">
              <w:rPr>
                <w:noProof/>
                <w:webHidden/>
              </w:rPr>
              <w:instrText xml:space="preserve"> PAGEREF _Toc513732735 \h </w:instrText>
            </w:r>
            <w:r w:rsidR="007C2804">
              <w:rPr>
                <w:noProof/>
                <w:webHidden/>
              </w:rPr>
            </w:r>
            <w:r w:rsidR="007C2804">
              <w:rPr>
                <w:noProof/>
                <w:webHidden/>
              </w:rPr>
              <w:fldChar w:fldCharType="separate"/>
            </w:r>
            <w:r w:rsidR="007C2804">
              <w:rPr>
                <w:noProof/>
                <w:webHidden/>
              </w:rPr>
              <w:t>5</w:t>
            </w:r>
            <w:r w:rsidR="007C2804">
              <w:rPr>
                <w:noProof/>
                <w:webHidden/>
              </w:rPr>
              <w:fldChar w:fldCharType="end"/>
            </w:r>
          </w:hyperlink>
        </w:p>
        <w:p w14:paraId="3A177226" w14:textId="77777777" w:rsidR="007C2804" w:rsidRDefault="005F5D5C">
          <w:pPr>
            <w:pStyle w:val="TOC2"/>
            <w:tabs>
              <w:tab w:val="right" w:leader="dot" w:pos="9202"/>
            </w:tabs>
            <w:rPr>
              <w:rFonts w:asciiTheme="minorHAnsi" w:eastAsiaTheme="minorEastAsia" w:hAnsiTheme="minorHAnsi" w:cstheme="minorBidi"/>
              <w:noProof/>
              <w:lang w:eastAsia="en-AU"/>
            </w:rPr>
          </w:pPr>
          <w:hyperlink w:anchor="_Toc513732736" w:history="1">
            <w:r w:rsidR="007C2804" w:rsidRPr="00384CEB">
              <w:rPr>
                <w:rStyle w:val="Hyperlink"/>
                <w:noProof/>
              </w:rPr>
              <w:t>Ongoing compliance with the voluntary phase out</w:t>
            </w:r>
            <w:r w:rsidR="007C2804">
              <w:rPr>
                <w:noProof/>
                <w:webHidden/>
              </w:rPr>
              <w:tab/>
            </w:r>
            <w:r w:rsidR="007C2804">
              <w:rPr>
                <w:noProof/>
                <w:webHidden/>
              </w:rPr>
              <w:fldChar w:fldCharType="begin"/>
            </w:r>
            <w:r w:rsidR="007C2804">
              <w:rPr>
                <w:noProof/>
                <w:webHidden/>
              </w:rPr>
              <w:instrText xml:space="preserve"> PAGEREF _Toc513732736 \h </w:instrText>
            </w:r>
            <w:r w:rsidR="007C2804">
              <w:rPr>
                <w:noProof/>
                <w:webHidden/>
              </w:rPr>
            </w:r>
            <w:r w:rsidR="007C2804">
              <w:rPr>
                <w:noProof/>
                <w:webHidden/>
              </w:rPr>
              <w:fldChar w:fldCharType="separate"/>
            </w:r>
            <w:r w:rsidR="007C2804">
              <w:rPr>
                <w:noProof/>
                <w:webHidden/>
              </w:rPr>
              <w:t>6</w:t>
            </w:r>
            <w:r w:rsidR="007C2804">
              <w:rPr>
                <w:noProof/>
                <w:webHidden/>
              </w:rPr>
              <w:fldChar w:fldCharType="end"/>
            </w:r>
          </w:hyperlink>
        </w:p>
        <w:p w14:paraId="3082F126" w14:textId="77777777" w:rsidR="007C2804" w:rsidRDefault="005F5D5C">
          <w:pPr>
            <w:pStyle w:val="TOC1"/>
            <w:tabs>
              <w:tab w:val="right" w:leader="dot" w:pos="9202"/>
            </w:tabs>
            <w:rPr>
              <w:rFonts w:asciiTheme="minorHAnsi" w:eastAsiaTheme="minorEastAsia" w:hAnsiTheme="minorHAnsi" w:cstheme="minorBidi"/>
              <w:b w:val="0"/>
              <w:noProof/>
              <w:lang w:eastAsia="en-AU"/>
            </w:rPr>
          </w:pPr>
          <w:hyperlink w:anchor="_Toc513732737" w:history="1">
            <w:r w:rsidR="007C2804" w:rsidRPr="00384CEB">
              <w:rPr>
                <w:rStyle w:val="Hyperlink"/>
                <w:noProof/>
              </w:rPr>
              <w:t>Further information</w:t>
            </w:r>
            <w:r w:rsidR="007C2804">
              <w:rPr>
                <w:noProof/>
                <w:webHidden/>
              </w:rPr>
              <w:tab/>
            </w:r>
            <w:r w:rsidR="007C2804">
              <w:rPr>
                <w:noProof/>
                <w:webHidden/>
              </w:rPr>
              <w:fldChar w:fldCharType="begin"/>
            </w:r>
            <w:r w:rsidR="007C2804">
              <w:rPr>
                <w:noProof/>
                <w:webHidden/>
              </w:rPr>
              <w:instrText xml:space="preserve"> PAGEREF _Toc513732737 \h </w:instrText>
            </w:r>
            <w:r w:rsidR="007C2804">
              <w:rPr>
                <w:noProof/>
                <w:webHidden/>
              </w:rPr>
            </w:r>
            <w:r w:rsidR="007C2804">
              <w:rPr>
                <w:noProof/>
                <w:webHidden/>
              </w:rPr>
              <w:fldChar w:fldCharType="separate"/>
            </w:r>
            <w:r w:rsidR="007C2804">
              <w:rPr>
                <w:noProof/>
                <w:webHidden/>
              </w:rPr>
              <w:t>6</w:t>
            </w:r>
            <w:r w:rsidR="007C2804">
              <w:rPr>
                <w:noProof/>
                <w:webHidden/>
              </w:rPr>
              <w:fldChar w:fldCharType="end"/>
            </w:r>
          </w:hyperlink>
        </w:p>
        <w:p w14:paraId="52472DDE" w14:textId="77777777" w:rsidR="00D5672F" w:rsidRDefault="00715967" w:rsidP="00D5672F">
          <w:r>
            <w:fldChar w:fldCharType="end"/>
          </w:r>
        </w:p>
      </w:sdtContent>
    </w:sdt>
    <w:p w14:paraId="0FB77D2F" w14:textId="77777777" w:rsidR="007A252C" w:rsidRPr="007A252C" w:rsidRDefault="007A252C" w:rsidP="007A252C"/>
    <w:p w14:paraId="0D4A3E42" w14:textId="77777777" w:rsidR="00190F10" w:rsidRDefault="00190F10" w:rsidP="00190F10"/>
    <w:p w14:paraId="744316B5" w14:textId="77777777" w:rsidR="00190F10" w:rsidRDefault="00190F10" w:rsidP="00190F10">
      <w:pPr>
        <w:sectPr w:rsidR="00190F10" w:rsidSect="003A7D43">
          <w:headerReference w:type="first" r:id="rId14"/>
          <w:footerReference w:type="first" r:id="rId15"/>
          <w:pgSz w:w="11906" w:h="16838" w:code="9"/>
          <w:pgMar w:top="1418" w:right="1276" w:bottom="567" w:left="1418" w:header="425" w:footer="425" w:gutter="0"/>
          <w:cols w:space="708"/>
          <w:titlePg/>
          <w:docGrid w:linePitch="360"/>
        </w:sectPr>
      </w:pPr>
    </w:p>
    <w:p w14:paraId="4CCB0874" w14:textId="77777777" w:rsidR="00190F10" w:rsidRDefault="00190F10" w:rsidP="00190F10"/>
    <w:p w14:paraId="18B227E3" w14:textId="77777777" w:rsidR="006F41DF" w:rsidRDefault="006F41DF" w:rsidP="006F41DF">
      <w:pPr>
        <w:ind w:firstLine="258"/>
        <w:rPr>
          <w:b/>
        </w:rPr>
      </w:pPr>
      <w:r>
        <w:rPr>
          <w:b/>
        </w:rPr>
        <w:t>ASSESSMENT OF THE VOLUNTARY PHASE OUT OF MICROBEADS</w:t>
      </w:r>
    </w:p>
    <w:p w14:paraId="05B0E08C" w14:textId="77777777" w:rsidR="006F41DF" w:rsidRDefault="006F41DF" w:rsidP="006F41DF">
      <w:pPr>
        <w:pStyle w:val="BodyText"/>
        <w:spacing w:before="10"/>
        <w:ind w:left="0"/>
        <w:rPr>
          <w:b/>
          <w:sz w:val="12"/>
        </w:rPr>
      </w:pPr>
    </w:p>
    <w:p w14:paraId="6DA30D5C" w14:textId="77777777" w:rsidR="006F41DF" w:rsidRDefault="006F41DF" w:rsidP="006F41DF">
      <w:pPr>
        <w:pStyle w:val="BodyText"/>
        <w:spacing w:before="93" w:line="276" w:lineRule="auto"/>
        <w:ind w:left="258" w:right="354"/>
      </w:pPr>
      <w:r>
        <w:t>This assessment of the effectiveness of the industry-led, voluntary phase out of microbeads from rinse-off cosmetic, personal care and cleaning products was undertaken by officials from the Commonwealth, in consultation with NSW and Accord.</w:t>
      </w:r>
    </w:p>
    <w:p w14:paraId="1306EBE6" w14:textId="4494A484" w:rsidR="006F41DF" w:rsidRPr="006F41DF" w:rsidRDefault="006F41DF" w:rsidP="006F41DF">
      <w:pPr>
        <w:pStyle w:val="Heading1"/>
        <w:spacing w:before="198"/>
        <w:ind w:firstLine="258"/>
      </w:pPr>
      <w:bookmarkStart w:id="1" w:name="_Toc513732732"/>
      <w:r>
        <w:rPr>
          <w:caps w:val="0"/>
        </w:rPr>
        <w:t>Background</w:t>
      </w:r>
      <w:bookmarkEnd w:id="1"/>
    </w:p>
    <w:p w14:paraId="0B948085"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426"/>
      </w:pPr>
      <w:r>
        <w:t>The Meeting of Environment Ministers in February 2015 expressed concern about the impact of microbeads on the marine environment. In particular, concern was raised about microbeads used in consumer products that enter our waterways with potential long-term risks to marine organisms and human</w:t>
      </w:r>
      <w:r>
        <w:rPr>
          <w:spacing w:val="-8"/>
        </w:rPr>
        <w:t xml:space="preserve"> </w:t>
      </w:r>
      <w:r>
        <w:t>health.</w:t>
      </w:r>
    </w:p>
    <w:p w14:paraId="5B131700" w14:textId="77777777" w:rsidR="006F41DF" w:rsidRDefault="006F41DF" w:rsidP="006F41DF">
      <w:pPr>
        <w:pStyle w:val="BodyText"/>
        <w:spacing w:before="10"/>
        <w:ind w:left="0"/>
        <w:rPr>
          <w:sz w:val="18"/>
        </w:rPr>
      </w:pPr>
    </w:p>
    <w:p w14:paraId="06664D0B"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436"/>
      </w:pPr>
      <w:r>
        <w:t>To address this concern, Ministers asked officials to work with industry to secure a voluntary agreement to phase-out of microbeads in personal care, cosmetic and cleaning products by no later than 1 July</w:t>
      </w:r>
      <w:r>
        <w:rPr>
          <w:spacing w:val="-8"/>
        </w:rPr>
        <w:t xml:space="preserve"> </w:t>
      </w:r>
      <w:r>
        <w:t>2018.</w:t>
      </w:r>
    </w:p>
    <w:p w14:paraId="1DA66402"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ind w:right="876"/>
      </w:pPr>
      <w:r>
        <w:t>Ministers stated that if the voluntary phase-out was not effective, they would move to implement a</w:t>
      </w:r>
      <w:r>
        <w:rPr>
          <w:spacing w:val="-2"/>
        </w:rPr>
        <w:t xml:space="preserve"> </w:t>
      </w:r>
      <w:r>
        <w:t>ban.</w:t>
      </w:r>
    </w:p>
    <w:p w14:paraId="13575F5F"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ind w:right="659"/>
      </w:pPr>
      <w:r>
        <w:t>Work to progress the phase-out was led by Accord, the national industry association representing manufacturers and suppliers of hygiene, cosmetic and specialty products, their raw material suppliers and service</w:t>
      </w:r>
      <w:r>
        <w:rPr>
          <w:spacing w:val="-7"/>
        </w:rPr>
        <w:t xml:space="preserve"> </w:t>
      </w:r>
      <w:r>
        <w:t>providers.</w:t>
      </w:r>
    </w:p>
    <w:p w14:paraId="19F26D4C"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line="278" w:lineRule="auto"/>
        <w:ind w:right="609"/>
      </w:pPr>
      <w:r>
        <w:t xml:space="preserve">Ministers agreed that </w:t>
      </w:r>
      <w:r>
        <w:rPr>
          <w:spacing w:val="-2"/>
        </w:rPr>
        <w:t xml:space="preserve">NSW </w:t>
      </w:r>
      <w:r>
        <w:t>and the Australian Government would lead the Government involvement in progressing the</w:t>
      </w:r>
      <w:r>
        <w:rPr>
          <w:spacing w:val="-2"/>
        </w:rPr>
        <w:t xml:space="preserve"> </w:t>
      </w:r>
      <w:r>
        <w:t>phase-out.</w:t>
      </w:r>
    </w:p>
    <w:p w14:paraId="0457AF6A" w14:textId="77777777" w:rsidR="006F41DF" w:rsidRDefault="006F41DF" w:rsidP="00F67A7E">
      <w:pPr>
        <w:pStyle w:val="ListParagraph"/>
        <w:widowControl w:val="0"/>
        <w:numPr>
          <w:ilvl w:val="0"/>
          <w:numId w:val="12"/>
        </w:numPr>
        <w:tabs>
          <w:tab w:val="left" w:pos="628"/>
          <w:tab w:val="left" w:pos="629"/>
        </w:tabs>
        <w:autoSpaceDE w:val="0"/>
        <w:autoSpaceDN w:val="0"/>
        <w:spacing w:before="209" w:after="0"/>
        <w:ind w:right="275"/>
      </w:pPr>
      <w:r>
        <w:t>Consistent with the intention of protecting the marine environment, the voluntary phase-out has focused on microbeads in rinse-off products, which would be reasonably capable of entering the aquatic environment through normal use of the product. It does not extend</w:t>
      </w:r>
      <w:r>
        <w:rPr>
          <w:spacing w:val="-23"/>
        </w:rPr>
        <w:t xml:space="preserve"> </w:t>
      </w:r>
      <w:r>
        <w:t>to:</w:t>
      </w:r>
    </w:p>
    <w:p w14:paraId="32F12ED4" w14:textId="77777777" w:rsidR="006F41DF" w:rsidRDefault="006F41DF" w:rsidP="00F67A7E">
      <w:pPr>
        <w:pStyle w:val="ListParagraph"/>
        <w:widowControl w:val="0"/>
        <w:numPr>
          <w:ilvl w:val="1"/>
          <w:numId w:val="12"/>
        </w:numPr>
        <w:tabs>
          <w:tab w:val="left" w:pos="996"/>
        </w:tabs>
        <w:autoSpaceDE w:val="0"/>
        <w:autoSpaceDN w:val="0"/>
        <w:spacing w:before="201" w:after="0"/>
        <w:ind w:right="838" w:hanging="367"/>
      </w:pPr>
      <w:r>
        <w:t>cosmetic products that are generally wiped-off, such as make up and lipsticks, as those products are not designed to be rinsed off so the risk of them entering the aquatic environment through normal use is</w:t>
      </w:r>
      <w:r>
        <w:rPr>
          <w:spacing w:val="-8"/>
        </w:rPr>
        <w:t xml:space="preserve"> </w:t>
      </w:r>
      <w:r>
        <w:t>reduced.</w:t>
      </w:r>
    </w:p>
    <w:p w14:paraId="699E5321" w14:textId="77777777" w:rsidR="006F41DF" w:rsidRDefault="006F41DF" w:rsidP="00F67A7E">
      <w:pPr>
        <w:pStyle w:val="ListParagraph"/>
        <w:widowControl w:val="0"/>
        <w:numPr>
          <w:ilvl w:val="1"/>
          <w:numId w:val="12"/>
        </w:numPr>
        <w:tabs>
          <w:tab w:val="left" w:pos="996"/>
        </w:tabs>
        <w:autoSpaceDE w:val="0"/>
        <w:autoSpaceDN w:val="0"/>
        <w:spacing w:before="200" w:after="0"/>
        <w:ind w:right="547" w:hanging="367"/>
      </w:pPr>
      <w:r>
        <w:t>Non-solid plastic ingredients (e.g. liquids or polyethylene waxes, which may be used for purposes such as a film former, softening or aesthetic film in hair fixatives, conditioners and</w:t>
      </w:r>
      <w:r>
        <w:rPr>
          <w:spacing w:val="-2"/>
        </w:rPr>
        <w:t xml:space="preserve"> </w:t>
      </w:r>
      <w:r>
        <w:t>thickeners)</w:t>
      </w:r>
    </w:p>
    <w:p w14:paraId="79E80A34" w14:textId="77777777" w:rsidR="006F41DF" w:rsidRDefault="006F41DF" w:rsidP="00F67A7E">
      <w:pPr>
        <w:pStyle w:val="ListParagraph"/>
        <w:widowControl w:val="0"/>
        <w:numPr>
          <w:ilvl w:val="1"/>
          <w:numId w:val="12"/>
        </w:numPr>
        <w:tabs>
          <w:tab w:val="left" w:pos="996"/>
        </w:tabs>
        <w:autoSpaceDE w:val="0"/>
        <w:autoSpaceDN w:val="0"/>
        <w:spacing w:before="200" w:after="0"/>
        <w:ind w:right="571" w:hanging="367"/>
      </w:pPr>
      <w:r>
        <w:t>Plastic microbeads contained in industrial cleaning products used in closed systems (e.g. air blasting media used in manufacturing process</w:t>
      </w:r>
      <w:r>
        <w:rPr>
          <w:spacing w:val="-6"/>
        </w:rPr>
        <w:t xml:space="preserve"> </w:t>
      </w:r>
      <w:r>
        <w:t>cleaning);</w:t>
      </w:r>
    </w:p>
    <w:p w14:paraId="55DC5856" w14:textId="77777777" w:rsidR="006F41DF" w:rsidRDefault="006F41DF" w:rsidP="00F67A7E">
      <w:pPr>
        <w:pStyle w:val="ListParagraph"/>
        <w:widowControl w:val="0"/>
        <w:numPr>
          <w:ilvl w:val="1"/>
          <w:numId w:val="12"/>
        </w:numPr>
        <w:tabs>
          <w:tab w:val="left" w:pos="996"/>
        </w:tabs>
        <w:autoSpaceDE w:val="0"/>
        <w:autoSpaceDN w:val="0"/>
        <w:spacing w:before="201" w:after="0" w:line="240" w:lineRule="auto"/>
        <w:ind w:hanging="367"/>
      </w:pPr>
      <w:r>
        <w:lastRenderedPageBreak/>
        <w:t>Plastic microbeads in</w:t>
      </w:r>
      <w:r>
        <w:rPr>
          <w:spacing w:val="-3"/>
        </w:rPr>
        <w:t xml:space="preserve"> </w:t>
      </w:r>
      <w:r>
        <w:t>medicines;</w:t>
      </w:r>
    </w:p>
    <w:p w14:paraId="0135C75E" w14:textId="77777777" w:rsidR="006F41DF" w:rsidRDefault="006F41DF" w:rsidP="006F41DF">
      <w:pPr>
        <w:pStyle w:val="BodyText"/>
        <w:spacing w:before="9"/>
        <w:ind w:left="0"/>
        <w:rPr>
          <w:sz w:val="20"/>
        </w:rPr>
      </w:pPr>
    </w:p>
    <w:p w14:paraId="072E18C0" w14:textId="77777777" w:rsidR="006F41DF" w:rsidRDefault="006F41DF" w:rsidP="00F67A7E">
      <w:pPr>
        <w:pStyle w:val="ListParagraph"/>
        <w:widowControl w:val="0"/>
        <w:numPr>
          <w:ilvl w:val="1"/>
          <w:numId w:val="12"/>
        </w:numPr>
        <w:tabs>
          <w:tab w:val="left" w:pos="996"/>
        </w:tabs>
        <w:autoSpaceDE w:val="0"/>
        <w:autoSpaceDN w:val="0"/>
        <w:spacing w:after="0" w:line="240" w:lineRule="auto"/>
        <w:ind w:hanging="367"/>
      </w:pPr>
      <w:r>
        <w:t>Plastic fibres from washing clothes;</w:t>
      </w:r>
      <w:r>
        <w:rPr>
          <w:spacing w:val="-4"/>
        </w:rPr>
        <w:t xml:space="preserve"> </w:t>
      </w:r>
      <w:r>
        <w:t>and</w:t>
      </w:r>
    </w:p>
    <w:p w14:paraId="0E7828B0" w14:textId="77777777" w:rsidR="006F41DF" w:rsidRDefault="006F41DF" w:rsidP="006F41DF">
      <w:pPr>
        <w:pStyle w:val="BodyText"/>
        <w:spacing w:before="6"/>
        <w:ind w:left="0"/>
        <w:rPr>
          <w:sz w:val="20"/>
        </w:rPr>
      </w:pPr>
    </w:p>
    <w:p w14:paraId="32BDA9FD" w14:textId="77777777" w:rsidR="006F41DF" w:rsidRDefault="006F41DF" w:rsidP="00F67A7E">
      <w:pPr>
        <w:pStyle w:val="ListParagraph"/>
        <w:widowControl w:val="0"/>
        <w:numPr>
          <w:ilvl w:val="1"/>
          <w:numId w:val="12"/>
        </w:numPr>
        <w:tabs>
          <w:tab w:val="left" w:pos="995"/>
          <w:tab w:val="left" w:pos="996"/>
        </w:tabs>
        <w:autoSpaceDE w:val="0"/>
        <w:autoSpaceDN w:val="0"/>
        <w:spacing w:after="0" w:line="240" w:lineRule="auto"/>
        <w:ind w:hanging="367"/>
      </w:pPr>
      <w:r>
        <w:t>Pre-production plastic pellets used to manufacture plastic</w:t>
      </w:r>
      <w:r>
        <w:rPr>
          <w:spacing w:val="-5"/>
        </w:rPr>
        <w:t xml:space="preserve"> </w:t>
      </w:r>
      <w:r>
        <w:t>products.</w:t>
      </w:r>
    </w:p>
    <w:p w14:paraId="312F1A07" w14:textId="77777777" w:rsidR="006F41DF" w:rsidRDefault="006F41DF" w:rsidP="006F41DF">
      <w:pPr>
        <w:pStyle w:val="BodyText"/>
        <w:spacing w:before="10"/>
        <w:ind w:left="0"/>
        <w:rPr>
          <w:sz w:val="20"/>
        </w:rPr>
      </w:pPr>
    </w:p>
    <w:p w14:paraId="770648D5" w14:textId="77777777" w:rsidR="006F41DF" w:rsidRDefault="006F41DF" w:rsidP="006F41DF">
      <w:pPr>
        <w:pStyle w:val="BodyText"/>
        <w:spacing w:line="276" w:lineRule="auto"/>
        <w:ind w:right="302"/>
      </w:pPr>
      <w:r>
        <w:t>These types of microplastics may cause harm when they enter the environment. However, there is limited scientific research on these impacts. The NSW EPA is conducting further work to better establish whether plastics from these sources are reaching the marine environment in NSW.</w:t>
      </w:r>
    </w:p>
    <w:p w14:paraId="4725041C" w14:textId="77777777" w:rsidR="006F41DF" w:rsidRDefault="006F41DF" w:rsidP="006F41DF">
      <w:pPr>
        <w:sectPr w:rsidR="006F41DF" w:rsidSect="006F41DF">
          <w:pgSz w:w="11910" w:h="16840"/>
          <w:pgMar w:top="1320" w:right="1020" w:bottom="280" w:left="1160" w:header="720" w:footer="720" w:gutter="0"/>
          <w:cols w:space="720"/>
        </w:sectPr>
      </w:pPr>
    </w:p>
    <w:p w14:paraId="721B779E" w14:textId="3EAC0A51" w:rsidR="006F41DF" w:rsidRDefault="006F41DF" w:rsidP="006F41DF">
      <w:pPr>
        <w:pStyle w:val="Heading1"/>
        <w:ind w:firstLine="258"/>
      </w:pPr>
      <w:bookmarkStart w:id="2" w:name="_Toc513732733"/>
      <w:r>
        <w:rPr>
          <w:caps w:val="0"/>
        </w:rPr>
        <w:lastRenderedPageBreak/>
        <w:t>Findings</w:t>
      </w:r>
      <w:bookmarkEnd w:id="2"/>
    </w:p>
    <w:p w14:paraId="22C8D340" w14:textId="77777777" w:rsidR="006F41DF" w:rsidRDefault="006F41DF" w:rsidP="006F41DF">
      <w:pPr>
        <w:pStyle w:val="BodyText"/>
        <w:spacing w:before="1"/>
        <w:ind w:left="0"/>
        <w:rPr>
          <w:b/>
        </w:rPr>
      </w:pPr>
    </w:p>
    <w:p w14:paraId="0D5CF2A1"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400"/>
      </w:pPr>
      <w:r>
        <w:t>While there remain some gaps in the evidence available, and some areas still to be addressed, officials have concluded that, on balance, industry’s efforts to deliver a voluntary phase-out of microbeads in rinse-off, personal care, cosmetic and cleaning products will be effective as at 1 July 2018 and that regulation is not needed at this</w:t>
      </w:r>
      <w:r>
        <w:rPr>
          <w:spacing w:val="-19"/>
        </w:rPr>
        <w:t xml:space="preserve"> </w:t>
      </w:r>
      <w:r>
        <w:t>stage.</w:t>
      </w:r>
    </w:p>
    <w:p w14:paraId="41D4BCB1" w14:textId="77777777" w:rsidR="006F41DF" w:rsidRDefault="006F41DF" w:rsidP="006F41DF">
      <w:pPr>
        <w:pStyle w:val="BodyText"/>
        <w:spacing w:before="9"/>
        <w:ind w:left="0"/>
        <w:rPr>
          <w:sz w:val="18"/>
        </w:rPr>
      </w:pPr>
    </w:p>
    <w:p w14:paraId="1957A09B"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414"/>
      </w:pPr>
      <w:r>
        <w:t>Companies are aware of the expectation that they phase out microbeads and in the majority of cases have either phased them out already or committed to doing so by 1 July 2018.</w:t>
      </w:r>
    </w:p>
    <w:p w14:paraId="51B906AA" w14:textId="77777777" w:rsidR="006F41DF" w:rsidRDefault="006F41DF" w:rsidP="00F67A7E">
      <w:pPr>
        <w:pStyle w:val="ListParagraph"/>
        <w:widowControl w:val="0"/>
        <w:numPr>
          <w:ilvl w:val="0"/>
          <w:numId w:val="11"/>
        </w:numPr>
        <w:tabs>
          <w:tab w:val="left" w:pos="995"/>
          <w:tab w:val="left" w:pos="996"/>
        </w:tabs>
        <w:autoSpaceDE w:val="0"/>
        <w:autoSpaceDN w:val="0"/>
        <w:spacing w:before="200" w:after="0" w:line="266" w:lineRule="auto"/>
        <w:ind w:right="634" w:hanging="367"/>
      </w:pPr>
      <w:r>
        <w:t>Companies’ actions and commitments were reported in writing by the companies to Accord in December 2016 and December 2017, and show an increasing level of commitment over time.</w:t>
      </w:r>
    </w:p>
    <w:p w14:paraId="424195FA" w14:textId="77777777" w:rsidR="006F41DF" w:rsidRDefault="006F41DF" w:rsidP="00F67A7E">
      <w:pPr>
        <w:pStyle w:val="ListParagraph"/>
        <w:widowControl w:val="0"/>
        <w:numPr>
          <w:ilvl w:val="0"/>
          <w:numId w:val="11"/>
        </w:numPr>
        <w:tabs>
          <w:tab w:val="left" w:pos="995"/>
          <w:tab w:val="left" w:pos="996"/>
        </w:tabs>
        <w:autoSpaceDE w:val="0"/>
        <w:autoSpaceDN w:val="0"/>
        <w:spacing w:before="212" w:after="0" w:line="266" w:lineRule="auto"/>
        <w:ind w:right="595" w:hanging="367"/>
      </w:pPr>
      <w:r>
        <w:t>Commonwealth officials viewed the written representations by companies to Accord and are satisfied that the commitments support an effective voluntary phase-out of microbeads in products within scope by 1 July</w:t>
      </w:r>
      <w:r>
        <w:rPr>
          <w:spacing w:val="-11"/>
        </w:rPr>
        <w:t xml:space="preserve"> </w:t>
      </w:r>
      <w:r>
        <w:t>2018.</w:t>
      </w:r>
    </w:p>
    <w:p w14:paraId="69237913" w14:textId="77777777" w:rsidR="006F41DF" w:rsidRDefault="006F41DF" w:rsidP="006F41DF">
      <w:pPr>
        <w:pStyle w:val="BodyText"/>
        <w:spacing w:before="6"/>
        <w:ind w:left="0"/>
        <w:rPr>
          <w:sz w:val="19"/>
        </w:rPr>
      </w:pPr>
    </w:p>
    <w:p w14:paraId="10E8C544" w14:textId="77777777" w:rsidR="006F41DF" w:rsidRDefault="006F41DF" w:rsidP="00F67A7E">
      <w:pPr>
        <w:pStyle w:val="ListParagraph"/>
        <w:widowControl w:val="0"/>
        <w:numPr>
          <w:ilvl w:val="0"/>
          <w:numId w:val="12"/>
        </w:numPr>
        <w:tabs>
          <w:tab w:val="left" w:pos="628"/>
          <w:tab w:val="left" w:pos="629"/>
        </w:tabs>
        <w:autoSpaceDE w:val="0"/>
        <w:autoSpaceDN w:val="0"/>
        <w:spacing w:before="1" w:after="0"/>
        <w:ind w:right="289"/>
      </w:pPr>
      <w:r>
        <w:t>An independent assessment of the sale of products that could potentially contain microbeads was undertaken between November 2017 and February 2018. While this assessment showed that there remained some products with microbeads and other non- soluble plastic polymers on the market at that time, the low proportion of in-scope products containing microbeads more than four months before the phase-out was to be complete appeared consistent with the statements made by companies about actions taken or planned to remove microbeads from their rinse-off</w:t>
      </w:r>
      <w:r>
        <w:rPr>
          <w:spacing w:val="-10"/>
        </w:rPr>
        <w:t xml:space="preserve"> </w:t>
      </w:r>
      <w:r>
        <w:t>products.</w:t>
      </w:r>
    </w:p>
    <w:p w14:paraId="4CE482BE"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line="240" w:lineRule="auto"/>
      </w:pPr>
      <w:r>
        <w:t>The independent assessment showed that, between November 2017 and February</w:t>
      </w:r>
      <w:r>
        <w:rPr>
          <w:spacing w:val="-8"/>
        </w:rPr>
        <w:t xml:space="preserve"> </w:t>
      </w:r>
      <w:r>
        <w:t>2018:</w:t>
      </w:r>
    </w:p>
    <w:p w14:paraId="75787FF9" w14:textId="77777777" w:rsidR="006F41DF" w:rsidRDefault="006F41DF" w:rsidP="006F41DF">
      <w:pPr>
        <w:pStyle w:val="BodyText"/>
        <w:spacing w:before="8"/>
        <w:ind w:left="0"/>
        <w:rPr>
          <w:sz w:val="20"/>
        </w:rPr>
      </w:pPr>
    </w:p>
    <w:p w14:paraId="2AD26234" w14:textId="77777777" w:rsidR="006F41DF" w:rsidRDefault="006F41DF" w:rsidP="00F67A7E">
      <w:pPr>
        <w:pStyle w:val="ListParagraph"/>
        <w:widowControl w:val="0"/>
        <w:numPr>
          <w:ilvl w:val="0"/>
          <w:numId w:val="10"/>
        </w:numPr>
        <w:tabs>
          <w:tab w:val="left" w:pos="995"/>
          <w:tab w:val="left" w:pos="996"/>
        </w:tabs>
        <w:autoSpaceDE w:val="0"/>
        <w:autoSpaceDN w:val="0"/>
        <w:spacing w:before="1" w:after="0" w:line="256" w:lineRule="auto"/>
        <w:ind w:right="533" w:hanging="367"/>
      </w:pPr>
      <w:r>
        <w:t>94 per cent of all products surveyed did not contain microbeads or other non-soluble plastic</w:t>
      </w:r>
      <w:r>
        <w:rPr>
          <w:spacing w:val="-1"/>
        </w:rPr>
        <w:t xml:space="preserve"> </w:t>
      </w:r>
      <w:r>
        <w:t>polymers</w:t>
      </w:r>
    </w:p>
    <w:p w14:paraId="640E2A59" w14:textId="77777777" w:rsidR="006F41DF" w:rsidRDefault="006F41DF" w:rsidP="006F41DF">
      <w:pPr>
        <w:pStyle w:val="BodyText"/>
        <w:ind w:left="0"/>
        <w:rPr>
          <w:sz w:val="19"/>
        </w:rPr>
      </w:pPr>
    </w:p>
    <w:p w14:paraId="0E7B80C9" w14:textId="77777777" w:rsidR="006F41DF" w:rsidRDefault="006F41DF" w:rsidP="00F67A7E">
      <w:pPr>
        <w:pStyle w:val="ListParagraph"/>
        <w:widowControl w:val="0"/>
        <w:numPr>
          <w:ilvl w:val="0"/>
          <w:numId w:val="10"/>
        </w:numPr>
        <w:tabs>
          <w:tab w:val="left" w:pos="995"/>
          <w:tab w:val="left" w:pos="996"/>
        </w:tabs>
        <w:autoSpaceDE w:val="0"/>
        <w:autoSpaceDN w:val="0"/>
        <w:spacing w:after="0" w:line="256" w:lineRule="auto"/>
        <w:ind w:right="911" w:hanging="367"/>
      </w:pPr>
      <w:r>
        <w:t>some categories of rinse-off products, such as body washes, did not contain any microbeads or other non-soluble</w:t>
      </w:r>
      <w:r>
        <w:rPr>
          <w:spacing w:val="-2"/>
        </w:rPr>
        <w:t xml:space="preserve"> </w:t>
      </w:r>
      <w:r>
        <w:t>polymers</w:t>
      </w:r>
    </w:p>
    <w:p w14:paraId="33085A70" w14:textId="77777777" w:rsidR="006F41DF" w:rsidRDefault="006F41DF" w:rsidP="006F41DF">
      <w:pPr>
        <w:pStyle w:val="BodyText"/>
        <w:spacing w:before="3"/>
        <w:ind w:left="0"/>
        <w:rPr>
          <w:sz w:val="19"/>
        </w:rPr>
      </w:pPr>
    </w:p>
    <w:p w14:paraId="62825619" w14:textId="77777777" w:rsidR="006F41DF" w:rsidRDefault="006F41DF" w:rsidP="00F67A7E">
      <w:pPr>
        <w:pStyle w:val="ListParagraph"/>
        <w:widowControl w:val="0"/>
        <w:numPr>
          <w:ilvl w:val="0"/>
          <w:numId w:val="10"/>
        </w:numPr>
        <w:tabs>
          <w:tab w:val="left" w:pos="995"/>
          <w:tab w:val="left" w:pos="996"/>
        </w:tabs>
        <w:autoSpaceDE w:val="0"/>
        <w:autoSpaceDN w:val="0"/>
        <w:spacing w:after="0" w:line="266" w:lineRule="auto"/>
        <w:ind w:right="496" w:hanging="367"/>
      </w:pPr>
      <w:r>
        <w:t>the majority of the products still containing microbeads or other non-soluble plastic polymers were not rinse-off products, would not reach the marine environment under normal use and therefore fall outside the scope of the</w:t>
      </w:r>
      <w:r>
        <w:rPr>
          <w:spacing w:val="-11"/>
        </w:rPr>
        <w:t xml:space="preserve"> </w:t>
      </w:r>
      <w:r>
        <w:t>phase-out.</w:t>
      </w:r>
    </w:p>
    <w:p w14:paraId="3D2DEE00" w14:textId="77777777" w:rsidR="006F41DF" w:rsidRDefault="006F41DF" w:rsidP="006F41DF">
      <w:pPr>
        <w:pStyle w:val="BodyText"/>
        <w:spacing w:before="8"/>
        <w:ind w:left="0"/>
        <w:rPr>
          <w:sz w:val="19"/>
        </w:rPr>
      </w:pPr>
    </w:p>
    <w:p w14:paraId="26104593" w14:textId="77777777" w:rsidR="006F41DF" w:rsidRDefault="006F41DF" w:rsidP="00F67A7E">
      <w:pPr>
        <w:pStyle w:val="ListParagraph"/>
        <w:widowControl w:val="0"/>
        <w:numPr>
          <w:ilvl w:val="0"/>
          <w:numId w:val="12"/>
        </w:numPr>
        <w:tabs>
          <w:tab w:val="left" w:pos="628"/>
          <w:tab w:val="left" w:pos="629"/>
        </w:tabs>
        <w:autoSpaceDE w:val="0"/>
        <w:autoSpaceDN w:val="0"/>
        <w:spacing w:after="0" w:line="278" w:lineRule="auto"/>
        <w:ind w:right="912"/>
      </w:pPr>
      <w:r>
        <w:t>Some of the non-soluble plastic polymers identified through the survey are non-solid plastic ingredients and would therefore fall outside the scope of the</w:t>
      </w:r>
      <w:r>
        <w:rPr>
          <w:spacing w:val="-14"/>
        </w:rPr>
        <w:t xml:space="preserve"> </w:t>
      </w:r>
      <w:r>
        <w:t>phase-out.</w:t>
      </w:r>
    </w:p>
    <w:p w14:paraId="5949EE7E" w14:textId="77777777" w:rsidR="006F41DF" w:rsidRDefault="006F41DF" w:rsidP="00F67A7E">
      <w:pPr>
        <w:pStyle w:val="ListParagraph"/>
        <w:widowControl w:val="0"/>
        <w:numPr>
          <w:ilvl w:val="0"/>
          <w:numId w:val="12"/>
        </w:numPr>
        <w:tabs>
          <w:tab w:val="left" w:pos="629"/>
        </w:tabs>
        <w:autoSpaceDE w:val="0"/>
        <w:autoSpaceDN w:val="0"/>
        <w:spacing w:before="210" w:after="0"/>
        <w:ind w:right="887"/>
        <w:jc w:val="both"/>
      </w:pPr>
      <w:r>
        <w:t xml:space="preserve">Accord has agreed to work with officials to finalise and implement a </w:t>
      </w:r>
      <w:r>
        <w:lastRenderedPageBreak/>
        <w:t>compliance and monitoring protocol by June 2018, which will include actions to ensure the phase-out continues to be effective on an ongoing</w:t>
      </w:r>
      <w:r>
        <w:rPr>
          <w:spacing w:val="-4"/>
        </w:rPr>
        <w:t xml:space="preserve"> </w:t>
      </w:r>
      <w:r>
        <w:t>basis</w:t>
      </w:r>
    </w:p>
    <w:p w14:paraId="044F4CAA" w14:textId="77777777" w:rsidR="006F41DF" w:rsidRDefault="006F41DF" w:rsidP="00F67A7E">
      <w:pPr>
        <w:pStyle w:val="ListParagraph"/>
        <w:widowControl w:val="0"/>
        <w:numPr>
          <w:ilvl w:val="0"/>
          <w:numId w:val="12"/>
        </w:numPr>
        <w:tabs>
          <w:tab w:val="left" w:pos="628"/>
          <w:tab w:val="left" w:pos="629"/>
        </w:tabs>
        <w:autoSpaceDE w:val="0"/>
        <w:autoSpaceDN w:val="0"/>
        <w:spacing w:before="214" w:after="0"/>
        <w:ind w:right="365"/>
      </w:pPr>
      <w:r>
        <w:t>Based on the information available, the following areas will be prioritised for follow-up with the industry, including in the lead-up to July 2018 and through the monitoring and compliance</w:t>
      </w:r>
      <w:r>
        <w:rPr>
          <w:spacing w:val="-1"/>
        </w:rPr>
        <w:t xml:space="preserve"> </w:t>
      </w:r>
      <w:r>
        <w:t>protocol.</w:t>
      </w:r>
    </w:p>
    <w:p w14:paraId="713CD705" w14:textId="77777777" w:rsidR="006F41DF" w:rsidRDefault="006F41DF" w:rsidP="00F67A7E">
      <w:pPr>
        <w:pStyle w:val="ListParagraph"/>
        <w:widowControl w:val="0"/>
        <w:numPr>
          <w:ilvl w:val="0"/>
          <w:numId w:val="9"/>
        </w:numPr>
        <w:tabs>
          <w:tab w:val="left" w:pos="995"/>
          <w:tab w:val="left" w:pos="996"/>
        </w:tabs>
        <w:autoSpaceDE w:val="0"/>
        <w:autoSpaceDN w:val="0"/>
        <w:spacing w:before="203" w:after="0" w:line="266" w:lineRule="auto"/>
        <w:ind w:right="325" w:hanging="367"/>
      </w:pPr>
      <w:r>
        <w:t>Residual microbeads in rinse-off products: Immediate effort will be focused on the in- scope products that still contained microbeads between November 2017 and February 2018 (including facial scrubs) and products which do not list full ingredients on</w:t>
      </w:r>
      <w:r>
        <w:rPr>
          <w:spacing w:val="-25"/>
        </w:rPr>
        <w:t xml:space="preserve"> </w:t>
      </w:r>
      <w:r>
        <w:t>their</w:t>
      </w:r>
    </w:p>
    <w:p w14:paraId="4611BCAC" w14:textId="77777777" w:rsidR="006F41DF" w:rsidRDefault="006F41DF" w:rsidP="006F41DF">
      <w:pPr>
        <w:spacing w:line="266" w:lineRule="auto"/>
        <w:sectPr w:rsidR="006F41DF">
          <w:footerReference w:type="default" r:id="rId16"/>
          <w:pgSz w:w="11910" w:h="16840"/>
          <w:pgMar w:top="1320" w:right="1020" w:bottom="660" w:left="1160" w:header="0" w:footer="473" w:gutter="0"/>
          <w:pgNumType w:start="2"/>
          <w:cols w:space="720"/>
        </w:sectPr>
      </w:pPr>
    </w:p>
    <w:p w14:paraId="317FF504" w14:textId="77777777" w:rsidR="006F41DF" w:rsidRDefault="006F41DF" w:rsidP="006F41DF">
      <w:pPr>
        <w:pStyle w:val="BodyText"/>
        <w:spacing w:before="78" w:line="276" w:lineRule="auto"/>
        <w:ind w:left="995" w:right="558"/>
      </w:pPr>
      <w:r>
        <w:lastRenderedPageBreak/>
        <w:t>ingredients list (such as toothpaste and business to business cosmetic and cleaning products).</w:t>
      </w:r>
    </w:p>
    <w:p w14:paraId="14E76ED3" w14:textId="77777777" w:rsidR="006F41DF" w:rsidRDefault="006F41DF" w:rsidP="00F67A7E">
      <w:pPr>
        <w:pStyle w:val="ListParagraph"/>
        <w:widowControl w:val="0"/>
        <w:numPr>
          <w:ilvl w:val="0"/>
          <w:numId w:val="9"/>
        </w:numPr>
        <w:tabs>
          <w:tab w:val="left" w:pos="995"/>
          <w:tab w:val="left" w:pos="996"/>
        </w:tabs>
        <w:autoSpaceDE w:val="0"/>
        <w:autoSpaceDN w:val="0"/>
        <w:spacing w:before="200" w:after="0" w:line="268" w:lineRule="auto"/>
        <w:ind w:right="280" w:hanging="367"/>
      </w:pPr>
      <w:r>
        <w:t>Companies that are not members of Accord: While good progress has been made by Accord in securing wide commitment to the phase out among the companies identified, there are likely to be non-member companies that Accord have not been able to identify.</w:t>
      </w:r>
    </w:p>
    <w:p w14:paraId="0D935C5D" w14:textId="77777777" w:rsidR="006F41DF" w:rsidRDefault="006F41DF" w:rsidP="00F67A7E">
      <w:pPr>
        <w:pStyle w:val="ListParagraph"/>
        <w:widowControl w:val="0"/>
        <w:numPr>
          <w:ilvl w:val="0"/>
          <w:numId w:val="9"/>
        </w:numPr>
        <w:tabs>
          <w:tab w:val="left" w:pos="995"/>
          <w:tab w:val="left" w:pos="996"/>
        </w:tabs>
        <w:autoSpaceDE w:val="0"/>
        <w:autoSpaceDN w:val="0"/>
        <w:spacing w:before="211" w:after="0" w:line="268" w:lineRule="auto"/>
        <w:ind w:right="302" w:hanging="367"/>
      </w:pPr>
      <w:r>
        <w:t>Clarification of out-of-scope non-soluble plastic polymers: Accord have indicated that two non-soluble plastic polymers identified in the independent assessment, Polymethyl methacrylate and Methyl methacrylate cross polymer, are film-forming synthetic non- soluble plastic polymers rather than</w:t>
      </w:r>
      <w:r>
        <w:rPr>
          <w:spacing w:val="-5"/>
        </w:rPr>
        <w:t xml:space="preserve"> </w:t>
      </w:r>
      <w:r>
        <w:t>microbeads.</w:t>
      </w:r>
    </w:p>
    <w:p w14:paraId="694B08BD" w14:textId="77777777" w:rsidR="006F41DF" w:rsidRDefault="006F41DF" w:rsidP="00F67A7E">
      <w:pPr>
        <w:pStyle w:val="ListParagraph"/>
        <w:widowControl w:val="0"/>
        <w:numPr>
          <w:ilvl w:val="0"/>
          <w:numId w:val="9"/>
        </w:numPr>
        <w:tabs>
          <w:tab w:val="left" w:pos="995"/>
          <w:tab w:val="left" w:pos="996"/>
        </w:tabs>
        <w:autoSpaceDE w:val="0"/>
        <w:autoSpaceDN w:val="0"/>
        <w:spacing w:before="211" w:after="0" w:line="271" w:lineRule="auto"/>
        <w:ind w:right="252" w:hanging="367"/>
      </w:pPr>
      <w:r>
        <w:t>Engagement with pharmacies: Accord has contacted 10 of the major pharmacies, but the response rate has been low. This may be a lower order concern, as results of the independent assessment and research undertaken by Accord suggest that pharmacies do not sell in-scope, own-label products, and therefore products sold in pharmacies are already captured by their suppliers’ engagement with the phase</w:t>
      </w:r>
      <w:r>
        <w:rPr>
          <w:spacing w:val="-18"/>
        </w:rPr>
        <w:t xml:space="preserve"> </w:t>
      </w:r>
      <w:r>
        <w:t>out.</w:t>
      </w:r>
    </w:p>
    <w:p w14:paraId="7E9B3A42" w14:textId="77777777" w:rsidR="006F41DF" w:rsidRDefault="006F41DF" w:rsidP="006F41DF">
      <w:pPr>
        <w:pStyle w:val="BodyText"/>
        <w:ind w:left="0"/>
        <w:rPr>
          <w:sz w:val="19"/>
        </w:rPr>
      </w:pPr>
    </w:p>
    <w:p w14:paraId="241702FE" w14:textId="77777777" w:rsidR="006F41DF" w:rsidRDefault="006F41DF" w:rsidP="00F67A7E">
      <w:pPr>
        <w:pStyle w:val="ListParagraph"/>
        <w:widowControl w:val="0"/>
        <w:numPr>
          <w:ilvl w:val="0"/>
          <w:numId w:val="12"/>
        </w:numPr>
        <w:tabs>
          <w:tab w:val="left" w:pos="628"/>
          <w:tab w:val="left" w:pos="629"/>
        </w:tabs>
        <w:autoSpaceDE w:val="0"/>
        <w:autoSpaceDN w:val="0"/>
        <w:spacing w:after="0" w:line="240" w:lineRule="auto"/>
      </w:pPr>
      <w:r>
        <w:t>Further detail on the information on which the assessment was based is provided</w:t>
      </w:r>
      <w:r>
        <w:rPr>
          <w:spacing w:val="-18"/>
        </w:rPr>
        <w:t xml:space="preserve"> </w:t>
      </w:r>
      <w:r>
        <w:t>below.</w:t>
      </w:r>
    </w:p>
    <w:p w14:paraId="21DA9E6C" w14:textId="77777777" w:rsidR="006F41DF" w:rsidRDefault="006F41DF" w:rsidP="006F41DF">
      <w:pPr>
        <w:pStyle w:val="BodyText"/>
        <w:spacing w:before="9"/>
        <w:ind w:left="0"/>
        <w:rPr>
          <w:sz w:val="20"/>
        </w:rPr>
      </w:pPr>
    </w:p>
    <w:p w14:paraId="69149A51" w14:textId="77777777" w:rsidR="006F41DF" w:rsidRDefault="006F41DF" w:rsidP="006F41DF">
      <w:pPr>
        <w:pStyle w:val="Heading2"/>
      </w:pPr>
    </w:p>
    <w:p w14:paraId="1B6460F5" w14:textId="56710DE9" w:rsidR="006F41DF" w:rsidRPr="006F41DF" w:rsidRDefault="006F41DF" w:rsidP="000376C3">
      <w:pPr>
        <w:pStyle w:val="Heading2"/>
        <w:ind w:firstLine="258"/>
      </w:pPr>
      <w:bookmarkStart w:id="3" w:name="_Toc513732734"/>
      <w:r>
        <w:t>Commitments by companies: BeadRecede campaign led by Accord</w:t>
      </w:r>
      <w:bookmarkEnd w:id="3"/>
    </w:p>
    <w:p w14:paraId="74E848C1"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548"/>
      </w:pPr>
      <w:r>
        <w:t>The BeadRecede campaign has been implemented by Accord as a focus for its industry outreach.</w:t>
      </w:r>
    </w:p>
    <w:p w14:paraId="0E3C0555"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ind w:right="279"/>
      </w:pPr>
      <w:r>
        <w:t xml:space="preserve">As part of the campaign, Accord wrote to 146 companies that were identified as supplying products in sectors that could </w:t>
      </w:r>
      <w:r>
        <w:rPr>
          <w:i/>
        </w:rPr>
        <w:t xml:space="preserve">potentially </w:t>
      </w:r>
      <w:r>
        <w:t>contain microbeads. The sectors were: personal care and cosmetic (71), homecare/consumer cleaning (7), commercial business to business cleaning (40), raw material business to business (9), retailers (9) and pharmacies (10).</w:t>
      </w:r>
    </w:p>
    <w:p w14:paraId="2FA5530A" w14:textId="77777777" w:rsidR="006F41DF" w:rsidRDefault="006F41DF" w:rsidP="00F67A7E">
      <w:pPr>
        <w:pStyle w:val="ListParagraph"/>
        <w:widowControl w:val="0"/>
        <w:numPr>
          <w:ilvl w:val="0"/>
          <w:numId w:val="12"/>
        </w:numPr>
        <w:tabs>
          <w:tab w:val="left" w:pos="628"/>
          <w:tab w:val="left" w:pos="629"/>
        </w:tabs>
        <w:autoSpaceDE w:val="0"/>
        <w:autoSpaceDN w:val="0"/>
        <w:spacing w:before="214" w:after="0"/>
        <w:ind w:right="300"/>
      </w:pPr>
      <w:r>
        <w:t>The data presented in the tables below are drawn from Accord’s reports to officials on the BeadRecede campaign, and deal only with the 53 companies (out of the original list of 146 companies) that were identified as having at some point supplied products that contained microbeads.</w:t>
      </w:r>
    </w:p>
    <w:p w14:paraId="746F7335" w14:textId="77777777" w:rsidR="006F41DF" w:rsidRDefault="006F41DF" w:rsidP="006F41DF">
      <w:pPr>
        <w:pStyle w:val="BodyText"/>
        <w:spacing w:before="9"/>
        <w:ind w:left="0"/>
        <w:rPr>
          <w:sz w:val="18"/>
        </w:rPr>
      </w:pPr>
    </w:p>
    <w:p w14:paraId="72A3AA84" w14:textId="77777777" w:rsidR="006F41DF" w:rsidRDefault="006F41DF" w:rsidP="00F67A7E">
      <w:pPr>
        <w:pStyle w:val="ListParagraph"/>
        <w:widowControl w:val="0"/>
        <w:numPr>
          <w:ilvl w:val="0"/>
          <w:numId w:val="12"/>
        </w:numPr>
        <w:tabs>
          <w:tab w:val="left" w:pos="628"/>
          <w:tab w:val="left" w:pos="629"/>
        </w:tabs>
        <w:autoSpaceDE w:val="0"/>
        <w:autoSpaceDN w:val="0"/>
        <w:spacing w:before="1" w:after="0"/>
        <w:ind w:right="975"/>
      </w:pPr>
      <w:r>
        <w:t>The data show an increased commitment by industry to phase out microbeads from December 2016 to December</w:t>
      </w:r>
      <w:r>
        <w:rPr>
          <w:spacing w:val="-5"/>
        </w:rPr>
        <w:t xml:space="preserve"> </w:t>
      </w:r>
      <w:r>
        <w:t>2017.</w:t>
      </w:r>
    </w:p>
    <w:p w14:paraId="0BD18A4F"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ind w:right="346"/>
      </w:pPr>
      <w:r>
        <w:t>Table 1 below shows that by December 2016, 80 per cent of companies identified as supplying products containing plastic microbeads (or 42 of the 53 companies) had phased out or committed to phasing out</w:t>
      </w:r>
      <w:r>
        <w:rPr>
          <w:spacing w:val="-2"/>
        </w:rPr>
        <w:t xml:space="preserve"> </w:t>
      </w:r>
      <w:r>
        <w:t>microbeads.</w:t>
      </w:r>
    </w:p>
    <w:p w14:paraId="00B3B206" w14:textId="77777777" w:rsidR="006F41DF" w:rsidRDefault="006F41DF" w:rsidP="006F41DF">
      <w:pPr>
        <w:sectPr w:rsidR="006F41DF">
          <w:pgSz w:w="11910" w:h="16840"/>
          <w:pgMar w:top="1320" w:right="1020" w:bottom="660" w:left="1160" w:header="0" w:footer="473" w:gutter="0"/>
          <w:cols w:space="720"/>
        </w:sectPr>
      </w:pPr>
    </w:p>
    <w:p w14:paraId="08C141F0" w14:textId="77777777" w:rsidR="006F41DF" w:rsidRDefault="006F41DF" w:rsidP="006F41DF">
      <w:pPr>
        <w:spacing w:before="76"/>
        <w:ind w:left="258" w:right="342"/>
        <w:rPr>
          <w:i/>
          <w:sz w:val="18"/>
        </w:rPr>
      </w:pPr>
      <w:r>
        <w:rPr>
          <w:i/>
          <w:sz w:val="18"/>
        </w:rPr>
        <w:lastRenderedPageBreak/>
        <w:t>Table 1: Results of Accord's December 2016 survey of companies that were identified as having supplied products containing microbeads</w:t>
      </w:r>
    </w:p>
    <w:p w14:paraId="790B38AD" w14:textId="77777777" w:rsidR="006F41DF" w:rsidRDefault="006F41DF" w:rsidP="006F41DF">
      <w:pPr>
        <w:pStyle w:val="BodyText"/>
        <w:spacing w:before="9"/>
        <w:ind w:left="0"/>
        <w:rPr>
          <w:i/>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229"/>
        <w:gridCol w:w="1322"/>
        <w:gridCol w:w="1560"/>
        <w:gridCol w:w="993"/>
        <w:gridCol w:w="1274"/>
        <w:gridCol w:w="993"/>
      </w:tblGrid>
      <w:tr w:rsidR="006F41DF" w14:paraId="03D7C0F4" w14:textId="77777777" w:rsidTr="006F41DF">
        <w:trPr>
          <w:trHeight w:val="113"/>
        </w:trPr>
        <w:tc>
          <w:tcPr>
            <w:tcW w:w="2122" w:type="dxa"/>
            <w:vAlign w:val="center"/>
          </w:tcPr>
          <w:p w14:paraId="3E8A3BCC" w14:textId="77777777" w:rsidR="006F41DF" w:rsidRDefault="006F41DF" w:rsidP="006F41DF">
            <w:pPr>
              <w:pStyle w:val="TableParagraph"/>
              <w:spacing w:before="80" w:after="80" w:line="276" w:lineRule="auto"/>
              <w:ind w:left="125" w:right="95" w:firstLine="81"/>
              <w:jc w:val="left"/>
              <w:rPr>
                <w:b/>
              </w:rPr>
            </w:pPr>
            <w:r>
              <w:rPr>
                <w:b/>
              </w:rPr>
              <w:t>Accord’s survey results - Dec 2016</w:t>
            </w:r>
          </w:p>
        </w:tc>
        <w:tc>
          <w:tcPr>
            <w:tcW w:w="1229" w:type="dxa"/>
            <w:vAlign w:val="center"/>
          </w:tcPr>
          <w:p w14:paraId="5824D567" w14:textId="77777777" w:rsidR="006F41DF" w:rsidRDefault="006F41DF" w:rsidP="006F41DF">
            <w:pPr>
              <w:pStyle w:val="TableParagraph"/>
              <w:spacing w:before="80" w:after="80" w:line="276" w:lineRule="auto"/>
              <w:ind w:left="136" w:right="126" w:firstLine="12"/>
              <w:jc w:val="both"/>
              <w:rPr>
                <w:b/>
              </w:rPr>
            </w:pPr>
            <w:r>
              <w:rPr>
                <w:b/>
              </w:rPr>
              <w:t>Personal care and cosmetic</w:t>
            </w:r>
          </w:p>
        </w:tc>
        <w:tc>
          <w:tcPr>
            <w:tcW w:w="1322" w:type="dxa"/>
            <w:vAlign w:val="center"/>
          </w:tcPr>
          <w:p w14:paraId="181BB786" w14:textId="77777777" w:rsidR="006F41DF" w:rsidRDefault="006F41DF" w:rsidP="006F41DF">
            <w:pPr>
              <w:pStyle w:val="TableParagraph"/>
              <w:spacing w:before="80" w:after="80" w:line="248" w:lineRule="exact"/>
              <w:ind w:left="129"/>
              <w:jc w:val="left"/>
              <w:rPr>
                <w:b/>
              </w:rPr>
            </w:pPr>
            <w:r>
              <w:rPr>
                <w:b/>
              </w:rPr>
              <w:t>Homecare</w:t>
            </w:r>
          </w:p>
          <w:p w14:paraId="7A5C40C1" w14:textId="77777777" w:rsidR="006F41DF" w:rsidRDefault="006F41DF" w:rsidP="006F41DF">
            <w:pPr>
              <w:pStyle w:val="TableParagraph"/>
              <w:spacing w:before="80" w:after="80" w:line="276" w:lineRule="auto"/>
              <w:ind w:left="134" w:right="121" w:hanging="4"/>
              <w:rPr>
                <w:b/>
              </w:rPr>
            </w:pPr>
            <w:r>
              <w:rPr>
                <w:b/>
              </w:rPr>
              <w:t>/        consumer cleaning</w:t>
            </w:r>
          </w:p>
        </w:tc>
        <w:tc>
          <w:tcPr>
            <w:tcW w:w="1560" w:type="dxa"/>
            <w:vAlign w:val="center"/>
          </w:tcPr>
          <w:p w14:paraId="402D2B58" w14:textId="77777777" w:rsidR="006F41DF" w:rsidRDefault="006F41DF" w:rsidP="006F41DF">
            <w:pPr>
              <w:pStyle w:val="TableParagraph"/>
              <w:spacing w:before="80" w:after="80" w:line="276" w:lineRule="auto"/>
              <w:ind w:left="149" w:right="137"/>
              <w:rPr>
                <w:b/>
              </w:rPr>
            </w:pPr>
            <w:r>
              <w:rPr>
                <w:b/>
              </w:rPr>
              <w:t>Commercial B2B</w:t>
            </w:r>
          </w:p>
          <w:p w14:paraId="1FE492EE" w14:textId="77777777" w:rsidR="006F41DF" w:rsidRDefault="006F41DF" w:rsidP="006F41DF">
            <w:pPr>
              <w:pStyle w:val="TableParagraph"/>
              <w:spacing w:before="80" w:after="80" w:line="252" w:lineRule="exact"/>
              <w:ind w:left="149" w:right="135"/>
              <w:rPr>
                <w:b/>
              </w:rPr>
            </w:pPr>
            <w:r>
              <w:rPr>
                <w:b/>
              </w:rPr>
              <w:t>cleaning</w:t>
            </w:r>
          </w:p>
        </w:tc>
        <w:tc>
          <w:tcPr>
            <w:tcW w:w="993" w:type="dxa"/>
            <w:vAlign w:val="center"/>
          </w:tcPr>
          <w:p w14:paraId="1EE584A3" w14:textId="77777777" w:rsidR="006F41DF" w:rsidRDefault="006F41DF" w:rsidP="006F41DF">
            <w:pPr>
              <w:pStyle w:val="TableParagraph"/>
              <w:spacing w:before="80" w:after="80" w:line="248" w:lineRule="exact"/>
              <w:ind w:left="178" w:right="165"/>
              <w:rPr>
                <w:b/>
              </w:rPr>
            </w:pPr>
            <w:r>
              <w:rPr>
                <w:b/>
              </w:rPr>
              <w:t>Retail</w:t>
            </w:r>
          </w:p>
        </w:tc>
        <w:tc>
          <w:tcPr>
            <w:tcW w:w="1274" w:type="dxa"/>
            <w:vAlign w:val="center"/>
          </w:tcPr>
          <w:p w14:paraId="661E2253" w14:textId="77777777" w:rsidR="006F41DF" w:rsidRDefault="006F41DF" w:rsidP="006F41DF">
            <w:pPr>
              <w:pStyle w:val="TableParagraph"/>
              <w:spacing w:before="80" w:after="80" w:line="276" w:lineRule="auto"/>
              <w:ind w:left="148" w:right="117" w:firstLine="276"/>
              <w:jc w:val="left"/>
              <w:rPr>
                <w:b/>
              </w:rPr>
            </w:pPr>
            <w:r>
              <w:rPr>
                <w:b/>
              </w:rPr>
              <w:t>Non members</w:t>
            </w:r>
          </w:p>
        </w:tc>
        <w:tc>
          <w:tcPr>
            <w:tcW w:w="993" w:type="dxa"/>
            <w:vAlign w:val="center"/>
          </w:tcPr>
          <w:p w14:paraId="2D17C470" w14:textId="77777777" w:rsidR="006F41DF" w:rsidRDefault="006F41DF" w:rsidP="006F41DF">
            <w:pPr>
              <w:pStyle w:val="TableParagraph"/>
              <w:spacing w:before="80" w:after="80" w:line="248" w:lineRule="exact"/>
              <w:ind w:left="177" w:right="165"/>
              <w:rPr>
                <w:b/>
              </w:rPr>
            </w:pPr>
            <w:r>
              <w:rPr>
                <w:b/>
              </w:rPr>
              <w:t>Total</w:t>
            </w:r>
          </w:p>
        </w:tc>
      </w:tr>
      <w:tr w:rsidR="006F41DF" w14:paraId="7E8361D4" w14:textId="77777777" w:rsidTr="006F41DF">
        <w:trPr>
          <w:trHeight w:val="113"/>
        </w:trPr>
        <w:tc>
          <w:tcPr>
            <w:tcW w:w="2122" w:type="dxa"/>
            <w:vAlign w:val="center"/>
          </w:tcPr>
          <w:p w14:paraId="0711EFF7" w14:textId="77777777" w:rsidR="006F41DF" w:rsidRDefault="006F41DF" w:rsidP="006F41DF">
            <w:pPr>
              <w:pStyle w:val="TableParagraph"/>
              <w:spacing w:before="80" w:after="80" w:line="276" w:lineRule="auto"/>
              <w:ind w:left="108" w:right="88"/>
              <w:jc w:val="left"/>
            </w:pPr>
            <w:r>
              <w:t>Already phased out by Dec 2016</w:t>
            </w:r>
          </w:p>
        </w:tc>
        <w:tc>
          <w:tcPr>
            <w:tcW w:w="1229" w:type="dxa"/>
            <w:vAlign w:val="center"/>
          </w:tcPr>
          <w:p w14:paraId="562F875C" w14:textId="77777777" w:rsidR="006F41DF" w:rsidRDefault="006F41DF" w:rsidP="006F41DF">
            <w:pPr>
              <w:pStyle w:val="TableParagraph"/>
              <w:spacing w:before="80" w:after="80"/>
              <w:ind w:left="491"/>
              <w:jc w:val="left"/>
            </w:pPr>
            <w:r>
              <w:t>16</w:t>
            </w:r>
          </w:p>
        </w:tc>
        <w:tc>
          <w:tcPr>
            <w:tcW w:w="1322" w:type="dxa"/>
            <w:vAlign w:val="center"/>
          </w:tcPr>
          <w:p w14:paraId="7868A9D6" w14:textId="77777777" w:rsidR="006F41DF" w:rsidRDefault="006F41DF" w:rsidP="006F41DF">
            <w:pPr>
              <w:pStyle w:val="TableParagraph"/>
              <w:spacing w:before="80" w:after="80"/>
              <w:ind w:left="11"/>
            </w:pPr>
            <w:r>
              <w:t>1</w:t>
            </w:r>
          </w:p>
        </w:tc>
        <w:tc>
          <w:tcPr>
            <w:tcW w:w="1560" w:type="dxa"/>
            <w:vAlign w:val="center"/>
          </w:tcPr>
          <w:p w14:paraId="624879A4" w14:textId="77777777" w:rsidR="006F41DF" w:rsidRDefault="006F41DF" w:rsidP="006F41DF">
            <w:pPr>
              <w:pStyle w:val="TableParagraph"/>
              <w:spacing w:before="80" w:after="80"/>
              <w:ind w:left="9"/>
            </w:pPr>
            <w:r>
              <w:t>4</w:t>
            </w:r>
          </w:p>
        </w:tc>
        <w:tc>
          <w:tcPr>
            <w:tcW w:w="993" w:type="dxa"/>
            <w:vAlign w:val="center"/>
          </w:tcPr>
          <w:p w14:paraId="116F6F02" w14:textId="77777777" w:rsidR="006F41DF" w:rsidRDefault="006F41DF" w:rsidP="006F41DF">
            <w:pPr>
              <w:pStyle w:val="TableParagraph"/>
              <w:spacing w:before="80" w:after="80"/>
              <w:ind w:left="10"/>
            </w:pPr>
            <w:r>
              <w:t>1</w:t>
            </w:r>
          </w:p>
        </w:tc>
        <w:tc>
          <w:tcPr>
            <w:tcW w:w="1274" w:type="dxa"/>
            <w:vAlign w:val="center"/>
          </w:tcPr>
          <w:p w14:paraId="7B025ED0" w14:textId="77777777" w:rsidR="006F41DF" w:rsidRDefault="006F41DF" w:rsidP="006F41DF">
            <w:pPr>
              <w:pStyle w:val="TableParagraph"/>
              <w:spacing w:before="80" w:after="80"/>
              <w:ind w:right="561"/>
              <w:jc w:val="right"/>
            </w:pPr>
            <w:r>
              <w:t>1</w:t>
            </w:r>
          </w:p>
        </w:tc>
        <w:tc>
          <w:tcPr>
            <w:tcW w:w="993" w:type="dxa"/>
            <w:vAlign w:val="center"/>
          </w:tcPr>
          <w:p w14:paraId="24FC4F85" w14:textId="77777777" w:rsidR="006F41DF" w:rsidRDefault="006F41DF" w:rsidP="006F41DF">
            <w:pPr>
              <w:pStyle w:val="TableParagraph"/>
              <w:spacing w:before="80" w:after="80"/>
              <w:ind w:left="178" w:right="163"/>
            </w:pPr>
            <w:r>
              <w:t>23</w:t>
            </w:r>
          </w:p>
        </w:tc>
      </w:tr>
      <w:tr w:rsidR="006F41DF" w14:paraId="44AB9A51" w14:textId="77777777" w:rsidTr="006F41DF">
        <w:trPr>
          <w:trHeight w:val="113"/>
        </w:trPr>
        <w:tc>
          <w:tcPr>
            <w:tcW w:w="2122" w:type="dxa"/>
            <w:vAlign w:val="center"/>
          </w:tcPr>
          <w:p w14:paraId="114CEAEB" w14:textId="77777777" w:rsidR="006F41DF" w:rsidRDefault="006F41DF" w:rsidP="006F41DF">
            <w:pPr>
              <w:pStyle w:val="TableParagraph"/>
              <w:spacing w:before="80" w:after="80" w:line="276" w:lineRule="auto"/>
              <w:ind w:left="108" w:right="568"/>
              <w:jc w:val="left"/>
            </w:pPr>
            <w:r>
              <w:t>Committed to phasing out by mid-2018</w:t>
            </w:r>
          </w:p>
        </w:tc>
        <w:tc>
          <w:tcPr>
            <w:tcW w:w="1229" w:type="dxa"/>
            <w:vAlign w:val="center"/>
          </w:tcPr>
          <w:p w14:paraId="4EDCF83C" w14:textId="77777777" w:rsidR="006F41DF" w:rsidRDefault="006F41DF" w:rsidP="006F41DF">
            <w:pPr>
              <w:pStyle w:val="TableParagraph"/>
              <w:spacing w:before="80" w:after="80"/>
              <w:jc w:val="left"/>
              <w:rPr>
                <w:i/>
                <w:sz w:val="25"/>
              </w:rPr>
            </w:pPr>
          </w:p>
          <w:p w14:paraId="0E2BFEDA" w14:textId="77777777" w:rsidR="006F41DF" w:rsidRDefault="006F41DF" w:rsidP="006F41DF">
            <w:pPr>
              <w:pStyle w:val="TableParagraph"/>
              <w:spacing w:before="80" w:after="80"/>
              <w:ind w:left="551"/>
              <w:jc w:val="left"/>
            </w:pPr>
            <w:r>
              <w:t>9</w:t>
            </w:r>
          </w:p>
        </w:tc>
        <w:tc>
          <w:tcPr>
            <w:tcW w:w="1322" w:type="dxa"/>
            <w:vAlign w:val="center"/>
          </w:tcPr>
          <w:p w14:paraId="48DC97A2" w14:textId="77777777" w:rsidR="006F41DF" w:rsidRDefault="006F41DF" w:rsidP="006F41DF">
            <w:pPr>
              <w:pStyle w:val="TableParagraph"/>
              <w:spacing w:before="80" w:after="80"/>
              <w:jc w:val="left"/>
              <w:rPr>
                <w:i/>
                <w:sz w:val="25"/>
              </w:rPr>
            </w:pPr>
          </w:p>
          <w:p w14:paraId="51B202A8" w14:textId="77777777" w:rsidR="006F41DF" w:rsidRDefault="006F41DF" w:rsidP="006F41DF">
            <w:pPr>
              <w:pStyle w:val="TableParagraph"/>
              <w:spacing w:before="80" w:after="80"/>
              <w:ind w:left="11"/>
            </w:pPr>
            <w:r>
              <w:t>2</w:t>
            </w:r>
          </w:p>
        </w:tc>
        <w:tc>
          <w:tcPr>
            <w:tcW w:w="1560" w:type="dxa"/>
            <w:vAlign w:val="center"/>
          </w:tcPr>
          <w:p w14:paraId="351CDAF2" w14:textId="77777777" w:rsidR="006F41DF" w:rsidRDefault="006F41DF" w:rsidP="006F41DF">
            <w:pPr>
              <w:pStyle w:val="TableParagraph"/>
              <w:spacing w:before="80" w:after="80"/>
              <w:jc w:val="left"/>
              <w:rPr>
                <w:i/>
                <w:sz w:val="25"/>
              </w:rPr>
            </w:pPr>
          </w:p>
          <w:p w14:paraId="2F084FAE" w14:textId="77777777" w:rsidR="006F41DF" w:rsidRDefault="006F41DF" w:rsidP="006F41DF">
            <w:pPr>
              <w:pStyle w:val="TableParagraph"/>
              <w:spacing w:before="80" w:after="80"/>
              <w:ind w:left="9"/>
            </w:pPr>
            <w:r>
              <w:t>3</w:t>
            </w:r>
          </w:p>
        </w:tc>
        <w:tc>
          <w:tcPr>
            <w:tcW w:w="993" w:type="dxa"/>
            <w:vAlign w:val="center"/>
          </w:tcPr>
          <w:p w14:paraId="6CE590E9" w14:textId="77777777" w:rsidR="006F41DF" w:rsidRDefault="006F41DF" w:rsidP="006F41DF">
            <w:pPr>
              <w:pStyle w:val="TableParagraph"/>
              <w:spacing w:before="80" w:after="80"/>
              <w:jc w:val="left"/>
              <w:rPr>
                <w:i/>
                <w:sz w:val="25"/>
              </w:rPr>
            </w:pPr>
          </w:p>
          <w:p w14:paraId="3DF53E85" w14:textId="77777777" w:rsidR="006F41DF" w:rsidRDefault="006F41DF" w:rsidP="006F41DF">
            <w:pPr>
              <w:pStyle w:val="TableParagraph"/>
              <w:spacing w:before="80" w:after="80"/>
              <w:ind w:left="10"/>
            </w:pPr>
            <w:r>
              <w:t>3</w:t>
            </w:r>
          </w:p>
        </w:tc>
        <w:tc>
          <w:tcPr>
            <w:tcW w:w="1274" w:type="dxa"/>
            <w:vAlign w:val="center"/>
          </w:tcPr>
          <w:p w14:paraId="046C422C" w14:textId="77777777" w:rsidR="006F41DF" w:rsidRDefault="006F41DF" w:rsidP="006F41DF">
            <w:pPr>
              <w:pStyle w:val="TableParagraph"/>
              <w:spacing w:before="80" w:after="80"/>
              <w:jc w:val="left"/>
              <w:rPr>
                <w:i/>
                <w:sz w:val="25"/>
              </w:rPr>
            </w:pPr>
          </w:p>
          <w:p w14:paraId="48333AE5" w14:textId="77777777" w:rsidR="006F41DF" w:rsidRDefault="006F41DF" w:rsidP="006F41DF">
            <w:pPr>
              <w:pStyle w:val="TableParagraph"/>
              <w:spacing w:before="80" w:after="80"/>
              <w:ind w:right="561"/>
              <w:jc w:val="right"/>
            </w:pPr>
            <w:r>
              <w:t>2</w:t>
            </w:r>
          </w:p>
        </w:tc>
        <w:tc>
          <w:tcPr>
            <w:tcW w:w="993" w:type="dxa"/>
            <w:vAlign w:val="center"/>
          </w:tcPr>
          <w:p w14:paraId="706743C5" w14:textId="77777777" w:rsidR="006F41DF" w:rsidRDefault="006F41DF" w:rsidP="006F41DF">
            <w:pPr>
              <w:pStyle w:val="TableParagraph"/>
              <w:spacing w:before="80" w:after="80"/>
              <w:jc w:val="left"/>
              <w:rPr>
                <w:i/>
                <w:sz w:val="25"/>
              </w:rPr>
            </w:pPr>
          </w:p>
          <w:p w14:paraId="449FE1F0" w14:textId="77777777" w:rsidR="006F41DF" w:rsidRDefault="006F41DF" w:rsidP="006F41DF">
            <w:pPr>
              <w:pStyle w:val="TableParagraph"/>
              <w:spacing w:before="80" w:after="80"/>
              <w:ind w:left="178" w:right="163"/>
            </w:pPr>
            <w:r>
              <w:t>19</w:t>
            </w:r>
          </w:p>
        </w:tc>
      </w:tr>
      <w:tr w:rsidR="006F41DF" w14:paraId="32882047" w14:textId="77777777" w:rsidTr="006F41DF">
        <w:trPr>
          <w:trHeight w:val="113"/>
        </w:trPr>
        <w:tc>
          <w:tcPr>
            <w:tcW w:w="2122" w:type="dxa"/>
            <w:vAlign w:val="center"/>
          </w:tcPr>
          <w:p w14:paraId="064BDF02" w14:textId="77777777" w:rsidR="006F41DF" w:rsidRDefault="006F41DF" w:rsidP="006F41DF">
            <w:pPr>
              <w:pStyle w:val="TableParagraph"/>
              <w:spacing w:before="80" w:after="80" w:line="276" w:lineRule="auto"/>
              <w:ind w:left="108" w:right="101"/>
              <w:jc w:val="left"/>
            </w:pPr>
            <w:r>
              <w:t>Subtotal – phased out or committed to phase out</w:t>
            </w:r>
          </w:p>
        </w:tc>
        <w:tc>
          <w:tcPr>
            <w:tcW w:w="1229" w:type="dxa"/>
            <w:vAlign w:val="center"/>
          </w:tcPr>
          <w:p w14:paraId="27B71171" w14:textId="77777777" w:rsidR="006F41DF" w:rsidRDefault="006F41DF" w:rsidP="006F41DF">
            <w:pPr>
              <w:pStyle w:val="TableParagraph"/>
              <w:spacing w:before="80" w:after="80"/>
              <w:jc w:val="left"/>
              <w:rPr>
                <w:i/>
                <w:sz w:val="25"/>
              </w:rPr>
            </w:pPr>
          </w:p>
          <w:p w14:paraId="3524DAFE" w14:textId="77777777" w:rsidR="006F41DF" w:rsidRDefault="006F41DF" w:rsidP="006F41DF">
            <w:pPr>
              <w:pStyle w:val="TableParagraph"/>
              <w:spacing w:before="80" w:after="80"/>
              <w:ind w:left="491"/>
              <w:jc w:val="left"/>
            </w:pPr>
            <w:r>
              <w:t>25</w:t>
            </w:r>
          </w:p>
        </w:tc>
        <w:tc>
          <w:tcPr>
            <w:tcW w:w="1322" w:type="dxa"/>
            <w:vAlign w:val="center"/>
          </w:tcPr>
          <w:p w14:paraId="61F20BED" w14:textId="77777777" w:rsidR="006F41DF" w:rsidRDefault="006F41DF" w:rsidP="006F41DF">
            <w:pPr>
              <w:pStyle w:val="TableParagraph"/>
              <w:spacing w:before="80" w:after="80"/>
              <w:jc w:val="left"/>
              <w:rPr>
                <w:i/>
                <w:sz w:val="25"/>
              </w:rPr>
            </w:pPr>
          </w:p>
          <w:p w14:paraId="1DC07225" w14:textId="77777777" w:rsidR="006F41DF" w:rsidRDefault="006F41DF" w:rsidP="006F41DF">
            <w:pPr>
              <w:pStyle w:val="TableParagraph"/>
              <w:spacing w:before="80" w:after="80"/>
              <w:ind w:left="11"/>
            </w:pPr>
            <w:r>
              <w:t>3</w:t>
            </w:r>
          </w:p>
        </w:tc>
        <w:tc>
          <w:tcPr>
            <w:tcW w:w="1560" w:type="dxa"/>
            <w:vAlign w:val="center"/>
          </w:tcPr>
          <w:p w14:paraId="7AE7B042" w14:textId="77777777" w:rsidR="006F41DF" w:rsidRDefault="006F41DF" w:rsidP="006F41DF">
            <w:pPr>
              <w:pStyle w:val="TableParagraph"/>
              <w:spacing w:before="80" w:after="80"/>
              <w:jc w:val="left"/>
              <w:rPr>
                <w:i/>
                <w:sz w:val="25"/>
              </w:rPr>
            </w:pPr>
          </w:p>
          <w:p w14:paraId="2561C45F" w14:textId="77777777" w:rsidR="006F41DF" w:rsidRDefault="006F41DF" w:rsidP="006F41DF">
            <w:pPr>
              <w:pStyle w:val="TableParagraph"/>
              <w:spacing w:before="80" w:after="80"/>
              <w:ind w:left="9"/>
            </w:pPr>
            <w:r>
              <w:t>7</w:t>
            </w:r>
          </w:p>
        </w:tc>
        <w:tc>
          <w:tcPr>
            <w:tcW w:w="993" w:type="dxa"/>
            <w:vAlign w:val="center"/>
          </w:tcPr>
          <w:p w14:paraId="32B735AC" w14:textId="77777777" w:rsidR="006F41DF" w:rsidRDefault="006F41DF" w:rsidP="006F41DF">
            <w:pPr>
              <w:pStyle w:val="TableParagraph"/>
              <w:spacing w:before="80" w:after="80"/>
              <w:jc w:val="left"/>
              <w:rPr>
                <w:i/>
                <w:sz w:val="25"/>
              </w:rPr>
            </w:pPr>
          </w:p>
          <w:p w14:paraId="3992D410" w14:textId="77777777" w:rsidR="006F41DF" w:rsidRDefault="006F41DF" w:rsidP="006F41DF">
            <w:pPr>
              <w:pStyle w:val="TableParagraph"/>
              <w:spacing w:before="80" w:after="80"/>
              <w:ind w:left="10"/>
            </w:pPr>
            <w:r>
              <w:t>4</w:t>
            </w:r>
          </w:p>
        </w:tc>
        <w:tc>
          <w:tcPr>
            <w:tcW w:w="1274" w:type="dxa"/>
            <w:vAlign w:val="center"/>
          </w:tcPr>
          <w:p w14:paraId="50DE35B7" w14:textId="77777777" w:rsidR="006F41DF" w:rsidRDefault="006F41DF" w:rsidP="006F41DF">
            <w:pPr>
              <w:pStyle w:val="TableParagraph"/>
              <w:spacing w:before="80" w:after="80"/>
              <w:jc w:val="left"/>
              <w:rPr>
                <w:i/>
                <w:sz w:val="25"/>
              </w:rPr>
            </w:pPr>
          </w:p>
          <w:p w14:paraId="77BF8764" w14:textId="77777777" w:rsidR="006F41DF" w:rsidRDefault="006F41DF" w:rsidP="006F41DF">
            <w:pPr>
              <w:pStyle w:val="TableParagraph"/>
              <w:spacing w:before="80" w:after="80"/>
              <w:ind w:right="561"/>
              <w:jc w:val="right"/>
            </w:pPr>
            <w:r>
              <w:t>3</w:t>
            </w:r>
          </w:p>
        </w:tc>
        <w:tc>
          <w:tcPr>
            <w:tcW w:w="993" w:type="dxa"/>
            <w:vAlign w:val="center"/>
          </w:tcPr>
          <w:p w14:paraId="09BA0656" w14:textId="77777777" w:rsidR="006F41DF" w:rsidRDefault="006F41DF" w:rsidP="006F41DF">
            <w:pPr>
              <w:pStyle w:val="TableParagraph"/>
              <w:spacing w:before="80" w:after="80"/>
              <w:jc w:val="left"/>
              <w:rPr>
                <w:i/>
                <w:sz w:val="25"/>
              </w:rPr>
            </w:pPr>
          </w:p>
          <w:p w14:paraId="4091C039" w14:textId="77777777" w:rsidR="006F41DF" w:rsidRDefault="006F41DF" w:rsidP="006F41DF">
            <w:pPr>
              <w:pStyle w:val="TableParagraph"/>
              <w:spacing w:before="80" w:after="80"/>
              <w:ind w:left="178" w:right="163"/>
              <w:rPr>
                <w:b/>
              </w:rPr>
            </w:pPr>
            <w:r>
              <w:rPr>
                <w:b/>
              </w:rPr>
              <w:t>42</w:t>
            </w:r>
          </w:p>
        </w:tc>
      </w:tr>
      <w:tr w:rsidR="006F41DF" w14:paraId="00B54BD3" w14:textId="77777777" w:rsidTr="006F41DF">
        <w:trPr>
          <w:trHeight w:val="113"/>
        </w:trPr>
        <w:tc>
          <w:tcPr>
            <w:tcW w:w="2122" w:type="dxa"/>
            <w:vAlign w:val="center"/>
          </w:tcPr>
          <w:p w14:paraId="2B4B07E8" w14:textId="77777777" w:rsidR="006F41DF" w:rsidRDefault="006F41DF" w:rsidP="006F41DF">
            <w:pPr>
              <w:pStyle w:val="TableParagraph"/>
              <w:spacing w:before="80" w:after="80" w:line="276" w:lineRule="auto"/>
              <w:ind w:left="108" w:right="325"/>
              <w:jc w:val="both"/>
            </w:pPr>
            <w:r>
              <w:t>Not committed to phasing out as at Dec 2016</w:t>
            </w:r>
          </w:p>
        </w:tc>
        <w:tc>
          <w:tcPr>
            <w:tcW w:w="1229" w:type="dxa"/>
            <w:vAlign w:val="center"/>
          </w:tcPr>
          <w:p w14:paraId="787B0706" w14:textId="77777777" w:rsidR="006F41DF" w:rsidRDefault="006F41DF" w:rsidP="006F41DF">
            <w:pPr>
              <w:pStyle w:val="TableParagraph"/>
              <w:spacing w:before="80" w:after="80"/>
              <w:jc w:val="left"/>
              <w:rPr>
                <w:i/>
                <w:sz w:val="25"/>
              </w:rPr>
            </w:pPr>
          </w:p>
          <w:p w14:paraId="22C976C7" w14:textId="77777777" w:rsidR="006F41DF" w:rsidRDefault="006F41DF" w:rsidP="006F41DF">
            <w:pPr>
              <w:pStyle w:val="TableParagraph"/>
              <w:spacing w:before="80" w:after="80"/>
              <w:ind w:left="551"/>
              <w:jc w:val="left"/>
            </w:pPr>
            <w:r>
              <w:t>0</w:t>
            </w:r>
          </w:p>
        </w:tc>
        <w:tc>
          <w:tcPr>
            <w:tcW w:w="1322" w:type="dxa"/>
            <w:vAlign w:val="center"/>
          </w:tcPr>
          <w:p w14:paraId="25DE850A" w14:textId="77777777" w:rsidR="006F41DF" w:rsidRDefault="006F41DF" w:rsidP="006F41DF">
            <w:pPr>
              <w:pStyle w:val="TableParagraph"/>
              <w:spacing w:before="80" w:after="80"/>
              <w:jc w:val="left"/>
              <w:rPr>
                <w:i/>
                <w:sz w:val="25"/>
              </w:rPr>
            </w:pPr>
          </w:p>
          <w:p w14:paraId="64A294D1" w14:textId="77777777" w:rsidR="006F41DF" w:rsidRDefault="006F41DF" w:rsidP="006F41DF">
            <w:pPr>
              <w:pStyle w:val="TableParagraph"/>
              <w:spacing w:before="80" w:after="80"/>
              <w:ind w:left="11"/>
            </w:pPr>
            <w:r>
              <w:t>0</w:t>
            </w:r>
          </w:p>
        </w:tc>
        <w:tc>
          <w:tcPr>
            <w:tcW w:w="1560" w:type="dxa"/>
            <w:vAlign w:val="center"/>
          </w:tcPr>
          <w:p w14:paraId="4C33FB01" w14:textId="77777777" w:rsidR="006F41DF" w:rsidRDefault="006F41DF" w:rsidP="006F41DF">
            <w:pPr>
              <w:pStyle w:val="TableParagraph"/>
              <w:spacing w:before="80" w:after="80"/>
              <w:jc w:val="left"/>
              <w:rPr>
                <w:i/>
                <w:sz w:val="25"/>
              </w:rPr>
            </w:pPr>
          </w:p>
          <w:p w14:paraId="0131307B" w14:textId="77777777" w:rsidR="006F41DF" w:rsidRDefault="006F41DF" w:rsidP="006F41DF">
            <w:pPr>
              <w:pStyle w:val="TableParagraph"/>
              <w:spacing w:before="80" w:after="80"/>
              <w:ind w:left="9"/>
            </w:pPr>
            <w:r>
              <w:t>1</w:t>
            </w:r>
          </w:p>
        </w:tc>
        <w:tc>
          <w:tcPr>
            <w:tcW w:w="993" w:type="dxa"/>
            <w:vAlign w:val="center"/>
          </w:tcPr>
          <w:p w14:paraId="571D8D5D" w14:textId="77777777" w:rsidR="006F41DF" w:rsidRDefault="006F41DF" w:rsidP="006F41DF">
            <w:pPr>
              <w:pStyle w:val="TableParagraph"/>
              <w:spacing w:before="80" w:after="80"/>
              <w:jc w:val="left"/>
              <w:rPr>
                <w:i/>
                <w:sz w:val="25"/>
              </w:rPr>
            </w:pPr>
          </w:p>
          <w:p w14:paraId="23C508D9" w14:textId="77777777" w:rsidR="006F41DF" w:rsidRDefault="006F41DF" w:rsidP="006F41DF">
            <w:pPr>
              <w:pStyle w:val="TableParagraph"/>
              <w:spacing w:before="80" w:after="80"/>
              <w:ind w:left="10"/>
            </w:pPr>
            <w:r>
              <w:t>7</w:t>
            </w:r>
          </w:p>
        </w:tc>
        <w:tc>
          <w:tcPr>
            <w:tcW w:w="1274" w:type="dxa"/>
            <w:vAlign w:val="center"/>
          </w:tcPr>
          <w:p w14:paraId="58F12687" w14:textId="77777777" w:rsidR="006F41DF" w:rsidRDefault="006F41DF" w:rsidP="006F41DF">
            <w:pPr>
              <w:pStyle w:val="TableParagraph"/>
              <w:spacing w:before="80" w:after="80"/>
              <w:jc w:val="left"/>
              <w:rPr>
                <w:i/>
                <w:sz w:val="25"/>
              </w:rPr>
            </w:pPr>
          </w:p>
          <w:p w14:paraId="365FDDA3" w14:textId="77777777" w:rsidR="006F41DF" w:rsidRDefault="006F41DF" w:rsidP="006F41DF">
            <w:pPr>
              <w:pStyle w:val="TableParagraph"/>
              <w:spacing w:before="80" w:after="80"/>
              <w:ind w:right="561"/>
              <w:jc w:val="right"/>
            </w:pPr>
            <w:r>
              <w:t>3</w:t>
            </w:r>
          </w:p>
        </w:tc>
        <w:tc>
          <w:tcPr>
            <w:tcW w:w="993" w:type="dxa"/>
            <w:vAlign w:val="center"/>
          </w:tcPr>
          <w:p w14:paraId="16C692D4" w14:textId="77777777" w:rsidR="006F41DF" w:rsidRDefault="006F41DF" w:rsidP="006F41DF">
            <w:pPr>
              <w:pStyle w:val="TableParagraph"/>
              <w:spacing w:before="80" w:after="80"/>
              <w:jc w:val="left"/>
              <w:rPr>
                <w:i/>
                <w:sz w:val="25"/>
              </w:rPr>
            </w:pPr>
          </w:p>
          <w:p w14:paraId="5AFB95F9" w14:textId="77777777" w:rsidR="006F41DF" w:rsidRDefault="006F41DF" w:rsidP="006F41DF">
            <w:pPr>
              <w:pStyle w:val="TableParagraph"/>
              <w:spacing w:before="80" w:after="80"/>
              <w:ind w:left="178" w:right="163"/>
            </w:pPr>
            <w:r>
              <w:t>11</w:t>
            </w:r>
          </w:p>
        </w:tc>
      </w:tr>
      <w:tr w:rsidR="006F41DF" w14:paraId="28AB847E" w14:textId="77777777" w:rsidTr="006F41DF">
        <w:trPr>
          <w:trHeight w:val="113"/>
        </w:trPr>
        <w:tc>
          <w:tcPr>
            <w:tcW w:w="2122" w:type="dxa"/>
            <w:vAlign w:val="center"/>
          </w:tcPr>
          <w:p w14:paraId="462A9360" w14:textId="77777777" w:rsidR="006F41DF" w:rsidRDefault="006F41DF" w:rsidP="006F41DF">
            <w:pPr>
              <w:pStyle w:val="TableParagraph"/>
              <w:spacing w:before="80" w:after="80"/>
              <w:ind w:left="108"/>
              <w:jc w:val="left"/>
            </w:pPr>
            <w:r>
              <w:t>Total</w:t>
            </w:r>
          </w:p>
        </w:tc>
        <w:tc>
          <w:tcPr>
            <w:tcW w:w="1229" w:type="dxa"/>
            <w:vAlign w:val="center"/>
          </w:tcPr>
          <w:p w14:paraId="6A64ACC7" w14:textId="77777777" w:rsidR="006F41DF" w:rsidRDefault="006F41DF" w:rsidP="006F41DF">
            <w:pPr>
              <w:pStyle w:val="TableParagraph"/>
              <w:spacing w:before="80" w:after="80"/>
              <w:ind w:left="491"/>
              <w:jc w:val="left"/>
            </w:pPr>
            <w:r>
              <w:t>25</w:t>
            </w:r>
          </w:p>
        </w:tc>
        <w:tc>
          <w:tcPr>
            <w:tcW w:w="1322" w:type="dxa"/>
            <w:vAlign w:val="center"/>
          </w:tcPr>
          <w:p w14:paraId="334550F8" w14:textId="77777777" w:rsidR="006F41DF" w:rsidRDefault="006F41DF" w:rsidP="006F41DF">
            <w:pPr>
              <w:pStyle w:val="TableParagraph"/>
              <w:spacing w:before="80" w:after="80"/>
              <w:ind w:left="11"/>
            </w:pPr>
            <w:r>
              <w:t>3</w:t>
            </w:r>
          </w:p>
        </w:tc>
        <w:tc>
          <w:tcPr>
            <w:tcW w:w="1560" w:type="dxa"/>
            <w:vAlign w:val="center"/>
          </w:tcPr>
          <w:p w14:paraId="05400B8B" w14:textId="77777777" w:rsidR="006F41DF" w:rsidRDefault="006F41DF" w:rsidP="006F41DF">
            <w:pPr>
              <w:pStyle w:val="TableParagraph"/>
              <w:spacing w:before="80" w:after="80"/>
              <w:ind w:left="9"/>
            </w:pPr>
            <w:r>
              <w:t>8</w:t>
            </w:r>
          </w:p>
        </w:tc>
        <w:tc>
          <w:tcPr>
            <w:tcW w:w="993" w:type="dxa"/>
            <w:vAlign w:val="center"/>
          </w:tcPr>
          <w:p w14:paraId="050797FC" w14:textId="77777777" w:rsidR="006F41DF" w:rsidRDefault="006F41DF" w:rsidP="006F41DF">
            <w:pPr>
              <w:pStyle w:val="TableParagraph"/>
              <w:spacing w:before="80" w:after="80"/>
              <w:ind w:left="177" w:right="165"/>
            </w:pPr>
            <w:r>
              <w:t>11</w:t>
            </w:r>
          </w:p>
        </w:tc>
        <w:tc>
          <w:tcPr>
            <w:tcW w:w="1274" w:type="dxa"/>
            <w:vAlign w:val="center"/>
          </w:tcPr>
          <w:p w14:paraId="0F5E52C6" w14:textId="77777777" w:rsidR="006F41DF" w:rsidRDefault="006F41DF" w:rsidP="006F41DF">
            <w:pPr>
              <w:pStyle w:val="TableParagraph"/>
              <w:spacing w:before="80" w:after="80"/>
              <w:ind w:right="561"/>
              <w:jc w:val="right"/>
            </w:pPr>
            <w:r>
              <w:t>6</w:t>
            </w:r>
          </w:p>
        </w:tc>
        <w:tc>
          <w:tcPr>
            <w:tcW w:w="993" w:type="dxa"/>
            <w:vAlign w:val="center"/>
          </w:tcPr>
          <w:p w14:paraId="309A408F" w14:textId="77777777" w:rsidR="006F41DF" w:rsidRDefault="006F41DF" w:rsidP="006F41DF">
            <w:pPr>
              <w:pStyle w:val="TableParagraph"/>
              <w:spacing w:before="80" w:after="80" w:line="250" w:lineRule="exact"/>
              <w:ind w:left="178" w:right="163"/>
              <w:rPr>
                <w:b/>
              </w:rPr>
            </w:pPr>
            <w:r>
              <w:rPr>
                <w:b/>
              </w:rPr>
              <w:t>53</w:t>
            </w:r>
          </w:p>
        </w:tc>
      </w:tr>
    </w:tbl>
    <w:p w14:paraId="5706A7BE" w14:textId="77777777" w:rsidR="006F41DF" w:rsidRDefault="006F41DF" w:rsidP="006F41DF">
      <w:pPr>
        <w:pStyle w:val="BodyText"/>
        <w:ind w:left="0"/>
        <w:rPr>
          <w:i/>
          <w:sz w:val="20"/>
        </w:rPr>
      </w:pPr>
    </w:p>
    <w:p w14:paraId="355E194A" w14:textId="77777777" w:rsidR="006F41DF" w:rsidRDefault="006F41DF" w:rsidP="006F41DF">
      <w:pPr>
        <w:pStyle w:val="BodyText"/>
        <w:spacing w:before="9"/>
        <w:ind w:left="0"/>
        <w:rPr>
          <w:i/>
          <w:sz w:val="23"/>
        </w:rPr>
      </w:pPr>
    </w:p>
    <w:p w14:paraId="75FCE99F" w14:textId="77777777" w:rsidR="006F41DF" w:rsidRDefault="006F41DF" w:rsidP="00F67A7E">
      <w:pPr>
        <w:pStyle w:val="ListParagraph"/>
        <w:widowControl w:val="0"/>
        <w:numPr>
          <w:ilvl w:val="0"/>
          <w:numId w:val="12"/>
        </w:numPr>
        <w:tabs>
          <w:tab w:val="left" w:pos="628"/>
          <w:tab w:val="left" w:pos="629"/>
        </w:tabs>
        <w:autoSpaceDE w:val="0"/>
        <w:autoSpaceDN w:val="0"/>
        <w:spacing w:before="1" w:after="0"/>
        <w:ind w:right="546"/>
      </w:pPr>
      <w:r>
        <w:t>Table 2 below shows that by December 2017, 94 per cent of companies (or 50 of the 53 companies) identified as supplying products containing plastic microbeads had already phased out or committed to phase out</w:t>
      </w:r>
      <w:r>
        <w:rPr>
          <w:spacing w:val="-6"/>
        </w:rPr>
        <w:t xml:space="preserve"> </w:t>
      </w:r>
      <w:r>
        <w:t>microbeads.</w:t>
      </w:r>
    </w:p>
    <w:p w14:paraId="029B6C61" w14:textId="77777777" w:rsidR="006F41DF" w:rsidRDefault="006F41DF" w:rsidP="006F41DF">
      <w:pPr>
        <w:spacing w:before="199"/>
        <w:ind w:left="258" w:right="342"/>
        <w:rPr>
          <w:i/>
          <w:sz w:val="18"/>
        </w:rPr>
      </w:pPr>
      <w:r>
        <w:rPr>
          <w:i/>
          <w:sz w:val="18"/>
        </w:rPr>
        <w:t>Table 2: Results of Accord's December 2017 survey of companies that were identified as having supplied products containing microbeads</w:t>
      </w:r>
    </w:p>
    <w:p w14:paraId="1F998335" w14:textId="77777777" w:rsidR="006F41DF" w:rsidRDefault="006F41DF" w:rsidP="006F41DF">
      <w:pPr>
        <w:pStyle w:val="BodyText"/>
        <w:spacing w:before="8"/>
        <w:ind w:left="0"/>
        <w:rPr>
          <w:i/>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474"/>
        <w:gridCol w:w="1476"/>
        <w:gridCol w:w="1587"/>
        <w:gridCol w:w="1362"/>
        <w:gridCol w:w="1477"/>
      </w:tblGrid>
      <w:tr w:rsidR="006F41DF" w14:paraId="58B932A1" w14:textId="77777777" w:rsidTr="006F41DF">
        <w:trPr>
          <w:trHeight w:val="1072"/>
        </w:trPr>
        <w:tc>
          <w:tcPr>
            <w:tcW w:w="2122" w:type="dxa"/>
            <w:vAlign w:val="center"/>
          </w:tcPr>
          <w:p w14:paraId="5F4B440C" w14:textId="77777777" w:rsidR="006F41DF" w:rsidRDefault="006F41DF" w:rsidP="006F41DF">
            <w:pPr>
              <w:pStyle w:val="TableParagraph"/>
              <w:spacing w:line="276" w:lineRule="auto"/>
              <w:ind w:left="125" w:right="95" w:firstLine="81"/>
              <w:jc w:val="left"/>
              <w:rPr>
                <w:b/>
              </w:rPr>
            </w:pPr>
            <w:r>
              <w:rPr>
                <w:b/>
              </w:rPr>
              <w:t>Accord’s survey results - Dec 2017</w:t>
            </w:r>
          </w:p>
        </w:tc>
        <w:tc>
          <w:tcPr>
            <w:tcW w:w="1474" w:type="dxa"/>
            <w:vAlign w:val="center"/>
          </w:tcPr>
          <w:p w14:paraId="657E6F40" w14:textId="77777777" w:rsidR="006F41DF" w:rsidRDefault="006F41DF" w:rsidP="006F41DF">
            <w:pPr>
              <w:pStyle w:val="TableParagraph"/>
              <w:spacing w:line="276" w:lineRule="auto"/>
              <w:ind w:left="259" w:right="247" w:firstLine="12"/>
              <w:jc w:val="both"/>
              <w:rPr>
                <w:b/>
              </w:rPr>
            </w:pPr>
            <w:r>
              <w:rPr>
                <w:b/>
              </w:rPr>
              <w:t>Personal care and cosmetic</w:t>
            </w:r>
          </w:p>
        </w:tc>
        <w:tc>
          <w:tcPr>
            <w:tcW w:w="1476" w:type="dxa"/>
            <w:vAlign w:val="center"/>
          </w:tcPr>
          <w:p w14:paraId="3E7EE3DC" w14:textId="77777777" w:rsidR="006F41DF" w:rsidRDefault="006F41DF" w:rsidP="006F41DF">
            <w:pPr>
              <w:pStyle w:val="TableParagraph"/>
              <w:spacing w:line="276" w:lineRule="auto"/>
              <w:ind w:left="211" w:right="161" w:hanging="36"/>
              <w:jc w:val="both"/>
              <w:rPr>
                <w:b/>
              </w:rPr>
            </w:pPr>
            <w:r>
              <w:rPr>
                <w:b/>
              </w:rPr>
              <w:t>Homecare/ consumer cleaning</w:t>
            </w:r>
          </w:p>
        </w:tc>
        <w:tc>
          <w:tcPr>
            <w:tcW w:w="1587" w:type="dxa"/>
            <w:vAlign w:val="center"/>
          </w:tcPr>
          <w:p w14:paraId="24F84132" w14:textId="77777777" w:rsidR="006F41DF" w:rsidRDefault="006F41DF" w:rsidP="006F41DF">
            <w:pPr>
              <w:pStyle w:val="TableParagraph"/>
              <w:spacing w:line="276" w:lineRule="auto"/>
              <w:ind w:left="163" w:right="150"/>
              <w:rPr>
                <w:b/>
              </w:rPr>
            </w:pPr>
            <w:r>
              <w:rPr>
                <w:b/>
              </w:rPr>
              <w:t>Commercial B2B</w:t>
            </w:r>
          </w:p>
          <w:p w14:paraId="62E9DF92" w14:textId="77777777" w:rsidR="006F41DF" w:rsidRDefault="006F41DF" w:rsidP="006F41DF">
            <w:pPr>
              <w:pStyle w:val="TableParagraph"/>
              <w:spacing w:line="252" w:lineRule="exact"/>
              <w:ind w:left="163" w:right="148"/>
              <w:rPr>
                <w:b/>
              </w:rPr>
            </w:pPr>
            <w:r>
              <w:rPr>
                <w:b/>
              </w:rPr>
              <w:t>cleaning</w:t>
            </w:r>
          </w:p>
        </w:tc>
        <w:tc>
          <w:tcPr>
            <w:tcW w:w="1362" w:type="dxa"/>
            <w:vAlign w:val="center"/>
          </w:tcPr>
          <w:p w14:paraId="4132DE06" w14:textId="77777777" w:rsidR="006F41DF" w:rsidRDefault="006F41DF" w:rsidP="006F41DF">
            <w:pPr>
              <w:pStyle w:val="TableParagraph"/>
              <w:spacing w:line="248" w:lineRule="exact"/>
              <w:ind w:left="359" w:right="352"/>
              <w:rPr>
                <w:b/>
              </w:rPr>
            </w:pPr>
            <w:r>
              <w:rPr>
                <w:b/>
              </w:rPr>
              <w:t>Retail</w:t>
            </w:r>
          </w:p>
        </w:tc>
        <w:tc>
          <w:tcPr>
            <w:tcW w:w="1477" w:type="dxa"/>
            <w:vAlign w:val="center"/>
          </w:tcPr>
          <w:p w14:paraId="577C5AEE" w14:textId="77777777" w:rsidR="006F41DF" w:rsidRDefault="006F41DF" w:rsidP="006F41DF">
            <w:pPr>
              <w:pStyle w:val="TableParagraph"/>
              <w:spacing w:line="248" w:lineRule="exact"/>
              <w:ind w:left="453" w:right="447"/>
              <w:rPr>
                <w:b/>
              </w:rPr>
            </w:pPr>
            <w:r>
              <w:rPr>
                <w:b/>
              </w:rPr>
              <w:t>Total</w:t>
            </w:r>
          </w:p>
        </w:tc>
      </w:tr>
      <w:tr w:rsidR="006F41DF" w14:paraId="687153D2" w14:textId="77777777" w:rsidTr="006F41DF">
        <w:trPr>
          <w:trHeight w:val="782"/>
        </w:trPr>
        <w:tc>
          <w:tcPr>
            <w:tcW w:w="2122" w:type="dxa"/>
            <w:vAlign w:val="center"/>
          </w:tcPr>
          <w:p w14:paraId="53D81FFB" w14:textId="77777777" w:rsidR="006F41DF" w:rsidRDefault="006F41DF" w:rsidP="006F41DF">
            <w:pPr>
              <w:pStyle w:val="TableParagraph"/>
              <w:spacing w:line="276" w:lineRule="auto"/>
              <w:ind w:left="108" w:right="88"/>
              <w:jc w:val="left"/>
            </w:pPr>
            <w:r>
              <w:t>Already phased out by Dec 2017</w:t>
            </w:r>
          </w:p>
        </w:tc>
        <w:tc>
          <w:tcPr>
            <w:tcW w:w="1474" w:type="dxa"/>
            <w:vAlign w:val="center"/>
          </w:tcPr>
          <w:p w14:paraId="254FC3B1" w14:textId="77777777" w:rsidR="006F41DF" w:rsidRDefault="006F41DF" w:rsidP="006F41DF">
            <w:pPr>
              <w:pStyle w:val="TableParagraph"/>
              <w:spacing w:before="144"/>
              <w:ind w:left="594" w:right="584"/>
            </w:pPr>
            <w:r>
              <w:t>28</w:t>
            </w:r>
          </w:p>
        </w:tc>
        <w:tc>
          <w:tcPr>
            <w:tcW w:w="1476" w:type="dxa"/>
            <w:vAlign w:val="center"/>
          </w:tcPr>
          <w:p w14:paraId="0013192C" w14:textId="77777777" w:rsidR="006F41DF" w:rsidRDefault="006F41DF" w:rsidP="006F41DF">
            <w:pPr>
              <w:pStyle w:val="TableParagraph"/>
              <w:spacing w:before="144"/>
              <w:ind w:left="10"/>
            </w:pPr>
            <w:r>
              <w:t>2</w:t>
            </w:r>
          </w:p>
        </w:tc>
        <w:tc>
          <w:tcPr>
            <w:tcW w:w="1587" w:type="dxa"/>
            <w:vAlign w:val="center"/>
          </w:tcPr>
          <w:p w14:paraId="77B9657A" w14:textId="77777777" w:rsidR="006F41DF" w:rsidRDefault="006F41DF" w:rsidP="006F41DF">
            <w:pPr>
              <w:pStyle w:val="TableParagraph"/>
              <w:spacing w:before="144"/>
              <w:ind w:left="10"/>
            </w:pPr>
            <w:r>
              <w:t>8</w:t>
            </w:r>
          </w:p>
        </w:tc>
        <w:tc>
          <w:tcPr>
            <w:tcW w:w="1362" w:type="dxa"/>
            <w:vAlign w:val="center"/>
          </w:tcPr>
          <w:p w14:paraId="1E76F7E1" w14:textId="77777777" w:rsidR="006F41DF" w:rsidRDefault="006F41DF" w:rsidP="006F41DF">
            <w:pPr>
              <w:pStyle w:val="TableParagraph"/>
              <w:spacing w:before="144"/>
              <w:ind w:left="8"/>
            </w:pPr>
            <w:r>
              <w:t>0</w:t>
            </w:r>
          </w:p>
        </w:tc>
        <w:tc>
          <w:tcPr>
            <w:tcW w:w="1477" w:type="dxa"/>
            <w:vAlign w:val="center"/>
          </w:tcPr>
          <w:p w14:paraId="55102BE8" w14:textId="77777777" w:rsidR="006F41DF" w:rsidRDefault="006F41DF" w:rsidP="006F41DF">
            <w:pPr>
              <w:pStyle w:val="TableParagraph"/>
              <w:spacing w:before="144"/>
              <w:ind w:left="452" w:right="447"/>
            </w:pPr>
            <w:r>
              <w:t>38</w:t>
            </w:r>
          </w:p>
        </w:tc>
      </w:tr>
      <w:tr w:rsidR="006F41DF" w14:paraId="13187243" w14:textId="77777777" w:rsidTr="006F41DF">
        <w:trPr>
          <w:trHeight w:val="1072"/>
        </w:trPr>
        <w:tc>
          <w:tcPr>
            <w:tcW w:w="2122" w:type="dxa"/>
            <w:vAlign w:val="center"/>
          </w:tcPr>
          <w:p w14:paraId="5EA998BF" w14:textId="77777777" w:rsidR="006F41DF" w:rsidRDefault="006F41DF" w:rsidP="006F41DF">
            <w:pPr>
              <w:pStyle w:val="TableParagraph"/>
              <w:spacing w:line="276" w:lineRule="auto"/>
              <w:ind w:left="108" w:right="568"/>
              <w:jc w:val="left"/>
            </w:pPr>
            <w:r>
              <w:t>Committed to phasing out by mid-2018</w:t>
            </w:r>
          </w:p>
        </w:tc>
        <w:tc>
          <w:tcPr>
            <w:tcW w:w="1474" w:type="dxa"/>
            <w:vAlign w:val="center"/>
          </w:tcPr>
          <w:p w14:paraId="2B55C216" w14:textId="77777777" w:rsidR="006F41DF" w:rsidRDefault="006F41DF" w:rsidP="006F41DF">
            <w:pPr>
              <w:pStyle w:val="TableParagraph"/>
              <w:jc w:val="left"/>
              <w:rPr>
                <w:i/>
                <w:sz w:val="25"/>
              </w:rPr>
            </w:pPr>
          </w:p>
          <w:p w14:paraId="140392A6" w14:textId="77777777" w:rsidR="006F41DF" w:rsidRDefault="006F41DF" w:rsidP="006F41DF">
            <w:pPr>
              <w:pStyle w:val="TableParagraph"/>
              <w:ind w:left="8"/>
            </w:pPr>
            <w:r>
              <w:t>4</w:t>
            </w:r>
          </w:p>
        </w:tc>
        <w:tc>
          <w:tcPr>
            <w:tcW w:w="1476" w:type="dxa"/>
            <w:vAlign w:val="center"/>
          </w:tcPr>
          <w:p w14:paraId="681D96CF" w14:textId="77777777" w:rsidR="006F41DF" w:rsidRDefault="006F41DF" w:rsidP="006F41DF">
            <w:pPr>
              <w:pStyle w:val="TableParagraph"/>
              <w:jc w:val="left"/>
              <w:rPr>
                <w:i/>
                <w:sz w:val="25"/>
              </w:rPr>
            </w:pPr>
          </w:p>
          <w:p w14:paraId="522F7F5B" w14:textId="77777777" w:rsidR="006F41DF" w:rsidRDefault="006F41DF" w:rsidP="006F41DF">
            <w:pPr>
              <w:pStyle w:val="TableParagraph"/>
              <w:ind w:left="10"/>
            </w:pPr>
            <w:r>
              <w:t>0</w:t>
            </w:r>
          </w:p>
        </w:tc>
        <w:tc>
          <w:tcPr>
            <w:tcW w:w="1587" w:type="dxa"/>
            <w:vAlign w:val="center"/>
          </w:tcPr>
          <w:p w14:paraId="03359F14" w14:textId="77777777" w:rsidR="006F41DF" w:rsidRDefault="006F41DF" w:rsidP="006F41DF">
            <w:pPr>
              <w:pStyle w:val="TableParagraph"/>
              <w:jc w:val="left"/>
              <w:rPr>
                <w:i/>
                <w:sz w:val="25"/>
              </w:rPr>
            </w:pPr>
          </w:p>
          <w:p w14:paraId="3B246DA6" w14:textId="77777777" w:rsidR="006F41DF" w:rsidRDefault="006F41DF" w:rsidP="006F41DF">
            <w:pPr>
              <w:pStyle w:val="TableParagraph"/>
              <w:ind w:left="10"/>
            </w:pPr>
            <w:r>
              <w:t>4</w:t>
            </w:r>
          </w:p>
        </w:tc>
        <w:tc>
          <w:tcPr>
            <w:tcW w:w="1362" w:type="dxa"/>
            <w:vAlign w:val="center"/>
          </w:tcPr>
          <w:p w14:paraId="7F8F59A9" w14:textId="77777777" w:rsidR="006F41DF" w:rsidRDefault="006F41DF" w:rsidP="006F41DF">
            <w:pPr>
              <w:pStyle w:val="TableParagraph"/>
              <w:jc w:val="left"/>
              <w:rPr>
                <w:i/>
                <w:sz w:val="25"/>
              </w:rPr>
            </w:pPr>
          </w:p>
          <w:p w14:paraId="396FAFDE" w14:textId="77777777" w:rsidR="006F41DF" w:rsidRDefault="006F41DF" w:rsidP="006F41DF">
            <w:pPr>
              <w:pStyle w:val="TableParagraph"/>
              <w:ind w:left="8"/>
            </w:pPr>
            <w:r>
              <w:t>4</w:t>
            </w:r>
          </w:p>
        </w:tc>
        <w:tc>
          <w:tcPr>
            <w:tcW w:w="1477" w:type="dxa"/>
            <w:vAlign w:val="center"/>
          </w:tcPr>
          <w:p w14:paraId="0CBA9AB6" w14:textId="77777777" w:rsidR="006F41DF" w:rsidRDefault="006F41DF" w:rsidP="006F41DF">
            <w:pPr>
              <w:pStyle w:val="TableParagraph"/>
              <w:jc w:val="left"/>
              <w:rPr>
                <w:i/>
                <w:sz w:val="25"/>
              </w:rPr>
            </w:pPr>
          </w:p>
          <w:p w14:paraId="6DCE0165" w14:textId="77777777" w:rsidR="006F41DF" w:rsidRDefault="006F41DF" w:rsidP="006F41DF">
            <w:pPr>
              <w:pStyle w:val="TableParagraph"/>
              <w:ind w:left="452" w:right="447"/>
            </w:pPr>
            <w:r>
              <w:t>12</w:t>
            </w:r>
          </w:p>
        </w:tc>
      </w:tr>
      <w:tr w:rsidR="006F41DF" w14:paraId="69CDB1C6" w14:textId="77777777" w:rsidTr="006F41DF">
        <w:trPr>
          <w:trHeight w:val="1072"/>
        </w:trPr>
        <w:tc>
          <w:tcPr>
            <w:tcW w:w="2122" w:type="dxa"/>
            <w:vAlign w:val="center"/>
          </w:tcPr>
          <w:p w14:paraId="2BE41D7A" w14:textId="77777777" w:rsidR="006F41DF" w:rsidRDefault="006F41DF" w:rsidP="006F41DF">
            <w:pPr>
              <w:pStyle w:val="TableParagraph"/>
              <w:spacing w:line="276" w:lineRule="auto"/>
              <w:ind w:left="108" w:right="101"/>
              <w:jc w:val="left"/>
            </w:pPr>
            <w:r>
              <w:t>Subtotal – phased out or committed to phase out</w:t>
            </w:r>
          </w:p>
        </w:tc>
        <w:tc>
          <w:tcPr>
            <w:tcW w:w="1474" w:type="dxa"/>
            <w:vAlign w:val="center"/>
          </w:tcPr>
          <w:p w14:paraId="694BA071" w14:textId="77777777" w:rsidR="006F41DF" w:rsidRDefault="006F41DF" w:rsidP="006F41DF">
            <w:pPr>
              <w:pStyle w:val="TableParagraph"/>
              <w:spacing w:before="2"/>
              <w:jc w:val="left"/>
              <w:rPr>
                <w:i/>
                <w:sz w:val="25"/>
              </w:rPr>
            </w:pPr>
          </w:p>
          <w:p w14:paraId="15570810" w14:textId="77777777" w:rsidR="006F41DF" w:rsidRDefault="006F41DF" w:rsidP="006F41DF">
            <w:pPr>
              <w:pStyle w:val="TableParagraph"/>
              <w:ind w:left="594" w:right="584"/>
            </w:pPr>
            <w:r>
              <w:t>32</w:t>
            </w:r>
          </w:p>
        </w:tc>
        <w:tc>
          <w:tcPr>
            <w:tcW w:w="1476" w:type="dxa"/>
            <w:vAlign w:val="center"/>
          </w:tcPr>
          <w:p w14:paraId="46DD0EB3" w14:textId="77777777" w:rsidR="006F41DF" w:rsidRDefault="006F41DF" w:rsidP="006F41DF">
            <w:pPr>
              <w:pStyle w:val="TableParagraph"/>
              <w:spacing w:before="2"/>
              <w:jc w:val="left"/>
              <w:rPr>
                <w:i/>
                <w:sz w:val="25"/>
              </w:rPr>
            </w:pPr>
          </w:p>
          <w:p w14:paraId="2989CE68" w14:textId="77777777" w:rsidR="006F41DF" w:rsidRDefault="006F41DF" w:rsidP="006F41DF">
            <w:pPr>
              <w:pStyle w:val="TableParagraph"/>
              <w:ind w:left="10"/>
            </w:pPr>
            <w:r>
              <w:t>2</w:t>
            </w:r>
          </w:p>
        </w:tc>
        <w:tc>
          <w:tcPr>
            <w:tcW w:w="1587" w:type="dxa"/>
            <w:vAlign w:val="center"/>
          </w:tcPr>
          <w:p w14:paraId="26C03C68" w14:textId="77777777" w:rsidR="006F41DF" w:rsidRDefault="006F41DF" w:rsidP="006F41DF">
            <w:pPr>
              <w:pStyle w:val="TableParagraph"/>
              <w:spacing w:before="2"/>
              <w:jc w:val="left"/>
              <w:rPr>
                <w:i/>
                <w:sz w:val="25"/>
              </w:rPr>
            </w:pPr>
          </w:p>
          <w:p w14:paraId="37DA2657" w14:textId="77777777" w:rsidR="006F41DF" w:rsidRDefault="006F41DF" w:rsidP="006F41DF">
            <w:pPr>
              <w:pStyle w:val="TableParagraph"/>
              <w:ind w:left="162" w:right="150"/>
            </w:pPr>
            <w:r>
              <w:t>12</w:t>
            </w:r>
          </w:p>
        </w:tc>
        <w:tc>
          <w:tcPr>
            <w:tcW w:w="1362" w:type="dxa"/>
            <w:vAlign w:val="center"/>
          </w:tcPr>
          <w:p w14:paraId="46FDB929" w14:textId="77777777" w:rsidR="006F41DF" w:rsidRDefault="006F41DF" w:rsidP="006F41DF">
            <w:pPr>
              <w:pStyle w:val="TableParagraph"/>
              <w:spacing w:before="2"/>
              <w:jc w:val="left"/>
              <w:rPr>
                <w:i/>
                <w:sz w:val="25"/>
              </w:rPr>
            </w:pPr>
          </w:p>
          <w:p w14:paraId="0EB546C5" w14:textId="77777777" w:rsidR="006F41DF" w:rsidRDefault="006F41DF" w:rsidP="006F41DF">
            <w:pPr>
              <w:pStyle w:val="TableParagraph"/>
              <w:ind w:left="8"/>
            </w:pPr>
            <w:r>
              <w:t>4</w:t>
            </w:r>
          </w:p>
        </w:tc>
        <w:tc>
          <w:tcPr>
            <w:tcW w:w="1477" w:type="dxa"/>
            <w:vAlign w:val="center"/>
          </w:tcPr>
          <w:p w14:paraId="5B68A41E" w14:textId="77777777" w:rsidR="006F41DF" w:rsidRDefault="006F41DF" w:rsidP="006F41DF">
            <w:pPr>
              <w:pStyle w:val="TableParagraph"/>
              <w:jc w:val="left"/>
              <w:rPr>
                <w:i/>
                <w:sz w:val="25"/>
              </w:rPr>
            </w:pPr>
          </w:p>
          <w:p w14:paraId="586D07B6" w14:textId="77777777" w:rsidR="006F41DF" w:rsidRDefault="006F41DF" w:rsidP="006F41DF">
            <w:pPr>
              <w:pStyle w:val="TableParagraph"/>
              <w:ind w:left="452" w:right="447"/>
              <w:rPr>
                <w:b/>
              </w:rPr>
            </w:pPr>
            <w:r>
              <w:rPr>
                <w:b/>
              </w:rPr>
              <w:t>50</w:t>
            </w:r>
          </w:p>
        </w:tc>
      </w:tr>
      <w:tr w:rsidR="006F41DF" w14:paraId="54A99148" w14:textId="77777777" w:rsidTr="006F41DF">
        <w:trPr>
          <w:trHeight w:val="1072"/>
        </w:trPr>
        <w:tc>
          <w:tcPr>
            <w:tcW w:w="2122" w:type="dxa"/>
            <w:vAlign w:val="center"/>
          </w:tcPr>
          <w:p w14:paraId="1329DEE9" w14:textId="77777777" w:rsidR="006F41DF" w:rsidRDefault="006F41DF" w:rsidP="006F41DF">
            <w:pPr>
              <w:pStyle w:val="TableParagraph"/>
              <w:spacing w:line="276" w:lineRule="auto"/>
              <w:ind w:left="108" w:right="325"/>
              <w:jc w:val="both"/>
            </w:pPr>
            <w:r>
              <w:t>Not committed to phasing out as at Dec 2017</w:t>
            </w:r>
          </w:p>
        </w:tc>
        <w:tc>
          <w:tcPr>
            <w:tcW w:w="1474" w:type="dxa"/>
            <w:vAlign w:val="center"/>
          </w:tcPr>
          <w:p w14:paraId="48594C4A" w14:textId="77777777" w:rsidR="006F41DF" w:rsidRDefault="006F41DF" w:rsidP="006F41DF">
            <w:pPr>
              <w:pStyle w:val="TableParagraph"/>
              <w:spacing w:before="3"/>
              <w:jc w:val="left"/>
              <w:rPr>
                <w:i/>
                <w:sz w:val="25"/>
              </w:rPr>
            </w:pPr>
          </w:p>
          <w:p w14:paraId="24D07CD7" w14:textId="77777777" w:rsidR="006F41DF" w:rsidRDefault="006F41DF" w:rsidP="006F41DF">
            <w:pPr>
              <w:pStyle w:val="TableParagraph"/>
              <w:ind w:left="8"/>
            </w:pPr>
            <w:r>
              <w:t>1</w:t>
            </w:r>
          </w:p>
        </w:tc>
        <w:tc>
          <w:tcPr>
            <w:tcW w:w="1476" w:type="dxa"/>
            <w:vAlign w:val="center"/>
          </w:tcPr>
          <w:p w14:paraId="6D52024B" w14:textId="77777777" w:rsidR="006F41DF" w:rsidRDefault="006F41DF" w:rsidP="006F41DF">
            <w:pPr>
              <w:pStyle w:val="TableParagraph"/>
              <w:spacing w:before="3"/>
              <w:jc w:val="left"/>
              <w:rPr>
                <w:i/>
                <w:sz w:val="25"/>
              </w:rPr>
            </w:pPr>
          </w:p>
          <w:p w14:paraId="7E2EEE4E" w14:textId="77777777" w:rsidR="006F41DF" w:rsidRDefault="006F41DF" w:rsidP="006F41DF">
            <w:pPr>
              <w:pStyle w:val="TableParagraph"/>
              <w:ind w:left="10"/>
            </w:pPr>
            <w:r>
              <w:t>0</w:t>
            </w:r>
          </w:p>
        </w:tc>
        <w:tc>
          <w:tcPr>
            <w:tcW w:w="1587" w:type="dxa"/>
            <w:vAlign w:val="center"/>
          </w:tcPr>
          <w:p w14:paraId="6979184D" w14:textId="77777777" w:rsidR="006F41DF" w:rsidRDefault="006F41DF" w:rsidP="006F41DF">
            <w:pPr>
              <w:pStyle w:val="TableParagraph"/>
              <w:spacing w:before="3"/>
              <w:jc w:val="left"/>
              <w:rPr>
                <w:i/>
                <w:sz w:val="25"/>
              </w:rPr>
            </w:pPr>
          </w:p>
          <w:p w14:paraId="65A62673" w14:textId="77777777" w:rsidR="006F41DF" w:rsidRDefault="006F41DF" w:rsidP="006F41DF">
            <w:pPr>
              <w:pStyle w:val="TableParagraph"/>
              <w:ind w:left="10"/>
            </w:pPr>
            <w:r>
              <w:t>1</w:t>
            </w:r>
          </w:p>
        </w:tc>
        <w:tc>
          <w:tcPr>
            <w:tcW w:w="1362" w:type="dxa"/>
            <w:vAlign w:val="center"/>
          </w:tcPr>
          <w:p w14:paraId="321DF9DF" w14:textId="77777777" w:rsidR="006F41DF" w:rsidRDefault="006F41DF" w:rsidP="006F41DF">
            <w:pPr>
              <w:pStyle w:val="TableParagraph"/>
              <w:spacing w:before="3"/>
              <w:jc w:val="left"/>
              <w:rPr>
                <w:i/>
                <w:sz w:val="25"/>
              </w:rPr>
            </w:pPr>
          </w:p>
          <w:p w14:paraId="4307AFA9" w14:textId="77777777" w:rsidR="006F41DF" w:rsidRDefault="006F41DF" w:rsidP="006F41DF">
            <w:pPr>
              <w:pStyle w:val="TableParagraph"/>
              <w:ind w:left="8"/>
            </w:pPr>
            <w:r>
              <w:t>1</w:t>
            </w:r>
          </w:p>
        </w:tc>
        <w:tc>
          <w:tcPr>
            <w:tcW w:w="1477" w:type="dxa"/>
            <w:vAlign w:val="center"/>
          </w:tcPr>
          <w:p w14:paraId="18EAC375" w14:textId="77777777" w:rsidR="006F41DF" w:rsidRDefault="006F41DF" w:rsidP="006F41DF">
            <w:pPr>
              <w:pStyle w:val="TableParagraph"/>
              <w:spacing w:before="3"/>
              <w:jc w:val="left"/>
              <w:rPr>
                <w:i/>
                <w:sz w:val="25"/>
              </w:rPr>
            </w:pPr>
          </w:p>
          <w:p w14:paraId="015929E9" w14:textId="77777777" w:rsidR="006F41DF" w:rsidRDefault="006F41DF" w:rsidP="006F41DF">
            <w:pPr>
              <w:pStyle w:val="TableParagraph"/>
              <w:ind w:left="7"/>
            </w:pPr>
            <w:r>
              <w:t>3</w:t>
            </w:r>
          </w:p>
        </w:tc>
      </w:tr>
      <w:tr w:rsidR="006F41DF" w14:paraId="517F271A" w14:textId="77777777" w:rsidTr="006F41DF">
        <w:trPr>
          <w:trHeight w:val="491"/>
        </w:trPr>
        <w:tc>
          <w:tcPr>
            <w:tcW w:w="2122" w:type="dxa"/>
            <w:vAlign w:val="center"/>
          </w:tcPr>
          <w:p w14:paraId="0837557F" w14:textId="77777777" w:rsidR="006F41DF" w:rsidRDefault="006F41DF" w:rsidP="006F41DF">
            <w:pPr>
              <w:pStyle w:val="TableParagraph"/>
              <w:ind w:left="108"/>
              <w:jc w:val="left"/>
            </w:pPr>
            <w:r>
              <w:t>Total</w:t>
            </w:r>
          </w:p>
        </w:tc>
        <w:tc>
          <w:tcPr>
            <w:tcW w:w="1474" w:type="dxa"/>
            <w:vAlign w:val="center"/>
          </w:tcPr>
          <w:p w14:paraId="4DD79C03" w14:textId="77777777" w:rsidR="006F41DF" w:rsidRDefault="006F41DF" w:rsidP="006F41DF">
            <w:pPr>
              <w:pStyle w:val="TableParagraph"/>
              <w:ind w:left="594" w:right="584"/>
            </w:pPr>
            <w:r>
              <w:t>33</w:t>
            </w:r>
          </w:p>
        </w:tc>
        <w:tc>
          <w:tcPr>
            <w:tcW w:w="1476" w:type="dxa"/>
            <w:vAlign w:val="center"/>
          </w:tcPr>
          <w:p w14:paraId="638905BD" w14:textId="77777777" w:rsidR="006F41DF" w:rsidRDefault="006F41DF" w:rsidP="006F41DF">
            <w:pPr>
              <w:pStyle w:val="TableParagraph"/>
              <w:ind w:left="10"/>
            </w:pPr>
            <w:r>
              <w:t>2</w:t>
            </w:r>
          </w:p>
        </w:tc>
        <w:tc>
          <w:tcPr>
            <w:tcW w:w="1587" w:type="dxa"/>
            <w:vAlign w:val="center"/>
          </w:tcPr>
          <w:p w14:paraId="1AAE1E05" w14:textId="77777777" w:rsidR="006F41DF" w:rsidRDefault="006F41DF" w:rsidP="006F41DF">
            <w:pPr>
              <w:pStyle w:val="TableParagraph"/>
              <w:ind w:left="162" w:right="150"/>
            </w:pPr>
            <w:r>
              <w:t>13</w:t>
            </w:r>
          </w:p>
        </w:tc>
        <w:tc>
          <w:tcPr>
            <w:tcW w:w="1362" w:type="dxa"/>
            <w:vAlign w:val="center"/>
          </w:tcPr>
          <w:p w14:paraId="24C2710C" w14:textId="77777777" w:rsidR="006F41DF" w:rsidRDefault="006F41DF" w:rsidP="006F41DF">
            <w:pPr>
              <w:pStyle w:val="TableParagraph"/>
              <w:ind w:left="8"/>
            </w:pPr>
            <w:r>
              <w:t>5</w:t>
            </w:r>
          </w:p>
        </w:tc>
        <w:tc>
          <w:tcPr>
            <w:tcW w:w="1477" w:type="dxa"/>
            <w:vAlign w:val="center"/>
          </w:tcPr>
          <w:p w14:paraId="52779AEC" w14:textId="77777777" w:rsidR="006F41DF" w:rsidRDefault="006F41DF" w:rsidP="006F41DF">
            <w:pPr>
              <w:pStyle w:val="TableParagraph"/>
              <w:spacing w:line="250" w:lineRule="exact"/>
              <w:ind w:left="452" w:right="447"/>
              <w:rPr>
                <w:b/>
              </w:rPr>
            </w:pPr>
            <w:r>
              <w:rPr>
                <w:b/>
              </w:rPr>
              <w:t>53</w:t>
            </w:r>
          </w:p>
        </w:tc>
      </w:tr>
    </w:tbl>
    <w:p w14:paraId="160BE258" w14:textId="77777777" w:rsidR="006F41DF" w:rsidRDefault="006F41DF" w:rsidP="006F41DF">
      <w:pPr>
        <w:spacing w:line="250" w:lineRule="exact"/>
        <w:sectPr w:rsidR="006F41DF">
          <w:pgSz w:w="11910" w:h="16840"/>
          <w:pgMar w:top="1320" w:right="1020" w:bottom="660" w:left="1160" w:header="0" w:footer="473" w:gutter="0"/>
          <w:cols w:space="720"/>
        </w:sectPr>
      </w:pPr>
    </w:p>
    <w:p w14:paraId="60F711E6" w14:textId="77777777" w:rsidR="006F41DF" w:rsidRDefault="006F41DF" w:rsidP="00F67A7E">
      <w:pPr>
        <w:pStyle w:val="ListParagraph"/>
        <w:widowControl w:val="0"/>
        <w:numPr>
          <w:ilvl w:val="0"/>
          <w:numId w:val="12"/>
        </w:numPr>
        <w:tabs>
          <w:tab w:val="left" w:pos="628"/>
          <w:tab w:val="left" w:pos="629"/>
        </w:tabs>
        <w:autoSpaceDE w:val="0"/>
        <w:autoSpaceDN w:val="0"/>
        <w:spacing w:before="92" w:after="0"/>
        <w:ind w:right="522"/>
      </w:pPr>
      <w:r>
        <w:lastRenderedPageBreak/>
        <w:t>Accord survey data shows that there has been an 81 per cent reduction in the volume of microbeads contained in products on the Australian market since late</w:t>
      </w:r>
      <w:r>
        <w:rPr>
          <w:spacing w:val="-15"/>
        </w:rPr>
        <w:t xml:space="preserve"> </w:t>
      </w:r>
      <w:r>
        <w:t>2014.</w:t>
      </w:r>
    </w:p>
    <w:p w14:paraId="01768CC9" w14:textId="77777777" w:rsidR="006F41DF" w:rsidRDefault="006F41DF" w:rsidP="00F67A7E">
      <w:pPr>
        <w:pStyle w:val="ListParagraph"/>
        <w:widowControl w:val="0"/>
        <w:numPr>
          <w:ilvl w:val="0"/>
          <w:numId w:val="12"/>
        </w:numPr>
        <w:tabs>
          <w:tab w:val="left" w:pos="628"/>
          <w:tab w:val="left" w:pos="629"/>
        </w:tabs>
        <w:autoSpaceDE w:val="0"/>
        <w:autoSpaceDN w:val="0"/>
        <w:spacing w:before="215" w:after="0" w:line="240" w:lineRule="auto"/>
      </w:pPr>
      <w:r>
        <w:t>In the retail category, no household cleaning products were found to contain</w:t>
      </w:r>
      <w:r>
        <w:rPr>
          <w:spacing w:val="-18"/>
        </w:rPr>
        <w:t xml:space="preserve"> </w:t>
      </w:r>
      <w:r>
        <w:t>microbeads.</w:t>
      </w:r>
    </w:p>
    <w:p w14:paraId="3C03A189" w14:textId="77777777" w:rsidR="006F41DF" w:rsidRDefault="006F41DF" w:rsidP="006F41DF">
      <w:pPr>
        <w:pStyle w:val="BodyText"/>
        <w:spacing w:before="38" w:line="276" w:lineRule="auto"/>
        <w:ind w:right="351"/>
      </w:pPr>
      <w:r>
        <w:t>The four major supermarkets, comprising 66 per cent of the Australian facial cleanser product market have committed to remove microbeads in their branded products. In terms of product volumes, this is likely to be more significant than other retailers supplying personal care products.</w:t>
      </w:r>
    </w:p>
    <w:p w14:paraId="7258C62E" w14:textId="77777777" w:rsidR="006F41DF" w:rsidRDefault="006F41DF" w:rsidP="00F67A7E">
      <w:pPr>
        <w:pStyle w:val="ListParagraph"/>
        <w:widowControl w:val="0"/>
        <w:numPr>
          <w:ilvl w:val="0"/>
          <w:numId w:val="12"/>
        </w:numPr>
        <w:tabs>
          <w:tab w:val="left" w:pos="628"/>
          <w:tab w:val="left" w:pos="629"/>
        </w:tabs>
        <w:autoSpaceDE w:val="0"/>
        <w:autoSpaceDN w:val="0"/>
        <w:spacing w:before="213" w:after="0"/>
        <w:ind w:right="313"/>
      </w:pPr>
      <w:r>
        <w:t>In January 2017, Commonwealth Department of Environment and Energy reviewed the written responses that companies provided to Accord, in which they outlined actions they have taken, or are committed to taking, to phase out microbeads by mid-2018. Companies are replacing microbeads with natural biological materials such as cellulose, jojoba wax, bamboo beads, polenta and fruit/nut kernels. Commonwealth officials were satisfied that the responses reviewed supported a conclusion that the voluntary phase-out would be effective by</w:t>
      </w:r>
      <w:r>
        <w:rPr>
          <w:spacing w:val="-3"/>
        </w:rPr>
        <w:t xml:space="preserve"> </w:t>
      </w:r>
      <w:r>
        <w:t>mid-2018.</w:t>
      </w:r>
    </w:p>
    <w:p w14:paraId="52B7CDF8" w14:textId="54EEA5AF" w:rsidR="006F41DF" w:rsidRDefault="006F41DF" w:rsidP="000376C3">
      <w:pPr>
        <w:pStyle w:val="Heading2"/>
        <w:spacing w:before="201" w:line="278" w:lineRule="auto"/>
        <w:ind w:left="258" w:right="980"/>
      </w:pPr>
      <w:r>
        <w:br/>
      </w:r>
      <w:bookmarkStart w:id="4" w:name="_Toc513732735"/>
      <w:r>
        <w:t>Independent assessment of the sale of microbeads and other non-soluble plastic polymers</w:t>
      </w:r>
      <w:bookmarkEnd w:id="4"/>
    </w:p>
    <w:p w14:paraId="7065754A" w14:textId="77777777" w:rsidR="006F41DF" w:rsidRDefault="006F41DF" w:rsidP="00F67A7E">
      <w:pPr>
        <w:pStyle w:val="ListParagraph"/>
        <w:widowControl w:val="0"/>
        <w:numPr>
          <w:ilvl w:val="0"/>
          <w:numId w:val="12"/>
        </w:numPr>
        <w:tabs>
          <w:tab w:val="left" w:pos="628"/>
          <w:tab w:val="left" w:pos="629"/>
        </w:tabs>
        <w:autoSpaceDE w:val="0"/>
        <w:autoSpaceDN w:val="0"/>
        <w:spacing w:before="210" w:after="0"/>
        <w:ind w:right="463"/>
      </w:pPr>
      <w:r>
        <w:t>In late 2017, the Commonwealth Department of the Environment and Energy commissioned an independent assessment of the sale of microbeads and other non- soluble plastic polymers from supermarkets and pharmacies. The scope of the independent assessment included all personal care, cosmetic and cleaning products that the assessor identified as potentially containing microbeads or other non-soluble plastic polymers. This is broader than the scope of the industry-led phase out of microbeads in ‘rinse off’</w:t>
      </w:r>
      <w:r>
        <w:rPr>
          <w:spacing w:val="-4"/>
        </w:rPr>
        <w:t xml:space="preserve"> </w:t>
      </w:r>
      <w:r>
        <w:t>products.</w:t>
      </w:r>
    </w:p>
    <w:p w14:paraId="7F517BAF" w14:textId="77777777" w:rsidR="006F41DF" w:rsidRDefault="006F41DF" w:rsidP="00F67A7E">
      <w:pPr>
        <w:pStyle w:val="ListParagraph"/>
        <w:widowControl w:val="0"/>
        <w:numPr>
          <w:ilvl w:val="0"/>
          <w:numId w:val="8"/>
        </w:numPr>
        <w:tabs>
          <w:tab w:val="left" w:pos="995"/>
          <w:tab w:val="left" w:pos="996"/>
        </w:tabs>
        <w:autoSpaceDE w:val="0"/>
        <w:autoSpaceDN w:val="0"/>
        <w:spacing w:before="201" w:after="0" w:line="266" w:lineRule="auto"/>
        <w:ind w:right="632" w:hanging="367"/>
      </w:pPr>
      <w:r>
        <w:t>The assessment showed that 94 per cent of products surveyed between November 2017 and February 2018 did not contain microbeads or other non-soluble plastic polymers.</w:t>
      </w:r>
    </w:p>
    <w:p w14:paraId="7402E6AD" w14:textId="77777777" w:rsidR="006F41DF" w:rsidRDefault="006F41DF" w:rsidP="00F67A7E">
      <w:pPr>
        <w:pStyle w:val="ListParagraph"/>
        <w:widowControl w:val="0"/>
        <w:numPr>
          <w:ilvl w:val="0"/>
          <w:numId w:val="8"/>
        </w:numPr>
        <w:tabs>
          <w:tab w:val="left" w:pos="996"/>
        </w:tabs>
        <w:autoSpaceDE w:val="0"/>
        <w:autoSpaceDN w:val="0"/>
        <w:spacing w:before="211" w:after="0" w:line="266" w:lineRule="auto"/>
        <w:ind w:right="265" w:hanging="367"/>
        <w:jc w:val="both"/>
      </w:pPr>
      <w:r>
        <w:t>Approximately 4,400 products which could potentially have contained microbeads were inspected during the retail outlet surveys, with 267 (6 per cent) of the products found to contain microbeads or other non-soluble plastic</w:t>
      </w:r>
      <w:r>
        <w:rPr>
          <w:spacing w:val="-3"/>
        </w:rPr>
        <w:t xml:space="preserve"> </w:t>
      </w:r>
      <w:r>
        <w:t>polymers.</w:t>
      </w:r>
    </w:p>
    <w:p w14:paraId="2E586FAA" w14:textId="77777777" w:rsidR="006F41DF" w:rsidRDefault="006F41DF" w:rsidP="00F67A7E">
      <w:pPr>
        <w:pStyle w:val="ListParagraph"/>
        <w:widowControl w:val="0"/>
        <w:numPr>
          <w:ilvl w:val="0"/>
          <w:numId w:val="8"/>
        </w:numPr>
        <w:tabs>
          <w:tab w:val="left" w:pos="995"/>
          <w:tab w:val="left" w:pos="996"/>
        </w:tabs>
        <w:autoSpaceDE w:val="0"/>
        <w:autoSpaceDN w:val="0"/>
        <w:spacing w:before="211" w:after="0" w:line="271" w:lineRule="auto"/>
        <w:ind w:right="728" w:hanging="367"/>
      </w:pPr>
      <w:r>
        <w:t>The 6 per cent of products containing microbeads or other non-soluble plastic polymers were sold in 53 retail outlets and distributed by 55 companies. Of these products an aggregated total of 94 per cent were in; foundations/blushes (38.2 per cent), eye make-ups (14.2 per cent), lip make-ups (12.0 per cent), skin creams/moisturisers (19.1 per cent), and facial scrubs (10.5 per</w:t>
      </w:r>
      <w:r>
        <w:rPr>
          <w:spacing w:val="-13"/>
        </w:rPr>
        <w:t xml:space="preserve"> </w:t>
      </w:r>
      <w:r>
        <w:lastRenderedPageBreak/>
        <w:t>cent).</w:t>
      </w:r>
    </w:p>
    <w:p w14:paraId="11C08721" w14:textId="77777777" w:rsidR="006F41DF" w:rsidRDefault="006F41DF" w:rsidP="00F67A7E">
      <w:pPr>
        <w:pStyle w:val="ListParagraph"/>
        <w:widowControl w:val="0"/>
        <w:numPr>
          <w:ilvl w:val="0"/>
          <w:numId w:val="8"/>
        </w:numPr>
        <w:tabs>
          <w:tab w:val="left" w:pos="996"/>
        </w:tabs>
        <w:autoSpaceDE w:val="0"/>
        <w:autoSpaceDN w:val="0"/>
        <w:spacing w:before="208" w:after="0" w:line="266" w:lineRule="auto"/>
        <w:ind w:right="358" w:hanging="367"/>
        <w:jc w:val="both"/>
      </w:pPr>
      <w:r>
        <w:t>No shampoos/conditioners, body washes and hand cleaners contained microbeads or other non-soluble plastic polymers, demonstrating that the phase-out of microbeads in these products may be</w:t>
      </w:r>
      <w:r>
        <w:rPr>
          <w:spacing w:val="-5"/>
        </w:rPr>
        <w:t xml:space="preserve"> </w:t>
      </w:r>
      <w:r>
        <w:t>complete.</w:t>
      </w:r>
    </w:p>
    <w:p w14:paraId="220CC393" w14:textId="77777777" w:rsidR="006F41DF" w:rsidRDefault="006F41DF" w:rsidP="006F41DF">
      <w:pPr>
        <w:pStyle w:val="BodyText"/>
        <w:spacing w:before="6"/>
        <w:ind w:left="0"/>
        <w:rPr>
          <w:sz w:val="19"/>
        </w:rPr>
      </w:pPr>
    </w:p>
    <w:p w14:paraId="5EB795EC" w14:textId="77777777" w:rsidR="006F41DF" w:rsidRDefault="006F41DF" w:rsidP="00F67A7E">
      <w:pPr>
        <w:pStyle w:val="ListParagraph"/>
        <w:widowControl w:val="0"/>
        <w:numPr>
          <w:ilvl w:val="0"/>
          <w:numId w:val="12"/>
        </w:numPr>
        <w:tabs>
          <w:tab w:val="left" w:pos="628"/>
          <w:tab w:val="left" w:pos="629"/>
        </w:tabs>
        <w:autoSpaceDE w:val="0"/>
        <w:autoSpaceDN w:val="0"/>
        <w:spacing w:before="1" w:after="0"/>
        <w:ind w:right="387"/>
      </w:pPr>
      <w:r>
        <w:t>While the independent assessment was carried out subject to some limitations, such as having restricted access to some retail outlets and online sales platforms, the results support Accord’s findings that few rinse-off personal care products containing microbeads are still available in the Australian</w:t>
      </w:r>
      <w:r>
        <w:rPr>
          <w:spacing w:val="-2"/>
        </w:rPr>
        <w:t xml:space="preserve"> </w:t>
      </w:r>
      <w:r>
        <w:t>market.</w:t>
      </w:r>
    </w:p>
    <w:p w14:paraId="43FF6F6D" w14:textId="77777777" w:rsidR="006F41DF" w:rsidRDefault="006F41DF" w:rsidP="006F41DF">
      <w:pPr>
        <w:sectPr w:rsidR="006F41DF">
          <w:pgSz w:w="11910" w:h="16840"/>
          <w:pgMar w:top="1320" w:right="1020" w:bottom="660" w:left="1160" w:header="0" w:footer="473" w:gutter="0"/>
          <w:cols w:space="720"/>
        </w:sectPr>
      </w:pPr>
    </w:p>
    <w:p w14:paraId="1446C7F2" w14:textId="62571B1D" w:rsidR="006F41DF" w:rsidRPr="006F41DF" w:rsidRDefault="006F41DF" w:rsidP="000376C3">
      <w:pPr>
        <w:pStyle w:val="Heading2"/>
        <w:spacing w:before="78"/>
        <w:ind w:firstLine="258"/>
      </w:pPr>
      <w:bookmarkStart w:id="5" w:name="_Toc513732736"/>
      <w:r>
        <w:lastRenderedPageBreak/>
        <w:t>Ongoing compliance with the voluntary phase out</w:t>
      </w:r>
      <w:bookmarkEnd w:id="5"/>
    </w:p>
    <w:p w14:paraId="7A715C50" w14:textId="77777777" w:rsidR="006F41DF" w:rsidRDefault="006F41DF" w:rsidP="00F67A7E">
      <w:pPr>
        <w:pStyle w:val="ListParagraph"/>
        <w:widowControl w:val="0"/>
        <w:numPr>
          <w:ilvl w:val="0"/>
          <w:numId w:val="12"/>
        </w:numPr>
        <w:tabs>
          <w:tab w:val="left" w:pos="628"/>
          <w:tab w:val="left" w:pos="629"/>
        </w:tabs>
        <w:autoSpaceDE w:val="0"/>
        <w:autoSpaceDN w:val="0"/>
        <w:spacing w:after="0" w:line="278" w:lineRule="auto"/>
        <w:ind w:right="387"/>
      </w:pPr>
      <w:r>
        <w:t xml:space="preserve">Australian Government and </w:t>
      </w:r>
      <w:r>
        <w:rPr>
          <w:spacing w:val="-3"/>
        </w:rPr>
        <w:t xml:space="preserve">NSW </w:t>
      </w:r>
      <w:r>
        <w:t>officials are working with Accord to finalise a monitoring and compliance protocol that will detail actions to be taken between July 2018</w:t>
      </w:r>
      <w:r>
        <w:rPr>
          <w:spacing w:val="-16"/>
        </w:rPr>
        <w:t xml:space="preserve"> </w:t>
      </w:r>
      <w:r>
        <w:t>and</w:t>
      </w:r>
    </w:p>
    <w:p w14:paraId="69EF5B40" w14:textId="77777777" w:rsidR="006F41DF" w:rsidRDefault="006F41DF" w:rsidP="006F41DF">
      <w:pPr>
        <w:pStyle w:val="BodyText"/>
        <w:spacing w:line="249" w:lineRule="exact"/>
      </w:pPr>
      <w:r>
        <w:t>June 2020, to support the continued success of the phase-out.</w:t>
      </w:r>
    </w:p>
    <w:p w14:paraId="1E8C9F90" w14:textId="77777777" w:rsidR="006F41DF" w:rsidRDefault="006F41DF" w:rsidP="006F41DF">
      <w:pPr>
        <w:pStyle w:val="BodyText"/>
        <w:spacing w:before="1"/>
        <w:ind w:left="0"/>
      </w:pPr>
    </w:p>
    <w:p w14:paraId="13D20DB7"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388"/>
      </w:pPr>
      <w:r>
        <w:t>While the details will be concluded over the coming weeks, it is expected that the protocol will</w:t>
      </w:r>
      <w:r>
        <w:rPr>
          <w:spacing w:val="-1"/>
        </w:rPr>
        <w:t xml:space="preserve"> </w:t>
      </w:r>
      <w:r>
        <w:t>include:</w:t>
      </w:r>
    </w:p>
    <w:p w14:paraId="7C64D402" w14:textId="77777777" w:rsidR="006F41DF" w:rsidRDefault="006F41DF" w:rsidP="00F67A7E">
      <w:pPr>
        <w:pStyle w:val="ListParagraph"/>
        <w:widowControl w:val="0"/>
        <w:numPr>
          <w:ilvl w:val="0"/>
          <w:numId w:val="7"/>
        </w:numPr>
        <w:tabs>
          <w:tab w:val="left" w:pos="995"/>
          <w:tab w:val="left" w:pos="996"/>
        </w:tabs>
        <w:autoSpaceDE w:val="0"/>
        <w:autoSpaceDN w:val="0"/>
        <w:spacing w:before="200" w:after="0" w:line="268" w:lineRule="auto"/>
        <w:ind w:right="302" w:hanging="367"/>
      </w:pPr>
      <w:r>
        <w:t>Market scans undertaken by Accord in 2018-19 and 2019-20 to identify any entrants to the market that supply products which may contain microbeads, and follow-up by Accord to ensure any new entrants are aware that they are expected to exclude microbeads from their</w:t>
      </w:r>
      <w:r>
        <w:rPr>
          <w:spacing w:val="-5"/>
        </w:rPr>
        <w:t xml:space="preserve"> </w:t>
      </w:r>
      <w:r>
        <w:t>products.</w:t>
      </w:r>
    </w:p>
    <w:p w14:paraId="43264936" w14:textId="77777777" w:rsidR="006F41DF" w:rsidRDefault="006F41DF" w:rsidP="00F67A7E">
      <w:pPr>
        <w:pStyle w:val="ListParagraph"/>
        <w:widowControl w:val="0"/>
        <w:numPr>
          <w:ilvl w:val="0"/>
          <w:numId w:val="7"/>
        </w:numPr>
        <w:tabs>
          <w:tab w:val="left" w:pos="995"/>
          <w:tab w:val="left" w:pos="996"/>
        </w:tabs>
        <w:autoSpaceDE w:val="0"/>
        <w:autoSpaceDN w:val="0"/>
        <w:spacing w:before="211" w:after="0" w:line="266" w:lineRule="auto"/>
        <w:ind w:right="410" w:hanging="367"/>
      </w:pPr>
      <w:r>
        <w:t>Ongoing communication between Accord and NSW and Commonwealth officials, and support from officials to persuade any companies that are found to be supplying product containing microbeads, to stop doing</w:t>
      </w:r>
      <w:r>
        <w:rPr>
          <w:spacing w:val="-7"/>
        </w:rPr>
        <w:t xml:space="preserve"> </w:t>
      </w:r>
      <w:r>
        <w:t>so.</w:t>
      </w:r>
    </w:p>
    <w:p w14:paraId="2ED37974" w14:textId="77777777" w:rsidR="006F41DF" w:rsidRDefault="006F41DF" w:rsidP="00F67A7E">
      <w:pPr>
        <w:pStyle w:val="ListParagraph"/>
        <w:widowControl w:val="0"/>
        <w:numPr>
          <w:ilvl w:val="0"/>
          <w:numId w:val="7"/>
        </w:numPr>
        <w:tabs>
          <w:tab w:val="left" w:pos="995"/>
          <w:tab w:val="left" w:pos="996"/>
        </w:tabs>
        <w:autoSpaceDE w:val="0"/>
        <w:autoSpaceDN w:val="0"/>
        <w:spacing w:before="211" w:after="0" w:line="256" w:lineRule="auto"/>
        <w:ind w:right="445" w:hanging="367"/>
      </w:pPr>
      <w:r>
        <w:t>Maintenance by Accord of the BeadRecede webpage, to communicate the phase-out to the</w:t>
      </w:r>
      <w:r>
        <w:rPr>
          <w:spacing w:val="-3"/>
        </w:rPr>
        <w:t xml:space="preserve"> </w:t>
      </w:r>
      <w:r>
        <w:t>public.</w:t>
      </w:r>
    </w:p>
    <w:p w14:paraId="01E73302" w14:textId="77777777" w:rsidR="006F41DF" w:rsidRDefault="006F41DF" w:rsidP="006F41DF">
      <w:pPr>
        <w:pStyle w:val="BodyText"/>
        <w:spacing w:before="1"/>
        <w:ind w:left="0"/>
        <w:rPr>
          <w:sz w:val="19"/>
        </w:rPr>
      </w:pPr>
    </w:p>
    <w:p w14:paraId="1D9C7B5E" w14:textId="77777777" w:rsidR="006F41DF" w:rsidRDefault="006F41DF" w:rsidP="00F67A7E">
      <w:pPr>
        <w:pStyle w:val="ListParagraph"/>
        <w:widowControl w:val="0"/>
        <w:numPr>
          <w:ilvl w:val="0"/>
          <w:numId w:val="7"/>
        </w:numPr>
        <w:tabs>
          <w:tab w:val="left" w:pos="995"/>
          <w:tab w:val="left" w:pos="996"/>
        </w:tabs>
        <w:autoSpaceDE w:val="0"/>
        <w:autoSpaceDN w:val="0"/>
        <w:spacing w:after="0" w:line="268" w:lineRule="auto"/>
        <w:ind w:right="557" w:hanging="367"/>
      </w:pPr>
      <w:r>
        <w:t>Drawing on funds available in the National Environment Protection Council special account to support work on plastics, the Commonwealth will commission a follow-up independent assessment the presence of microbeads in rinse-off personal care, cosmetic and cleaning products in</w:t>
      </w:r>
      <w:r>
        <w:rPr>
          <w:spacing w:val="-1"/>
        </w:rPr>
        <w:t xml:space="preserve"> </w:t>
      </w:r>
      <w:r>
        <w:t>2018-19.</w:t>
      </w:r>
    </w:p>
    <w:p w14:paraId="17357C00" w14:textId="77777777" w:rsidR="006F41DF" w:rsidRDefault="006F41DF" w:rsidP="00F67A7E">
      <w:pPr>
        <w:pStyle w:val="ListParagraph"/>
        <w:widowControl w:val="0"/>
        <w:numPr>
          <w:ilvl w:val="0"/>
          <w:numId w:val="7"/>
        </w:numPr>
        <w:tabs>
          <w:tab w:val="left" w:pos="995"/>
          <w:tab w:val="left" w:pos="996"/>
        </w:tabs>
        <w:autoSpaceDE w:val="0"/>
        <w:autoSpaceDN w:val="0"/>
        <w:spacing w:before="213" w:after="0" w:line="271" w:lineRule="auto"/>
        <w:ind w:right="334" w:hanging="367"/>
      </w:pPr>
      <w:r>
        <w:t xml:space="preserve">Continued work by Accord to ensure that cosmetic, personal-care and cleaning products regulated as therapeutic goods (other than medicines) under the </w:t>
      </w:r>
      <w:r>
        <w:rPr>
          <w:i/>
        </w:rPr>
        <w:t>Therapeutic Goods Act 1989 (Cth)</w:t>
      </w:r>
      <w:r>
        <w:t>, are effectively phased out by 1 July 2019. These products require a longer lead time to obtain regulatory approval for changes to product formulations.</w:t>
      </w:r>
    </w:p>
    <w:p w14:paraId="79E2D4FA" w14:textId="77777777" w:rsidR="006F41DF" w:rsidRDefault="006F41DF" w:rsidP="006F41DF">
      <w:pPr>
        <w:pStyle w:val="BodyText"/>
        <w:spacing w:before="1"/>
        <w:ind w:left="0"/>
        <w:rPr>
          <w:sz w:val="19"/>
        </w:rPr>
      </w:pPr>
    </w:p>
    <w:p w14:paraId="0E1177E1" w14:textId="77777777" w:rsidR="006F41DF" w:rsidRDefault="006F41DF" w:rsidP="00F67A7E">
      <w:pPr>
        <w:pStyle w:val="ListParagraph"/>
        <w:widowControl w:val="0"/>
        <w:numPr>
          <w:ilvl w:val="0"/>
          <w:numId w:val="12"/>
        </w:numPr>
        <w:tabs>
          <w:tab w:val="left" w:pos="628"/>
          <w:tab w:val="left" w:pos="629"/>
        </w:tabs>
        <w:autoSpaceDE w:val="0"/>
        <w:autoSpaceDN w:val="0"/>
        <w:spacing w:after="0"/>
        <w:ind w:right="422"/>
      </w:pPr>
      <w:r>
        <w:t xml:space="preserve">In addition, the </w:t>
      </w:r>
      <w:r>
        <w:rPr>
          <w:spacing w:val="-3"/>
        </w:rPr>
        <w:t xml:space="preserve">NSW </w:t>
      </w:r>
      <w:r>
        <w:t>EPA has commissioned CSIRO to undertake an extensive research project that will identify and quantify microplastics that enter waste water treatment plants and are released into the marine environment via effluent. This research will also provide data to inform assessment of whether the voluntary industry phase out of microbeads continues to work effectively.</w:t>
      </w:r>
    </w:p>
    <w:p w14:paraId="41533993" w14:textId="77777777" w:rsidR="000376C3" w:rsidRDefault="000376C3" w:rsidP="000376C3">
      <w:pPr>
        <w:widowControl w:val="0"/>
        <w:tabs>
          <w:tab w:val="left" w:pos="628"/>
          <w:tab w:val="left" w:pos="629"/>
        </w:tabs>
        <w:autoSpaceDE w:val="0"/>
        <w:autoSpaceDN w:val="0"/>
        <w:spacing w:after="0"/>
        <w:ind w:right="422"/>
      </w:pPr>
    </w:p>
    <w:p w14:paraId="2B59AC17" w14:textId="0B0AEE9A" w:rsidR="000376C3" w:rsidRPr="00F67A7E" w:rsidRDefault="00F81C42" w:rsidP="000376C3">
      <w:pPr>
        <w:pStyle w:val="Heading1"/>
        <w:spacing w:before="198"/>
        <w:ind w:firstLine="258"/>
        <w:rPr>
          <w:caps w:val="0"/>
        </w:rPr>
      </w:pPr>
      <w:bookmarkStart w:id="6" w:name="_Toc513732737"/>
      <w:r w:rsidRPr="00F67A7E">
        <w:rPr>
          <w:caps w:val="0"/>
        </w:rPr>
        <w:t>Further information</w:t>
      </w:r>
      <w:bookmarkEnd w:id="6"/>
      <w:r w:rsidR="000376C3" w:rsidRPr="00F67A7E">
        <w:rPr>
          <w:caps w:val="0"/>
        </w:rPr>
        <w:t xml:space="preserve"> </w:t>
      </w:r>
    </w:p>
    <w:p w14:paraId="72C15686" w14:textId="2137DAB2" w:rsidR="00F67A7E" w:rsidRDefault="000376C3" w:rsidP="00F81C42">
      <w:pPr>
        <w:ind w:left="258"/>
      </w:pPr>
      <w:r>
        <w:t>Visit our website to learn more about microbeads or download the independent assessment of the sale of microbeads and other non-soluable plstic polymers in personal care an</w:t>
      </w:r>
      <w:r w:rsidR="00F67A7E">
        <w:t>d cosmetic products in Australia</w:t>
      </w:r>
      <w:r w:rsidR="00407C09">
        <w:t>:</w:t>
      </w:r>
    </w:p>
    <w:p w14:paraId="198F8DE4" w14:textId="77777777" w:rsidR="00F81C42" w:rsidRDefault="005F5D5C" w:rsidP="00F81C42">
      <w:pPr>
        <w:ind w:firstLine="258"/>
      </w:pPr>
      <w:hyperlink r:id="rId17" w:history="1">
        <w:r w:rsidR="000376C3" w:rsidRPr="00485663">
          <w:rPr>
            <w:rStyle w:val="Hyperlink"/>
          </w:rPr>
          <w:t>www.environment.gov.au/microbeads</w:t>
        </w:r>
      </w:hyperlink>
      <w:r w:rsidR="000376C3">
        <w:t xml:space="preserve"> </w:t>
      </w:r>
    </w:p>
    <w:p w14:paraId="0C8765E1" w14:textId="77777777" w:rsidR="00F81C42" w:rsidRPr="00F81C42" w:rsidRDefault="000376C3" w:rsidP="00F81C42">
      <w:pPr>
        <w:ind w:firstLine="258"/>
        <w:rPr>
          <w:i/>
        </w:rPr>
      </w:pPr>
      <w:r w:rsidRPr="00F81C42">
        <w:rPr>
          <w:b/>
          <w:i/>
        </w:rPr>
        <w:t>Contact us</w:t>
      </w:r>
    </w:p>
    <w:p w14:paraId="7482571F" w14:textId="181666B4" w:rsidR="004D07C4" w:rsidRDefault="000376C3" w:rsidP="00F81C42">
      <w:pPr>
        <w:tabs>
          <w:tab w:val="left" w:pos="1701"/>
        </w:tabs>
        <w:ind w:left="284"/>
      </w:pPr>
      <w:r>
        <w:t xml:space="preserve">Email: </w:t>
      </w:r>
      <w:r w:rsidR="00F67A7E">
        <w:tab/>
      </w:r>
      <w:hyperlink r:id="rId18" w:history="1">
        <w:r w:rsidRPr="00485663">
          <w:rPr>
            <w:rStyle w:val="Hyperlink"/>
          </w:rPr>
          <w:t>wastepolicy@environment.gov.au</w:t>
        </w:r>
      </w:hyperlink>
      <w:r w:rsidR="00F81C42">
        <w:br/>
      </w:r>
      <w:r>
        <w:t xml:space="preserve">Phone: </w:t>
      </w:r>
      <w:r w:rsidR="00F67A7E">
        <w:tab/>
      </w:r>
      <w:r>
        <w:t>1800 423 135</w:t>
      </w:r>
      <w:r w:rsidR="00F81C42">
        <w:br/>
      </w:r>
      <w:r>
        <w:t xml:space="preserve">Mail: </w:t>
      </w:r>
      <w:r w:rsidR="00F81C42">
        <w:tab/>
      </w:r>
      <w:r>
        <w:t>Stewardship and Waste Section</w:t>
      </w:r>
      <w:r w:rsidR="00F81C42">
        <w:br/>
      </w:r>
      <w:r w:rsidR="00F81C42">
        <w:tab/>
      </w:r>
      <w:r w:rsidR="00F67A7E">
        <w:t>GPO Box 787</w:t>
      </w:r>
      <w:r w:rsidR="00F81C42">
        <w:t xml:space="preserve">, </w:t>
      </w:r>
      <w:r w:rsidR="00F67A7E">
        <w:t>Canberra ACT 2601 AUSTRALIA</w:t>
      </w:r>
      <w:r w:rsidR="004D07C4">
        <w:br w:type="page"/>
      </w:r>
    </w:p>
    <w:p w14:paraId="1D61900E" w14:textId="2E550837" w:rsidR="004D07C4" w:rsidRDefault="004D07C4" w:rsidP="00B80C66">
      <w:pPr>
        <w:spacing w:after="0" w:line="240" w:lineRule="auto"/>
        <w:sectPr w:rsidR="004D07C4" w:rsidSect="003A7D43">
          <w:pgSz w:w="11906" w:h="16838" w:code="9"/>
          <w:pgMar w:top="1418" w:right="1276" w:bottom="567" w:left="1418" w:header="425" w:footer="425" w:gutter="0"/>
          <w:cols w:space="708"/>
          <w:titlePg/>
          <w:docGrid w:linePitch="360"/>
        </w:sectPr>
      </w:pPr>
    </w:p>
    <w:p w14:paraId="00846B5E" w14:textId="77777777" w:rsidR="004D07C4" w:rsidRDefault="004D07C4" w:rsidP="004D07C4">
      <w:pPr>
        <w:pStyle w:val="Header"/>
      </w:pPr>
    </w:p>
    <w:p w14:paraId="7317936B" w14:textId="77777777" w:rsidR="004D07C4" w:rsidRDefault="004D07C4" w:rsidP="004D07C4">
      <w:pPr>
        <w:pStyle w:val="Header"/>
      </w:pPr>
    </w:p>
    <w:p w14:paraId="6A7F5865" w14:textId="77777777" w:rsidR="004D07C4" w:rsidRDefault="004D07C4" w:rsidP="004D07C4">
      <w:pPr>
        <w:pStyle w:val="Header"/>
      </w:pPr>
    </w:p>
    <w:p w14:paraId="326F0F0E" w14:textId="77777777" w:rsidR="004D07C4" w:rsidRDefault="004D07C4" w:rsidP="004D07C4">
      <w:pPr>
        <w:pStyle w:val="Header"/>
      </w:pPr>
    </w:p>
    <w:p w14:paraId="69A1694B" w14:textId="4EBE845D" w:rsidR="004D07C4" w:rsidRPr="00832632" w:rsidRDefault="004D07C4" w:rsidP="004D07C4">
      <w:pPr>
        <w:pStyle w:val="Header"/>
        <w:rPr>
          <w:sz w:val="28"/>
          <w:szCs w:val="28"/>
        </w:rPr>
      </w:pPr>
      <w:r w:rsidRPr="00832632">
        <w:rPr>
          <w:b/>
          <w:noProof/>
          <w:sz w:val="28"/>
          <w:szCs w:val="28"/>
          <w:lang w:val="en-US"/>
        </w:rPr>
        <w:t>environment.</w:t>
      </w:r>
      <w:r w:rsidRPr="00832632">
        <w:rPr>
          <w:noProof/>
          <w:sz w:val="28"/>
          <w:szCs w:val="28"/>
          <w:lang w:val="en-US"/>
        </w:rPr>
        <w:t>gov.au</w:t>
      </w:r>
    </w:p>
    <w:p w14:paraId="21875723" w14:textId="1444270B" w:rsidR="007A252C" w:rsidRPr="007A252C" w:rsidRDefault="00DB4933" w:rsidP="007A252C">
      <w:r>
        <w:rPr>
          <w:noProof/>
          <w:lang w:eastAsia="en-AU"/>
        </w:rPr>
        <w:drawing>
          <wp:anchor distT="0" distB="0" distL="114300" distR="114300" simplePos="0" relativeHeight="251659264" behindDoc="1" locked="0" layoutInCell="1" allowOverlap="1" wp14:anchorId="705160F2" wp14:editId="2CD69AF9">
            <wp:simplePos x="0" y="0"/>
            <wp:positionH relativeFrom="page">
              <wp:posOffset>-7620</wp:posOffset>
            </wp:positionH>
            <wp:positionV relativeFrom="page">
              <wp:posOffset>5944952</wp:posOffset>
            </wp:positionV>
            <wp:extent cx="7594600" cy="3870796"/>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1944\Profile\Downloads\eadig11773.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594600" cy="3870796"/>
                    </a:xfrm>
                    <a:prstGeom prst="rect">
                      <a:avLst/>
                    </a:prstGeom>
                    <a:noFill/>
                    <a:ln w="9525">
                      <a:noFill/>
                      <a:miter lim="800000"/>
                      <a:headEnd/>
                      <a:tailEnd/>
                    </a:ln>
                  </pic:spPr>
                </pic:pic>
              </a:graphicData>
            </a:graphic>
            <wp14:sizeRelV relativeFrom="margin">
              <wp14:pctHeight>0</wp14:pctHeight>
            </wp14:sizeRelV>
          </wp:anchor>
        </w:drawing>
      </w:r>
      <w:r w:rsidRPr="001E3C58">
        <w:rPr>
          <w:noProof/>
          <w:lang w:eastAsia="en-AU"/>
        </w:rPr>
        <w:drawing>
          <wp:anchor distT="0" distB="0" distL="114300" distR="114300" simplePos="0" relativeHeight="251661312" behindDoc="0" locked="0" layoutInCell="1" allowOverlap="1" wp14:anchorId="37B5529C" wp14:editId="159A9DBA">
            <wp:simplePos x="0" y="0"/>
            <wp:positionH relativeFrom="page">
              <wp:posOffset>-1905</wp:posOffset>
            </wp:positionH>
            <wp:positionV relativeFrom="page">
              <wp:posOffset>9888855</wp:posOffset>
            </wp:positionV>
            <wp:extent cx="7591936" cy="37310"/>
            <wp:effectExtent l="19050" t="0" r="9014" b="0"/>
            <wp:wrapNone/>
            <wp:docPr id="20" name="Picture 1" descr="C:\Users\a11944\AppData\Local\Microsoft\Windows\Temporary Internet Files\Content.Outlook\DEX22WEH\HR_dotted_line_darke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944\AppData\Local\Microsoft\Windows\Temporary Internet Files\Content.Outlook\DEX22WEH\HR_dotted_line_darkerblue.png"/>
                    <pic:cNvPicPr preferRelativeResize="0">
                      <a:picLocks noChangeAspect="1" noChangeArrowheads="1"/>
                    </pic:cNvPicPr>
                  </pic:nvPicPr>
                  <pic:blipFill>
                    <a:blip r:embed="rId20" cstate="print"/>
                    <a:srcRect/>
                    <a:stretch>
                      <a:fillRect/>
                    </a:stretch>
                  </pic:blipFill>
                  <pic:spPr bwMode="auto">
                    <a:xfrm>
                      <a:off x="0" y="0"/>
                      <a:ext cx="7591936" cy="37310"/>
                    </a:xfrm>
                    <a:prstGeom prst="rect">
                      <a:avLst/>
                    </a:prstGeom>
                    <a:noFill/>
                    <a:ln w="9525">
                      <a:noFill/>
                      <a:miter lim="800000"/>
                      <a:headEnd/>
                      <a:tailEnd/>
                    </a:ln>
                  </pic:spPr>
                </pic:pic>
              </a:graphicData>
            </a:graphic>
          </wp:anchor>
        </w:drawing>
      </w:r>
    </w:p>
    <w:sectPr w:rsidR="007A252C" w:rsidRPr="007A252C" w:rsidSect="003A7D43">
      <w:pgSz w:w="11906" w:h="16838" w:code="9"/>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1F95E" w14:textId="77777777" w:rsidR="000376C3" w:rsidRDefault="000376C3" w:rsidP="00A60185">
      <w:pPr>
        <w:spacing w:after="0" w:line="240" w:lineRule="auto"/>
      </w:pPr>
      <w:r>
        <w:separator/>
      </w:r>
    </w:p>
  </w:endnote>
  <w:endnote w:type="continuationSeparator" w:id="0">
    <w:p w14:paraId="4B32DFEF" w14:textId="77777777" w:rsidR="000376C3" w:rsidRDefault="000376C3"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C8F7" w14:textId="77777777" w:rsidR="005F5D5C" w:rsidRDefault="005F5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544612"/>
      <w:docPartObj>
        <w:docPartGallery w:val="Page Numbers (Bottom of Page)"/>
        <w:docPartUnique/>
      </w:docPartObj>
    </w:sdtPr>
    <w:sdtEndPr/>
    <w:sdtContent>
      <w:p w14:paraId="37D6C4A5" w14:textId="77777777" w:rsidR="000376C3" w:rsidRDefault="000376C3">
        <w:pPr>
          <w:pStyle w:val="Footer"/>
          <w:jc w:val="center"/>
        </w:pPr>
        <w:r>
          <w:fldChar w:fldCharType="begin"/>
        </w:r>
        <w:r>
          <w:instrText xml:space="preserve"> PAGE   \* MERGEFORMAT </w:instrText>
        </w:r>
        <w:r>
          <w:fldChar w:fldCharType="separate"/>
        </w:r>
        <w:r w:rsidR="005F5D5C">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6DCE" w14:textId="77777777" w:rsidR="000376C3" w:rsidRDefault="000376C3">
    <w:pPr>
      <w:pStyle w:val="Footer"/>
    </w:pPr>
    <w:r w:rsidRPr="001E3C58">
      <w:rPr>
        <w:noProof/>
        <w:lang w:eastAsia="en-AU"/>
      </w:rPr>
      <w:drawing>
        <wp:anchor distT="0" distB="0" distL="114300" distR="114300" simplePos="0" relativeHeight="251656192" behindDoc="0" locked="0" layoutInCell="1" allowOverlap="1" wp14:anchorId="07582224" wp14:editId="5B2265E4">
          <wp:simplePos x="0" y="0"/>
          <wp:positionH relativeFrom="page">
            <wp:posOffset>-2092</wp:posOffset>
          </wp:positionH>
          <wp:positionV relativeFrom="page">
            <wp:posOffset>9889262</wp:posOffset>
          </wp:positionV>
          <wp:extent cx="7591936" cy="37310"/>
          <wp:effectExtent l="19050" t="0" r="9014" b="0"/>
          <wp:wrapNone/>
          <wp:docPr id="19" name="Picture 1" descr="C:\Users\a11944\AppData\Local\Microsoft\Windows\Temporary Internet Files\Content.Outlook\DEX22WEH\HR_dotted_line_darker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944\AppData\Local\Microsoft\Windows\Temporary Internet Files\Content.Outlook\DEX22WEH\HR_dotted_line_darkerblue.png"/>
                  <pic:cNvPicPr preferRelativeResize="0">
                    <a:picLocks noChangeAspect="1" noChangeArrowheads="1"/>
                  </pic:cNvPicPr>
                </pic:nvPicPr>
                <pic:blipFill>
                  <a:blip r:embed="rId1" cstate="print"/>
                  <a:srcRect/>
                  <a:stretch>
                    <a:fillRect/>
                  </a:stretch>
                </pic:blipFill>
                <pic:spPr bwMode="auto">
                  <a:xfrm>
                    <a:off x="0" y="0"/>
                    <a:ext cx="7591936" cy="37310"/>
                  </a:xfrm>
                  <a:prstGeom prst="rect">
                    <a:avLst/>
                  </a:prstGeom>
                  <a:noFill/>
                  <a:ln w="9525">
                    <a:noFill/>
                    <a:miter lim="800000"/>
                    <a:headEnd/>
                    <a:tailEnd/>
                  </a:ln>
                </pic:spPr>
              </pic:pic>
            </a:graphicData>
          </a:graphic>
        </wp:anchor>
      </w:drawing>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76"/>
      <w:docPartObj>
        <w:docPartGallery w:val="Page Numbers (Bottom of Page)"/>
        <w:docPartUnique/>
      </w:docPartObj>
    </w:sdtPr>
    <w:sdtEndPr/>
    <w:sdtContent>
      <w:p w14:paraId="61BDF7D4" w14:textId="77777777" w:rsidR="000376C3" w:rsidRDefault="005F5D5C" w:rsidP="003A7D43">
        <w:pPr>
          <w:pStyle w:val="Footer"/>
          <w:jc w:val="center"/>
        </w:pPr>
        <w:sdt>
          <w:sdtPr>
            <w:id w:val="176660734"/>
            <w:docPartObj>
              <w:docPartGallery w:val="Page Numbers (Bottom of Page)"/>
              <w:docPartUnique/>
            </w:docPartObj>
          </w:sdtPr>
          <w:sdtEndPr/>
          <w:sdtContent>
            <w:r w:rsidR="000376C3">
              <w:fldChar w:fldCharType="begin"/>
            </w:r>
            <w:r w:rsidR="000376C3">
              <w:instrText xml:space="preserve"> PAGE   \* MERGEFORMAT </w:instrText>
            </w:r>
            <w:r w:rsidR="000376C3">
              <w:fldChar w:fldCharType="separate"/>
            </w:r>
            <w:r>
              <w:rPr>
                <w:noProof/>
              </w:rPr>
              <w:t>2</w:t>
            </w:r>
            <w:r w:rsidR="000376C3">
              <w:rPr>
                <w:noProof/>
              </w:rPr>
              <w:fldChar w:fldCharType="end"/>
            </w:r>
          </w:sdtContent>
        </w:sdt>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234E" w14:textId="77777777" w:rsidR="000376C3" w:rsidRDefault="005F5D5C">
    <w:pPr>
      <w:pStyle w:val="BodyText"/>
      <w:spacing w:line="14" w:lineRule="auto"/>
      <w:ind w:left="0"/>
      <w:rPr>
        <w:sz w:val="20"/>
      </w:rPr>
    </w:pPr>
    <w:r>
      <w:pict w14:anchorId="4F30AC5C">
        <v:shapetype id="_x0000_t202" coordsize="21600,21600" o:spt="202" path="m,l,21600r21600,l21600,xe">
          <v:stroke joinstyle="miter"/>
          <v:path gradientshapeok="t" o:connecttype="rect"/>
        </v:shapetype>
        <v:shape id="_x0000_s2049" type="#_x0000_t202" style="position:absolute;margin-left:296.1pt;margin-top:807.25pt;width:10.15pt;height:14.35pt;z-index:-251657216;mso-position-horizontal-relative:page;mso-position-vertical-relative:page" filled="f" stroked="f">
          <v:textbox inset="0,0,0,0">
            <w:txbxContent>
              <w:p w14:paraId="1951130D" w14:textId="77777777" w:rsidR="000376C3" w:rsidRDefault="000376C3">
                <w:pPr>
                  <w:pStyle w:val="BodyText"/>
                  <w:spacing w:before="13"/>
                  <w:ind w:left="40"/>
                </w:pPr>
                <w:r>
                  <w:fldChar w:fldCharType="begin"/>
                </w:r>
                <w:r>
                  <w:instrText xml:space="preserve"> PAGE </w:instrText>
                </w:r>
                <w:r>
                  <w:fldChar w:fldCharType="separate"/>
                </w:r>
                <w:r w:rsidR="005F5D5C">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FD051" w14:textId="77777777" w:rsidR="000376C3" w:rsidRDefault="000376C3" w:rsidP="00A60185">
      <w:pPr>
        <w:spacing w:after="0" w:line="240" w:lineRule="auto"/>
      </w:pPr>
      <w:r>
        <w:separator/>
      </w:r>
    </w:p>
  </w:footnote>
  <w:footnote w:type="continuationSeparator" w:id="0">
    <w:p w14:paraId="5A9CF307" w14:textId="77777777" w:rsidR="000376C3" w:rsidRDefault="000376C3"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C514" w14:textId="77777777" w:rsidR="000376C3" w:rsidRDefault="000376C3" w:rsidP="00E45765">
    <w:pPr>
      <w:pStyle w:val="Classification"/>
    </w:pPr>
    <w:r>
      <w:fldChar w:fldCharType="begin"/>
    </w:r>
    <w:r>
      <w:instrText xml:space="preserve"> DOCPROPERTY SecurityClassification \* MERGEFORMAT </w:instrText>
    </w:r>
    <w:r>
      <w:fldChar w:fldCharType="separate"/>
    </w:r>
    <w:r w:rsidR="00407C09">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4D3E" w14:textId="77777777" w:rsidR="005F5D5C" w:rsidRDefault="005F5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BF3B" w14:textId="77777777" w:rsidR="000376C3" w:rsidRDefault="000376C3">
    <w:pPr>
      <w:pStyle w:val="Header"/>
    </w:pPr>
  </w:p>
  <w:p w14:paraId="69DC0C54" w14:textId="77777777" w:rsidR="000376C3" w:rsidRDefault="000376C3">
    <w:pPr>
      <w:pStyle w:val="Header"/>
    </w:pPr>
  </w:p>
  <w:p w14:paraId="39D1E0D0" w14:textId="77777777" w:rsidR="000376C3" w:rsidRDefault="000376C3">
    <w:pPr>
      <w:pStyle w:val="Header"/>
    </w:pPr>
  </w:p>
  <w:p w14:paraId="43AA4D6D" w14:textId="77777777" w:rsidR="000376C3" w:rsidRDefault="000376C3">
    <w:pPr>
      <w:pStyle w:val="Header"/>
    </w:pPr>
  </w:p>
  <w:p w14:paraId="77691B79" w14:textId="77777777" w:rsidR="000376C3" w:rsidRDefault="000376C3">
    <w:pPr>
      <w:pStyle w:val="Header"/>
    </w:pPr>
    <w:r>
      <w:rPr>
        <w:noProof/>
        <w:lang w:eastAsia="en-AU"/>
      </w:rPr>
      <w:drawing>
        <wp:anchor distT="0" distB="0" distL="114300" distR="114300" simplePos="0" relativeHeight="251657216" behindDoc="1" locked="0" layoutInCell="1" allowOverlap="1" wp14:anchorId="7CD01209" wp14:editId="295540AE">
          <wp:simplePos x="0" y="0"/>
          <wp:positionH relativeFrom="page">
            <wp:posOffset>-1270</wp:posOffset>
          </wp:positionH>
          <wp:positionV relativeFrom="page">
            <wp:posOffset>5963920</wp:posOffset>
          </wp:positionV>
          <wp:extent cx="7594921" cy="3870959"/>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1944\Profile\Downloads\eadig1177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921" cy="3870959"/>
                  </a:xfrm>
                  <a:prstGeom prst="rect">
                    <a:avLst/>
                  </a:prstGeom>
                  <a:noFill/>
                  <a:ln w="9525">
                    <a:noFill/>
                    <a:miter lim="800000"/>
                    <a:headEnd/>
                    <a:tailEnd/>
                  </a:ln>
                </pic:spPr>
              </pic:pic>
            </a:graphicData>
          </a:graphic>
          <wp14:sizeRelV relativeFrom="margin">
            <wp14:pctHeight>0</wp14:pctHeight>
          </wp14:sizeRelV>
        </wp:anchor>
      </w:drawing>
    </w:r>
    <w:r>
      <w:rPr>
        <w:noProof/>
        <w:lang w:eastAsia="en-AU"/>
      </w:rPr>
      <w:drawing>
        <wp:anchor distT="0" distB="0" distL="114300" distR="114300" simplePos="0" relativeHeight="251658240" behindDoc="0" locked="0" layoutInCell="1" allowOverlap="1" wp14:anchorId="1D279434" wp14:editId="126D54BA">
          <wp:simplePos x="0" y="0"/>
          <wp:positionH relativeFrom="column">
            <wp:posOffset>-156761</wp:posOffset>
          </wp:positionH>
          <wp:positionV relativeFrom="paragraph">
            <wp:posOffset>70916</wp:posOffset>
          </wp:positionV>
          <wp:extent cx="3957457" cy="687600"/>
          <wp:effectExtent l="19050" t="0" r="4943" b="0"/>
          <wp:wrapNone/>
          <wp:docPr id="18"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2"/>
                  <a:stretch>
                    <a:fillRect/>
                  </a:stretch>
                </pic:blipFill>
                <pic:spPr>
                  <a:xfrm>
                    <a:off x="0" y="0"/>
                    <a:ext cx="3957457" cy="6876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4131" w14:textId="77777777" w:rsidR="000376C3" w:rsidRDefault="00037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9091E4C"/>
    <w:multiLevelType w:val="hybridMultilevel"/>
    <w:tmpl w:val="14962A48"/>
    <w:lvl w:ilvl="0" w:tplc="755EF74E">
      <w:numFmt w:val="bullet"/>
      <w:lvlText w:val="o"/>
      <w:lvlJc w:val="left"/>
      <w:pPr>
        <w:ind w:left="995" w:hanging="368"/>
      </w:pPr>
      <w:rPr>
        <w:rFonts w:ascii="Courier New" w:eastAsia="Courier New" w:hAnsi="Courier New" w:cs="Courier New" w:hint="default"/>
        <w:w w:val="100"/>
        <w:sz w:val="22"/>
        <w:szCs w:val="22"/>
        <w:lang w:val="en-AU" w:eastAsia="en-AU" w:bidi="en-AU"/>
      </w:rPr>
    </w:lvl>
    <w:lvl w:ilvl="1" w:tplc="1116F776">
      <w:numFmt w:val="bullet"/>
      <w:lvlText w:val="•"/>
      <w:lvlJc w:val="left"/>
      <w:pPr>
        <w:ind w:left="1872" w:hanging="368"/>
      </w:pPr>
      <w:rPr>
        <w:rFonts w:hint="default"/>
        <w:lang w:val="en-AU" w:eastAsia="en-AU" w:bidi="en-AU"/>
      </w:rPr>
    </w:lvl>
    <w:lvl w:ilvl="2" w:tplc="28FCD8CA">
      <w:numFmt w:val="bullet"/>
      <w:lvlText w:val="•"/>
      <w:lvlJc w:val="left"/>
      <w:pPr>
        <w:ind w:left="2745" w:hanging="368"/>
      </w:pPr>
      <w:rPr>
        <w:rFonts w:hint="default"/>
        <w:lang w:val="en-AU" w:eastAsia="en-AU" w:bidi="en-AU"/>
      </w:rPr>
    </w:lvl>
    <w:lvl w:ilvl="3" w:tplc="55169624">
      <w:numFmt w:val="bullet"/>
      <w:lvlText w:val="•"/>
      <w:lvlJc w:val="left"/>
      <w:pPr>
        <w:ind w:left="3617" w:hanging="368"/>
      </w:pPr>
      <w:rPr>
        <w:rFonts w:hint="default"/>
        <w:lang w:val="en-AU" w:eastAsia="en-AU" w:bidi="en-AU"/>
      </w:rPr>
    </w:lvl>
    <w:lvl w:ilvl="4" w:tplc="7794055A">
      <w:numFmt w:val="bullet"/>
      <w:lvlText w:val="•"/>
      <w:lvlJc w:val="left"/>
      <w:pPr>
        <w:ind w:left="4490" w:hanging="368"/>
      </w:pPr>
      <w:rPr>
        <w:rFonts w:hint="default"/>
        <w:lang w:val="en-AU" w:eastAsia="en-AU" w:bidi="en-AU"/>
      </w:rPr>
    </w:lvl>
    <w:lvl w:ilvl="5" w:tplc="958460DA">
      <w:numFmt w:val="bullet"/>
      <w:lvlText w:val="•"/>
      <w:lvlJc w:val="left"/>
      <w:pPr>
        <w:ind w:left="5363" w:hanging="368"/>
      </w:pPr>
      <w:rPr>
        <w:rFonts w:hint="default"/>
        <w:lang w:val="en-AU" w:eastAsia="en-AU" w:bidi="en-AU"/>
      </w:rPr>
    </w:lvl>
    <w:lvl w:ilvl="6" w:tplc="E3D63910">
      <w:numFmt w:val="bullet"/>
      <w:lvlText w:val="•"/>
      <w:lvlJc w:val="left"/>
      <w:pPr>
        <w:ind w:left="6235" w:hanging="368"/>
      </w:pPr>
      <w:rPr>
        <w:rFonts w:hint="default"/>
        <w:lang w:val="en-AU" w:eastAsia="en-AU" w:bidi="en-AU"/>
      </w:rPr>
    </w:lvl>
    <w:lvl w:ilvl="7" w:tplc="765C37A4">
      <w:numFmt w:val="bullet"/>
      <w:lvlText w:val="•"/>
      <w:lvlJc w:val="left"/>
      <w:pPr>
        <w:ind w:left="7108" w:hanging="368"/>
      </w:pPr>
      <w:rPr>
        <w:rFonts w:hint="default"/>
        <w:lang w:val="en-AU" w:eastAsia="en-AU" w:bidi="en-AU"/>
      </w:rPr>
    </w:lvl>
    <w:lvl w:ilvl="8" w:tplc="08F61600">
      <w:numFmt w:val="bullet"/>
      <w:lvlText w:val="•"/>
      <w:lvlJc w:val="left"/>
      <w:pPr>
        <w:ind w:left="7981" w:hanging="368"/>
      </w:pPr>
      <w:rPr>
        <w:rFonts w:hint="default"/>
        <w:lang w:val="en-AU" w:eastAsia="en-AU" w:bidi="en-AU"/>
      </w:rPr>
    </w:lvl>
  </w:abstractNum>
  <w:abstractNum w:abstractNumId="2" w15:restartNumberingAfterBreak="0">
    <w:nsid w:val="1F745BC2"/>
    <w:multiLevelType w:val="multilevel"/>
    <w:tmpl w:val="E5E89F92"/>
    <w:numStyleLink w:val="BulletList"/>
  </w:abstractNum>
  <w:abstractNum w:abstractNumId="3" w15:restartNumberingAfterBreak="0">
    <w:nsid w:val="2FCC5476"/>
    <w:multiLevelType w:val="hybridMultilevel"/>
    <w:tmpl w:val="15502174"/>
    <w:lvl w:ilvl="0" w:tplc="C508518C">
      <w:numFmt w:val="bullet"/>
      <w:lvlText w:val="•"/>
      <w:lvlJc w:val="left"/>
      <w:pPr>
        <w:ind w:left="628" w:hanging="370"/>
      </w:pPr>
      <w:rPr>
        <w:rFonts w:ascii="Arial" w:eastAsia="Arial" w:hAnsi="Arial" w:cs="Arial" w:hint="default"/>
        <w:w w:val="131"/>
        <w:sz w:val="22"/>
        <w:szCs w:val="22"/>
        <w:lang w:val="en-AU" w:eastAsia="en-AU" w:bidi="en-AU"/>
      </w:rPr>
    </w:lvl>
    <w:lvl w:ilvl="1" w:tplc="D5FA69FE">
      <w:start w:val="1"/>
      <w:numFmt w:val="lowerLetter"/>
      <w:lvlText w:val="%2."/>
      <w:lvlJc w:val="left"/>
      <w:pPr>
        <w:ind w:left="995" w:hanging="368"/>
        <w:jc w:val="left"/>
      </w:pPr>
      <w:rPr>
        <w:rFonts w:ascii="Arial" w:eastAsia="Arial" w:hAnsi="Arial" w:cs="Arial" w:hint="default"/>
        <w:spacing w:val="-1"/>
        <w:w w:val="100"/>
        <w:sz w:val="22"/>
        <w:szCs w:val="22"/>
        <w:lang w:val="en-AU" w:eastAsia="en-AU" w:bidi="en-AU"/>
      </w:rPr>
    </w:lvl>
    <w:lvl w:ilvl="2" w:tplc="B0D0CA2C">
      <w:numFmt w:val="bullet"/>
      <w:lvlText w:val="•"/>
      <w:lvlJc w:val="left"/>
      <w:pPr>
        <w:ind w:left="1969" w:hanging="368"/>
      </w:pPr>
      <w:rPr>
        <w:rFonts w:hint="default"/>
        <w:lang w:val="en-AU" w:eastAsia="en-AU" w:bidi="en-AU"/>
      </w:rPr>
    </w:lvl>
    <w:lvl w:ilvl="3" w:tplc="B6C2C4FA">
      <w:numFmt w:val="bullet"/>
      <w:lvlText w:val="•"/>
      <w:lvlJc w:val="left"/>
      <w:pPr>
        <w:ind w:left="2939" w:hanging="368"/>
      </w:pPr>
      <w:rPr>
        <w:rFonts w:hint="default"/>
        <w:lang w:val="en-AU" w:eastAsia="en-AU" w:bidi="en-AU"/>
      </w:rPr>
    </w:lvl>
    <w:lvl w:ilvl="4" w:tplc="30186598">
      <w:numFmt w:val="bullet"/>
      <w:lvlText w:val="•"/>
      <w:lvlJc w:val="left"/>
      <w:pPr>
        <w:ind w:left="3908" w:hanging="368"/>
      </w:pPr>
      <w:rPr>
        <w:rFonts w:hint="default"/>
        <w:lang w:val="en-AU" w:eastAsia="en-AU" w:bidi="en-AU"/>
      </w:rPr>
    </w:lvl>
    <w:lvl w:ilvl="5" w:tplc="D4FC5DCA">
      <w:numFmt w:val="bullet"/>
      <w:lvlText w:val="•"/>
      <w:lvlJc w:val="left"/>
      <w:pPr>
        <w:ind w:left="4878" w:hanging="368"/>
      </w:pPr>
      <w:rPr>
        <w:rFonts w:hint="default"/>
        <w:lang w:val="en-AU" w:eastAsia="en-AU" w:bidi="en-AU"/>
      </w:rPr>
    </w:lvl>
    <w:lvl w:ilvl="6" w:tplc="A4524C2A">
      <w:numFmt w:val="bullet"/>
      <w:lvlText w:val="•"/>
      <w:lvlJc w:val="left"/>
      <w:pPr>
        <w:ind w:left="5848" w:hanging="368"/>
      </w:pPr>
      <w:rPr>
        <w:rFonts w:hint="default"/>
        <w:lang w:val="en-AU" w:eastAsia="en-AU" w:bidi="en-AU"/>
      </w:rPr>
    </w:lvl>
    <w:lvl w:ilvl="7" w:tplc="6EDC4F00">
      <w:numFmt w:val="bullet"/>
      <w:lvlText w:val="•"/>
      <w:lvlJc w:val="left"/>
      <w:pPr>
        <w:ind w:left="6817" w:hanging="368"/>
      </w:pPr>
      <w:rPr>
        <w:rFonts w:hint="default"/>
        <w:lang w:val="en-AU" w:eastAsia="en-AU" w:bidi="en-AU"/>
      </w:rPr>
    </w:lvl>
    <w:lvl w:ilvl="8" w:tplc="011CD842">
      <w:numFmt w:val="bullet"/>
      <w:lvlText w:val="•"/>
      <w:lvlJc w:val="left"/>
      <w:pPr>
        <w:ind w:left="7787" w:hanging="368"/>
      </w:pPr>
      <w:rPr>
        <w:rFonts w:hint="default"/>
        <w:lang w:val="en-AU" w:eastAsia="en-AU" w:bidi="en-AU"/>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F3209F"/>
    <w:multiLevelType w:val="hybridMultilevel"/>
    <w:tmpl w:val="71C86642"/>
    <w:lvl w:ilvl="0" w:tplc="56E4D06C">
      <w:numFmt w:val="bullet"/>
      <w:lvlText w:val="o"/>
      <w:lvlJc w:val="left"/>
      <w:pPr>
        <w:ind w:left="995" w:hanging="368"/>
      </w:pPr>
      <w:rPr>
        <w:rFonts w:ascii="Courier New" w:eastAsia="Courier New" w:hAnsi="Courier New" w:cs="Courier New" w:hint="default"/>
        <w:w w:val="100"/>
        <w:sz w:val="22"/>
        <w:szCs w:val="22"/>
        <w:lang w:val="en-AU" w:eastAsia="en-AU" w:bidi="en-AU"/>
      </w:rPr>
    </w:lvl>
    <w:lvl w:ilvl="1" w:tplc="6560A320">
      <w:numFmt w:val="bullet"/>
      <w:lvlText w:val="•"/>
      <w:lvlJc w:val="left"/>
      <w:pPr>
        <w:ind w:left="1872" w:hanging="368"/>
      </w:pPr>
      <w:rPr>
        <w:rFonts w:hint="default"/>
        <w:lang w:val="en-AU" w:eastAsia="en-AU" w:bidi="en-AU"/>
      </w:rPr>
    </w:lvl>
    <w:lvl w:ilvl="2" w:tplc="842E3B88">
      <w:numFmt w:val="bullet"/>
      <w:lvlText w:val="•"/>
      <w:lvlJc w:val="left"/>
      <w:pPr>
        <w:ind w:left="2745" w:hanging="368"/>
      </w:pPr>
      <w:rPr>
        <w:rFonts w:hint="default"/>
        <w:lang w:val="en-AU" w:eastAsia="en-AU" w:bidi="en-AU"/>
      </w:rPr>
    </w:lvl>
    <w:lvl w:ilvl="3" w:tplc="322AE776">
      <w:numFmt w:val="bullet"/>
      <w:lvlText w:val="•"/>
      <w:lvlJc w:val="left"/>
      <w:pPr>
        <w:ind w:left="3617" w:hanging="368"/>
      </w:pPr>
      <w:rPr>
        <w:rFonts w:hint="default"/>
        <w:lang w:val="en-AU" w:eastAsia="en-AU" w:bidi="en-AU"/>
      </w:rPr>
    </w:lvl>
    <w:lvl w:ilvl="4" w:tplc="580E9190">
      <w:numFmt w:val="bullet"/>
      <w:lvlText w:val="•"/>
      <w:lvlJc w:val="left"/>
      <w:pPr>
        <w:ind w:left="4490" w:hanging="368"/>
      </w:pPr>
      <w:rPr>
        <w:rFonts w:hint="default"/>
        <w:lang w:val="en-AU" w:eastAsia="en-AU" w:bidi="en-AU"/>
      </w:rPr>
    </w:lvl>
    <w:lvl w:ilvl="5" w:tplc="C082E3DE">
      <w:numFmt w:val="bullet"/>
      <w:lvlText w:val="•"/>
      <w:lvlJc w:val="left"/>
      <w:pPr>
        <w:ind w:left="5363" w:hanging="368"/>
      </w:pPr>
      <w:rPr>
        <w:rFonts w:hint="default"/>
        <w:lang w:val="en-AU" w:eastAsia="en-AU" w:bidi="en-AU"/>
      </w:rPr>
    </w:lvl>
    <w:lvl w:ilvl="6" w:tplc="5192A20E">
      <w:numFmt w:val="bullet"/>
      <w:lvlText w:val="•"/>
      <w:lvlJc w:val="left"/>
      <w:pPr>
        <w:ind w:left="6235" w:hanging="368"/>
      </w:pPr>
      <w:rPr>
        <w:rFonts w:hint="default"/>
        <w:lang w:val="en-AU" w:eastAsia="en-AU" w:bidi="en-AU"/>
      </w:rPr>
    </w:lvl>
    <w:lvl w:ilvl="7" w:tplc="748C8192">
      <w:numFmt w:val="bullet"/>
      <w:lvlText w:val="•"/>
      <w:lvlJc w:val="left"/>
      <w:pPr>
        <w:ind w:left="7108" w:hanging="368"/>
      </w:pPr>
      <w:rPr>
        <w:rFonts w:hint="default"/>
        <w:lang w:val="en-AU" w:eastAsia="en-AU" w:bidi="en-AU"/>
      </w:rPr>
    </w:lvl>
    <w:lvl w:ilvl="8" w:tplc="303E434A">
      <w:numFmt w:val="bullet"/>
      <w:lvlText w:val="•"/>
      <w:lvlJc w:val="left"/>
      <w:pPr>
        <w:ind w:left="7981" w:hanging="368"/>
      </w:pPr>
      <w:rPr>
        <w:rFonts w:hint="default"/>
        <w:lang w:val="en-AU" w:eastAsia="en-AU" w:bidi="en-AU"/>
      </w:rPr>
    </w:lvl>
  </w:abstractNum>
  <w:abstractNum w:abstractNumId="7" w15:restartNumberingAfterBreak="0">
    <w:nsid w:val="4E6E0D81"/>
    <w:multiLevelType w:val="hybridMultilevel"/>
    <w:tmpl w:val="963A94BE"/>
    <w:lvl w:ilvl="0" w:tplc="BC48BFD6">
      <w:numFmt w:val="bullet"/>
      <w:lvlText w:val="o"/>
      <w:lvlJc w:val="left"/>
      <w:pPr>
        <w:ind w:left="995" w:hanging="368"/>
      </w:pPr>
      <w:rPr>
        <w:rFonts w:ascii="Courier New" w:eastAsia="Courier New" w:hAnsi="Courier New" w:cs="Courier New" w:hint="default"/>
        <w:w w:val="100"/>
        <w:sz w:val="22"/>
        <w:szCs w:val="22"/>
        <w:lang w:val="en-AU" w:eastAsia="en-AU" w:bidi="en-AU"/>
      </w:rPr>
    </w:lvl>
    <w:lvl w:ilvl="1" w:tplc="FAD431E8">
      <w:numFmt w:val="bullet"/>
      <w:lvlText w:val="•"/>
      <w:lvlJc w:val="left"/>
      <w:pPr>
        <w:ind w:left="1872" w:hanging="368"/>
      </w:pPr>
      <w:rPr>
        <w:rFonts w:hint="default"/>
        <w:lang w:val="en-AU" w:eastAsia="en-AU" w:bidi="en-AU"/>
      </w:rPr>
    </w:lvl>
    <w:lvl w:ilvl="2" w:tplc="F5D452A6">
      <w:numFmt w:val="bullet"/>
      <w:lvlText w:val="•"/>
      <w:lvlJc w:val="left"/>
      <w:pPr>
        <w:ind w:left="2745" w:hanging="368"/>
      </w:pPr>
      <w:rPr>
        <w:rFonts w:hint="default"/>
        <w:lang w:val="en-AU" w:eastAsia="en-AU" w:bidi="en-AU"/>
      </w:rPr>
    </w:lvl>
    <w:lvl w:ilvl="3" w:tplc="36A49B6A">
      <w:numFmt w:val="bullet"/>
      <w:lvlText w:val="•"/>
      <w:lvlJc w:val="left"/>
      <w:pPr>
        <w:ind w:left="3617" w:hanging="368"/>
      </w:pPr>
      <w:rPr>
        <w:rFonts w:hint="default"/>
        <w:lang w:val="en-AU" w:eastAsia="en-AU" w:bidi="en-AU"/>
      </w:rPr>
    </w:lvl>
    <w:lvl w:ilvl="4" w:tplc="ADA05F48">
      <w:numFmt w:val="bullet"/>
      <w:lvlText w:val="•"/>
      <w:lvlJc w:val="left"/>
      <w:pPr>
        <w:ind w:left="4490" w:hanging="368"/>
      </w:pPr>
      <w:rPr>
        <w:rFonts w:hint="default"/>
        <w:lang w:val="en-AU" w:eastAsia="en-AU" w:bidi="en-AU"/>
      </w:rPr>
    </w:lvl>
    <w:lvl w:ilvl="5" w:tplc="D4568306">
      <w:numFmt w:val="bullet"/>
      <w:lvlText w:val="•"/>
      <w:lvlJc w:val="left"/>
      <w:pPr>
        <w:ind w:left="5363" w:hanging="368"/>
      </w:pPr>
      <w:rPr>
        <w:rFonts w:hint="default"/>
        <w:lang w:val="en-AU" w:eastAsia="en-AU" w:bidi="en-AU"/>
      </w:rPr>
    </w:lvl>
    <w:lvl w:ilvl="6" w:tplc="22381424">
      <w:numFmt w:val="bullet"/>
      <w:lvlText w:val="•"/>
      <w:lvlJc w:val="left"/>
      <w:pPr>
        <w:ind w:left="6235" w:hanging="368"/>
      </w:pPr>
      <w:rPr>
        <w:rFonts w:hint="default"/>
        <w:lang w:val="en-AU" w:eastAsia="en-AU" w:bidi="en-AU"/>
      </w:rPr>
    </w:lvl>
    <w:lvl w:ilvl="7" w:tplc="2D265D5C">
      <w:numFmt w:val="bullet"/>
      <w:lvlText w:val="•"/>
      <w:lvlJc w:val="left"/>
      <w:pPr>
        <w:ind w:left="7108" w:hanging="368"/>
      </w:pPr>
      <w:rPr>
        <w:rFonts w:hint="default"/>
        <w:lang w:val="en-AU" w:eastAsia="en-AU" w:bidi="en-AU"/>
      </w:rPr>
    </w:lvl>
    <w:lvl w:ilvl="8" w:tplc="F1E8E5E2">
      <w:numFmt w:val="bullet"/>
      <w:lvlText w:val="•"/>
      <w:lvlJc w:val="left"/>
      <w:pPr>
        <w:ind w:left="7981" w:hanging="368"/>
      </w:pPr>
      <w:rPr>
        <w:rFonts w:hint="default"/>
        <w:lang w:val="en-AU" w:eastAsia="en-AU" w:bidi="en-AU"/>
      </w:rPr>
    </w:lvl>
  </w:abstractNum>
  <w:abstractNum w:abstractNumId="8" w15:restartNumberingAfterBreak="0">
    <w:nsid w:val="617F1A72"/>
    <w:multiLevelType w:val="hybridMultilevel"/>
    <w:tmpl w:val="57746918"/>
    <w:lvl w:ilvl="0" w:tplc="28DE468C">
      <w:numFmt w:val="bullet"/>
      <w:lvlText w:val="o"/>
      <w:lvlJc w:val="left"/>
      <w:pPr>
        <w:ind w:left="995" w:hanging="368"/>
      </w:pPr>
      <w:rPr>
        <w:rFonts w:ascii="Courier New" w:eastAsia="Courier New" w:hAnsi="Courier New" w:cs="Courier New" w:hint="default"/>
        <w:w w:val="100"/>
        <w:sz w:val="22"/>
        <w:szCs w:val="22"/>
        <w:lang w:val="en-AU" w:eastAsia="en-AU" w:bidi="en-AU"/>
      </w:rPr>
    </w:lvl>
    <w:lvl w:ilvl="1" w:tplc="E82EC4E0">
      <w:numFmt w:val="bullet"/>
      <w:lvlText w:val="•"/>
      <w:lvlJc w:val="left"/>
      <w:pPr>
        <w:ind w:left="1872" w:hanging="368"/>
      </w:pPr>
      <w:rPr>
        <w:rFonts w:hint="default"/>
        <w:lang w:val="en-AU" w:eastAsia="en-AU" w:bidi="en-AU"/>
      </w:rPr>
    </w:lvl>
    <w:lvl w:ilvl="2" w:tplc="6ED669F0">
      <w:numFmt w:val="bullet"/>
      <w:lvlText w:val="•"/>
      <w:lvlJc w:val="left"/>
      <w:pPr>
        <w:ind w:left="2745" w:hanging="368"/>
      </w:pPr>
      <w:rPr>
        <w:rFonts w:hint="default"/>
        <w:lang w:val="en-AU" w:eastAsia="en-AU" w:bidi="en-AU"/>
      </w:rPr>
    </w:lvl>
    <w:lvl w:ilvl="3" w:tplc="B7DC03F6">
      <w:numFmt w:val="bullet"/>
      <w:lvlText w:val="•"/>
      <w:lvlJc w:val="left"/>
      <w:pPr>
        <w:ind w:left="3617" w:hanging="368"/>
      </w:pPr>
      <w:rPr>
        <w:rFonts w:hint="default"/>
        <w:lang w:val="en-AU" w:eastAsia="en-AU" w:bidi="en-AU"/>
      </w:rPr>
    </w:lvl>
    <w:lvl w:ilvl="4" w:tplc="4950DB54">
      <w:numFmt w:val="bullet"/>
      <w:lvlText w:val="•"/>
      <w:lvlJc w:val="left"/>
      <w:pPr>
        <w:ind w:left="4490" w:hanging="368"/>
      </w:pPr>
      <w:rPr>
        <w:rFonts w:hint="default"/>
        <w:lang w:val="en-AU" w:eastAsia="en-AU" w:bidi="en-AU"/>
      </w:rPr>
    </w:lvl>
    <w:lvl w:ilvl="5" w:tplc="E8F0F736">
      <w:numFmt w:val="bullet"/>
      <w:lvlText w:val="•"/>
      <w:lvlJc w:val="left"/>
      <w:pPr>
        <w:ind w:left="5363" w:hanging="368"/>
      </w:pPr>
      <w:rPr>
        <w:rFonts w:hint="default"/>
        <w:lang w:val="en-AU" w:eastAsia="en-AU" w:bidi="en-AU"/>
      </w:rPr>
    </w:lvl>
    <w:lvl w:ilvl="6" w:tplc="91C47A28">
      <w:numFmt w:val="bullet"/>
      <w:lvlText w:val="•"/>
      <w:lvlJc w:val="left"/>
      <w:pPr>
        <w:ind w:left="6235" w:hanging="368"/>
      </w:pPr>
      <w:rPr>
        <w:rFonts w:hint="default"/>
        <w:lang w:val="en-AU" w:eastAsia="en-AU" w:bidi="en-AU"/>
      </w:rPr>
    </w:lvl>
    <w:lvl w:ilvl="7" w:tplc="CF44007A">
      <w:numFmt w:val="bullet"/>
      <w:lvlText w:val="•"/>
      <w:lvlJc w:val="left"/>
      <w:pPr>
        <w:ind w:left="7108" w:hanging="368"/>
      </w:pPr>
      <w:rPr>
        <w:rFonts w:hint="default"/>
        <w:lang w:val="en-AU" w:eastAsia="en-AU" w:bidi="en-AU"/>
      </w:rPr>
    </w:lvl>
    <w:lvl w:ilvl="8" w:tplc="BF9A15DA">
      <w:numFmt w:val="bullet"/>
      <w:lvlText w:val="•"/>
      <w:lvlJc w:val="left"/>
      <w:pPr>
        <w:ind w:left="7981" w:hanging="368"/>
      </w:pPr>
      <w:rPr>
        <w:rFonts w:hint="default"/>
        <w:lang w:val="en-AU" w:eastAsia="en-AU" w:bidi="en-AU"/>
      </w:rPr>
    </w:lvl>
  </w:abstractNum>
  <w:abstractNum w:abstractNumId="9" w15:restartNumberingAfterBreak="0">
    <w:nsid w:val="65456429"/>
    <w:multiLevelType w:val="multilevel"/>
    <w:tmpl w:val="E898CC72"/>
    <w:numStyleLink w:val="KeyPoints"/>
  </w:abstractNum>
  <w:abstractNum w:abstractNumId="10" w15:restartNumberingAfterBreak="0">
    <w:nsid w:val="66F21003"/>
    <w:multiLevelType w:val="hybridMultilevel"/>
    <w:tmpl w:val="DCAAE8E8"/>
    <w:lvl w:ilvl="0" w:tplc="8F68EE08">
      <w:numFmt w:val="bullet"/>
      <w:lvlText w:val="o"/>
      <w:lvlJc w:val="left"/>
      <w:pPr>
        <w:ind w:left="995" w:hanging="368"/>
      </w:pPr>
      <w:rPr>
        <w:rFonts w:ascii="Courier New" w:eastAsia="Courier New" w:hAnsi="Courier New" w:cs="Courier New" w:hint="default"/>
        <w:w w:val="100"/>
        <w:sz w:val="22"/>
        <w:szCs w:val="22"/>
        <w:lang w:val="en-AU" w:eastAsia="en-AU" w:bidi="en-AU"/>
      </w:rPr>
    </w:lvl>
    <w:lvl w:ilvl="1" w:tplc="2902B9A2">
      <w:numFmt w:val="bullet"/>
      <w:lvlText w:val="•"/>
      <w:lvlJc w:val="left"/>
      <w:pPr>
        <w:ind w:left="1872" w:hanging="368"/>
      </w:pPr>
      <w:rPr>
        <w:rFonts w:hint="default"/>
        <w:lang w:val="en-AU" w:eastAsia="en-AU" w:bidi="en-AU"/>
      </w:rPr>
    </w:lvl>
    <w:lvl w:ilvl="2" w:tplc="136C747A">
      <w:numFmt w:val="bullet"/>
      <w:lvlText w:val="•"/>
      <w:lvlJc w:val="left"/>
      <w:pPr>
        <w:ind w:left="2745" w:hanging="368"/>
      </w:pPr>
      <w:rPr>
        <w:rFonts w:hint="default"/>
        <w:lang w:val="en-AU" w:eastAsia="en-AU" w:bidi="en-AU"/>
      </w:rPr>
    </w:lvl>
    <w:lvl w:ilvl="3" w:tplc="E11CAE7C">
      <w:numFmt w:val="bullet"/>
      <w:lvlText w:val="•"/>
      <w:lvlJc w:val="left"/>
      <w:pPr>
        <w:ind w:left="3617" w:hanging="368"/>
      </w:pPr>
      <w:rPr>
        <w:rFonts w:hint="default"/>
        <w:lang w:val="en-AU" w:eastAsia="en-AU" w:bidi="en-AU"/>
      </w:rPr>
    </w:lvl>
    <w:lvl w:ilvl="4" w:tplc="755A747E">
      <w:numFmt w:val="bullet"/>
      <w:lvlText w:val="•"/>
      <w:lvlJc w:val="left"/>
      <w:pPr>
        <w:ind w:left="4490" w:hanging="368"/>
      </w:pPr>
      <w:rPr>
        <w:rFonts w:hint="default"/>
        <w:lang w:val="en-AU" w:eastAsia="en-AU" w:bidi="en-AU"/>
      </w:rPr>
    </w:lvl>
    <w:lvl w:ilvl="5" w:tplc="71D0BFC4">
      <w:numFmt w:val="bullet"/>
      <w:lvlText w:val="•"/>
      <w:lvlJc w:val="left"/>
      <w:pPr>
        <w:ind w:left="5363" w:hanging="368"/>
      </w:pPr>
      <w:rPr>
        <w:rFonts w:hint="default"/>
        <w:lang w:val="en-AU" w:eastAsia="en-AU" w:bidi="en-AU"/>
      </w:rPr>
    </w:lvl>
    <w:lvl w:ilvl="6" w:tplc="597A32E4">
      <w:numFmt w:val="bullet"/>
      <w:lvlText w:val="•"/>
      <w:lvlJc w:val="left"/>
      <w:pPr>
        <w:ind w:left="6235" w:hanging="368"/>
      </w:pPr>
      <w:rPr>
        <w:rFonts w:hint="default"/>
        <w:lang w:val="en-AU" w:eastAsia="en-AU" w:bidi="en-AU"/>
      </w:rPr>
    </w:lvl>
    <w:lvl w:ilvl="7" w:tplc="DA5C9458">
      <w:numFmt w:val="bullet"/>
      <w:lvlText w:val="•"/>
      <w:lvlJc w:val="left"/>
      <w:pPr>
        <w:ind w:left="7108" w:hanging="368"/>
      </w:pPr>
      <w:rPr>
        <w:rFonts w:hint="default"/>
        <w:lang w:val="en-AU" w:eastAsia="en-AU" w:bidi="en-AU"/>
      </w:rPr>
    </w:lvl>
    <w:lvl w:ilvl="8" w:tplc="98F44226">
      <w:numFmt w:val="bullet"/>
      <w:lvlText w:val="•"/>
      <w:lvlJc w:val="left"/>
      <w:pPr>
        <w:ind w:left="7981" w:hanging="368"/>
      </w:pPr>
      <w:rPr>
        <w:rFonts w:hint="default"/>
        <w:lang w:val="en-AU" w:eastAsia="en-AU" w:bidi="en-AU"/>
      </w:r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5"/>
  </w:num>
  <w:num w:numId="4">
    <w:abstractNumId w:val="4"/>
  </w:num>
  <w:num w:numId="5">
    <w:abstractNumId w:val="9"/>
  </w:num>
  <w:num w:numId="6">
    <w:abstractNumId w:val="2"/>
  </w:num>
  <w:num w:numId="7">
    <w:abstractNumId w:val="7"/>
  </w:num>
  <w:num w:numId="8">
    <w:abstractNumId w:val="8"/>
  </w:num>
  <w:num w:numId="9">
    <w:abstractNumId w:val="6"/>
  </w:num>
  <w:num w:numId="10">
    <w:abstractNumId w:val="10"/>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442484"/>
    <w:rsid w:val="00004AEE"/>
    <w:rsid w:val="00005CAA"/>
    <w:rsid w:val="00010210"/>
    <w:rsid w:val="00012D66"/>
    <w:rsid w:val="0001476D"/>
    <w:rsid w:val="00015ADA"/>
    <w:rsid w:val="00020C99"/>
    <w:rsid w:val="0002707B"/>
    <w:rsid w:val="000376C3"/>
    <w:rsid w:val="0005148E"/>
    <w:rsid w:val="00053F36"/>
    <w:rsid w:val="000709E5"/>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0EE"/>
    <w:rsid w:val="000D6D63"/>
    <w:rsid w:val="000E0081"/>
    <w:rsid w:val="000E07CF"/>
    <w:rsid w:val="000E31C1"/>
    <w:rsid w:val="000E4B5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0F10"/>
    <w:rsid w:val="00192F5E"/>
    <w:rsid w:val="00197772"/>
    <w:rsid w:val="001A51C8"/>
    <w:rsid w:val="001A5792"/>
    <w:rsid w:val="001B4CA8"/>
    <w:rsid w:val="001B5EA1"/>
    <w:rsid w:val="001C4F3D"/>
    <w:rsid w:val="001D0CDC"/>
    <w:rsid w:val="001D1D82"/>
    <w:rsid w:val="001D778F"/>
    <w:rsid w:val="001E1182"/>
    <w:rsid w:val="001E3C58"/>
    <w:rsid w:val="00202C90"/>
    <w:rsid w:val="00213DE8"/>
    <w:rsid w:val="00216118"/>
    <w:rsid w:val="002209AB"/>
    <w:rsid w:val="002251E3"/>
    <w:rsid w:val="00227A95"/>
    <w:rsid w:val="002316BD"/>
    <w:rsid w:val="002473FC"/>
    <w:rsid w:val="00252E3C"/>
    <w:rsid w:val="00262198"/>
    <w:rsid w:val="0026733D"/>
    <w:rsid w:val="00272709"/>
    <w:rsid w:val="00285F1B"/>
    <w:rsid w:val="00292B81"/>
    <w:rsid w:val="002A00B8"/>
    <w:rsid w:val="002B18AE"/>
    <w:rsid w:val="002C1C93"/>
    <w:rsid w:val="002C5066"/>
    <w:rsid w:val="002C5813"/>
    <w:rsid w:val="002D4678"/>
    <w:rsid w:val="002D4AAC"/>
    <w:rsid w:val="002D4BF3"/>
    <w:rsid w:val="002F045A"/>
    <w:rsid w:val="002F5C99"/>
    <w:rsid w:val="002F6D84"/>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72C4B"/>
    <w:rsid w:val="00383020"/>
    <w:rsid w:val="00394D7E"/>
    <w:rsid w:val="003975FD"/>
    <w:rsid w:val="003A7D43"/>
    <w:rsid w:val="003B057D"/>
    <w:rsid w:val="003B60CC"/>
    <w:rsid w:val="003C1B25"/>
    <w:rsid w:val="003C2443"/>
    <w:rsid w:val="003C5DA3"/>
    <w:rsid w:val="003D4BCD"/>
    <w:rsid w:val="003D6C2B"/>
    <w:rsid w:val="003E01D8"/>
    <w:rsid w:val="003E2100"/>
    <w:rsid w:val="003F3ABA"/>
    <w:rsid w:val="003F6F5B"/>
    <w:rsid w:val="0040342D"/>
    <w:rsid w:val="00407C09"/>
    <w:rsid w:val="0041192D"/>
    <w:rsid w:val="00413EE1"/>
    <w:rsid w:val="0042128E"/>
    <w:rsid w:val="00432B60"/>
    <w:rsid w:val="0043375F"/>
    <w:rsid w:val="00440698"/>
    <w:rsid w:val="00442484"/>
    <w:rsid w:val="004540E2"/>
    <w:rsid w:val="00454454"/>
    <w:rsid w:val="00467924"/>
    <w:rsid w:val="004712A5"/>
    <w:rsid w:val="0047266F"/>
    <w:rsid w:val="00476D6B"/>
    <w:rsid w:val="00492C16"/>
    <w:rsid w:val="004A0678"/>
    <w:rsid w:val="004A0AC6"/>
    <w:rsid w:val="004A48A3"/>
    <w:rsid w:val="004B0D92"/>
    <w:rsid w:val="004B0EC0"/>
    <w:rsid w:val="004B66F1"/>
    <w:rsid w:val="004C3EA0"/>
    <w:rsid w:val="004D07C4"/>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B4F8D"/>
    <w:rsid w:val="005C1FEA"/>
    <w:rsid w:val="005C3495"/>
    <w:rsid w:val="005E3DFC"/>
    <w:rsid w:val="005E5942"/>
    <w:rsid w:val="005E60AF"/>
    <w:rsid w:val="005F1DEA"/>
    <w:rsid w:val="005F5D5C"/>
    <w:rsid w:val="00607FC9"/>
    <w:rsid w:val="00622FE1"/>
    <w:rsid w:val="0062521C"/>
    <w:rsid w:val="00630A2B"/>
    <w:rsid w:val="00632DC7"/>
    <w:rsid w:val="006357FB"/>
    <w:rsid w:val="006406FC"/>
    <w:rsid w:val="00640E57"/>
    <w:rsid w:val="00646122"/>
    <w:rsid w:val="0065138B"/>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E1D7B"/>
    <w:rsid w:val="006F10C4"/>
    <w:rsid w:val="006F40E9"/>
    <w:rsid w:val="006F41DF"/>
    <w:rsid w:val="006F5603"/>
    <w:rsid w:val="006F7B87"/>
    <w:rsid w:val="00701400"/>
    <w:rsid w:val="007037CF"/>
    <w:rsid w:val="00715967"/>
    <w:rsid w:val="007167C0"/>
    <w:rsid w:val="00720481"/>
    <w:rsid w:val="00733193"/>
    <w:rsid w:val="007334E6"/>
    <w:rsid w:val="007418A6"/>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2C"/>
    <w:rsid w:val="007A2573"/>
    <w:rsid w:val="007B106C"/>
    <w:rsid w:val="007B1A4E"/>
    <w:rsid w:val="007B3D05"/>
    <w:rsid w:val="007B5503"/>
    <w:rsid w:val="007C179C"/>
    <w:rsid w:val="007C2804"/>
    <w:rsid w:val="007C6BB3"/>
    <w:rsid w:val="007D14B4"/>
    <w:rsid w:val="007D3AD7"/>
    <w:rsid w:val="007E24F6"/>
    <w:rsid w:val="00800F64"/>
    <w:rsid w:val="00801050"/>
    <w:rsid w:val="00802F0B"/>
    <w:rsid w:val="00804D8C"/>
    <w:rsid w:val="00810A67"/>
    <w:rsid w:val="00832632"/>
    <w:rsid w:val="00833CF7"/>
    <w:rsid w:val="00834CDE"/>
    <w:rsid w:val="00842464"/>
    <w:rsid w:val="00845601"/>
    <w:rsid w:val="00854E0E"/>
    <w:rsid w:val="00855C5C"/>
    <w:rsid w:val="00884E33"/>
    <w:rsid w:val="00887A52"/>
    <w:rsid w:val="008A3C96"/>
    <w:rsid w:val="008B4019"/>
    <w:rsid w:val="008B65C9"/>
    <w:rsid w:val="008C2D4A"/>
    <w:rsid w:val="008C3148"/>
    <w:rsid w:val="008D3039"/>
    <w:rsid w:val="008D3900"/>
    <w:rsid w:val="008D6E1D"/>
    <w:rsid w:val="008E0954"/>
    <w:rsid w:val="008F0FCA"/>
    <w:rsid w:val="008F39B4"/>
    <w:rsid w:val="008F4162"/>
    <w:rsid w:val="00902DBC"/>
    <w:rsid w:val="00903E02"/>
    <w:rsid w:val="00913175"/>
    <w:rsid w:val="00916EDB"/>
    <w:rsid w:val="00920861"/>
    <w:rsid w:val="00922B13"/>
    <w:rsid w:val="009242EF"/>
    <w:rsid w:val="00932291"/>
    <w:rsid w:val="00932861"/>
    <w:rsid w:val="0093408E"/>
    <w:rsid w:val="00952DDF"/>
    <w:rsid w:val="00961AF4"/>
    <w:rsid w:val="00962703"/>
    <w:rsid w:val="00963B6A"/>
    <w:rsid w:val="00970950"/>
    <w:rsid w:val="009812D4"/>
    <w:rsid w:val="009920D8"/>
    <w:rsid w:val="009B38BE"/>
    <w:rsid w:val="009C3012"/>
    <w:rsid w:val="009C3D0F"/>
    <w:rsid w:val="009E1B19"/>
    <w:rsid w:val="009E2C41"/>
    <w:rsid w:val="009E616A"/>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0889"/>
    <w:rsid w:val="00A661EA"/>
    <w:rsid w:val="00A830E5"/>
    <w:rsid w:val="00A87135"/>
    <w:rsid w:val="00A9204C"/>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80C66"/>
    <w:rsid w:val="00B82F80"/>
    <w:rsid w:val="00B8640B"/>
    <w:rsid w:val="00B93DD0"/>
    <w:rsid w:val="00B97732"/>
    <w:rsid w:val="00BA65A8"/>
    <w:rsid w:val="00BA6D19"/>
    <w:rsid w:val="00BA7461"/>
    <w:rsid w:val="00BA7DA9"/>
    <w:rsid w:val="00BC4215"/>
    <w:rsid w:val="00BD1A6F"/>
    <w:rsid w:val="00BE3F0C"/>
    <w:rsid w:val="00BE6D3C"/>
    <w:rsid w:val="00BE7852"/>
    <w:rsid w:val="00BF2793"/>
    <w:rsid w:val="00BF7CEE"/>
    <w:rsid w:val="00C03880"/>
    <w:rsid w:val="00C135CF"/>
    <w:rsid w:val="00C2683F"/>
    <w:rsid w:val="00C3184D"/>
    <w:rsid w:val="00C4714E"/>
    <w:rsid w:val="00C51CCA"/>
    <w:rsid w:val="00C5504F"/>
    <w:rsid w:val="00C57B55"/>
    <w:rsid w:val="00C63376"/>
    <w:rsid w:val="00C74F97"/>
    <w:rsid w:val="00C8276E"/>
    <w:rsid w:val="00C842AC"/>
    <w:rsid w:val="00C944F8"/>
    <w:rsid w:val="00C96688"/>
    <w:rsid w:val="00CA0723"/>
    <w:rsid w:val="00CA743D"/>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5672F"/>
    <w:rsid w:val="00DA1B12"/>
    <w:rsid w:val="00DA54C9"/>
    <w:rsid w:val="00DA6739"/>
    <w:rsid w:val="00DA6CAE"/>
    <w:rsid w:val="00DB1A9E"/>
    <w:rsid w:val="00DB31D6"/>
    <w:rsid w:val="00DB4005"/>
    <w:rsid w:val="00DB4933"/>
    <w:rsid w:val="00DC34EB"/>
    <w:rsid w:val="00DC40A4"/>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4785"/>
    <w:rsid w:val="00EE3146"/>
    <w:rsid w:val="00EF03A4"/>
    <w:rsid w:val="00EF50BB"/>
    <w:rsid w:val="00EF53FF"/>
    <w:rsid w:val="00F00192"/>
    <w:rsid w:val="00F01DF6"/>
    <w:rsid w:val="00F0340D"/>
    <w:rsid w:val="00F059A6"/>
    <w:rsid w:val="00F23756"/>
    <w:rsid w:val="00F2523A"/>
    <w:rsid w:val="00F25FFA"/>
    <w:rsid w:val="00F310D2"/>
    <w:rsid w:val="00F36F3D"/>
    <w:rsid w:val="00F37F51"/>
    <w:rsid w:val="00F477BD"/>
    <w:rsid w:val="00F53491"/>
    <w:rsid w:val="00F65A1C"/>
    <w:rsid w:val="00F66F50"/>
    <w:rsid w:val="00F67A7E"/>
    <w:rsid w:val="00F81C42"/>
    <w:rsid w:val="00F82FF8"/>
    <w:rsid w:val="00F8330D"/>
    <w:rsid w:val="00F84305"/>
    <w:rsid w:val="00F8485C"/>
    <w:rsid w:val="00F84E83"/>
    <w:rsid w:val="00F87149"/>
    <w:rsid w:val="00F87FFE"/>
    <w:rsid w:val="00F954C9"/>
    <w:rsid w:val="00F96E05"/>
    <w:rsid w:val="00FA4CF0"/>
    <w:rsid w:val="00FA61AA"/>
    <w:rsid w:val="00FA69A4"/>
    <w:rsid w:val="00FB1279"/>
    <w:rsid w:val="00FB1495"/>
    <w:rsid w:val="00FD1694"/>
    <w:rsid w:val="00FD7636"/>
    <w:rsid w:val="00FE3229"/>
    <w:rsid w:val="00FE4CF2"/>
    <w:rsid w:val="00FE74C3"/>
    <w:rsid w:val="00FF215C"/>
    <w:rsid w:val="00FF49E8"/>
    <w:rsid w:val="00FF672F"/>
    <w:rsid w:val="00FF69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5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2C"/>
    <w:pPr>
      <w:spacing w:after="200" w:line="276" w:lineRule="auto"/>
    </w:pPr>
    <w:rPr>
      <w:sz w:val="22"/>
      <w:szCs w:val="22"/>
      <w:lang w:eastAsia="en-US"/>
    </w:rPr>
  </w:style>
  <w:style w:type="paragraph" w:styleId="Heading1">
    <w:name w:val="heading 1"/>
    <w:basedOn w:val="Normal"/>
    <w:next w:val="Normal"/>
    <w:link w:val="Heading1Char"/>
    <w:uiPriority w:val="9"/>
    <w:qFormat/>
    <w:rsid w:val="00CA743D"/>
    <w:pPr>
      <w:keepNext/>
      <w:outlineLvl w:val="0"/>
    </w:pPr>
    <w:rPr>
      <w:rFonts w:cs="Arial"/>
      <w:b/>
      <w:caps/>
    </w:rPr>
  </w:style>
  <w:style w:type="paragraph" w:styleId="Heading2">
    <w:name w:val="heading 2"/>
    <w:basedOn w:val="Normal"/>
    <w:next w:val="Normal"/>
    <w:link w:val="Heading2Char"/>
    <w:uiPriority w:val="9"/>
    <w:qFormat/>
    <w:rsid w:val="00CA743D"/>
    <w:pPr>
      <w:keepNext/>
      <w:outlineLvl w:val="1"/>
    </w:pPr>
    <w:rPr>
      <w:rFonts w:cs="Arial"/>
      <w:b/>
    </w:rPr>
  </w:style>
  <w:style w:type="paragraph" w:styleId="Heading3">
    <w:name w:val="heading 3"/>
    <w:basedOn w:val="Normal"/>
    <w:next w:val="Normal"/>
    <w:link w:val="Heading3Char"/>
    <w:uiPriority w:val="9"/>
    <w:qFormat/>
    <w:rsid w:val="00CA743D"/>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A743D"/>
    <w:rPr>
      <w:rFonts w:cs="Arial"/>
      <w:b/>
      <w:caps/>
      <w:sz w:val="22"/>
      <w:szCs w:val="22"/>
      <w:lang w:eastAsia="en-US"/>
    </w:rPr>
  </w:style>
  <w:style w:type="character" w:customStyle="1" w:styleId="Heading2Char">
    <w:name w:val="Heading 2 Char"/>
    <w:basedOn w:val="DefaultParagraphFont"/>
    <w:link w:val="Heading2"/>
    <w:uiPriority w:val="9"/>
    <w:rsid w:val="00CA743D"/>
    <w:rPr>
      <w:rFonts w:cs="Arial"/>
      <w:b/>
      <w:sz w:val="22"/>
      <w:szCs w:val="22"/>
      <w:lang w:eastAsia="en-US"/>
    </w:rPr>
  </w:style>
  <w:style w:type="character" w:customStyle="1" w:styleId="Heading3Char">
    <w:name w:val="Heading 3 Char"/>
    <w:basedOn w:val="DefaultParagraphFont"/>
    <w:link w:val="Heading3"/>
    <w:uiPriority w:val="9"/>
    <w:rsid w:val="00CA743D"/>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1"/>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semiHidden/>
    <w:unhideWhenUsed/>
    <w:rsid w:val="007A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52C"/>
    <w:rPr>
      <w:lang w:eastAsia="en-US"/>
    </w:rPr>
  </w:style>
  <w:style w:type="character" w:styleId="FootnoteReference">
    <w:name w:val="footnote reference"/>
    <w:basedOn w:val="DefaultParagraphFont"/>
    <w:uiPriority w:val="99"/>
    <w:semiHidden/>
    <w:unhideWhenUsed/>
    <w:rsid w:val="007A252C"/>
    <w:rPr>
      <w:vertAlign w:val="superscript"/>
    </w:rPr>
  </w:style>
  <w:style w:type="paragraph" w:styleId="Caption">
    <w:name w:val="caption"/>
    <w:basedOn w:val="Normal"/>
    <w:next w:val="Normal"/>
    <w:uiPriority w:val="35"/>
    <w:unhideWhenUsed/>
    <w:qFormat/>
    <w:rsid w:val="007A252C"/>
    <w:pPr>
      <w:spacing w:after="80"/>
    </w:pPr>
    <w:rPr>
      <w:b/>
      <w:bCs/>
      <w:sz w:val="20"/>
      <w:szCs w:val="18"/>
    </w:rPr>
  </w:style>
  <w:style w:type="paragraph" w:customStyle="1" w:styleId="ReportTitle">
    <w:name w:val="Report Title"/>
    <w:basedOn w:val="Normal"/>
    <w:uiPriority w:val="11"/>
    <w:qFormat/>
    <w:rsid w:val="00F96E05"/>
    <w:rPr>
      <w:b/>
      <w:color w:val="17365D" w:themeColor="text2" w:themeShade="BF"/>
      <w:sz w:val="52"/>
    </w:rPr>
  </w:style>
  <w:style w:type="paragraph" w:customStyle="1" w:styleId="Reportsubtitle">
    <w:name w:val="Report sub title"/>
    <w:basedOn w:val="ReportTitle"/>
    <w:uiPriority w:val="11"/>
    <w:qFormat/>
    <w:rsid w:val="006E1D7B"/>
    <w:rPr>
      <w:b w:val="0"/>
      <w:color w:val="auto"/>
      <w:sz w:val="32"/>
    </w:rPr>
  </w:style>
  <w:style w:type="paragraph" w:styleId="TOCHeading">
    <w:name w:val="TOC Heading"/>
    <w:basedOn w:val="Heading1"/>
    <w:next w:val="Normal"/>
    <w:uiPriority w:val="39"/>
    <w:unhideWhenUsed/>
    <w:qFormat/>
    <w:rsid w:val="00CA743D"/>
    <w:pPr>
      <w:keepLines/>
      <w:spacing w:before="480" w:after="360"/>
      <w:outlineLvl w:val="9"/>
    </w:pPr>
    <w:rPr>
      <w:rFonts w:eastAsiaTheme="majorEastAsia" w:cstheme="majorBidi"/>
      <w:bCs/>
      <w:szCs w:val="28"/>
      <w:lang w:val="en-US"/>
    </w:rPr>
  </w:style>
  <w:style w:type="paragraph" w:styleId="TOC1">
    <w:name w:val="toc 1"/>
    <w:basedOn w:val="Normal"/>
    <w:next w:val="Normal"/>
    <w:autoRedefine/>
    <w:uiPriority w:val="39"/>
    <w:unhideWhenUsed/>
    <w:rsid w:val="00D5672F"/>
    <w:pPr>
      <w:spacing w:after="100"/>
    </w:pPr>
    <w:rPr>
      <w:b/>
    </w:rPr>
  </w:style>
  <w:style w:type="paragraph" w:styleId="TOC2">
    <w:name w:val="toc 2"/>
    <w:basedOn w:val="Normal"/>
    <w:next w:val="Normal"/>
    <w:autoRedefine/>
    <w:uiPriority w:val="39"/>
    <w:unhideWhenUsed/>
    <w:rsid w:val="00D5672F"/>
    <w:pPr>
      <w:spacing w:after="100"/>
      <w:ind w:left="220"/>
    </w:pPr>
  </w:style>
  <w:style w:type="paragraph" w:styleId="TOC3">
    <w:name w:val="toc 3"/>
    <w:basedOn w:val="Normal"/>
    <w:next w:val="Normal"/>
    <w:autoRedefine/>
    <w:uiPriority w:val="39"/>
    <w:unhideWhenUsed/>
    <w:rsid w:val="00D5672F"/>
    <w:pPr>
      <w:spacing w:after="100"/>
      <w:ind w:left="440"/>
    </w:pPr>
    <w:rPr>
      <w:i/>
    </w:rPr>
  </w:style>
  <w:style w:type="character" w:styleId="Hyperlink">
    <w:name w:val="Hyperlink"/>
    <w:basedOn w:val="DefaultParagraphFont"/>
    <w:uiPriority w:val="99"/>
    <w:unhideWhenUsed/>
    <w:rsid w:val="00D5672F"/>
    <w:rPr>
      <w:color w:val="0000FF" w:themeColor="hyperlink"/>
      <w:u w:val="single"/>
    </w:rPr>
  </w:style>
  <w:style w:type="paragraph" w:styleId="BodyText">
    <w:name w:val="Body Text"/>
    <w:basedOn w:val="Normal"/>
    <w:link w:val="BodyTextChar"/>
    <w:uiPriority w:val="1"/>
    <w:qFormat/>
    <w:rsid w:val="006F41DF"/>
    <w:pPr>
      <w:widowControl w:val="0"/>
      <w:autoSpaceDE w:val="0"/>
      <w:autoSpaceDN w:val="0"/>
      <w:spacing w:after="0" w:line="240" w:lineRule="auto"/>
      <w:ind w:left="628"/>
    </w:pPr>
    <w:rPr>
      <w:rFonts w:eastAsia="Arial" w:cs="Arial"/>
      <w:lang w:eastAsia="en-AU" w:bidi="en-AU"/>
    </w:rPr>
  </w:style>
  <w:style w:type="character" w:customStyle="1" w:styleId="BodyTextChar">
    <w:name w:val="Body Text Char"/>
    <w:basedOn w:val="DefaultParagraphFont"/>
    <w:link w:val="BodyText"/>
    <w:uiPriority w:val="1"/>
    <w:rsid w:val="006F41DF"/>
    <w:rPr>
      <w:rFonts w:eastAsia="Arial" w:cs="Arial"/>
      <w:sz w:val="22"/>
      <w:szCs w:val="22"/>
      <w:lang w:bidi="en-AU"/>
    </w:rPr>
  </w:style>
  <w:style w:type="paragraph" w:customStyle="1" w:styleId="TableParagraph">
    <w:name w:val="Table Paragraph"/>
    <w:basedOn w:val="Normal"/>
    <w:uiPriority w:val="1"/>
    <w:qFormat/>
    <w:rsid w:val="006F41DF"/>
    <w:pPr>
      <w:widowControl w:val="0"/>
      <w:autoSpaceDE w:val="0"/>
      <w:autoSpaceDN w:val="0"/>
      <w:spacing w:after="0" w:line="240" w:lineRule="auto"/>
      <w:jc w:val="center"/>
    </w:pPr>
    <w:rPr>
      <w:rFonts w:eastAsia="Arial" w:cs="Arial"/>
      <w:lang w:eastAsia="en-AU" w:bidi="en-AU"/>
    </w:rPr>
  </w:style>
  <w:style w:type="character" w:styleId="FollowedHyperlink">
    <w:name w:val="FollowedHyperlink"/>
    <w:basedOn w:val="DefaultParagraphFont"/>
    <w:uiPriority w:val="99"/>
    <w:semiHidden/>
    <w:unhideWhenUsed/>
    <w:rsid w:val="00F67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wastepolicy@environment.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nvironment.gov.au/microbead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774D-BB5D-4A50-B6C7-76B9FAF0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C0D99329.dotm</Template>
  <TotalTime>0</TotalTime>
  <Pages>9</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Assessment of the voluntary phase out of microbeads</vt:lpstr>
    </vt:vector>
  </TitlesOfParts>
  <Company/>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voluntary phase out of microbeads</dc:title>
  <dc:subject/>
  <dc:creator/>
  <cp:keywords/>
  <dc:description/>
  <cp:lastModifiedBy/>
  <cp:revision>1</cp:revision>
  <dcterms:created xsi:type="dcterms:W3CDTF">2018-05-17T02:27:00Z</dcterms:created>
  <dcterms:modified xsi:type="dcterms:W3CDTF">2018-05-17T02:27:00Z</dcterms:modified>
</cp:coreProperties>
</file>