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D3F2E" w14:textId="6F32A0E9" w:rsidR="00F17850" w:rsidRDefault="00F17850" w:rsidP="00F17850">
      <w:pPr>
        <w:spacing w:after="0" w:line="240" w:lineRule="auto"/>
        <w:rPr>
          <w:rFonts w:ascii="Arial" w:hAnsi="Arial" w:cs="Arial"/>
          <w:i/>
          <w:iCs/>
        </w:rPr>
      </w:pPr>
      <w:bookmarkStart w:id="0" w:name="_Toc524705227"/>
      <w:bookmarkStart w:id="1" w:name="Sch_5"/>
      <w:bookmarkStart w:id="2" w:name="_Ref162235660"/>
    </w:p>
    <w:p w14:paraId="2A77CD68" w14:textId="77777777" w:rsidR="00812DCF" w:rsidRDefault="00812DCF" w:rsidP="00812DCF">
      <w:pPr>
        <w:rPr>
          <w:rFonts w:ascii="Arial" w:hAnsi="Arial" w:cs="Arial"/>
          <w:lang w:eastAsia="en-AU" w:bidi="ar-SA"/>
        </w:rPr>
      </w:pPr>
      <w:r>
        <w:rPr>
          <w:rFonts w:ascii="Arial" w:hAnsi="Arial" w:cs="Arial"/>
        </w:rPr>
        <w:t xml:space="preserve">This document is an attachment to the Goulburn Monitoring Evaluation and Research (MER) Plan and describes additional project services to be undertaken. Please visit </w:t>
      </w:r>
      <w:hyperlink r:id="rId10" w:history="1">
        <w:r>
          <w:rPr>
            <w:rStyle w:val="Hyperlink"/>
            <w:rFonts w:ascii="Arial" w:hAnsi="Arial" w:cs="Arial"/>
          </w:rPr>
          <w:t>http://www.environment.gov.au/water/cewo/publications/mer-plan-goulburn-2019</w:t>
        </w:r>
      </w:hyperlink>
      <w:r>
        <w:rPr>
          <w:rFonts w:ascii="Arial" w:hAnsi="Arial" w:cs="Arial"/>
        </w:rPr>
        <w:t xml:space="preserve"> to read the entire Goulburn MER Plan. </w:t>
      </w:r>
    </w:p>
    <w:p w14:paraId="510FE2ED" w14:textId="77777777" w:rsidR="00812DCF" w:rsidRDefault="00812DCF" w:rsidP="00812DCF">
      <w:pPr>
        <w:rPr>
          <w:rFonts w:ascii="Arial" w:hAnsi="Arial" w:cs="Arial"/>
        </w:rPr>
      </w:pPr>
      <w:r>
        <w:rPr>
          <w:rFonts w:ascii="Arial" w:hAnsi="Arial" w:cs="Arial"/>
        </w:rPr>
        <w:t xml:space="preserve">Information about the </w:t>
      </w:r>
      <w:r>
        <w:rPr>
          <w:rFonts w:ascii="Arial" w:hAnsi="Arial" w:cs="Arial"/>
          <w:color w:val="000000"/>
        </w:rPr>
        <w:t>Commonwealth Environmental Water Office Monitoring, Evaluation and Research Program (Flow-MER)</w:t>
      </w:r>
      <w:r>
        <w:rPr>
          <w:rFonts w:ascii="Arial" w:hAnsi="Arial" w:cs="Arial"/>
        </w:rPr>
        <w:t xml:space="preserve"> is found at </w:t>
      </w:r>
      <w:hyperlink r:id="rId11" w:history="1">
        <w:r>
          <w:rPr>
            <w:rStyle w:val="Hyperlink"/>
            <w:rFonts w:ascii="Arial" w:hAnsi="Arial" w:cs="Arial"/>
          </w:rPr>
          <w:t>http://www.environment.gov.au/water/cewo/monitoring/mer-program</w:t>
        </w:r>
      </w:hyperlink>
    </w:p>
    <w:p w14:paraId="4A8F7248" w14:textId="77777777" w:rsidR="00812DCF" w:rsidRDefault="00812DCF" w:rsidP="00F17850">
      <w:pPr>
        <w:spacing w:after="0" w:line="240" w:lineRule="auto"/>
        <w:rPr>
          <w:rFonts w:ascii="Arial" w:hAnsi="Arial" w:cs="Arial"/>
          <w:i/>
          <w:iCs/>
        </w:rPr>
      </w:pPr>
    </w:p>
    <w:p w14:paraId="18AA08E5" w14:textId="17C42507" w:rsidR="00F17850" w:rsidRDefault="00F17850" w:rsidP="00F17850">
      <w:pPr>
        <w:spacing w:after="0" w:line="240" w:lineRule="auto"/>
        <w:rPr>
          <w:rFonts w:ascii="Arial" w:hAnsi="Arial" w:cs="Arial"/>
          <w:bCs/>
          <w:sz w:val="24"/>
        </w:rPr>
      </w:pPr>
      <w:r>
        <w:rPr>
          <w:rFonts w:ascii="Arial" w:hAnsi="Arial" w:cs="Arial"/>
          <w:i/>
          <w:iCs/>
        </w:rPr>
        <w:t>Note that all projects will comply with Covid-19 pandemic restrictions and may require changes to activity and timelines.</w:t>
      </w:r>
    </w:p>
    <w:p w14:paraId="1CBCA007" w14:textId="66C51B56" w:rsidR="00590D6A" w:rsidRDefault="00590D6A" w:rsidP="00590D6A">
      <w:pPr>
        <w:pStyle w:val="LegalHeading3"/>
      </w:pPr>
      <w:r>
        <w:t>Schedule 6 –Work Order</w:t>
      </w:r>
      <w:bookmarkEnd w:id="0"/>
    </w:p>
    <w:p w14:paraId="1CBCA008" w14:textId="77777777" w:rsidR="00590D6A" w:rsidRPr="001E7C9A" w:rsidRDefault="00590D6A" w:rsidP="00590D6A">
      <w:pPr>
        <w:rPr>
          <w:lang w:eastAsia="en-US" w:bidi="ar-SA"/>
        </w:rPr>
      </w:pPr>
    </w:p>
    <w:tbl>
      <w:tblPr>
        <w:tblStyle w:val="TableGrid1"/>
        <w:tblW w:w="0" w:type="auto"/>
        <w:tblLook w:val="04A0" w:firstRow="1" w:lastRow="0" w:firstColumn="1" w:lastColumn="0" w:noHBand="0" w:noVBand="1"/>
      </w:tblPr>
      <w:tblGrid>
        <w:gridCol w:w="9202"/>
      </w:tblGrid>
      <w:tr w:rsidR="00590D6A" w:rsidRPr="004F4E2C" w14:paraId="1CBCA00A" w14:textId="77777777" w:rsidTr="00260E70">
        <w:tc>
          <w:tcPr>
            <w:tcW w:w="9202" w:type="dxa"/>
            <w:shd w:val="clear" w:color="auto" w:fill="548DD4" w:themeFill="text2" w:themeFillTint="99"/>
          </w:tcPr>
          <w:bookmarkEnd w:id="1"/>
          <w:bookmarkEnd w:id="2"/>
          <w:p w14:paraId="1CBCA009" w14:textId="77777777" w:rsidR="00590D6A" w:rsidRPr="004F4E2C" w:rsidRDefault="00590D6A" w:rsidP="008628AE">
            <w:pPr>
              <w:rPr>
                <w:rFonts w:cs="Arial"/>
              </w:rPr>
            </w:pPr>
            <w:r w:rsidRPr="004F4E2C">
              <w:rPr>
                <w:rFonts w:cs="Arial"/>
                <w:b/>
                <w:color w:val="FFFFFF"/>
                <w:sz w:val="32"/>
              </w:rPr>
              <w:t xml:space="preserve">Order </w:t>
            </w:r>
          </w:p>
        </w:tc>
      </w:tr>
      <w:tr w:rsidR="00590D6A" w:rsidRPr="004F4E2C" w14:paraId="1CBCA00C" w14:textId="77777777" w:rsidTr="00260E70">
        <w:tc>
          <w:tcPr>
            <w:tcW w:w="9202" w:type="dxa"/>
          </w:tcPr>
          <w:p w14:paraId="1CBCA00B" w14:textId="77777777" w:rsidR="00590D6A" w:rsidRPr="004F4E2C" w:rsidRDefault="00590D6A" w:rsidP="008628AE">
            <w:pPr>
              <w:rPr>
                <w:rFonts w:cs="Arial"/>
              </w:rPr>
            </w:pPr>
            <w:r>
              <w:rPr>
                <w:rFonts w:cs="Arial"/>
              </w:rPr>
              <w:t xml:space="preserve">The parties have agreed </w:t>
            </w:r>
            <w:r w:rsidRPr="004F4E2C">
              <w:rPr>
                <w:rFonts w:cs="Arial"/>
              </w:rPr>
              <w:t xml:space="preserve">in accordance with </w:t>
            </w:r>
            <w:r>
              <w:rPr>
                <w:rFonts w:cs="Arial"/>
              </w:rPr>
              <w:t>clause 7</w:t>
            </w:r>
            <w:r w:rsidRPr="00591676">
              <w:rPr>
                <w:rFonts w:cs="Arial"/>
              </w:rPr>
              <w:t xml:space="preserve"> the Agreement</w:t>
            </w:r>
            <w:r>
              <w:rPr>
                <w:rFonts w:cs="Arial"/>
              </w:rPr>
              <w:t xml:space="preserve"> that the Provider will provide the Additional Project Services specified in this Work Order.</w:t>
            </w:r>
          </w:p>
        </w:tc>
      </w:tr>
    </w:tbl>
    <w:p w14:paraId="7B55189C" w14:textId="77777777" w:rsidR="00260E70" w:rsidRDefault="00260E70" w:rsidP="00260E70">
      <w:pPr>
        <w:spacing w:after="0"/>
        <w:rPr>
          <w:rFonts w:ascii="Arial" w:hAnsi="Arial" w:cs="Arial"/>
          <w:b/>
          <w:sz w:val="24"/>
        </w:rPr>
      </w:pPr>
    </w:p>
    <w:p w14:paraId="1CBCA00D" w14:textId="52B858BD" w:rsidR="00590D6A" w:rsidRDefault="00260E70" w:rsidP="00260E70">
      <w:pPr>
        <w:spacing w:after="0"/>
        <w:rPr>
          <w:rFonts w:ascii="Arial" w:hAnsi="Arial" w:cs="Arial"/>
          <w:b/>
          <w:sz w:val="24"/>
        </w:rPr>
      </w:pPr>
      <w:r w:rsidRPr="009C0A92">
        <w:rPr>
          <w:rFonts w:ascii="Arial" w:hAnsi="Arial" w:cs="Arial"/>
          <w:b/>
          <w:sz w:val="24"/>
        </w:rPr>
        <w:t>Goulburn MER</w:t>
      </w:r>
      <w:r w:rsidR="001A771F">
        <w:rPr>
          <w:rFonts w:ascii="Arial" w:hAnsi="Arial" w:cs="Arial"/>
          <w:b/>
          <w:sz w:val="24"/>
        </w:rPr>
        <w:t xml:space="preserve"> </w:t>
      </w:r>
      <w:r w:rsidR="0000407E">
        <w:rPr>
          <w:rFonts w:ascii="Arial" w:hAnsi="Arial" w:cs="Arial"/>
          <w:b/>
          <w:sz w:val="24"/>
        </w:rPr>
        <w:t>Collaborative</w:t>
      </w:r>
      <w:r w:rsidR="001A771F">
        <w:rPr>
          <w:rFonts w:ascii="Arial" w:hAnsi="Arial" w:cs="Arial"/>
          <w:b/>
          <w:sz w:val="24"/>
        </w:rPr>
        <w:t xml:space="preserve"> Research Project</w:t>
      </w:r>
    </w:p>
    <w:p w14:paraId="6CD72183" w14:textId="77777777" w:rsidR="00260E70" w:rsidRPr="004F4E2C" w:rsidRDefault="00260E70" w:rsidP="00260E70">
      <w:pPr>
        <w:spacing w:after="0"/>
        <w:rPr>
          <w:rFonts w:ascii="Arial" w:hAnsi="Arial" w:cs="Arial"/>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276"/>
        <w:gridCol w:w="5670"/>
      </w:tblGrid>
      <w:tr w:rsidR="00590D6A" w:rsidRPr="004F4E2C" w14:paraId="1CBCA012" w14:textId="77777777" w:rsidTr="557633A3">
        <w:trPr>
          <w:tblHeader/>
        </w:trPr>
        <w:tc>
          <w:tcPr>
            <w:tcW w:w="675" w:type="dxa"/>
            <w:shd w:val="clear" w:color="auto" w:fill="548DD4" w:themeFill="text2" w:themeFillTint="99"/>
            <w:vAlign w:val="center"/>
          </w:tcPr>
          <w:p w14:paraId="1CBCA00E" w14:textId="77777777" w:rsidR="00590D6A" w:rsidRPr="004F4E2C" w:rsidRDefault="00590D6A" w:rsidP="008D6D35">
            <w:pPr>
              <w:widowControl w:val="0"/>
              <w:spacing w:before="240"/>
              <w:jc w:val="center"/>
              <w:outlineLvl w:val="0"/>
              <w:rPr>
                <w:rFonts w:ascii="Arial" w:hAnsi="Arial" w:cs="Arial"/>
                <w:b/>
                <w:bCs/>
                <w:color w:val="FFFFFF" w:themeColor="background1"/>
              </w:rPr>
            </w:pPr>
            <w:r w:rsidRPr="004F4E2C">
              <w:rPr>
                <w:rFonts w:ascii="Arial" w:hAnsi="Arial" w:cs="Arial"/>
                <w:b/>
                <w:bCs/>
                <w:color w:val="FFFFFF" w:themeColor="background1"/>
              </w:rPr>
              <w:t>Item</w:t>
            </w:r>
          </w:p>
        </w:tc>
        <w:tc>
          <w:tcPr>
            <w:tcW w:w="1985" w:type="dxa"/>
            <w:shd w:val="clear" w:color="auto" w:fill="548DD4" w:themeFill="text2" w:themeFillTint="99"/>
            <w:vAlign w:val="center"/>
          </w:tcPr>
          <w:p w14:paraId="1CBCA00F" w14:textId="77777777" w:rsidR="00590D6A" w:rsidRPr="004F4E2C" w:rsidRDefault="00590D6A" w:rsidP="008D6D35">
            <w:pPr>
              <w:widowControl w:val="0"/>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Description</w:t>
            </w:r>
          </w:p>
        </w:tc>
        <w:tc>
          <w:tcPr>
            <w:tcW w:w="1276" w:type="dxa"/>
            <w:shd w:val="clear" w:color="auto" w:fill="548DD4" w:themeFill="text2" w:themeFillTint="99"/>
            <w:vAlign w:val="center"/>
          </w:tcPr>
          <w:p w14:paraId="1CBCA010" w14:textId="77777777" w:rsidR="00590D6A" w:rsidRPr="004F4E2C" w:rsidRDefault="00590D6A" w:rsidP="008D6D35">
            <w:pPr>
              <w:widowControl w:val="0"/>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Clause</w:t>
            </w:r>
          </w:p>
        </w:tc>
        <w:tc>
          <w:tcPr>
            <w:tcW w:w="5670" w:type="dxa"/>
            <w:shd w:val="clear" w:color="auto" w:fill="548DD4" w:themeFill="text2" w:themeFillTint="99"/>
            <w:vAlign w:val="center"/>
          </w:tcPr>
          <w:p w14:paraId="1CBCA011" w14:textId="77777777" w:rsidR="00590D6A" w:rsidRPr="004F4E2C" w:rsidRDefault="00590D6A" w:rsidP="008D6D35">
            <w:pPr>
              <w:widowControl w:val="0"/>
              <w:tabs>
                <w:tab w:val="num" w:pos="0"/>
              </w:tabs>
              <w:spacing w:before="240"/>
              <w:ind w:left="33" w:hanging="8"/>
              <w:jc w:val="center"/>
              <w:outlineLvl w:val="2"/>
              <w:rPr>
                <w:rFonts w:ascii="Arial" w:hAnsi="Arial" w:cs="Arial"/>
                <w:b/>
                <w:bCs/>
                <w:color w:val="FFFFFF" w:themeColor="background1"/>
              </w:rPr>
            </w:pPr>
            <w:r w:rsidRPr="004F4E2C">
              <w:rPr>
                <w:rFonts w:ascii="Arial" w:hAnsi="Arial" w:cs="Arial"/>
                <w:b/>
                <w:bCs/>
                <w:color w:val="FFFFFF" w:themeColor="background1"/>
              </w:rPr>
              <w:t>Details</w:t>
            </w:r>
          </w:p>
        </w:tc>
      </w:tr>
      <w:tr w:rsidR="00590D6A" w:rsidRPr="004F4E2C" w14:paraId="1CBCA017" w14:textId="77777777" w:rsidTr="557633A3">
        <w:tc>
          <w:tcPr>
            <w:tcW w:w="675" w:type="dxa"/>
          </w:tcPr>
          <w:p w14:paraId="1CBCA013" w14:textId="77777777" w:rsidR="00590D6A" w:rsidRPr="004F4E2C" w:rsidRDefault="00590D6A" w:rsidP="008D6D35">
            <w:pPr>
              <w:pStyle w:val="ListNumber"/>
              <w:widowControl w:val="0"/>
              <w:numPr>
                <w:ilvl w:val="0"/>
                <w:numId w:val="8"/>
              </w:numPr>
            </w:pPr>
            <w:bookmarkStart w:id="3" w:name="_Ref183243785"/>
          </w:p>
        </w:tc>
        <w:bookmarkEnd w:id="3"/>
        <w:tc>
          <w:tcPr>
            <w:tcW w:w="1985" w:type="dxa"/>
            <w:shd w:val="clear" w:color="auto" w:fill="auto"/>
          </w:tcPr>
          <w:p w14:paraId="1CBCA014" w14:textId="77777777" w:rsidR="00590D6A" w:rsidRPr="004F4E2C" w:rsidRDefault="00590D6A" w:rsidP="008D6D35">
            <w:pPr>
              <w:widowControl w:val="0"/>
              <w:spacing w:before="120" w:after="120" w:line="240" w:lineRule="auto"/>
              <w:rPr>
                <w:rFonts w:ascii="Arial" w:hAnsi="Arial" w:cs="Arial"/>
                <w:b/>
              </w:rPr>
            </w:pPr>
            <w:r>
              <w:rPr>
                <w:rFonts w:ascii="Arial" w:hAnsi="Arial" w:cs="Arial"/>
                <w:b/>
              </w:rPr>
              <w:t xml:space="preserve">Agreement </w:t>
            </w:r>
            <w:r w:rsidRPr="004F4E2C">
              <w:rPr>
                <w:rFonts w:ascii="Arial" w:hAnsi="Arial" w:cs="Arial"/>
                <w:b/>
              </w:rPr>
              <w:t>description</w:t>
            </w:r>
          </w:p>
        </w:tc>
        <w:tc>
          <w:tcPr>
            <w:tcW w:w="1276" w:type="dxa"/>
            <w:shd w:val="clear" w:color="auto" w:fill="auto"/>
          </w:tcPr>
          <w:p w14:paraId="1CBCA015" w14:textId="77777777" w:rsidR="00590D6A" w:rsidRPr="00260E70" w:rsidRDefault="00590D6A" w:rsidP="008D6D35">
            <w:pPr>
              <w:widowControl w:val="0"/>
              <w:spacing w:before="120" w:after="120" w:line="240" w:lineRule="auto"/>
              <w:rPr>
                <w:rFonts w:ascii="Arial" w:hAnsi="Arial" w:cs="Arial"/>
              </w:rPr>
            </w:pPr>
            <w:r w:rsidRPr="00260E70">
              <w:rPr>
                <w:rFonts w:ascii="Arial" w:hAnsi="Arial" w:cs="Arial"/>
              </w:rPr>
              <w:t>N/A</w:t>
            </w:r>
          </w:p>
        </w:tc>
        <w:tc>
          <w:tcPr>
            <w:tcW w:w="5670" w:type="dxa"/>
            <w:shd w:val="clear" w:color="auto" w:fill="auto"/>
          </w:tcPr>
          <w:p w14:paraId="1CBCA016" w14:textId="7C4D4837" w:rsidR="00590D6A" w:rsidRPr="004F4E2C" w:rsidRDefault="00590D6A" w:rsidP="00F17850">
            <w:pPr>
              <w:widowControl w:val="0"/>
              <w:spacing w:before="60" w:after="60" w:line="276" w:lineRule="auto"/>
              <w:rPr>
                <w:rFonts w:ascii="Arial" w:hAnsi="Arial" w:cs="Arial"/>
              </w:rPr>
            </w:pPr>
            <w:r>
              <w:rPr>
                <w:rFonts w:ascii="Arial" w:hAnsi="Arial" w:cs="Arial"/>
              </w:rPr>
              <w:t>Agreement for Additional Project Services in respect of</w:t>
            </w:r>
            <w:r w:rsidR="00583E1B">
              <w:rPr>
                <w:rFonts w:ascii="Arial" w:hAnsi="Arial" w:cs="Arial"/>
              </w:rPr>
              <w:t xml:space="preserve"> </w:t>
            </w:r>
            <w:r w:rsidR="00583E1B" w:rsidRPr="00416735">
              <w:rPr>
                <w:rFonts w:ascii="Arial" w:hAnsi="Arial" w:cs="Arial"/>
              </w:rPr>
              <w:t>Long-form Services Agreement Commonwealth Environmental Water Office: Monitoring, Evaluation and Research Services for the Goulburn River Selected Area – 18 March 2019</w:t>
            </w:r>
          </w:p>
        </w:tc>
      </w:tr>
      <w:tr w:rsidR="00590D6A" w:rsidRPr="004F4E2C" w14:paraId="1CBCA01F" w14:textId="77777777" w:rsidTr="557633A3">
        <w:tc>
          <w:tcPr>
            <w:tcW w:w="675" w:type="dxa"/>
          </w:tcPr>
          <w:p w14:paraId="1CBCA018" w14:textId="77777777" w:rsidR="00590D6A" w:rsidRDefault="00590D6A" w:rsidP="008D6D35">
            <w:pPr>
              <w:pStyle w:val="ListNumber"/>
              <w:widowControl w:val="0"/>
              <w:numPr>
                <w:ilvl w:val="0"/>
                <w:numId w:val="4"/>
              </w:numPr>
              <w:rPr>
                <w:lang w:eastAsia="en-AU" w:bidi="ar-SA"/>
              </w:rPr>
            </w:pPr>
          </w:p>
        </w:tc>
        <w:tc>
          <w:tcPr>
            <w:tcW w:w="1985" w:type="dxa"/>
            <w:shd w:val="clear" w:color="auto" w:fill="auto"/>
          </w:tcPr>
          <w:p w14:paraId="1CBCA019" w14:textId="77777777" w:rsidR="00590D6A" w:rsidRPr="004F4E2C" w:rsidRDefault="00590D6A" w:rsidP="008D6D35">
            <w:pPr>
              <w:widowControl w:val="0"/>
              <w:spacing w:before="120" w:after="120" w:line="240" w:lineRule="auto"/>
              <w:rPr>
                <w:rFonts w:ascii="Arial" w:hAnsi="Arial" w:cs="Arial"/>
                <w:b/>
              </w:rPr>
            </w:pPr>
            <w:r w:rsidRPr="004F4E2C">
              <w:rPr>
                <w:rFonts w:ascii="Arial" w:hAnsi="Arial" w:cs="Arial"/>
                <w:b/>
              </w:rPr>
              <w:t xml:space="preserve">Names of Parties to the </w:t>
            </w:r>
            <w:r>
              <w:rPr>
                <w:rFonts w:ascii="Arial" w:hAnsi="Arial" w:cs="Arial"/>
                <w:b/>
              </w:rPr>
              <w:t>Agreement</w:t>
            </w:r>
          </w:p>
        </w:tc>
        <w:tc>
          <w:tcPr>
            <w:tcW w:w="1276" w:type="dxa"/>
            <w:shd w:val="clear" w:color="auto" w:fill="auto"/>
          </w:tcPr>
          <w:p w14:paraId="1CBCA01A" w14:textId="77777777" w:rsidR="00590D6A" w:rsidRPr="00260E70" w:rsidRDefault="00590D6A" w:rsidP="008D6D35">
            <w:pPr>
              <w:widowControl w:val="0"/>
              <w:spacing w:before="120" w:after="120" w:line="240" w:lineRule="auto"/>
              <w:rPr>
                <w:rFonts w:ascii="Arial" w:hAnsi="Arial" w:cs="Arial"/>
              </w:rPr>
            </w:pPr>
            <w:r w:rsidRPr="00260E70">
              <w:rPr>
                <w:rFonts w:ascii="Arial" w:hAnsi="Arial" w:cs="Arial"/>
              </w:rPr>
              <w:t>N/A</w:t>
            </w:r>
          </w:p>
        </w:tc>
        <w:tc>
          <w:tcPr>
            <w:tcW w:w="5670" w:type="dxa"/>
            <w:shd w:val="clear" w:color="auto" w:fill="auto"/>
          </w:tcPr>
          <w:p w14:paraId="1CBCA01B" w14:textId="16BCB150" w:rsidR="00590D6A" w:rsidRPr="004F4E2C" w:rsidRDefault="00590D6A" w:rsidP="00F17850">
            <w:pPr>
              <w:widowControl w:val="0"/>
              <w:spacing w:before="60" w:after="60" w:line="276" w:lineRule="auto"/>
              <w:rPr>
                <w:rFonts w:ascii="Arial" w:hAnsi="Arial" w:cs="Arial"/>
              </w:rPr>
            </w:pPr>
            <w:r w:rsidRPr="004F4E2C">
              <w:rPr>
                <w:rFonts w:ascii="Arial" w:hAnsi="Arial" w:cs="Arial"/>
              </w:rPr>
              <w:t xml:space="preserve">The Commonwealth of Australia as represented by the Department of </w:t>
            </w:r>
            <w:r w:rsidR="000C4068">
              <w:rPr>
                <w:rFonts w:ascii="Arial" w:hAnsi="Arial" w:cs="Arial"/>
              </w:rPr>
              <w:t xml:space="preserve">Agriculture, </w:t>
            </w:r>
            <w:proofErr w:type="gramStart"/>
            <w:r w:rsidR="000C4068">
              <w:rPr>
                <w:rFonts w:ascii="Arial" w:hAnsi="Arial" w:cs="Arial"/>
              </w:rPr>
              <w:t>Water</w:t>
            </w:r>
            <w:proofErr w:type="gramEnd"/>
            <w:r w:rsidR="000C4068">
              <w:rPr>
                <w:rFonts w:ascii="Arial" w:hAnsi="Arial" w:cs="Arial"/>
              </w:rPr>
              <w:t xml:space="preserve"> and </w:t>
            </w:r>
            <w:r>
              <w:rPr>
                <w:rFonts w:ascii="Arial" w:hAnsi="Arial" w:cs="Arial"/>
              </w:rPr>
              <w:t xml:space="preserve">the </w:t>
            </w:r>
            <w:r w:rsidRPr="004F4E2C">
              <w:rPr>
                <w:rFonts w:ascii="Arial" w:hAnsi="Arial" w:cs="Arial"/>
              </w:rPr>
              <w:t>Environment</w:t>
            </w:r>
          </w:p>
          <w:p w14:paraId="1CBCA01C" w14:textId="77777777" w:rsidR="00590D6A" w:rsidRPr="004F4E2C" w:rsidRDefault="00590D6A" w:rsidP="00F17850">
            <w:pPr>
              <w:widowControl w:val="0"/>
              <w:spacing w:after="60" w:line="276" w:lineRule="auto"/>
              <w:rPr>
                <w:rFonts w:ascii="Arial" w:hAnsi="Arial" w:cs="Arial"/>
              </w:rPr>
            </w:pPr>
            <w:r w:rsidRPr="004F4E2C">
              <w:rPr>
                <w:rFonts w:ascii="Arial" w:hAnsi="Arial" w:cs="Arial"/>
              </w:rPr>
              <w:t>ABN 34 190 894 983</w:t>
            </w:r>
          </w:p>
          <w:p w14:paraId="1CBCA01D" w14:textId="08E0BCD4" w:rsidR="00590D6A" w:rsidRPr="00416735" w:rsidRDefault="00A85565" w:rsidP="00F17850">
            <w:pPr>
              <w:widowControl w:val="0"/>
              <w:spacing w:after="60" w:line="276" w:lineRule="auto"/>
              <w:rPr>
                <w:rFonts w:ascii="Arial" w:hAnsi="Arial" w:cs="Arial"/>
                <w:color w:val="000000" w:themeColor="text1"/>
              </w:rPr>
            </w:pPr>
            <w:r w:rsidRPr="00416735">
              <w:rPr>
                <w:rFonts w:ascii="Arial" w:hAnsi="Arial" w:cs="Arial"/>
                <w:color w:val="000000" w:themeColor="text1"/>
              </w:rPr>
              <w:t>University of Melbourne</w:t>
            </w:r>
          </w:p>
          <w:p w14:paraId="1CBCA01E" w14:textId="48AA78CD" w:rsidR="00590D6A" w:rsidRPr="004F4E2C" w:rsidRDefault="00590D6A" w:rsidP="00F17850">
            <w:pPr>
              <w:widowControl w:val="0"/>
              <w:spacing w:after="60" w:line="276" w:lineRule="auto"/>
              <w:rPr>
                <w:rFonts w:ascii="Arial" w:hAnsi="Arial" w:cs="Arial"/>
              </w:rPr>
            </w:pPr>
            <w:r>
              <w:rPr>
                <w:rFonts w:ascii="Arial" w:hAnsi="Arial" w:cs="Arial"/>
              </w:rPr>
              <w:t xml:space="preserve">ABN: </w:t>
            </w:r>
            <w:r w:rsidR="00260E70">
              <w:rPr>
                <w:rFonts w:ascii="Arial" w:hAnsi="Arial" w:cs="Arial"/>
              </w:rPr>
              <w:t>84 002 705 224</w:t>
            </w:r>
          </w:p>
        </w:tc>
      </w:tr>
      <w:tr w:rsidR="00590D6A" w:rsidRPr="004F4E2C" w14:paraId="1CBCA024" w14:textId="77777777" w:rsidTr="557633A3">
        <w:tc>
          <w:tcPr>
            <w:tcW w:w="675" w:type="dxa"/>
          </w:tcPr>
          <w:p w14:paraId="1CBCA020" w14:textId="77777777" w:rsidR="00590D6A" w:rsidRDefault="00590D6A" w:rsidP="008D6D35">
            <w:pPr>
              <w:pStyle w:val="ListNumber"/>
              <w:widowControl w:val="0"/>
              <w:numPr>
                <w:ilvl w:val="0"/>
                <w:numId w:val="4"/>
              </w:numPr>
              <w:rPr>
                <w:lang w:eastAsia="en-AU" w:bidi="ar-SA"/>
              </w:rPr>
            </w:pPr>
            <w:bookmarkStart w:id="4" w:name="_Ref183246463"/>
          </w:p>
        </w:tc>
        <w:bookmarkEnd w:id="4"/>
        <w:tc>
          <w:tcPr>
            <w:tcW w:w="1985" w:type="dxa"/>
            <w:shd w:val="clear" w:color="auto" w:fill="auto"/>
          </w:tcPr>
          <w:p w14:paraId="1CBCA021" w14:textId="77777777" w:rsidR="00590D6A" w:rsidRPr="00CD57E4" w:rsidRDefault="00590D6A" w:rsidP="008D6D35">
            <w:pPr>
              <w:widowControl w:val="0"/>
              <w:spacing w:before="120" w:after="120" w:line="240" w:lineRule="auto"/>
              <w:rPr>
                <w:rFonts w:ascii="Arial" w:hAnsi="Arial" w:cs="Arial"/>
                <w:b/>
              </w:rPr>
            </w:pPr>
            <w:r w:rsidRPr="00CD57E4">
              <w:rPr>
                <w:rFonts w:ascii="Arial" w:hAnsi="Arial" w:cs="Arial"/>
                <w:b/>
              </w:rPr>
              <w:t>Additional Project Start Date</w:t>
            </w:r>
          </w:p>
        </w:tc>
        <w:tc>
          <w:tcPr>
            <w:tcW w:w="1276" w:type="dxa"/>
            <w:shd w:val="clear" w:color="auto" w:fill="auto"/>
          </w:tcPr>
          <w:p w14:paraId="1CBCA022" w14:textId="1218D182" w:rsidR="00590D6A" w:rsidRPr="00CD57E4" w:rsidRDefault="00260E70" w:rsidP="008D6D35">
            <w:pPr>
              <w:widowControl w:val="0"/>
              <w:spacing w:before="120" w:after="120" w:line="240" w:lineRule="auto"/>
              <w:rPr>
                <w:rFonts w:ascii="Arial" w:hAnsi="Arial" w:cs="Arial"/>
                <w:b/>
              </w:rPr>
            </w:pPr>
            <w:r w:rsidRPr="00CD57E4">
              <w:rPr>
                <w:rFonts w:ascii="Arial" w:hAnsi="Arial" w:cs="Arial"/>
              </w:rPr>
              <w:t xml:space="preserve">1.1 </w:t>
            </w:r>
          </w:p>
        </w:tc>
        <w:tc>
          <w:tcPr>
            <w:tcW w:w="5670" w:type="dxa"/>
            <w:shd w:val="clear" w:color="auto" w:fill="auto"/>
          </w:tcPr>
          <w:p w14:paraId="1CBCA023" w14:textId="3F0EDA07" w:rsidR="00590D6A" w:rsidRPr="002D3944" w:rsidRDefault="00260E70" w:rsidP="00F17850">
            <w:pPr>
              <w:widowControl w:val="0"/>
              <w:spacing w:before="60" w:after="60" w:line="276" w:lineRule="auto"/>
              <w:rPr>
                <w:rFonts w:ascii="Arial" w:hAnsi="Arial" w:cs="Arial"/>
              </w:rPr>
            </w:pPr>
            <w:r w:rsidRPr="002D3944">
              <w:rPr>
                <w:rFonts w:ascii="Arial" w:hAnsi="Arial" w:cs="Arial"/>
              </w:rPr>
              <w:t xml:space="preserve">From the </w:t>
            </w:r>
            <w:r>
              <w:rPr>
                <w:rFonts w:ascii="Arial" w:hAnsi="Arial" w:cs="Arial"/>
              </w:rPr>
              <w:t>date of approval by CEWO of the Work Order</w:t>
            </w:r>
          </w:p>
        </w:tc>
      </w:tr>
      <w:tr w:rsidR="00590D6A" w:rsidRPr="004F4E2C" w14:paraId="1CBCA029" w14:textId="77777777" w:rsidTr="557633A3">
        <w:tc>
          <w:tcPr>
            <w:tcW w:w="675" w:type="dxa"/>
          </w:tcPr>
          <w:p w14:paraId="1CBCA025" w14:textId="77777777" w:rsidR="00590D6A" w:rsidRDefault="00590D6A" w:rsidP="008D6D35">
            <w:pPr>
              <w:pStyle w:val="ListNumber"/>
              <w:widowControl w:val="0"/>
              <w:numPr>
                <w:ilvl w:val="0"/>
                <w:numId w:val="4"/>
              </w:numPr>
              <w:rPr>
                <w:lang w:eastAsia="en-AU" w:bidi="ar-SA"/>
              </w:rPr>
            </w:pPr>
            <w:bookmarkStart w:id="5" w:name="_Ref183246259"/>
          </w:p>
        </w:tc>
        <w:bookmarkEnd w:id="5"/>
        <w:tc>
          <w:tcPr>
            <w:tcW w:w="1985" w:type="dxa"/>
            <w:shd w:val="clear" w:color="auto" w:fill="auto"/>
          </w:tcPr>
          <w:p w14:paraId="1CBCA026" w14:textId="77777777" w:rsidR="00590D6A" w:rsidRPr="00CD57E4" w:rsidRDefault="00590D6A" w:rsidP="008D6D35">
            <w:pPr>
              <w:widowControl w:val="0"/>
              <w:spacing w:before="120" w:after="120" w:line="240" w:lineRule="auto"/>
              <w:rPr>
                <w:rFonts w:ascii="Arial" w:hAnsi="Arial" w:cs="Arial"/>
                <w:b/>
              </w:rPr>
            </w:pPr>
            <w:r w:rsidRPr="00CD57E4">
              <w:rPr>
                <w:rFonts w:ascii="Arial" w:hAnsi="Arial" w:cs="Arial"/>
                <w:b/>
              </w:rPr>
              <w:t>Additional Project Timeframe</w:t>
            </w:r>
          </w:p>
        </w:tc>
        <w:tc>
          <w:tcPr>
            <w:tcW w:w="1276" w:type="dxa"/>
            <w:shd w:val="clear" w:color="auto" w:fill="auto"/>
          </w:tcPr>
          <w:p w14:paraId="1CBCA027" w14:textId="77D66E6A" w:rsidR="00590D6A" w:rsidRPr="00CD57E4" w:rsidRDefault="00260E70" w:rsidP="008D6D35">
            <w:pPr>
              <w:widowControl w:val="0"/>
              <w:spacing w:before="120" w:after="120" w:line="240" w:lineRule="auto"/>
              <w:rPr>
                <w:rFonts w:ascii="Arial" w:hAnsi="Arial" w:cs="Arial"/>
                <w:b/>
              </w:rPr>
            </w:pPr>
            <w:r w:rsidRPr="00CD57E4">
              <w:rPr>
                <w:rFonts w:ascii="Arial" w:hAnsi="Arial" w:cs="Arial"/>
              </w:rPr>
              <w:t>1.1</w:t>
            </w:r>
            <w:r w:rsidR="00590D6A" w:rsidRPr="00CD57E4">
              <w:rPr>
                <w:rFonts w:ascii="Arial" w:hAnsi="Arial" w:cs="Arial"/>
                <w:b/>
              </w:rPr>
              <w:t xml:space="preserve"> </w:t>
            </w:r>
          </w:p>
        </w:tc>
        <w:tc>
          <w:tcPr>
            <w:tcW w:w="5670" w:type="dxa"/>
            <w:shd w:val="clear" w:color="auto" w:fill="auto"/>
          </w:tcPr>
          <w:p w14:paraId="1CBCA028" w14:textId="0C2FE878" w:rsidR="00590D6A" w:rsidRPr="000C4068" w:rsidRDefault="00260E70" w:rsidP="00F17850">
            <w:pPr>
              <w:widowControl w:val="0"/>
              <w:spacing w:before="60" w:after="60" w:line="276" w:lineRule="auto"/>
              <w:rPr>
                <w:rFonts w:ascii="Arial" w:hAnsi="Arial" w:cs="Arial"/>
                <w:color w:val="000000" w:themeColor="text1"/>
              </w:rPr>
            </w:pPr>
            <w:r w:rsidRPr="002D3944">
              <w:rPr>
                <w:rFonts w:ascii="Arial" w:hAnsi="Arial" w:cs="Arial"/>
              </w:rPr>
              <w:t xml:space="preserve">From the </w:t>
            </w:r>
            <w:r>
              <w:rPr>
                <w:rFonts w:ascii="Arial" w:hAnsi="Arial" w:cs="Arial"/>
              </w:rPr>
              <w:t xml:space="preserve">date of approval by CEWO of the Work Order to </w:t>
            </w:r>
            <w:r w:rsidR="00ED7458" w:rsidRPr="00ED7458">
              <w:rPr>
                <w:rFonts w:ascii="Arial" w:hAnsi="Arial" w:cs="Arial"/>
              </w:rPr>
              <w:t xml:space="preserve">30 </w:t>
            </w:r>
            <w:r w:rsidR="004A60F8">
              <w:rPr>
                <w:rFonts w:ascii="Arial" w:hAnsi="Arial" w:cs="Arial"/>
              </w:rPr>
              <w:t>December 2022</w:t>
            </w:r>
          </w:p>
        </w:tc>
      </w:tr>
      <w:tr w:rsidR="00590D6A" w:rsidRPr="004F4E2C" w14:paraId="1CBCA02E" w14:textId="77777777" w:rsidTr="00E81B5F">
        <w:trPr>
          <w:trHeight w:val="583"/>
        </w:trPr>
        <w:tc>
          <w:tcPr>
            <w:tcW w:w="675" w:type="dxa"/>
          </w:tcPr>
          <w:p w14:paraId="1CBCA02A" w14:textId="77777777" w:rsidR="00590D6A" w:rsidRDefault="00590D6A" w:rsidP="008D6D35">
            <w:pPr>
              <w:pStyle w:val="ListNumber"/>
              <w:widowControl w:val="0"/>
              <w:numPr>
                <w:ilvl w:val="0"/>
                <w:numId w:val="4"/>
              </w:numPr>
              <w:rPr>
                <w:lang w:eastAsia="en-AU" w:bidi="ar-SA"/>
              </w:rPr>
            </w:pPr>
            <w:bookmarkStart w:id="6" w:name="_Ref183246792"/>
          </w:p>
        </w:tc>
        <w:bookmarkEnd w:id="6"/>
        <w:tc>
          <w:tcPr>
            <w:tcW w:w="1985" w:type="dxa"/>
          </w:tcPr>
          <w:p w14:paraId="1CBCA02B" w14:textId="77777777" w:rsidR="00590D6A" w:rsidRPr="004F4E2C" w:rsidRDefault="00590D6A" w:rsidP="008D6D35">
            <w:pPr>
              <w:widowControl w:val="0"/>
              <w:spacing w:before="120" w:after="120" w:line="240" w:lineRule="auto"/>
              <w:rPr>
                <w:rFonts w:ascii="Arial" w:hAnsi="Arial" w:cs="Arial"/>
                <w:b/>
              </w:rPr>
            </w:pPr>
            <w:r w:rsidRPr="004F4E2C">
              <w:rPr>
                <w:rFonts w:ascii="Arial" w:hAnsi="Arial" w:cs="Arial"/>
                <w:b/>
              </w:rPr>
              <w:t>Category of Services</w:t>
            </w:r>
          </w:p>
        </w:tc>
        <w:tc>
          <w:tcPr>
            <w:tcW w:w="1276" w:type="dxa"/>
          </w:tcPr>
          <w:p w14:paraId="1CBCA02C" w14:textId="77777777" w:rsidR="00590D6A" w:rsidRPr="00260E70" w:rsidRDefault="00590D6A" w:rsidP="008D6D35">
            <w:pPr>
              <w:widowControl w:val="0"/>
              <w:spacing w:before="120" w:after="120" w:line="240" w:lineRule="auto"/>
              <w:rPr>
                <w:rFonts w:ascii="Arial" w:hAnsi="Arial" w:cs="Arial"/>
              </w:rPr>
            </w:pPr>
            <w:r w:rsidRPr="00260E70">
              <w:rPr>
                <w:rFonts w:ascii="Arial" w:hAnsi="Arial" w:cs="Arial"/>
              </w:rPr>
              <w:t>7</w:t>
            </w:r>
          </w:p>
        </w:tc>
        <w:tc>
          <w:tcPr>
            <w:tcW w:w="5670" w:type="dxa"/>
          </w:tcPr>
          <w:p w14:paraId="1CBCA02D" w14:textId="4D39DAB4" w:rsidR="00590D6A" w:rsidRPr="00ED7458" w:rsidRDefault="000C4068" w:rsidP="00F17850">
            <w:pPr>
              <w:widowControl w:val="0"/>
              <w:spacing w:before="60" w:after="60" w:line="276" w:lineRule="auto"/>
              <w:rPr>
                <w:rFonts w:ascii="Arial" w:hAnsi="Arial" w:cs="Arial"/>
              </w:rPr>
            </w:pPr>
            <w:r w:rsidRPr="001A771F">
              <w:rPr>
                <w:rFonts w:ascii="Arial" w:hAnsi="Arial" w:cs="Arial"/>
              </w:rPr>
              <w:t>Research</w:t>
            </w:r>
          </w:p>
        </w:tc>
      </w:tr>
      <w:tr w:rsidR="00590D6A" w:rsidRPr="004F4E2C" w14:paraId="1CBCA037" w14:textId="77777777" w:rsidTr="557633A3">
        <w:tc>
          <w:tcPr>
            <w:tcW w:w="675" w:type="dxa"/>
          </w:tcPr>
          <w:p w14:paraId="1CBCA02F" w14:textId="77777777" w:rsidR="00590D6A" w:rsidRDefault="00590D6A" w:rsidP="008D6D35">
            <w:pPr>
              <w:pStyle w:val="ListNumber"/>
              <w:widowControl w:val="0"/>
              <w:numPr>
                <w:ilvl w:val="0"/>
                <w:numId w:val="4"/>
              </w:numPr>
              <w:rPr>
                <w:lang w:eastAsia="en-AU" w:bidi="ar-SA"/>
              </w:rPr>
            </w:pPr>
            <w:bookmarkStart w:id="7" w:name="_Ref183250170"/>
          </w:p>
        </w:tc>
        <w:bookmarkEnd w:id="7"/>
        <w:tc>
          <w:tcPr>
            <w:tcW w:w="1985" w:type="dxa"/>
          </w:tcPr>
          <w:p w14:paraId="1CBCA030" w14:textId="77777777" w:rsidR="00590D6A" w:rsidRPr="004F4E2C" w:rsidRDefault="00590D6A" w:rsidP="008D6D35">
            <w:pPr>
              <w:widowControl w:val="0"/>
              <w:spacing w:before="120" w:after="120" w:line="240" w:lineRule="auto"/>
              <w:rPr>
                <w:rFonts w:ascii="Arial" w:hAnsi="Arial" w:cs="Arial"/>
                <w:b/>
              </w:rPr>
            </w:pPr>
            <w:r>
              <w:rPr>
                <w:rFonts w:ascii="Arial" w:hAnsi="Arial" w:cs="Arial"/>
                <w:b/>
              </w:rPr>
              <w:t xml:space="preserve">Additional Project </w:t>
            </w:r>
            <w:r w:rsidRPr="004F4E2C">
              <w:rPr>
                <w:rFonts w:ascii="Arial" w:hAnsi="Arial" w:cs="Arial"/>
                <w:b/>
              </w:rPr>
              <w:t xml:space="preserve">Services </w:t>
            </w:r>
          </w:p>
          <w:p w14:paraId="1CBCA031" w14:textId="77777777" w:rsidR="00590D6A" w:rsidRPr="004F4E2C" w:rsidRDefault="00590D6A" w:rsidP="008D6D35">
            <w:pPr>
              <w:widowControl w:val="0"/>
              <w:spacing w:before="120" w:after="120" w:line="240" w:lineRule="auto"/>
              <w:rPr>
                <w:rFonts w:ascii="Arial" w:hAnsi="Arial" w:cs="Arial"/>
                <w:b/>
              </w:rPr>
            </w:pPr>
          </w:p>
        </w:tc>
        <w:tc>
          <w:tcPr>
            <w:tcW w:w="1276" w:type="dxa"/>
          </w:tcPr>
          <w:p w14:paraId="1CBCA032" w14:textId="77777777" w:rsidR="00590D6A" w:rsidRPr="00260E70" w:rsidRDefault="00590D6A" w:rsidP="008D6D35">
            <w:pPr>
              <w:widowControl w:val="0"/>
              <w:spacing w:before="120" w:after="120" w:line="240" w:lineRule="auto"/>
              <w:rPr>
                <w:rFonts w:ascii="Arial" w:hAnsi="Arial" w:cs="Arial"/>
              </w:rPr>
            </w:pPr>
            <w:r w:rsidRPr="00260E70">
              <w:rPr>
                <w:rFonts w:ascii="Arial" w:hAnsi="Arial" w:cs="Arial"/>
              </w:rPr>
              <w:t>7</w:t>
            </w:r>
          </w:p>
        </w:tc>
        <w:tc>
          <w:tcPr>
            <w:tcW w:w="5670" w:type="dxa"/>
          </w:tcPr>
          <w:p w14:paraId="572904C8" w14:textId="77777777" w:rsidR="002C7A8C" w:rsidRDefault="002C7A8C" w:rsidP="00F17850">
            <w:pPr>
              <w:widowControl w:val="0"/>
              <w:spacing w:before="60" w:after="60" w:line="276" w:lineRule="auto"/>
              <w:rPr>
                <w:rFonts w:ascii="Arial" w:hAnsi="Arial" w:cs="Arial"/>
                <w:b/>
                <w:bCs/>
              </w:rPr>
            </w:pPr>
            <w:r>
              <w:rPr>
                <w:rFonts w:ascii="Arial" w:hAnsi="Arial" w:cs="Arial"/>
                <w:b/>
                <w:bCs/>
              </w:rPr>
              <w:t>Project Planning</w:t>
            </w:r>
          </w:p>
          <w:p w14:paraId="6874F78A" w14:textId="3A8CF3C6" w:rsidR="002C7A8C" w:rsidRDefault="002C7A8C" w:rsidP="00F17850">
            <w:pPr>
              <w:widowControl w:val="0"/>
              <w:spacing w:after="120" w:line="276" w:lineRule="auto"/>
              <w:rPr>
                <w:rFonts w:ascii="Arial" w:hAnsi="Arial" w:cs="Arial"/>
              </w:rPr>
            </w:pPr>
            <w:r>
              <w:rPr>
                <w:rFonts w:ascii="Arial" w:hAnsi="Arial" w:cs="Arial"/>
              </w:rPr>
              <w:t xml:space="preserve">Team members prepare for and attend a </w:t>
            </w:r>
            <w:proofErr w:type="gramStart"/>
            <w:r>
              <w:rPr>
                <w:rFonts w:ascii="Arial" w:hAnsi="Arial" w:cs="Arial"/>
              </w:rPr>
              <w:t>0.5 day</w:t>
            </w:r>
            <w:proofErr w:type="gramEnd"/>
            <w:r>
              <w:rPr>
                <w:rFonts w:ascii="Arial" w:hAnsi="Arial" w:cs="Arial"/>
              </w:rPr>
              <w:t xml:space="preserve"> workshop at which they will agree on the focal area for the research project.</w:t>
            </w:r>
            <w:r w:rsidR="00FD3BA8">
              <w:rPr>
                <w:rFonts w:ascii="Arial" w:hAnsi="Arial" w:cs="Arial"/>
              </w:rPr>
              <w:t xml:space="preserve"> Both preparatory activities and the workshop will build upon the substantial development work done during the preparation of the MER Plan in </w:t>
            </w:r>
            <w:r w:rsidR="00FD3BA8">
              <w:rPr>
                <w:rFonts w:ascii="Arial" w:hAnsi="Arial" w:cs="Arial"/>
              </w:rPr>
              <w:lastRenderedPageBreak/>
              <w:t>2019.</w:t>
            </w:r>
          </w:p>
          <w:p w14:paraId="76B6AB54" w14:textId="0C5AC9E7" w:rsidR="002C7A8C" w:rsidRDefault="002C7A8C" w:rsidP="00F17850">
            <w:pPr>
              <w:widowControl w:val="0"/>
              <w:spacing w:after="240" w:line="276" w:lineRule="auto"/>
              <w:rPr>
                <w:rFonts w:ascii="Arial" w:hAnsi="Arial" w:cs="Arial"/>
              </w:rPr>
            </w:pPr>
            <w:r>
              <w:rPr>
                <w:rFonts w:ascii="Arial" w:hAnsi="Arial" w:cs="Arial"/>
              </w:rPr>
              <w:t xml:space="preserve">Workshop outcomes </w:t>
            </w:r>
            <w:r w:rsidR="00FD3BA8">
              <w:rPr>
                <w:rFonts w:ascii="Arial" w:hAnsi="Arial" w:cs="Arial"/>
              </w:rPr>
              <w:t>will be</w:t>
            </w:r>
            <w:r>
              <w:rPr>
                <w:rFonts w:ascii="Arial" w:hAnsi="Arial" w:cs="Arial"/>
              </w:rPr>
              <w:t xml:space="preserve"> developed into a detailed research plan to be completed in final form by September 30, 2020.</w:t>
            </w:r>
            <w:r w:rsidR="00FD3BA8">
              <w:rPr>
                <w:rFonts w:ascii="Arial" w:hAnsi="Arial" w:cs="Arial"/>
              </w:rPr>
              <w:t xml:space="preserve"> The plan will include full budgeting of activities through to December 2022</w:t>
            </w:r>
            <w:r>
              <w:rPr>
                <w:rFonts w:ascii="Arial" w:hAnsi="Arial" w:cs="Arial"/>
              </w:rPr>
              <w:t xml:space="preserve">, including full methods, personnel, </w:t>
            </w:r>
            <w:proofErr w:type="gramStart"/>
            <w:r>
              <w:rPr>
                <w:rFonts w:ascii="Arial" w:hAnsi="Arial" w:cs="Arial"/>
              </w:rPr>
              <w:t>equipment</w:t>
            </w:r>
            <w:proofErr w:type="gramEnd"/>
            <w:r>
              <w:rPr>
                <w:rFonts w:ascii="Arial" w:hAnsi="Arial" w:cs="Arial"/>
              </w:rPr>
              <w:t xml:space="preserve"> and budget</w:t>
            </w:r>
          </w:p>
          <w:p w14:paraId="3F836D2D" w14:textId="77777777" w:rsidR="002C7A8C" w:rsidRPr="002C7A8C" w:rsidRDefault="002C7A8C" w:rsidP="00F17850">
            <w:pPr>
              <w:widowControl w:val="0"/>
              <w:spacing w:before="60" w:after="60" w:line="276" w:lineRule="auto"/>
              <w:rPr>
                <w:rFonts w:ascii="Arial" w:hAnsi="Arial" w:cs="Arial"/>
                <w:b/>
                <w:bCs/>
              </w:rPr>
            </w:pPr>
            <w:r w:rsidRPr="002C7A8C">
              <w:rPr>
                <w:rFonts w:ascii="Arial" w:hAnsi="Arial" w:cs="Arial"/>
                <w:b/>
                <w:bCs/>
              </w:rPr>
              <w:t>Project Delivery</w:t>
            </w:r>
          </w:p>
          <w:p w14:paraId="5B26BF0B" w14:textId="3C460F64" w:rsidR="002C7A8C" w:rsidRDefault="002C7A8C" w:rsidP="00F17850">
            <w:pPr>
              <w:widowControl w:val="0"/>
              <w:spacing w:before="60" w:after="60" w:line="276" w:lineRule="auto"/>
              <w:rPr>
                <w:rFonts w:ascii="Arial" w:hAnsi="Arial" w:cs="Arial"/>
              </w:rPr>
            </w:pPr>
            <w:r>
              <w:rPr>
                <w:rFonts w:ascii="Arial" w:hAnsi="Arial" w:cs="Arial"/>
              </w:rPr>
              <w:t>It is expected that different disciplines will conduct fine-scale research activities at a common set of sites, with field work coordinated where possible to achieve efficiencies in sampling.</w:t>
            </w:r>
          </w:p>
          <w:p w14:paraId="66C93981" w14:textId="4548FAB5" w:rsidR="002C7A8C" w:rsidRDefault="002C7A8C" w:rsidP="00F17850">
            <w:pPr>
              <w:widowControl w:val="0"/>
              <w:spacing w:before="60" w:after="60" w:line="276" w:lineRule="auto"/>
              <w:rPr>
                <w:rFonts w:ascii="Arial" w:hAnsi="Arial" w:cs="Arial"/>
              </w:rPr>
            </w:pPr>
            <w:r>
              <w:rPr>
                <w:rFonts w:ascii="Arial" w:hAnsi="Arial" w:cs="Arial"/>
              </w:rPr>
              <w:t>Data collection is expected to be largely field-based, potentially with some laboratory work required for processing field-collected samples. Discipline leads will undertake data pre-processing, with inferential analyses undertaken at the University of Melbourne using a model analogous to the Core Monitoring Program.</w:t>
            </w:r>
          </w:p>
          <w:p w14:paraId="4FFB286D" w14:textId="3BFEE429" w:rsidR="00FD3BA8" w:rsidRDefault="002C7A8C" w:rsidP="00F17850">
            <w:pPr>
              <w:widowControl w:val="0"/>
              <w:spacing w:before="60" w:after="60" w:line="276" w:lineRule="auto"/>
              <w:rPr>
                <w:rFonts w:ascii="Arial" w:hAnsi="Arial" w:cs="Arial"/>
              </w:rPr>
            </w:pPr>
            <w:r>
              <w:rPr>
                <w:rFonts w:ascii="Arial" w:hAnsi="Arial" w:cs="Arial"/>
              </w:rPr>
              <w:t>Disciplines will contribute to a section for the Goulburn MER Annual Report. Time required for preparation of journal papers is not included in the budget, with staff contributing this as an in-kind contribution. Continual communication among discipline leads will be required to adequately interpret project findings.</w:t>
            </w:r>
          </w:p>
          <w:p w14:paraId="3C83D8F5" w14:textId="259F69BF" w:rsidR="00FD3BA8" w:rsidRDefault="00FD3BA8" w:rsidP="00F17850">
            <w:pPr>
              <w:widowControl w:val="0"/>
              <w:spacing w:before="60" w:after="60" w:line="276" w:lineRule="auto"/>
              <w:rPr>
                <w:rFonts w:ascii="Arial" w:hAnsi="Arial" w:cs="Arial"/>
              </w:rPr>
            </w:pPr>
            <w:r>
              <w:rPr>
                <w:rFonts w:ascii="Arial" w:hAnsi="Arial" w:cs="Arial"/>
              </w:rPr>
              <w:t>During project delivery, the Research Plan will be reviewed and revised as knowledge accumulates. This will be done through meetings and other communications of the research team.</w:t>
            </w:r>
          </w:p>
          <w:p w14:paraId="1CBCA036" w14:textId="466856AA" w:rsidR="002C7A8C" w:rsidRPr="00A60423" w:rsidRDefault="008D6D35" w:rsidP="00F17850">
            <w:pPr>
              <w:widowControl w:val="0"/>
              <w:spacing w:before="120" w:line="276" w:lineRule="auto"/>
              <w:rPr>
                <w:rFonts w:ascii="Arial" w:hAnsi="Arial" w:cs="Arial"/>
              </w:rPr>
            </w:pPr>
            <w:r w:rsidRPr="008D6D35">
              <w:rPr>
                <w:rFonts w:ascii="Arial" w:hAnsi="Arial" w:cs="Arial"/>
              </w:rPr>
              <w:t xml:space="preserve">See Attachment A for </w:t>
            </w:r>
            <w:r w:rsidR="00ED7458">
              <w:rPr>
                <w:rFonts w:ascii="Arial" w:hAnsi="Arial" w:cs="Arial"/>
              </w:rPr>
              <w:t>more details</w:t>
            </w:r>
          </w:p>
        </w:tc>
      </w:tr>
      <w:tr w:rsidR="00590D6A" w:rsidRPr="004F4E2C" w14:paraId="1CBCA03C" w14:textId="77777777" w:rsidTr="557633A3">
        <w:tc>
          <w:tcPr>
            <w:tcW w:w="675" w:type="dxa"/>
          </w:tcPr>
          <w:p w14:paraId="1CBCA038" w14:textId="3CF540EA" w:rsidR="00590D6A" w:rsidRDefault="00590D6A" w:rsidP="008D6D35">
            <w:pPr>
              <w:pStyle w:val="ListNumber"/>
              <w:widowControl w:val="0"/>
              <w:numPr>
                <w:ilvl w:val="0"/>
                <w:numId w:val="4"/>
              </w:numPr>
              <w:rPr>
                <w:lang w:eastAsia="en-AU" w:bidi="ar-SA"/>
              </w:rPr>
            </w:pPr>
            <w:bookmarkStart w:id="8" w:name="_Ref183250249"/>
          </w:p>
        </w:tc>
        <w:bookmarkEnd w:id="8"/>
        <w:tc>
          <w:tcPr>
            <w:tcW w:w="1985" w:type="dxa"/>
          </w:tcPr>
          <w:p w14:paraId="1CBCA039" w14:textId="77777777" w:rsidR="00590D6A" w:rsidRPr="004F4E2C" w:rsidRDefault="00590D6A" w:rsidP="008D6D35">
            <w:pPr>
              <w:widowControl w:val="0"/>
              <w:spacing w:before="120" w:after="120" w:line="240" w:lineRule="auto"/>
              <w:rPr>
                <w:rFonts w:ascii="Arial" w:hAnsi="Arial" w:cs="Arial"/>
                <w:b/>
              </w:rPr>
            </w:pPr>
            <w:r w:rsidRPr="004F4E2C">
              <w:rPr>
                <w:rFonts w:ascii="Arial" w:hAnsi="Arial" w:cs="Arial"/>
                <w:b/>
              </w:rPr>
              <w:t>Subcontractors</w:t>
            </w:r>
          </w:p>
        </w:tc>
        <w:tc>
          <w:tcPr>
            <w:tcW w:w="1276" w:type="dxa"/>
          </w:tcPr>
          <w:p w14:paraId="1CBCA03A" w14:textId="03DB753D" w:rsidR="00590D6A" w:rsidRPr="008D6D35" w:rsidRDefault="003909AF" w:rsidP="008D6D35">
            <w:pPr>
              <w:widowControl w:val="0"/>
              <w:spacing w:before="120" w:after="120" w:line="240" w:lineRule="auto"/>
              <w:rPr>
                <w:rFonts w:ascii="Arial" w:hAnsi="Arial" w:cs="Arial"/>
                <w:b/>
              </w:rPr>
            </w:pPr>
            <w:r w:rsidRPr="008D6D35">
              <w:rPr>
                <w:rFonts w:ascii="Arial" w:hAnsi="Arial" w:cs="Arial"/>
              </w:rPr>
              <w:t xml:space="preserve">6.5 </w:t>
            </w:r>
          </w:p>
        </w:tc>
        <w:tc>
          <w:tcPr>
            <w:tcW w:w="5670" w:type="dxa"/>
          </w:tcPr>
          <w:p w14:paraId="2FCD092E" w14:textId="2DCD4988" w:rsidR="000C4068" w:rsidRDefault="000C4068" w:rsidP="008D6D35">
            <w:pPr>
              <w:widowControl w:val="0"/>
              <w:spacing w:before="120"/>
              <w:rPr>
                <w:rFonts w:ascii="Arial" w:hAnsi="Arial" w:cs="Arial"/>
              </w:rPr>
            </w:pPr>
            <w:r>
              <w:rPr>
                <w:rFonts w:ascii="Arial" w:hAnsi="Arial" w:cs="Arial"/>
              </w:rPr>
              <w:t>Arthur Rylah Institute for Environmental Research ABN: 90 719 052 204</w:t>
            </w:r>
          </w:p>
          <w:p w14:paraId="0962905A" w14:textId="3DF5AB11" w:rsidR="000C4068" w:rsidRDefault="000C4068" w:rsidP="008D6D35">
            <w:pPr>
              <w:widowControl w:val="0"/>
              <w:spacing w:before="120"/>
              <w:rPr>
                <w:rFonts w:ascii="Arial" w:eastAsia="Arial" w:hAnsi="Arial" w:cs="Arial"/>
              </w:rPr>
            </w:pPr>
            <w:r w:rsidRPr="00416735">
              <w:rPr>
                <w:rFonts w:ascii="Arial" w:hAnsi="Arial" w:cs="Arial"/>
              </w:rPr>
              <w:t>Goulburn Broken Catchment Management Authorit</w:t>
            </w:r>
            <w:r>
              <w:rPr>
                <w:rFonts w:ascii="Arial" w:hAnsi="Arial" w:cs="Arial"/>
              </w:rPr>
              <w:t xml:space="preserve">y: </w:t>
            </w:r>
            <w:r w:rsidRPr="000C4068">
              <w:rPr>
                <w:rFonts w:ascii="Arial" w:hAnsi="Arial" w:cs="Arial"/>
              </w:rPr>
              <w:t>ABN</w:t>
            </w:r>
            <w:r w:rsidRPr="557633A3">
              <w:rPr>
                <w:rFonts w:ascii="Arial" w:hAnsi="Arial" w:cs="Arial"/>
                <w:b/>
                <w:bCs/>
                <w:i/>
                <w:iCs/>
              </w:rPr>
              <w:t xml:space="preserve"> </w:t>
            </w:r>
            <w:r w:rsidRPr="557633A3">
              <w:rPr>
                <w:rFonts w:ascii="Arial" w:eastAsia="Arial" w:hAnsi="Arial" w:cs="Arial"/>
              </w:rPr>
              <w:t>89 184 039 725</w:t>
            </w:r>
          </w:p>
          <w:p w14:paraId="20AF8F40" w14:textId="21DE6D97" w:rsidR="000C4068" w:rsidRDefault="000C4068" w:rsidP="008D6D35">
            <w:pPr>
              <w:widowControl w:val="0"/>
              <w:spacing w:before="120"/>
              <w:rPr>
                <w:rFonts w:ascii="Arial" w:eastAsia="Arial" w:hAnsi="Arial" w:cs="Arial"/>
              </w:rPr>
            </w:pPr>
            <w:r>
              <w:rPr>
                <w:rFonts w:ascii="Arial" w:eastAsia="Arial" w:hAnsi="Arial" w:cs="Arial"/>
              </w:rPr>
              <w:t>Jacobs Pty. Ltd. ABN: 37 001 024 095</w:t>
            </w:r>
          </w:p>
          <w:p w14:paraId="14B07ECC" w14:textId="5D628426" w:rsidR="000C4068" w:rsidRDefault="000C4068" w:rsidP="008D6D35">
            <w:pPr>
              <w:widowControl w:val="0"/>
              <w:spacing w:before="120"/>
              <w:rPr>
                <w:rFonts w:ascii="Arial" w:eastAsia="Arial" w:hAnsi="Arial" w:cs="Arial"/>
              </w:rPr>
            </w:pPr>
            <w:r>
              <w:rPr>
                <w:rFonts w:ascii="Arial" w:eastAsia="Arial" w:hAnsi="Arial" w:cs="Arial"/>
              </w:rPr>
              <w:t>Monash University ABN: 12 377 614 012</w:t>
            </w:r>
          </w:p>
          <w:p w14:paraId="69853794" w14:textId="285C742A" w:rsidR="000C4068" w:rsidRDefault="000C4068" w:rsidP="008D6D35">
            <w:pPr>
              <w:widowControl w:val="0"/>
              <w:spacing w:before="120"/>
              <w:rPr>
                <w:rFonts w:ascii="Arial" w:hAnsi="Arial" w:cs="Arial"/>
              </w:rPr>
            </w:pPr>
            <w:r>
              <w:rPr>
                <w:rFonts w:ascii="Arial" w:eastAsia="Arial" w:hAnsi="Arial" w:cs="Arial"/>
              </w:rPr>
              <w:t>RMIT University ABN: 49 781 030 034</w:t>
            </w:r>
          </w:p>
          <w:p w14:paraId="1CBCA03B" w14:textId="497F3F34" w:rsidR="00590D6A" w:rsidRPr="002D3944" w:rsidRDefault="000C4068" w:rsidP="008D6D35">
            <w:pPr>
              <w:widowControl w:val="0"/>
              <w:spacing w:before="120"/>
              <w:rPr>
                <w:rFonts w:ascii="Arial" w:hAnsi="Arial" w:cs="Arial"/>
              </w:rPr>
            </w:pPr>
            <w:r>
              <w:rPr>
                <w:rFonts w:ascii="Arial" w:hAnsi="Arial" w:cs="Arial"/>
              </w:rPr>
              <w:t>Streamology Pty. Ltd. ABN 34 336 739 136</w:t>
            </w:r>
          </w:p>
        </w:tc>
      </w:tr>
      <w:tr w:rsidR="00590D6A" w:rsidRPr="004F4E2C" w14:paraId="1CBCA041" w14:textId="77777777" w:rsidTr="557633A3">
        <w:tc>
          <w:tcPr>
            <w:tcW w:w="675" w:type="dxa"/>
          </w:tcPr>
          <w:p w14:paraId="1CBCA03D" w14:textId="77777777" w:rsidR="00590D6A" w:rsidRDefault="00590D6A" w:rsidP="008D6D35">
            <w:pPr>
              <w:pStyle w:val="ListNumber"/>
              <w:widowControl w:val="0"/>
              <w:numPr>
                <w:ilvl w:val="0"/>
                <w:numId w:val="4"/>
              </w:numPr>
              <w:rPr>
                <w:lang w:eastAsia="en-AU" w:bidi="ar-SA"/>
              </w:rPr>
            </w:pPr>
            <w:bookmarkStart w:id="9" w:name="_Ref183250270"/>
          </w:p>
        </w:tc>
        <w:bookmarkEnd w:id="9"/>
        <w:tc>
          <w:tcPr>
            <w:tcW w:w="1985" w:type="dxa"/>
          </w:tcPr>
          <w:p w14:paraId="1CBCA03E" w14:textId="77777777" w:rsidR="00590D6A" w:rsidRPr="004F4E2C" w:rsidRDefault="00590D6A" w:rsidP="008D6D35">
            <w:pPr>
              <w:widowControl w:val="0"/>
              <w:spacing w:before="120" w:after="120" w:line="240" w:lineRule="auto"/>
              <w:rPr>
                <w:rFonts w:ascii="Arial" w:hAnsi="Arial" w:cs="Arial"/>
                <w:b/>
              </w:rPr>
            </w:pPr>
            <w:r w:rsidRPr="004F4E2C">
              <w:rPr>
                <w:rFonts w:ascii="Arial" w:hAnsi="Arial" w:cs="Arial"/>
                <w:b/>
              </w:rPr>
              <w:t>Progress meetings and reports</w:t>
            </w:r>
          </w:p>
        </w:tc>
        <w:tc>
          <w:tcPr>
            <w:tcW w:w="1276" w:type="dxa"/>
          </w:tcPr>
          <w:p w14:paraId="1CBCA03F" w14:textId="3A5404B4" w:rsidR="00590D6A" w:rsidRPr="003909AF" w:rsidRDefault="003909AF" w:rsidP="008D6D35">
            <w:pPr>
              <w:widowControl w:val="0"/>
              <w:spacing w:before="120" w:after="120" w:line="240" w:lineRule="auto"/>
              <w:rPr>
                <w:rFonts w:ascii="Arial" w:hAnsi="Arial" w:cs="Arial"/>
              </w:rPr>
            </w:pPr>
            <w:r w:rsidRPr="003909AF">
              <w:rPr>
                <w:rFonts w:ascii="Arial" w:hAnsi="Arial" w:cs="Arial"/>
              </w:rPr>
              <w:t xml:space="preserve">11 </w:t>
            </w:r>
          </w:p>
        </w:tc>
        <w:tc>
          <w:tcPr>
            <w:tcW w:w="5670" w:type="dxa"/>
          </w:tcPr>
          <w:p w14:paraId="7E490E5D" w14:textId="205E4970" w:rsidR="003909AF" w:rsidRPr="00CD57E4" w:rsidRDefault="003909AF" w:rsidP="008D6D35">
            <w:pPr>
              <w:widowControl w:val="0"/>
              <w:spacing w:before="120" w:after="120"/>
              <w:rPr>
                <w:rFonts w:ascii="Arial" w:hAnsi="Arial" w:cs="Arial"/>
                <w:b/>
                <w:bCs/>
              </w:rPr>
            </w:pPr>
            <w:r w:rsidRPr="00CD57E4">
              <w:rPr>
                <w:rFonts w:ascii="Arial" w:hAnsi="Arial" w:cs="Arial"/>
                <w:b/>
                <w:bCs/>
              </w:rPr>
              <w:t>Meetings</w:t>
            </w:r>
          </w:p>
          <w:p w14:paraId="5C340715" w14:textId="15C38A9C" w:rsidR="00ED7458" w:rsidRDefault="00ED7458" w:rsidP="00F17850">
            <w:pPr>
              <w:pStyle w:val="ListBullet"/>
              <w:spacing w:line="240" w:lineRule="auto"/>
              <w:rPr>
                <w:rFonts w:ascii="Arial" w:hAnsi="Arial" w:cs="Arial"/>
              </w:rPr>
            </w:pPr>
            <w:r w:rsidRPr="00ED7458">
              <w:rPr>
                <w:rFonts w:ascii="Arial" w:hAnsi="Arial" w:cs="Arial"/>
              </w:rPr>
              <w:t xml:space="preserve">The workshop meeting described at </w:t>
            </w:r>
            <w:r w:rsidR="00D35FA2">
              <w:rPr>
                <w:rFonts w:ascii="Arial" w:hAnsi="Arial" w:cs="Arial"/>
              </w:rPr>
              <w:t xml:space="preserve">Item </w:t>
            </w:r>
            <w:r w:rsidRPr="00ED7458">
              <w:rPr>
                <w:rFonts w:ascii="Arial" w:hAnsi="Arial" w:cs="Arial"/>
              </w:rPr>
              <w:t>6</w:t>
            </w:r>
          </w:p>
          <w:p w14:paraId="1D2D26D4" w14:textId="1CA972AF" w:rsidR="002C7A8C" w:rsidRPr="00ED7458" w:rsidRDefault="002C7A8C" w:rsidP="00F17850">
            <w:pPr>
              <w:pStyle w:val="ListBullet"/>
              <w:spacing w:line="240" w:lineRule="auto"/>
              <w:rPr>
                <w:rFonts w:ascii="Arial" w:hAnsi="Arial" w:cs="Arial"/>
              </w:rPr>
            </w:pPr>
            <w:r>
              <w:rPr>
                <w:rFonts w:ascii="Arial" w:hAnsi="Arial" w:cs="Arial"/>
              </w:rPr>
              <w:t>Meetings of the research team as necessary for ongoing review of research plans during the term of the project</w:t>
            </w:r>
          </w:p>
          <w:p w14:paraId="53B90C81" w14:textId="7ED32DBD" w:rsidR="003909AF" w:rsidRPr="00416735" w:rsidRDefault="003909AF" w:rsidP="00F17850">
            <w:pPr>
              <w:pStyle w:val="ListBullet"/>
              <w:widowControl w:val="0"/>
              <w:spacing w:after="120" w:line="240" w:lineRule="auto"/>
              <w:rPr>
                <w:rFonts w:ascii="Arial" w:hAnsi="Arial" w:cs="Arial"/>
              </w:rPr>
            </w:pPr>
            <w:r>
              <w:rPr>
                <w:rFonts w:ascii="Arial" w:hAnsi="Arial" w:cs="Arial"/>
              </w:rPr>
              <w:t xml:space="preserve">Provide updates to </w:t>
            </w:r>
            <w:r w:rsidR="002C7A8C">
              <w:rPr>
                <w:rFonts w:ascii="Arial" w:hAnsi="Arial" w:cs="Arial"/>
              </w:rPr>
              <w:t>each</w:t>
            </w:r>
            <w:r>
              <w:rPr>
                <w:rFonts w:ascii="Arial" w:hAnsi="Arial" w:cs="Arial"/>
              </w:rPr>
              <w:t xml:space="preserve"> </w:t>
            </w:r>
            <w:r w:rsidRPr="00416735">
              <w:rPr>
                <w:rFonts w:ascii="Arial" w:hAnsi="Arial" w:cs="Arial"/>
              </w:rPr>
              <w:t xml:space="preserve">Working Group </w:t>
            </w:r>
            <w:r w:rsidR="002C7A8C">
              <w:rPr>
                <w:rFonts w:ascii="Arial" w:hAnsi="Arial" w:cs="Arial"/>
              </w:rPr>
              <w:t>m</w:t>
            </w:r>
            <w:r w:rsidRPr="00416735">
              <w:rPr>
                <w:rFonts w:ascii="Arial" w:hAnsi="Arial" w:cs="Arial"/>
              </w:rPr>
              <w:t>eeting</w:t>
            </w:r>
          </w:p>
          <w:p w14:paraId="7D21A17A" w14:textId="77777777" w:rsidR="003909AF" w:rsidRPr="00416735" w:rsidRDefault="003909AF" w:rsidP="00F17850">
            <w:pPr>
              <w:pStyle w:val="ListBullet"/>
              <w:widowControl w:val="0"/>
              <w:spacing w:after="200" w:line="240" w:lineRule="auto"/>
              <w:rPr>
                <w:rFonts w:ascii="Arial" w:hAnsi="Arial" w:cs="Arial"/>
              </w:rPr>
            </w:pPr>
            <w:r>
              <w:rPr>
                <w:rFonts w:ascii="Arial" w:hAnsi="Arial" w:cs="Arial"/>
              </w:rPr>
              <w:lastRenderedPageBreak/>
              <w:t>Provide verbal updates to CEWO when required</w:t>
            </w:r>
          </w:p>
          <w:p w14:paraId="0E3CC5C0" w14:textId="77777777" w:rsidR="003909AF" w:rsidRPr="00CD57E4" w:rsidRDefault="003909AF" w:rsidP="00F17850">
            <w:pPr>
              <w:widowControl w:val="0"/>
              <w:spacing w:before="120" w:after="120" w:line="240" w:lineRule="auto"/>
              <w:rPr>
                <w:rFonts w:ascii="Arial" w:hAnsi="Arial" w:cs="Arial"/>
                <w:b/>
                <w:bCs/>
              </w:rPr>
            </w:pPr>
            <w:r w:rsidRPr="00CD57E4">
              <w:rPr>
                <w:rFonts w:ascii="Arial" w:hAnsi="Arial" w:cs="Arial"/>
                <w:b/>
                <w:bCs/>
              </w:rPr>
              <w:t>Reports</w:t>
            </w:r>
          </w:p>
          <w:p w14:paraId="0D419A8D" w14:textId="77777777" w:rsidR="00D64C82" w:rsidRDefault="008D6D35" w:rsidP="00F17850">
            <w:pPr>
              <w:pStyle w:val="ListParagraph"/>
              <w:widowControl w:val="0"/>
              <w:numPr>
                <w:ilvl w:val="0"/>
                <w:numId w:val="17"/>
              </w:numPr>
              <w:spacing w:after="120" w:line="240" w:lineRule="auto"/>
              <w:ind w:left="346" w:hanging="346"/>
              <w:rPr>
                <w:rFonts w:ascii="Arial" w:hAnsi="Arial" w:cs="Arial"/>
              </w:rPr>
            </w:pPr>
            <w:r w:rsidRPr="00ED7458">
              <w:rPr>
                <w:rFonts w:ascii="Arial" w:hAnsi="Arial" w:cs="Arial"/>
              </w:rPr>
              <w:t>P</w:t>
            </w:r>
            <w:r w:rsidR="003909AF" w:rsidRPr="00ED7458">
              <w:rPr>
                <w:rFonts w:ascii="Arial" w:hAnsi="Arial" w:cs="Arial"/>
              </w:rPr>
              <w:t xml:space="preserve">rovide </w:t>
            </w:r>
            <w:r w:rsidRPr="00ED7458">
              <w:rPr>
                <w:rFonts w:ascii="Arial" w:hAnsi="Arial" w:cs="Arial"/>
              </w:rPr>
              <w:t xml:space="preserve">brief </w:t>
            </w:r>
            <w:r w:rsidR="003909AF" w:rsidRPr="00ED7458">
              <w:rPr>
                <w:rFonts w:ascii="Arial" w:hAnsi="Arial" w:cs="Arial"/>
              </w:rPr>
              <w:t xml:space="preserve">written content </w:t>
            </w:r>
            <w:r w:rsidRPr="00ED7458">
              <w:rPr>
                <w:rFonts w:ascii="Arial" w:hAnsi="Arial" w:cs="Arial"/>
              </w:rPr>
              <w:t xml:space="preserve">describing this activity </w:t>
            </w:r>
            <w:r w:rsidR="003909AF" w:rsidRPr="00ED7458">
              <w:rPr>
                <w:rFonts w:ascii="Arial" w:hAnsi="Arial" w:cs="Arial"/>
              </w:rPr>
              <w:t>to incorporate into the Core Program quarterly outcomes newslet</w:t>
            </w:r>
            <w:r w:rsidRPr="00ED7458">
              <w:rPr>
                <w:rFonts w:ascii="Arial" w:hAnsi="Arial" w:cs="Arial"/>
              </w:rPr>
              <w:t>ter</w:t>
            </w:r>
          </w:p>
          <w:p w14:paraId="1CBCA040" w14:textId="49B478E1" w:rsidR="002C7A8C" w:rsidRPr="00ED7458" w:rsidRDefault="002C7A8C" w:rsidP="00F17850">
            <w:pPr>
              <w:pStyle w:val="ListParagraph"/>
              <w:widowControl w:val="0"/>
              <w:numPr>
                <w:ilvl w:val="0"/>
                <w:numId w:val="17"/>
              </w:numPr>
              <w:spacing w:after="120" w:line="240" w:lineRule="auto"/>
              <w:ind w:left="346" w:hanging="346"/>
              <w:rPr>
                <w:rFonts w:ascii="Arial" w:hAnsi="Arial" w:cs="Arial"/>
              </w:rPr>
            </w:pPr>
            <w:r>
              <w:rPr>
                <w:rFonts w:ascii="Arial" w:hAnsi="Arial" w:cs="Arial"/>
              </w:rPr>
              <w:t>Report research activities and outcomes as part of the Goulburn MER Annual Report</w:t>
            </w:r>
          </w:p>
        </w:tc>
      </w:tr>
    </w:tbl>
    <w:p w14:paraId="66A63308" w14:textId="77777777" w:rsidR="00E81B5F" w:rsidRDefault="00E81B5F">
      <w:r>
        <w:lastRenderedPageBreak/>
        <w:br w:type="page"/>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276"/>
        <w:gridCol w:w="5670"/>
      </w:tblGrid>
      <w:tr w:rsidR="00590D6A" w:rsidRPr="004F4E2C" w14:paraId="1CBCA046" w14:textId="77777777" w:rsidTr="557633A3">
        <w:tc>
          <w:tcPr>
            <w:tcW w:w="675" w:type="dxa"/>
          </w:tcPr>
          <w:p w14:paraId="1CBCA042" w14:textId="083F1DD7" w:rsidR="00590D6A" w:rsidRDefault="00590D6A" w:rsidP="008D6D35">
            <w:pPr>
              <w:pStyle w:val="ListNumber"/>
              <w:widowControl w:val="0"/>
              <w:numPr>
                <w:ilvl w:val="0"/>
                <w:numId w:val="4"/>
              </w:numPr>
              <w:rPr>
                <w:lang w:eastAsia="en-AU" w:bidi="ar-SA"/>
              </w:rPr>
            </w:pPr>
          </w:p>
        </w:tc>
        <w:tc>
          <w:tcPr>
            <w:tcW w:w="1985" w:type="dxa"/>
          </w:tcPr>
          <w:p w14:paraId="1CBCA043" w14:textId="77777777" w:rsidR="00590D6A" w:rsidRPr="00ED5F63" w:rsidRDefault="00590D6A" w:rsidP="008D6D35">
            <w:pPr>
              <w:widowControl w:val="0"/>
              <w:spacing w:before="120" w:after="120" w:line="240" w:lineRule="auto"/>
              <w:rPr>
                <w:rFonts w:ascii="Arial" w:hAnsi="Arial" w:cs="Arial"/>
                <w:b/>
              </w:rPr>
            </w:pPr>
            <w:r>
              <w:rPr>
                <w:rFonts w:ascii="Arial" w:hAnsi="Arial" w:cs="Arial"/>
                <w:b/>
              </w:rPr>
              <w:t xml:space="preserve">Performance Criteria </w:t>
            </w:r>
          </w:p>
        </w:tc>
        <w:tc>
          <w:tcPr>
            <w:tcW w:w="1276" w:type="dxa"/>
          </w:tcPr>
          <w:p w14:paraId="1CBCA044" w14:textId="6B075511" w:rsidR="00590D6A" w:rsidRPr="008F1829" w:rsidRDefault="003909AF" w:rsidP="008D6D35">
            <w:pPr>
              <w:widowControl w:val="0"/>
              <w:spacing w:before="120" w:after="120" w:line="240" w:lineRule="auto"/>
              <w:rPr>
                <w:rFonts w:ascii="Arial" w:hAnsi="Arial" w:cs="Arial"/>
              </w:rPr>
            </w:pPr>
            <w:r w:rsidRPr="008F1829">
              <w:rPr>
                <w:rFonts w:ascii="Arial" w:hAnsi="Arial" w:cs="Arial"/>
              </w:rPr>
              <w:t>12</w:t>
            </w:r>
          </w:p>
        </w:tc>
        <w:tc>
          <w:tcPr>
            <w:tcW w:w="5670" w:type="dxa"/>
          </w:tcPr>
          <w:p w14:paraId="46D6250F" w14:textId="5E103F13" w:rsidR="008F1829" w:rsidRDefault="008F1829" w:rsidP="00E81B5F">
            <w:pPr>
              <w:pStyle w:val="LegalScheduleLevel3"/>
              <w:widowControl w:val="0"/>
              <w:numPr>
                <w:ilvl w:val="0"/>
                <w:numId w:val="0"/>
              </w:numPr>
              <w:tabs>
                <w:tab w:val="left" w:pos="720"/>
              </w:tabs>
              <w:spacing w:before="60" w:after="60" w:line="276" w:lineRule="auto"/>
              <w:ind w:left="68"/>
              <w:rPr>
                <w:lang w:eastAsia="en-AU" w:bidi="ar-SA"/>
              </w:rPr>
            </w:pPr>
            <w:r>
              <w:rPr>
                <w:lang w:eastAsia="en-AU" w:bidi="ar-SA"/>
              </w:rPr>
              <w:t>The following Performance Criteria will apply to the Additional Project Services specified in the Work Order:</w:t>
            </w:r>
          </w:p>
          <w:p w14:paraId="2058868B" w14:textId="79EF8E30" w:rsidR="008F1829" w:rsidRDefault="008F1829" w:rsidP="00E81B5F">
            <w:pPr>
              <w:widowControl w:val="0"/>
              <w:numPr>
                <w:ilvl w:val="0"/>
                <w:numId w:val="16"/>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Must be undertaken in accordance with the Work Orde</w:t>
            </w:r>
            <w:r w:rsidR="008D6D35">
              <w:rPr>
                <w:rFonts w:ascii="Arial" w:eastAsia="Calibri" w:hAnsi="Arial" w:cs="Arial"/>
                <w:lang w:eastAsia="en-US" w:bidi="ar-SA"/>
              </w:rPr>
              <w:t>r</w:t>
            </w:r>
            <w:r>
              <w:rPr>
                <w:rFonts w:ascii="Arial" w:eastAsia="Calibri" w:hAnsi="Arial" w:cs="Arial"/>
                <w:lang w:eastAsia="en-US" w:bidi="ar-SA"/>
              </w:rPr>
              <w:t>.</w:t>
            </w:r>
          </w:p>
          <w:p w14:paraId="7F2E5104" w14:textId="77777777" w:rsidR="008F1829" w:rsidRDefault="008F1829" w:rsidP="00E81B5F">
            <w:pPr>
              <w:widowControl w:val="0"/>
              <w:numPr>
                <w:ilvl w:val="0"/>
                <w:numId w:val="16"/>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Must be completed to a professional standard.</w:t>
            </w:r>
          </w:p>
          <w:p w14:paraId="3A5946C0" w14:textId="77777777" w:rsidR="008D6D35" w:rsidRDefault="008F1829" w:rsidP="00E81B5F">
            <w:pPr>
              <w:widowControl w:val="0"/>
              <w:numPr>
                <w:ilvl w:val="0"/>
                <w:numId w:val="16"/>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 xml:space="preserve">Must address relevant feedback provided by the CEWO. </w:t>
            </w:r>
          </w:p>
          <w:p w14:paraId="16ED6AB3" w14:textId="77777777" w:rsidR="00590D6A" w:rsidRDefault="008F1829" w:rsidP="00E81B5F">
            <w:pPr>
              <w:widowControl w:val="0"/>
              <w:numPr>
                <w:ilvl w:val="0"/>
                <w:numId w:val="16"/>
              </w:numPr>
              <w:spacing w:after="60" w:line="276" w:lineRule="auto"/>
              <w:ind w:left="714" w:hanging="357"/>
              <w:rPr>
                <w:rFonts w:ascii="Arial" w:eastAsia="Calibri" w:hAnsi="Arial" w:cs="Arial"/>
                <w:lang w:eastAsia="en-US" w:bidi="ar-SA"/>
              </w:rPr>
            </w:pPr>
            <w:r w:rsidRPr="008D6D35">
              <w:rPr>
                <w:rFonts w:ascii="Arial" w:eastAsia="Calibri" w:hAnsi="Arial" w:cs="Arial"/>
                <w:lang w:eastAsia="en-US" w:bidi="ar-SA"/>
              </w:rPr>
              <w:t>Must be undertaken in accordance with the dates and timeframes specified in the Work Order</w:t>
            </w:r>
          </w:p>
          <w:p w14:paraId="1CBCA045" w14:textId="1FD488BF" w:rsidR="008D6D35" w:rsidRPr="008D6D35" w:rsidRDefault="008D6D35" w:rsidP="008D6D35">
            <w:pPr>
              <w:widowControl w:val="0"/>
              <w:numPr>
                <w:ilvl w:val="0"/>
                <w:numId w:val="16"/>
              </w:numPr>
              <w:spacing w:after="60" w:line="276" w:lineRule="auto"/>
              <w:ind w:left="714" w:hanging="357"/>
              <w:rPr>
                <w:rFonts w:ascii="Arial" w:eastAsia="Calibri" w:hAnsi="Arial" w:cs="Arial"/>
                <w:lang w:eastAsia="en-US" w:bidi="ar-SA"/>
              </w:rPr>
            </w:pPr>
            <w:r>
              <w:rPr>
                <w:rFonts w:ascii="Arial" w:eastAsia="Calibri" w:hAnsi="Arial" w:cs="Arial"/>
                <w:lang w:eastAsia="en-US" w:bidi="ar-SA"/>
              </w:rPr>
              <w:t>Outcomes must be included in the annual Goulburn MER report in accordance with t</w:t>
            </w:r>
            <w:r w:rsidR="002C7A8C">
              <w:rPr>
                <w:rFonts w:ascii="Arial" w:eastAsia="Calibri" w:hAnsi="Arial" w:cs="Arial"/>
                <w:lang w:eastAsia="en-US" w:bidi="ar-SA"/>
              </w:rPr>
              <w:t>he</w:t>
            </w:r>
            <w:r>
              <w:rPr>
                <w:rFonts w:ascii="Arial" w:eastAsia="Calibri" w:hAnsi="Arial" w:cs="Arial"/>
                <w:lang w:eastAsia="en-US" w:bidi="ar-SA"/>
              </w:rPr>
              <w:t xml:space="preserve"> agreed standard format and template</w:t>
            </w:r>
          </w:p>
        </w:tc>
      </w:tr>
    </w:tbl>
    <w:p w14:paraId="44C3E699" w14:textId="77777777" w:rsidR="00D15BF7" w:rsidRDefault="00D15BF7">
      <w:pPr>
        <w:spacing w:after="0" w:line="240" w:lineRule="auto"/>
        <w:rPr>
          <w:rFonts w:ascii="Calibri" w:eastAsia="Calibri" w:hAnsi="Calibri" w:cs="Times New Roman"/>
          <w:u w:val="single"/>
          <w:lang w:eastAsia="en-US" w:bidi="ar-SA"/>
        </w:rPr>
      </w:pPr>
    </w:p>
    <w:p w14:paraId="0C855C22" w14:textId="4925A8A7" w:rsidR="008628AE" w:rsidRDefault="008628AE">
      <w:pPr>
        <w:spacing w:after="0" w:line="240" w:lineRule="auto"/>
        <w:rPr>
          <w:rFonts w:ascii="Calibri" w:eastAsia="Calibri" w:hAnsi="Calibri" w:cs="Times New Roman"/>
          <w:u w:val="single"/>
          <w:lang w:eastAsia="en-US" w:bidi="ar-SA"/>
        </w:rPr>
      </w:pPr>
      <w:r>
        <w:rPr>
          <w:rFonts w:ascii="Calibri" w:eastAsia="Calibri" w:hAnsi="Calibri" w:cs="Times New Roman"/>
          <w:u w:val="single"/>
          <w:lang w:eastAsia="en-US" w:bidi="ar-SA"/>
        </w:rPr>
        <w:br w:type="page"/>
      </w:r>
    </w:p>
    <w:p w14:paraId="0A686D36" w14:textId="77777777" w:rsidR="008628AE" w:rsidRDefault="008628AE" w:rsidP="008628AE">
      <w:pPr>
        <w:jc w:val="right"/>
      </w:pPr>
      <w:r>
        <w:lastRenderedPageBreak/>
        <w:t>Attachment A</w:t>
      </w:r>
    </w:p>
    <w:p w14:paraId="63326C42" w14:textId="77777777" w:rsidR="008628AE" w:rsidRDefault="008628AE" w:rsidP="00BA564F">
      <w:pPr>
        <w:pStyle w:val="Title"/>
        <w:spacing w:after="240"/>
      </w:pPr>
      <w:r>
        <w:t>Goulburn MER collaborative research project</w:t>
      </w:r>
    </w:p>
    <w:p w14:paraId="2070104C" w14:textId="77777777" w:rsidR="008628AE" w:rsidRDefault="008628AE" w:rsidP="008628AE">
      <w:pPr>
        <w:pStyle w:val="Heading1"/>
      </w:pPr>
      <w:r>
        <w:t>Introduction</w:t>
      </w:r>
    </w:p>
    <w:p w14:paraId="062DF1CE" w14:textId="77777777" w:rsidR="008628AE" w:rsidRDefault="008628AE" w:rsidP="008628AE">
      <w:pPr>
        <w:rPr>
          <w:rFonts w:eastAsiaTheme="minorEastAsia"/>
        </w:rPr>
      </w:pPr>
      <w:r>
        <w:t>The Goulburn MER Program provides an opportunity to fund collaborative research projects that:</w:t>
      </w:r>
    </w:p>
    <w:p w14:paraId="2BA2162C" w14:textId="77777777" w:rsidR="008628AE" w:rsidRDefault="008628AE" w:rsidP="008628AE">
      <w:pPr>
        <w:pStyle w:val="ListParagraph"/>
        <w:numPr>
          <w:ilvl w:val="0"/>
          <w:numId w:val="20"/>
        </w:numPr>
        <w:spacing w:after="60" w:line="264" w:lineRule="auto"/>
        <w:ind w:left="340" w:hanging="340"/>
        <w:jc w:val="both"/>
      </w:pPr>
      <w:r>
        <w:t>Build on what we’ve learnt and improve understanding of the processes that drive ecological response to flow</w:t>
      </w:r>
    </w:p>
    <w:p w14:paraId="04396184" w14:textId="77777777" w:rsidR="008628AE" w:rsidRDefault="008628AE" w:rsidP="008628AE">
      <w:pPr>
        <w:pStyle w:val="ListParagraph"/>
        <w:numPr>
          <w:ilvl w:val="0"/>
          <w:numId w:val="20"/>
        </w:numPr>
        <w:spacing w:after="60" w:line="264" w:lineRule="auto"/>
        <w:ind w:left="340" w:hanging="340"/>
        <w:jc w:val="both"/>
      </w:pPr>
      <w:r>
        <w:t>Address knowledge gaps in our understanding of flow responses, including identification of factors other than flow that may limit responses</w:t>
      </w:r>
    </w:p>
    <w:p w14:paraId="285EBC07" w14:textId="77777777" w:rsidR="008628AE" w:rsidRDefault="008628AE" w:rsidP="008628AE">
      <w:pPr>
        <w:pStyle w:val="ListParagraph"/>
        <w:numPr>
          <w:ilvl w:val="0"/>
          <w:numId w:val="20"/>
        </w:numPr>
        <w:spacing w:after="60" w:line="264" w:lineRule="auto"/>
        <w:ind w:left="340" w:hanging="340"/>
        <w:jc w:val="both"/>
      </w:pPr>
      <w:r>
        <w:t>Improve ability to respond to emerging issues / trends / threats / adaptively manage flows for the best outcomes</w:t>
      </w:r>
    </w:p>
    <w:p w14:paraId="55601F6D" w14:textId="77777777" w:rsidR="008628AE" w:rsidRDefault="008628AE" w:rsidP="008628AE">
      <w:pPr>
        <w:pStyle w:val="ListParagraph"/>
        <w:numPr>
          <w:ilvl w:val="0"/>
          <w:numId w:val="20"/>
        </w:numPr>
        <w:spacing w:after="120" w:line="264" w:lineRule="auto"/>
        <w:ind w:left="340" w:hanging="340"/>
        <w:jc w:val="both"/>
      </w:pPr>
      <w:r>
        <w:t>Contribute to integration across the basin.</w:t>
      </w:r>
    </w:p>
    <w:p w14:paraId="63A26BFE" w14:textId="77777777" w:rsidR="008628AE" w:rsidRDefault="008628AE" w:rsidP="008628AE">
      <w:pPr>
        <w:pStyle w:val="Heading1"/>
      </w:pPr>
      <w:r>
        <w:t>Research questions</w:t>
      </w:r>
    </w:p>
    <w:p w14:paraId="6915CF7B" w14:textId="77777777" w:rsidR="008628AE" w:rsidRPr="00B05D78" w:rsidRDefault="008628AE" w:rsidP="008628AE">
      <w:r w:rsidRPr="00B05D78">
        <w:t xml:space="preserve">Through the development of the Goulburn MER </w:t>
      </w:r>
      <w:r>
        <w:t>P</w:t>
      </w:r>
      <w:r w:rsidRPr="00B05D78">
        <w:t>lan a range of research questions were identified to help better understand the relationships between in-channel flow, hydraulic habitat conditions and ecological response</w:t>
      </w:r>
      <w:r>
        <w:t>. We’ve now expanded on those themes a little to consider off-channel habitats and a consideration of interactions between different biotic groups.</w:t>
      </w:r>
    </w:p>
    <w:p w14:paraId="04C58438" w14:textId="77777777" w:rsidR="008628AE" w:rsidRPr="00F70690" w:rsidRDefault="008628AE" w:rsidP="008628AE">
      <w:pPr>
        <w:pStyle w:val="ListParagraph"/>
        <w:numPr>
          <w:ilvl w:val="0"/>
          <w:numId w:val="19"/>
        </w:numPr>
        <w:spacing w:after="160" w:line="259" w:lineRule="auto"/>
        <w:contextualSpacing/>
      </w:pPr>
      <w:r>
        <w:t>What are the</w:t>
      </w:r>
      <w:r w:rsidRPr="00F70690">
        <w:t xml:space="preserve"> in-channel</w:t>
      </w:r>
      <w:r>
        <w:t xml:space="preserve"> or off-channel </w:t>
      </w:r>
      <w:r w:rsidRPr="00F70690">
        <w:t>habitat types (e.g. slack waters, backwater</w:t>
      </w:r>
      <w:r>
        <w:t>s</w:t>
      </w:r>
      <w:r w:rsidRPr="00F70690">
        <w:t>, benches</w:t>
      </w:r>
      <w:r>
        <w:t>,</w:t>
      </w:r>
      <w:r w:rsidRPr="00F70690">
        <w:t xml:space="preserve"> </w:t>
      </w:r>
      <w:r>
        <w:t xml:space="preserve">flood-runners, </w:t>
      </w:r>
      <w:r w:rsidRPr="00F70690">
        <w:t>etc</w:t>
      </w:r>
      <w:r>
        <w:t>. with different hydraulic characteristics</w:t>
      </w:r>
      <w:r w:rsidRPr="00F70690">
        <w:t>) that are particularly important for ecological processes, specific organisms</w:t>
      </w:r>
      <w:r>
        <w:t>,</w:t>
      </w:r>
      <w:r w:rsidRPr="00F70690">
        <w:t xml:space="preserve"> or life history stages in the Goulburn River</w:t>
      </w:r>
      <w:r>
        <w:t>, including the interaction among organisms</w:t>
      </w:r>
      <w:r w:rsidRPr="00F70690">
        <w:t>?</w:t>
      </w:r>
    </w:p>
    <w:p w14:paraId="286E065A" w14:textId="77777777" w:rsidR="008628AE" w:rsidRPr="00F70690" w:rsidRDefault="008628AE" w:rsidP="008628AE">
      <w:pPr>
        <w:pStyle w:val="ListParagraph"/>
        <w:numPr>
          <w:ilvl w:val="0"/>
          <w:numId w:val="19"/>
        </w:numPr>
        <w:spacing w:after="160" w:line="259" w:lineRule="auto"/>
        <w:contextualSpacing/>
      </w:pPr>
      <w:r w:rsidRPr="00F70690">
        <w:t>Does the distribution and quality of these habitat types change with different flow rates?</w:t>
      </w:r>
    </w:p>
    <w:p w14:paraId="1FF67267" w14:textId="77777777" w:rsidR="008628AE" w:rsidRDefault="008628AE" w:rsidP="008628AE">
      <w:pPr>
        <w:pStyle w:val="ListParagraph"/>
        <w:numPr>
          <w:ilvl w:val="0"/>
          <w:numId w:val="19"/>
        </w:numPr>
        <w:spacing w:after="160" w:line="259" w:lineRule="auto"/>
        <w:contextualSpacing/>
      </w:pPr>
      <w:r w:rsidRPr="00F70690">
        <w:t>Can flow rates be manipulated to optimise the availability of habitat types that are shown to be important, or to minimise impacts on these habitats during river operations (e.g. IVT flows)?</w:t>
      </w:r>
    </w:p>
    <w:p w14:paraId="4C8FACBD" w14:textId="77777777" w:rsidR="008628AE" w:rsidRDefault="008628AE" w:rsidP="008628AE">
      <w:pPr>
        <w:pStyle w:val="ListParagraph"/>
        <w:numPr>
          <w:ilvl w:val="0"/>
          <w:numId w:val="19"/>
        </w:numPr>
        <w:spacing w:after="160" w:line="259" w:lineRule="auto"/>
        <w:contextualSpacing/>
      </w:pPr>
      <w:r>
        <w:t>Can we quantify or demonstrate interactions between the different groups of organisms that we monitor in the MER Program?</w:t>
      </w:r>
    </w:p>
    <w:p w14:paraId="3EE2A7E6" w14:textId="77777777" w:rsidR="008628AE" w:rsidRPr="00F70690" w:rsidRDefault="008628AE" w:rsidP="008628AE">
      <w:r>
        <w:t xml:space="preserve">Efforts to develop these questions will build upon the substantial preparatory work done during development of the MER Plan in 2019, but we will not necessarily be restricted to specific questions developed during that process. </w:t>
      </w:r>
    </w:p>
    <w:p w14:paraId="18500936" w14:textId="77777777" w:rsidR="008628AE" w:rsidRPr="00F70690" w:rsidRDefault="008628AE" w:rsidP="008628AE">
      <w:pPr>
        <w:pStyle w:val="Heading1"/>
      </w:pPr>
      <w:r w:rsidRPr="00F70690">
        <w:t>Why is it important to answer these questions for the Goulburn River?</w:t>
      </w:r>
    </w:p>
    <w:p w14:paraId="517E0A3F" w14:textId="77777777" w:rsidR="008628AE" w:rsidRDefault="008628AE" w:rsidP="008628AE">
      <w:r w:rsidRPr="00F70690">
        <w:t>Evidence in the literature suggests that certain habitat types are important for various ecological processes, life history stages</w:t>
      </w:r>
      <w:r>
        <w:t>,</w:t>
      </w:r>
      <w:r w:rsidRPr="00F70690">
        <w:t xml:space="preserve"> </w:t>
      </w:r>
      <w:r>
        <w:t xml:space="preserve">species interactions, </w:t>
      </w:r>
      <w:r w:rsidRPr="00F70690">
        <w:t>etc</w:t>
      </w:r>
      <w:r>
        <w:t>.</w:t>
      </w:r>
      <w:r w:rsidRPr="00F70690">
        <w:t xml:space="preserve"> (e.g. as areas for organic carbon retention and processing, low-flow refuges for larval and juvenile fish, sites of sediment and seed deposition</w:t>
      </w:r>
      <w:r>
        <w:t>,</w:t>
      </w:r>
      <w:r w:rsidRPr="00F70690">
        <w:t xml:space="preserve"> etc</w:t>
      </w:r>
      <w:r>
        <w:t>.</w:t>
      </w:r>
      <w:r w:rsidRPr="00F70690">
        <w:t>).  EWKR research has identified the importance of anabranches and floodplain wetlands</w:t>
      </w:r>
      <w:r>
        <w:t xml:space="preserve"> as sources of carbon and zooplankton for fish food, and that these habitats generate more ‘food’ than main channel habitats.  </w:t>
      </w:r>
    </w:p>
    <w:p w14:paraId="6B5C047A" w14:textId="67C10E6D" w:rsidR="008628AE" w:rsidRDefault="008628AE" w:rsidP="008628AE">
      <w:r>
        <w:t>In this context, the proposed research program aims to identify which habitats in the Goulburn River are particularly critical to the river’s ecological function including both direct responses of organisms to the habitats and indirect responses through interactions with other organisms. Can such habitats be optimised through flow manipulation?</w:t>
      </w:r>
    </w:p>
    <w:p w14:paraId="4424A43F" w14:textId="77777777" w:rsidR="008628AE" w:rsidRDefault="008628AE" w:rsidP="008628AE">
      <w:pPr>
        <w:pStyle w:val="Heading1"/>
      </w:pPr>
      <w:r>
        <w:t>How will we answer these questions?</w:t>
      </w:r>
    </w:p>
    <w:p w14:paraId="4CBDDC54" w14:textId="77777777" w:rsidR="008628AE" w:rsidRDefault="008628AE" w:rsidP="008628AE">
      <w:r>
        <w:t xml:space="preserve">We propose a collaborative project with a focus on first, understanding which particular habitats / characteristics are important for biota, ecological processes, and species interactions occurring in the </w:t>
      </w:r>
      <w:r>
        <w:lastRenderedPageBreak/>
        <w:t>Goulburn River; and second, determining the distribution of important habitat types and identifying flows required to optimise these habitat types.</w:t>
      </w:r>
    </w:p>
    <w:p w14:paraId="2ABA5B62" w14:textId="77777777" w:rsidR="008628AE" w:rsidRPr="00BA63B1" w:rsidRDefault="008628AE" w:rsidP="008628AE">
      <w:r w:rsidRPr="00BA63B1">
        <w:t>The following outlines a suggested process for the project (this is based on some feedback on an earlier project summary</w:t>
      </w:r>
      <w:r>
        <w:t xml:space="preserve"> prepared during the MER Plan development</w:t>
      </w:r>
      <w:r w:rsidRPr="00BA63B1">
        <w:t>):</w:t>
      </w:r>
    </w:p>
    <w:p w14:paraId="4A508269" w14:textId="7F5F497E" w:rsidR="008628AE" w:rsidRPr="00BA63B1" w:rsidRDefault="008628AE" w:rsidP="00BA564F">
      <w:pPr>
        <w:pStyle w:val="ListParagraph"/>
        <w:numPr>
          <w:ilvl w:val="0"/>
          <w:numId w:val="22"/>
        </w:numPr>
      </w:pPr>
      <w:r w:rsidRPr="00BA564F">
        <w:rPr>
          <w:b/>
        </w:rPr>
        <w:t xml:space="preserve">Question refinement / hypotheses development.  </w:t>
      </w:r>
      <w:r w:rsidRPr="00BA63B1">
        <w:t xml:space="preserve">Convene a </w:t>
      </w:r>
      <w:r>
        <w:t>project team</w:t>
      </w:r>
      <w:r w:rsidRPr="00BA63B1">
        <w:t xml:space="preserve"> workshop to elicit the hydraulic conditions / physical characteristics that are expected to be important for plants, fish, macroinvertebrates, ecosystem processes</w:t>
      </w:r>
      <w:r>
        <w:t>, and the interactions among these</w:t>
      </w:r>
      <w:r w:rsidRPr="00BA63B1">
        <w:t>.  We can use our conceptual model</w:t>
      </w:r>
      <w:r>
        <w:t xml:space="preserve"> (below)</w:t>
      </w:r>
      <w:r w:rsidRPr="00BA63B1">
        <w:t xml:space="preserve"> to reflect on our current understanding</w:t>
      </w:r>
      <w:r>
        <w:t xml:space="preserve"> / beliefs</w:t>
      </w:r>
      <w:r w:rsidRPr="00BA63B1">
        <w:t xml:space="preserve"> of important </w:t>
      </w:r>
      <w:r>
        <w:t>linkages</w:t>
      </w:r>
      <w:r w:rsidRPr="00BA63B1">
        <w:t xml:space="preserve"> and identify where there are still gaps</w:t>
      </w:r>
      <w:r>
        <w:t xml:space="preserve"> (i.e. the question marks in the conceptual model)</w:t>
      </w:r>
      <w:r w:rsidRPr="00BA63B1">
        <w:t xml:space="preserve">, or where there is an apparent link but there is an opportunity to quantify </w:t>
      </w:r>
      <w:r>
        <w:t xml:space="preserve">or demonstrate </w:t>
      </w:r>
      <w:r w:rsidRPr="00BA63B1">
        <w:t>that link more explicitly</w:t>
      </w:r>
      <w:r>
        <w:t xml:space="preserve"> (i.e. a tick that needs more evidence to demonstrate with high confidence)</w:t>
      </w:r>
      <w:r w:rsidRPr="00BA63B1">
        <w:t>. At this workshop we would refine our research questions and develop hypotheses for testing.</w:t>
      </w:r>
      <w:r>
        <w:t xml:space="preserve"> Inputs for the workshop will be </w:t>
      </w:r>
      <w:proofErr w:type="spellStart"/>
      <w:r>
        <w:t>i</w:t>
      </w:r>
      <w:proofErr w:type="spellEnd"/>
      <w:r>
        <w:t>) the potential questions and rankings developed during the MER Plan process in 2019, ii) independent inputs from each discipline lead prior to the workshop re-eliciting priority research questions in the context of the conceptual model below.</w:t>
      </w:r>
    </w:p>
    <w:p w14:paraId="0DA7DEBF" w14:textId="77777777" w:rsidR="008628AE" w:rsidRDefault="008628AE" w:rsidP="008628AE">
      <w:pPr>
        <w:pStyle w:val="Para0"/>
        <w:ind w:left="360"/>
        <w:jc w:val="center"/>
      </w:pPr>
      <w:r>
        <w:rPr>
          <w:noProof/>
          <w:lang w:val="en-AU" w:eastAsia="en-AU"/>
        </w:rPr>
        <w:drawing>
          <wp:inline distT="0" distB="0" distL="0" distR="0" wp14:anchorId="0AFF149E" wp14:editId="76C6A2D9">
            <wp:extent cx="4895850" cy="323420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909858" cy="3243460"/>
                    </a:xfrm>
                    <a:prstGeom prst="rect">
                      <a:avLst/>
                    </a:prstGeom>
                    <a:noFill/>
                  </pic:spPr>
                </pic:pic>
              </a:graphicData>
            </a:graphic>
          </wp:inline>
        </w:drawing>
      </w:r>
    </w:p>
    <w:p w14:paraId="7C190EBD" w14:textId="77777777" w:rsidR="008628AE" w:rsidRPr="00BA564F" w:rsidRDefault="008628AE" w:rsidP="00BA564F">
      <w:pPr>
        <w:rPr>
          <w:b/>
          <w:bCs/>
          <w:sz w:val="18"/>
          <w:szCs w:val="18"/>
        </w:rPr>
      </w:pPr>
      <w:r w:rsidRPr="00BA564F">
        <w:rPr>
          <w:b/>
          <w:bCs/>
          <w:sz w:val="18"/>
          <w:szCs w:val="18"/>
        </w:rPr>
        <w:t xml:space="preserve">2018-19 updated conceptual model of the linkages among the different monitoring matters in the lower Goulburn River Long-Term Intervention Monitoring Project </w:t>
      </w:r>
      <w:r w:rsidRPr="00BA564F">
        <w:rPr>
          <w:b/>
          <w:bCs/>
          <w:noProof/>
          <w:sz w:val="18"/>
          <w:szCs w:val="18"/>
        </w:rPr>
        <w:t>(modified from Webb et al. 2018)</w:t>
      </w:r>
      <w:r w:rsidRPr="00BA564F">
        <w:rPr>
          <w:b/>
          <w:bCs/>
          <w:sz w:val="18"/>
          <w:szCs w:val="18"/>
        </w:rPr>
        <w:t>. The blue ‘hydrology’ box is the ultimate cause – flow enhancement with Commonwealth environmental water, plus with the addition now of unregulated tributary inflows as an additional major hydrologic driver; orange boxes are physical effects of this, with flow on effects to intermediate (green) and ultimate (aqua) environmental variables. Arrows are hypothesized causal linkages posed at the start of the LTIM Project (with several added since as well). Ticks are linkages that we believe have been demonstrated by the monitoring data, or at least strongly suggested. Question marks are linkages that are yet to be demonstrated. No linkages have been disproved throughout the program.</w:t>
      </w:r>
    </w:p>
    <w:p w14:paraId="68576231" w14:textId="77777777" w:rsidR="008628AE" w:rsidRPr="00BA63B1" w:rsidRDefault="008628AE" w:rsidP="00BA564F">
      <w:pPr>
        <w:pStyle w:val="ListParagraph"/>
        <w:numPr>
          <w:ilvl w:val="0"/>
          <w:numId w:val="22"/>
        </w:numPr>
      </w:pPr>
      <w:r w:rsidRPr="00BA564F">
        <w:rPr>
          <w:b/>
        </w:rPr>
        <w:t>Map habitats</w:t>
      </w:r>
      <w:r w:rsidRPr="00BA63B1">
        <w:t xml:space="preserve">. Use existing hydraulic models to map </w:t>
      </w:r>
      <w:r>
        <w:t xml:space="preserve">hydraulic </w:t>
      </w:r>
      <w:r w:rsidRPr="00BA63B1">
        <w:t xml:space="preserve">habitats identified in the workshop as important for each taxa or ecological process (at selected reaches). </w:t>
      </w:r>
    </w:p>
    <w:p w14:paraId="7B5EE39D" w14:textId="77777777" w:rsidR="008628AE" w:rsidRPr="00BA63B1" w:rsidRDefault="008628AE" w:rsidP="00BA564F">
      <w:pPr>
        <w:pStyle w:val="ListParagraph"/>
        <w:numPr>
          <w:ilvl w:val="0"/>
          <w:numId w:val="22"/>
        </w:numPr>
      </w:pPr>
      <w:r w:rsidRPr="00BA564F">
        <w:rPr>
          <w:b/>
        </w:rPr>
        <w:t xml:space="preserve">Field investigations. </w:t>
      </w:r>
      <w:r w:rsidRPr="00BA63B1">
        <w:t>Use maps to target investigations at sites that span a range of hydraulic conditions ranging from optimal to sub-optimal for each taxa or ecological process to validate relationships.</w:t>
      </w:r>
      <w:r>
        <w:t xml:space="preserve"> This does not necessarily mean that all investigations would take place at the same locations.</w:t>
      </w:r>
    </w:p>
    <w:p w14:paraId="024EFADF" w14:textId="77777777" w:rsidR="008628AE" w:rsidRPr="00BA63B1" w:rsidRDefault="008628AE" w:rsidP="00BA564F">
      <w:pPr>
        <w:pStyle w:val="ListParagraph"/>
        <w:numPr>
          <w:ilvl w:val="0"/>
          <w:numId w:val="22"/>
        </w:numPr>
      </w:pPr>
      <w:r w:rsidRPr="00BA564F">
        <w:rPr>
          <w:b/>
        </w:rPr>
        <w:t xml:space="preserve">Data mining. </w:t>
      </w:r>
      <w:r w:rsidRPr="00BA63B1">
        <w:t xml:space="preserve">Look for opportunities within existing data sets to reanalyse data </w:t>
      </w:r>
      <w:proofErr w:type="gramStart"/>
      <w:r w:rsidRPr="00BA63B1">
        <w:t>in light of</w:t>
      </w:r>
      <w:proofErr w:type="gramEnd"/>
      <w:r w:rsidRPr="00BA63B1">
        <w:t xml:space="preserve"> the above hypotheses.</w:t>
      </w:r>
    </w:p>
    <w:p w14:paraId="2AFAE1CE" w14:textId="77777777" w:rsidR="008628AE" w:rsidRPr="00BA564F" w:rsidRDefault="008628AE" w:rsidP="00BA564F">
      <w:pPr>
        <w:pStyle w:val="ListParagraph"/>
        <w:numPr>
          <w:ilvl w:val="0"/>
          <w:numId w:val="22"/>
        </w:numPr>
        <w:rPr>
          <w:b/>
        </w:rPr>
      </w:pPr>
      <w:r w:rsidRPr="00BA564F">
        <w:rPr>
          <w:b/>
        </w:rPr>
        <w:lastRenderedPageBreak/>
        <w:t>Analysis and reporting</w:t>
      </w:r>
      <w:r w:rsidRPr="00BA63B1">
        <w:t>. Asses against hypotheses, validate relationships, update conceptual model, identify flow bands for optimising habitats / hydraulic conditions, incorporate outcomes into refinement</w:t>
      </w:r>
      <w:r>
        <w:t xml:space="preserve"> of</w:t>
      </w:r>
      <w:r w:rsidRPr="00BA63B1">
        <w:t xml:space="preserve"> water deliver</w:t>
      </w:r>
      <w:r>
        <w:t xml:space="preserve">y (both for environmental flows and water supply delivery). </w:t>
      </w:r>
    </w:p>
    <w:p w14:paraId="75B5566E" w14:textId="55B00022" w:rsidR="008628AE" w:rsidRDefault="008628AE" w:rsidP="00BA564F">
      <w:r w:rsidRPr="00BA63B1">
        <w:t xml:space="preserve">The above steps are open for discussion, but the first task is to run a workshop (booked for </w:t>
      </w:r>
      <w:r w:rsidR="002B31CD">
        <w:t xml:space="preserve">12 </w:t>
      </w:r>
      <w:r w:rsidRPr="00BA63B1">
        <w:t xml:space="preserve">June </w:t>
      </w:r>
      <w:r w:rsidR="002B31CD">
        <w:t>2020</w:t>
      </w:r>
      <w:r>
        <w:t xml:space="preserve">) </w:t>
      </w:r>
      <w:r w:rsidRPr="00BA63B1">
        <w:t xml:space="preserve">to refine the questions / hypotheses and establish the basis for field investigations.  </w:t>
      </w:r>
    </w:p>
    <w:p w14:paraId="48C1AC73" w14:textId="77777777" w:rsidR="008628AE" w:rsidRDefault="008628AE" w:rsidP="008628AE">
      <w:pPr>
        <w:pStyle w:val="Heading1"/>
      </w:pPr>
      <w:r>
        <w:t>Workshop outputs</w:t>
      </w:r>
    </w:p>
    <w:p w14:paraId="4901A699" w14:textId="77777777" w:rsidR="008628AE" w:rsidRDefault="008628AE" w:rsidP="00BA564F">
      <w:r>
        <w:t>By the end of the workshop, we will commit to have:</w:t>
      </w:r>
    </w:p>
    <w:p w14:paraId="5F6107DC" w14:textId="77777777" w:rsidR="008628AE" w:rsidRDefault="008628AE" w:rsidP="002B31CD">
      <w:pPr>
        <w:pStyle w:val="ListParagraph"/>
        <w:numPr>
          <w:ilvl w:val="0"/>
          <w:numId w:val="23"/>
        </w:numPr>
        <w:ind w:left="714" w:hanging="357"/>
      </w:pPr>
      <w:r>
        <w:t>Agreement on the priority hypotheses / questions that we want to address in the collaborative research project.</w:t>
      </w:r>
    </w:p>
    <w:p w14:paraId="28775951" w14:textId="77777777" w:rsidR="008628AE" w:rsidRDefault="008628AE" w:rsidP="00BA564F">
      <w:pPr>
        <w:pStyle w:val="ListParagraph"/>
        <w:numPr>
          <w:ilvl w:val="0"/>
          <w:numId w:val="23"/>
        </w:numPr>
      </w:pPr>
      <w:r>
        <w:t>Allocated roles to team members to develop research plans for the priority hypotheses and a timeline for their development (for implementation over spring / summer 2020-21).</w:t>
      </w:r>
    </w:p>
    <w:p w14:paraId="05AA3C77" w14:textId="6CF831E2" w:rsidR="008628AE" w:rsidRDefault="008628AE" w:rsidP="00BA564F">
      <w:pPr>
        <w:pStyle w:val="ListParagraph"/>
        <w:numPr>
          <w:ilvl w:val="0"/>
          <w:numId w:val="23"/>
        </w:numPr>
      </w:pPr>
      <w:r>
        <w:t xml:space="preserve">Discussed capacity to deliver </w:t>
      </w:r>
      <w:r w:rsidR="00B52FB5">
        <w:t xml:space="preserve">the </w:t>
      </w:r>
      <w:r>
        <w:t>research program in terms of fieldwork, data analysis, write-up of results.</w:t>
      </w:r>
    </w:p>
    <w:p w14:paraId="6EDE5202" w14:textId="77777777" w:rsidR="008628AE" w:rsidRDefault="008628AE" w:rsidP="008628AE">
      <w:pPr>
        <w:pStyle w:val="Heading1"/>
      </w:pPr>
      <w:r>
        <w:t>Proposal development</w:t>
      </w:r>
    </w:p>
    <w:p w14:paraId="61FCFA14" w14:textId="05935C1D" w:rsidR="008628AE" w:rsidRDefault="008628AE" w:rsidP="008628AE">
      <w:r>
        <w:t>The first major milestone for the project will be a detailed project proposal to be delivered to CEWO by 30 September 2020 (we expect some research activities to be under way by then). The proposal will describe proposed research activities through to December 2022, including:</w:t>
      </w:r>
    </w:p>
    <w:p w14:paraId="4112CC13" w14:textId="77777777" w:rsidR="008628AE" w:rsidRDefault="008628AE" w:rsidP="002B31CD">
      <w:pPr>
        <w:pStyle w:val="ListParagraph"/>
        <w:numPr>
          <w:ilvl w:val="0"/>
          <w:numId w:val="20"/>
        </w:numPr>
        <w:spacing w:line="259" w:lineRule="auto"/>
        <w:ind w:left="714" w:hanging="357"/>
      </w:pPr>
      <w:r>
        <w:t>Specific hypotheses to be tested in different disciplines</w:t>
      </w:r>
    </w:p>
    <w:p w14:paraId="092BC395" w14:textId="77777777" w:rsidR="008628AE" w:rsidRDefault="008628AE" w:rsidP="002B31CD">
      <w:pPr>
        <w:pStyle w:val="ListParagraph"/>
        <w:numPr>
          <w:ilvl w:val="0"/>
          <w:numId w:val="20"/>
        </w:numPr>
        <w:spacing w:line="259" w:lineRule="auto"/>
        <w:ind w:left="714" w:hanging="357"/>
      </w:pPr>
      <w:r>
        <w:t>Field and associated laboratory methods needed to collect data</w:t>
      </w:r>
    </w:p>
    <w:p w14:paraId="6EFAD3F6" w14:textId="77777777" w:rsidR="008628AE" w:rsidRDefault="008628AE" w:rsidP="002B31CD">
      <w:pPr>
        <w:pStyle w:val="ListParagraph"/>
        <w:numPr>
          <w:ilvl w:val="0"/>
          <w:numId w:val="20"/>
        </w:numPr>
        <w:spacing w:line="259" w:lineRule="auto"/>
        <w:ind w:left="714" w:hanging="357"/>
      </w:pPr>
      <w:r>
        <w:t>Schedule of field sampling including timing and frequency</w:t>
      </w:r>
    </w:p>
    <w:p w14:paraId="27A28459" w14:textId="77777777" w:rsidR="008628AE" w:rsidRDefault="008628AE" w:rsidP="002B31CD">
      <w:pPr>
        <w:pStyle w:val="ListParagraph"/>
        <w:numPr>
          <w:ilvl w:val="0"/>
          <w:numId w:val="20"/>
        </w:numPr>
        <w:spacing w:line="259" w:lineRule="auto"/>
        <w:ind w:left="714" w:hanging="357"/>
      </w:pPr>
      <w:r>
        <w:t>Data preparation and analysis required</w:t>
      </w:r>
    </w:p>
    <w:p w14:paraId="20BC071A" w14:textId="77777777" w:rsidR="008628AE" w:rsidRPr="000A68C9" w:rsidRDefault="008628AE" w:rsidP="008628AE">
      <w:pPr>
        <w:pStyle w:val="ListParagraph"/>
        <w:numPr>
          <w:ilvl w:val="0"/>
          <w:numId w:val="20"/>
        </w:numPr>
        <w:spacing w:after="160" w:line="259" w:lineRule="auto"/>
        <w:contextualSpacing/>
        <w:rPr>
          <w:rFonts w:asciiTheme="minorHAnsi" w:hAnsiTheme="minorHAnsi" w:cstheme="minorBidi"/>
        </w:rPr>
      </w:pPr>
      <w:r>
        <w:t>Detailed budget required for each activity,</w:t>
      </w:r>
      <w:r w:rsidRPr="000A68C9">
        <w:rPr>
          <w:rFonts w:ascii="Calibri" w:hAnsi="Calibri" w:cs="Calibri"/>
        </w:rPr>
        <w:t xml:space="preserve"> </w:t>
      </w:r>
      <w:r w:rsidRPr="00B42C65">
        <w:rPr>
          <w:rFonts w:ascii="Calibri" w:hAnsi="Calibri" w:cs="Calibri"/>
        </w:rPr>
        <w:t xml:space="preserve">costed using the same rates as during development of the Core </w:t>
      </w:r>
      <w:r>
        <w:rPr>
          <w:rFonts w:ascii="Calibri" w:hAnsi="Calibri" w:cs="Calibri"/>
        </w:rPr>
        <w:t>m</w:t>
      </w:r>
      <w:r w:rsidRPr="00B42C65">
        <w:rPr>
          <w:rFonts w:ascii="Calibri" w:hAnsi="Calibri" w:cs="Calibri"/>
        </w:rPr>
        <w:t>onitoring</w:t>
      </w:r>
      <w:r>
        <w:rPr>
          <w:rFonts w:ascii="Calibri" w:hAnsi="Calibri" w:cs="Calibri"/>
        </w:rPr>
        <w:t xml:space="preserve"> p</w:t>
      </w:r>
      <w:r w:rsidRPr="00B42C65">
        <w:rPr>
          <w:rFonts w:ascii="Calibri" w:hAnsi="Calibri" w:cs="Calibri"/>
        </w:rPr>
        <w:t>rogram</w:t>
      </w:r>
    </w:p>
    <w:p w14:paraId="68692FD5" w14:textId="77777777" w:rsidR="008628AE" w:rsidRDefault="008628AE" w:rsidP="008628AE">
      <w:pPr>
        <w:pStyle w:val="Heading1"/>
      </w:pPr>
      <w:r>
        <w:t>Project delivery</w:t>
      </w:r>
    </w:p>
    <w:p w14:paraId="265CF1D8" w14:textId="4710C442" w:rsidR="008628AE" w:rsidRDefault="008628AE" w:rsidP="008628AE">
      <w:r>
        <w:t>Research is expected to begin in Spring 2020, following the detail of the final proposal. We envisage up to 2 years of data collection, with the final phase of the project focusing on reporting and other communications of findings.</w:t>
      </w:r>
    </w:p>
    <w:p w14:paraId="56B6C1C9" w14:textId="77777777" w:rsidR="008628AE" w:rsidRDefault="008628AE" w:rsidP="008628AE">
      <w:r>
        <w:t xml:space="preserve">While research will be driven by this program for the duration of the project, we will periodically review and revise the plan </w:t>
      </w:r>
      <w:proofErr w:type="gramStart"/>
      <w:r>
        <w:t>in light of</w:t>
      </w:r>
      <w:proofErr w:type="gramEnd"/>
      <w:r>
        <w:t xml:space="preserve"> emerging knowledge and preliminary findings. There may be variations in detailed research questions, </w:t>
      </w:r>
      <w:proofErr w:type="gramStart"/>
      <w:r>
        <w:t>methods</w:t>
      </w:r>
      <w:proofErr w:type="gramEnd"/>
      <w:r>
        <w:t xml:space="preserve"> or balance of activities.</w:t>
      </w:r>
    </w:p>
    <w:p w14:paraId="3C351F73" w14:textId="77777777" w:rsidR="008628AE" w:rsidRDefault="008628AE" w:rsidP="008628AE">
      <w:pPr>
        <w:pStyle w:val="Heading1"/>
      </w:pPr>
      <w:r>
        <w:t>Reporting</w:t>
      </w:r>
    </w:p>
    <w:p w14:paraId="5D045A0A" w14:textId="77777777" w:rsidR="008628AE" w:rsidRPr="000A68C9" w:rsidRDefault="008628AE" w:rsidP="008628AE">
      <w:pPr>
        <w:rPr>
          <w:rFonts w:asciiTheme="minorHAnsi" w:hAnsiTheme="minorHAnsi" w:cstheme="minorBidi"/>
        </w:rPr>
      </w:pPr>
      <w:r>
        <w:t>Project progress and outcomes will be primarily reported through the Goulburn MER Annual Report and through the Quarterly Outcomes Newsletter. We intend to write one or more journal papers from the findings, with the additional time to develop these being an in-kind contribution of the Goulburn MER Program team. We will present findings of the research at community forums developed through the Communications and Engagement program, the MER Annual Forum and other community events. We will also present findings at local and international conferences.</w:t>
      </w:r>
    </w:p>
    <w:p w14:paraId="6E88BD0A" w14:textId="4D878DAC" w:rsidR="006D2CD2" w:rsidRDefault="006D2CD2">
      <w:pPr>
        <w:spacing w:after="0" w:line="240" w:lineRule="auto"/>
        <w:rPr>
          <w:rFonts w:ascii="Calibri" w:eastAsia="Calibri" w:hAnsi="Calibri" w:cs="Times New Roman"/>
          <w:u w:val="single"/>
          <w:lang w:eastAsia="en-US" w:bidi="ar-SA"/>
        </w:rPr>
      </w:pPr>
    </w:p>
    <w:sectPr w:rsidR="006D2CD2" w:rsidSect="00D1761A">
      <w:footerReference w:type="default" r:id="rId13"/>
      <w:pgSz w:w="11906" w:h="16838"/>
      <w:pgMar w:top="993"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623ED" w14:textId="77777777" w:rsidR="007519E8" w:rsidRDefault="007519E8" w:rsidP="00A60185">
      <w:pPr>
        <w:spacing w:after="0" w:line="240" w:lineRule="auto"/>
      </w:pPr>
      <w:r>
        <w:separator/>
      </w:r>
    </w:p>
  </w:endnote>
  <w:endnote w:type="continuationSeparator" w:id="0">
    <w:p w14:paraId="684FEC9D" w14:textId="77777777" w:rsidR="007519E8" w:rsidRDefault="007519E8"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3830"/>
      <w:docPartObj>
        <w:docPartGallery w:val="Page Numbers (Bottom of Page)"/>
        <w:docPartUnique/>
      </w:docPartObj>
    </w:sdtPr>
    <w:sdtEndPr/>
    <w:sdtContent>
      <w:p w14:paraId="1CBCA082" w14:textId="77777777" w:rsidR="008628AE" w:rsidRDefault="008628AE">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32B43" w14:textId="77777777" w:rsidR="007519E8" w:rsidRDefault="007519E8" w:rsidP="00A60185">
      <w:pPr>
        <w:spacing w:after="0" w:line="240" w:lineRule="auto"/>
      </w:pPr>
      <w:r>
        <w:separator/>
      </w:r>
    </w:p>
  </w:footnote>
  <w:footnote w:type="continuationSeparator" w:id="0">
    <w:p w14:paraId="20319B09" w14:textId="77777777" w:rsidR="007519E8" w:rsidRDefault="007519E8" w:rsidP="00A60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51D5257"/>
    <w:multiLevelType w:val="hybridMultilevel"/>
    <w:tmpl w:val="A8F8B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3F486F"/>
    <w:multiLevelType w:val="hybridMultilevel"/>
    <w:tmpl w:val="38B0FF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115B3"/>
    <w:multiLevelType w:val="multilevel"/>
    <w:tmpl w:val="5914E0C4"/>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5460BD"/>
    <w:multiLevelType w:val="hybridMultilevel"/>
    <w:tmpl w:val="2864D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F5017"/>
    <w:multiLevelType w:val="hybridMultilevel"/>
    <w:tmpl w:val="A476E87A"/>
    <w:lvl w:ilvl="0" w:tplc="A9D0FE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294969"/>
    <w:multiLevelType w:val="hybridMultilevel"/>
    <w:tmpl w:val="FADC8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F51A78"/>
    <w:multiLevelType w:val="multilevel"/>
    <w:tmpl w:val="68B681B8"/>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926341"/>
    <w:multiLevelType w:val="hybridMultilevel"/>
    <w:tmpl w:val="D02C9CAE"/>
    <w:lvl w:ilvl="0" w:tplc="9AA66414">
      <w:start w:val="7"/>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3984096"/>
    <w:multiLevelType w:val="multilevel"/>
    <w:tmpl w:val="F2BCE08E"/>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D60F34"/>
    <w:multiLevelType w:val="multilevel"/>
    <w:tmpl w:val="BC664280"/>
    <w:lvl w:ilvl="0">
      <w:start w:val="1"/>
      <w:numFmt w:val="decimal"/>
      <w:lvlText w:val="%1."/>
      <w:lvlJc w:val="left"/>
      <w:pPr>
        <w:tabs>
          <w:tab w:val="num" w:pos="851"/>
        </w:tabs>
        <w:ind w:left="851" w:hanging="851"/>
      </w:pPr>
      <w:rPr>
        <w:rFonts w:ascii="Arial" w:hAnsi="Arial" w:cs="Times New Roman" w:hint="default"/>
        <w:b/>
        <w:sz w:val="32"/>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lowerLetter"/>
      <w:pStyle w:val="LegalClauseLevel3"/>
      <w:lvlText w:val="(%3)"/>
      <w:lvlJc w:val="left"/>
      <w:pPr>
        <w:tabs>
          <w:tab w:val="num" w:pos="1702"/>
        </w:tabs>
        <w:ind w:left="1702" w:hanging="567"/>
      </w:pPr>
      <w:rPr>
        <w:rFonts w:ascii="Arial" w:hAnsi="Arial" w:cs="Arial" w:hint="default"/>
        <w:b w:val="0"/>
        <w:i w:val="0"/>
        <w:color w:val="auto"/>
        <w:sz w:val="22"/>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456429"/>
    <w:multiLevelType w:val="multilevel"/>
    <w:tmpl w:val="E898CC72"/>
    <w:numStyleLink w:val="KeyPoints"/>
  </w:abstractNum>
  <w:abstractNum w:abstractNumId="16" w15:restartNumberingAfterBreak="0">
    <w:nsid w:val="688C19E9"/>
    <w:multiLevelType w:val="hybridMultilevel"/>
    <w:tmpl w:val="5542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709C4"/>
    <w:multiLevelType w:val="hybridMultilevel"/>
    <w:tmpl w:val="B054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E35F2"/>
    <w:multiLevelType w:val="hybridMultilevel"/>
    <w:tmpl w:val="9780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BF705AF"/>
    <w:multiLevelType w:val="multilevel"/>
    <w:tmpl w:val="57420B4E"/>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Calibri" w:hAnsi="Calibri" w:hint="default"/>
      </w:rPr>
    </w:lvl>
    <w:lvl w:ilvl="2">
      <w:start w:val="1"/>
      <w:numFmt w:val="bullet"/>
      <w:lvlText w:val=""/>
      <w:lvlJc w:val="left"/>
      <w:pPr>
        <w:ind w:left="1361" w:hanging="341"/>
      </w:pPr>
      <w:rPr>
        <w:rFonts w:ascii="Symbol" w:hAnsi="Symbol" w:hint="default"/>
      </w:rPr>
    </w:lvl>
    <w:lvl w:ilvl="3">
      <w:start w:val="1"/>
      <w:numFmt w:val="bullet"/>
      <w:lvlText w:val="–"/>
      <w:lvlJc w:val="left"/>
      <w:pPr>
        <w:ind w:left="1701" w:hanging="340"/>
      </w:pPr>
      <w:rPr>
        <w:rFonts w:ascii="Times New Roman" w:hAnsi="Times New Roman" w:cs="Times New Roman"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1" w15:restartNumberingAfterBreak="0">
    <w:nsid w:val="7E58552A"/>
    <w:multiLevelType w:val="multilevel"/>
    <w:tmpl w:val="D784815A"/>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9"/>
  </w:num>
  <w:num w:numId="4">
    <w:abstractNumId w:val="0"/>
  </w:num>
  <w:num w:numId="5">
    <w:abstractNumId w:val="8"/>
  </w:num>
  <w:num w:numId="6">
    <w:abstractNumId w:val="15"/>
  </w:num>
  <w:num w:numId="7">
    <w:abstractNumId w:val="7"/>
  </w:num>
  <w:num w:numId="8">
    <w:abstractNumId w:val="0"/>
    <w:lvlOverride w:ilvl="0">
      <w:startOverride w:val="1"/>
    </w:lvlOverride>
  </w:num>
  <w:num w:numId="9">
    <w:abstractNumId w:val="18"/>
  </w:num>
  <w:num w:numId="10">
    <w:abstractNumId w:val="11"/>
  </w:num>
  <w:num w:numId="11">
    <w:abstractNumId w:val="13"/>
  </w:num>
  <w:num w:numId="12">
    <w:abstractNumId w:val="20"/>
  </w:num>
  <w:num w:numId="13">
    <w:abstractNumId w:val="21"/>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7"/>
  </w:num>
  <w:num w:numId="18">
    <w:abstractNumId w:val="6"/>
  </w:num>
  <w:num w:numId="19">
    <w:abstractNumId w:val="3"/>
  </w:num>
  <w:num w:numId="20">
    <w:abstractNumId w:val="2"/>
  </w:num>
  <w:num w:numId="21">
    <w:abstractNumId w:val="10"/>
  </w:num>
  <w:num w:numId="22">
    <w:abstractNumId w:val="5"/>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90D6A"/>
    <w:rsid w:val="0000407E"/>
    <w:rsid w:val="00004AEE"/>
    <w:rsid w:val="00005CAA"/>
    <w:rsid w:val="00010210"/>
    <w:rsid w:val="00012D66"/>
    <w:rsid w:val="00015ADA"/>
    <w:rsid w:val="00020C99"/>
    <w:rsid w:val="0002707B"/>
    <w:rsid w:val="00034E60"/>
    <w:rsid w:val="00042C76"/>
    <w:rsid w:val="0005148E"/>
    <w:rsid w:val="00052178"/>
    <w:rsid w:val="00057C74"/>
    <w:rsid w:val="00061E01"/>
    <w:rsid w:val="00072C5A"/>
    <w:rsid w:val="000759E5"/>
    <w:rsid w:val="000838CF"/>
    <w:rsid w:val="00084AC6"/>
    <w:rsid w:val="000903BC"/>
    <w:rsid w:val="00091608"/>
    <w:rsid w:val="0009218C"/>
    <w:rsid w:val="0009333C"/>
    <w:rsid w:val="0009704F"/>
    <w:rsid w:val="000A0F11"/>
    <w:rsid w:val="000A125A"/>
    <w:rsid w:val="000A2A0B"/>
    <w:rsid w:val="000A57CD"/>
    <w:rsid w:val="000B1E1E"/>
    <w:rsid w:val="000B3758"/>
    <w:rsid w:val="000B7681"/>
    <w:rsid w:val="000B7819"/>
    <w:rsid w:val="000B7B42"/>
    <w:rsid w:val="000C02B7"/>
    <w:rsid w:val="000C4068"/>
    <w:rsid w:val="000C5100"/>
    <w:rsid w:val="000C5342"/>
    <w:rsid w:val="000C706A"/>
    <w:rsid w:val="000D0AC1"/>
    <w:rsid w:val="000D1AB9"/>
    <w:rsid w:val="000D2887"/>
    <w:rsid w:val="000D6D63"/>
    <w:rsid w:val="000E0081"/>
    <w:rsid w:val="000E07CF"/>
    <w:rsid w:val="000E31C1"/>
    <w:rsid w:val="000E3278"/>
    <w:rsid w:val="000E4D0E"/>
    <w:rsid w:val="000F2608"/>
    <w:rsid w:val="000F2CF2"/>
    <w:rsid w:val="00100BEF"/>
    <w:rsid w:val="00110198"/>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3F5E"/>
    <w:rsid w:val="00174470"/>
    <w:rsid w:val="001746D2"/>
    <w:rsid w:val="00175ED3"/>
    <w:rsid w:val="00180396"/>
    <w:rsid w:val="00181AC7"/>
    <w:rsid w:val="001842A2"/>
    <w:rsid w:val="00187FA8"/>
    <w:rsid w:val="00192F5E"/>
    <w:rsid w:val="00194861"/>
    <w:rsid w:val="00197772"/>
    <w:rsid w:val="001A51C8"/>
    <w:rsid w:val="001A7402"/>
    <w:rsid w:val="001A771F"/>
    <w:rsid w:val="001B4CA8"/>
    <w:rsid w:val="001B5EA1"/>
    <w:rsid w:val="001B604F"/>
    <w:rsid w:val="001B7BC7"/>
    <w:rsid w:val="001C4F3D"/>
    <w:rsid w:val="001D0CDC"/>
    <w:rsid w:val="001D1D82"/>
    <w:rsid w:val="001E1182"/>
    <w:rsid w:val="001E1650"/>
    <w:rsid w:val="001F089E"/>
    <w:rsid w:val="00202C90"/>
    <w:rsid w:val="00213DE8"/>
    <w:rsid w:val="00213FB5"/>
    <w:rsid w:val="00216118"/>
    <w:rsid w:val="0021788C"/>
    <w:rsid w:val="002206DC"/>
    <w:rsid w:val="002209AB"/>
    <w:rsid w:val="002251E3"/>
    <w:rsid w:val="00227A95"/>
    <w:rsid w:val="002316BD"/>
    <w:rsid w:val="002473FC"/>
    <w:rsid w:val="00252E3C"/>
    <w:rsid w:val="00260E70"/>
    <w:rsid w:val="00262198"/>
    <w:rsid w:val="00274742"/>
    <w:rsid w:val="0027720F"/>
    <w:rsid w:val="00285F1B"/>
    <w:rsid w:val="00292B81"/>
    <w:rsid w:val="002A54F2"/>
    <w:rsid w:val="002B18AE"/>
    <w:rsid w:val="002B31CD"/>
    <w:rsid w:val="002C0C15"/>
    <w:rsid w:val="002C1C93"/>
    <w:rsid w:val="002C5066"/>
    <w:rsid w:val="002C5813"/>
    <w:rsid w:val="002C7A8C"/>
    <w:rsid w:val="002D03D7"/>
    <w:rsid w:val="002D4AAC"/>
    <w:rsid w:val="002F045A"/>
    <w:rsid w:val="0030039D"/>
    <w:rsid w:val="0030323A"/>
    <w:rsid w:val="0030326F"/>
    <w:rsid w:val="00305D97"/>
    <w:rsid w:val="00310701"/>
    <w:rsid w:val="00315980"/>
    <w:rsid w:val="00316F7F"/>
    <w:rsid w:val="003218E8"/>
    <w:rsid w:val="00325E34"/>
    <w:rsid w:val="00330DCE"/>
    <w:rsid w:val="00331418"/>
    <w:rsid w:val="00331E11"/>
    <w:rsid w:val="00332899"/>
    <w:rsid w:val="00334761"/>
    <w:rsid w:val="00337EBC"/>
    <w:rsid w:val="00341DCD"/>
    <w:rsid w:val="0034563E"/>
    <w:rsid w:val="00347AD5"/>
    <w:rsid w:val="003518D6"/>
    <w:rsid w:val="0035460C"/>
    <w:rsid w:val="00354F6D"/>
    <w:rsid w:val="003556BD"/>
    <w:rsid w:val="00365147"/>
    <w:rsid w:val="0037016E"/>
    <w:rsid w:val="00372908"/>
    <w:rsid w:val="00383020"/>
    <w:rsid w:val="003909AF"/>
    <w:rsid w:val="00393040"/>
    <w:rsid w:val="00394D7E"/>
    <w:rsid w:val="003975FD"/>
    <w:rsid w:val="003A25CA"/>
    <w:rsid w:val="003B057D"/>
    <w:rsid w:val="003B60CC"/>
    <w:rsid w:val="003B6945"/>
    <w:rsid w:val="003C1B25"/>
    <w:rsid w:val="003C2443"/>
    <w:rsid w:val="003C5DA3"/>
    <w:rsid w:val="003D4BCD"/>
    <w:rsid w:val="003D6C2B"/>
    <w:rsid w:val="003E01D8"/>
    <w:rsid w:val="003E2100"/>
    <w:rsid w:val="003E69FE"/>
    <w:rsid w:val="003E6C54"/>
    <w:rsid w:val="003F4CFA"/>
    <w:rsid w:val="003F6F5B"/>
    <w:rsid w:val="0040342D"/>
    <w:rsid w:val="0041192D"/>
    <w:rsid w:val="00413EE1"/>
    <w:rsid w:val="00416735"/>
    <w:rsid w:val="0042128E"/>
    <w:rsid w:val="00422A4E"/>
    <w:rsid w:val="00426216"/>
    <w:rsid w:val="004277C0"/>
    <w:rsid w:val="00427D53"/>
    <w:rsid w:val="00432B60"/>
    <w:rsid w:val="00440103"/>
    <w:rsid w:val="00440698"/>
    <w:rsid w:val="004540E2"/>
    <w:rsid w:val="00454454"/>
    <w:rsid w:val="00454FAE"/>
    <w:rsid w:val="0045502C"/>
    <w:rsid w:val="004551D2"/>
    <w:rsid w:val="00456619"/>
    <w:rsid w:val="00466E29"/>
    <w:rsid w:val="00467924"/>
    <w:rsid w:val="00467BEC"/>
    <w:rsid w:val="004712A5"/>
    <w:rsid w:val="0047266F"/>
    <w:rsid w:val="004739C8"/>
    <w:rsid w:val="00476D6B"/>
    <w:rsid w:val="00480760"/>
    <w:rsid w:val="00492C16"/>
    <w:rsid w:val="004A0117"/>
    <w:rsid w:val="004A0678"/>
    <w:rsid w:val="004A48A3"/>
    <w:rsid w:val="004A60F8"/>
    <w:rsid w:val="004B0D92"/>
    <w:rsid w:val="004B0EC0"/>
    <w:rsid w:val="004B66F1"/>
    <w:rsid w:val="004C3EA0"/>
    <w:rsid w:val="004D2DE4"/>
    <w:rsid w:val="004F1566"/>
    <w:rsid w:val="004F1AFC"/>
    <w:rsid w:val="004F7169"/>
    <w:rsid w:val="00500D66"/>
    <w:rsid w:val="00504696"/>
    <w:rsid w:val="00514C8E"/>
    <w:rsid w:val="005160C9"/>
    <w:rsid w:val="00516900"/>
    <w:rsid w:val="00531DBF"/>
    <w:rsid w:val="00533A45"/>
    <w:rsid w:val="00535BBC"/>
    <w:rsid w:val="00545759"/>
    <w:rsid w:val="00545BE0"/>
    <w:rsid w:val="00546930"/>
    <w:rsid w:val="00546A0A"/>
    <w:rsid w:val="00550CA3"/>
    <w:rsid w:val="00551331"/>
    <w:rsid w:val="005518E2"/>
    <w:rsid w:val="00554C6A"/>
    <w:rsid w:val="00562E85"/>
    <w:rsid w:val="0056332F"/>
    <w:rsid w:val="005719B3"/>
    <w:rsid w:val="0057295E"/>
    <w:rsid w:val="005740C6"/>
    <w:rsid w:val="00581C39"/>
    <w:rsid w:val="00583E1B"/>
    <w:rsid w:val="005903B6"/>
    <w:rsid w:val="00590D6A"/>
    <w:rsid w:val="005A0247"/>
    <w:rsid w:val="005A126E"/>
    <w:rsid w:val="005A452F"/>
    <w:rsid w:val="005B10A9"/>
    <w:rsid w:val="005B140D"/>
    <w:rsid w:val="005B3206"/>
    <w:rsid w:val="005C1FEA"/>
    <w:rsid w:val="005C3495"/>
    <w:rsid w:val="005C6721"/>
    <w:rsid w:val="005E3DFC"/>
    <w:rsid w:val="005E5942"/>
    <w:rsid w:val="005E60AF"/>
    <w:rsid w:val="005F1DEA"/>
    <w:rsid w:val="005F4A45"/>
    <w:rsid w:val="00607FC9"/>
    <w:rsid w:val="006132F8"/>
    <w:rsid w:val="00622FE1"/>
    <w:rsid w:val="0062521C"/>
    <w:rsid w:val="00630A2B"/>
    <w:rsid w:val="00632DC7"/>
    <w:rsid w:val="006357FB"/>
    <w:rsid w:val="006406FC"/>
    <w:rsid w:val="00640E57"/>
    <w:rsid w:val="0064209A"/>
    <w:rsid w:val="00646122"/>
    <w:rsid w:val="00653E16"/>
    <w:rsid w:val="00657220"/>
    <w:rsid w:val="00657362"/>
    <w:rsid w:val="0066104B"/>
    <w:rsid w:val="006655EE"/>
    <w:rsid w:val="00667C10"/>
    <w:rsid w:val="00667EF4"/>
    <w:rsid w:val="00676FCA"/>
    <w:rsid w:val="00677177"/>
    <w:rsid w:val="00681F1B"/>
    <w:rsid w:val="00683A78"/>
    <w:rsid w:val="00684C55"/>
    <w:rsid w:val="0068612E"/>
    <w:rsid w:val="00687C92"/>
    <w:rsid w:val="0069534E"/>
    <w:rsid w:val="0069669C"/>
    <w:rsid w:val="006A1200"/>
    <w:rsid w:val="006A2445"/>
    <w:rsid w:val="006A4F4E"/>
    <w:rsid w:val="006A6C23"/>
    <w:rsid w:val="006B14DB"/>
    <w:rsid w:val="006B21C4"/>
    <w:rsid w:val="006C2B87"/>
    <w:rsid w:val="006C3C0A"/>
    <w:rsid w:val="006C4A1A"/>
    <w:rsid w:val="006C5F92"/>
    <w:rsid w:val="006D0393"/>
    <w:rsid w:val="006D1A83"/>
    <w:rsid w:val="006D2CD2"/>
    <w:rsid w:val="006D6B74"/>
    <w:rsid w:val="006E1CFE"/>
    <w:rsid w:val="006F10C4"/>
    <w:rsid w:val="006F40E9"/>
    <w:rsid w:val="006F5603"/>
    <w:rsid w:val="006F7B87"/>
    <w:rsid w:val="00701400"/>
    <w:rsid w:val="00702562"/>
    <w:rsid w:val="00702F3B"/>
    <w:rsid w:val="007037CF"/>
    <w:rsid w:val="00707D2C"/>
    <w:rsid w:val="007167C0"/>
    <w:rsid w:val="00720481"/>
    <w:rsid w:val="00720F2A"/>
    <w:rsid w:val="00733193"/>
    <w:rsid w:val="0074169E"/>
    <w:rsid w:val="00744CF4"/>
    <w:rsid w:val="00744DDA"/>
    <w:rsid w:val="00745E03"/>
    <w:rsid w:val="007519E8"/>
    <w:rsid w:val="007547EF"/>
    <w:rsid w:val="00756533"/>
    <w:rsid w:val="0075732A"/>
    <w:rsid w:val="007600F8"/>
    <w:rsid w:val="00760262"/>
    <w:rsid w:val="0076310C"/>
    <w:rsid w:val="00764655"/>
    <w:rsid w:val="0076744F"/>
    <w:rsid w:val="00767BCE"/>
    <w:rsid w:val="00767EFC"/>
    <w:rsid w:val="007707DE"/>
    <w:rsid w:val="00770B5D"/>
    <w:rsid w:val="007752F1"/>
    <w:rsid w:val="00776768"/>
    <w:rsid w:val="0078187A"/>
    <w:rsid w:val="00794ED8"/>
    <w:rsid w:val="007A2573"/>
    <w:rsid w:val="007A7A84"/>
    <w:rsid w:val="007B106C"/>
    <w:rsid w:val="007B1A4E"/>
    <w:rsid w:val="007B3D05"/>
    <w:rsid w:val="007B5503"/>
    <w:rsid w:val="007B613B"/>
    <w:rsid w:val="007C179C"/>
    <w:rsid w:val="007C4EB6"/>
    <w:rsid w:val="007C5942"/>
    <w:rsid w:val="007C6BB3"/>
    <w:rsid w:val="007D14B4"/>
    <w:rsid w:val="007D28E0"/>
    <w:rsid w:val="007D3AD7"/>
    <w:rsid w:val="007D3E99"/>
    <w:rsid w:val="007D553D"/>
    <w:rsid w:val="007E24F6"/>
    <w:rsid w:val="00800F64"/>
    <w:rsid w:val="00801050"/>
    <w:rsid w:val="00802F0B"/>
    <w:rsid w:val="00803E03"/>
    <w:rsid w:val="00810A67"/>
    <w:rsid w:val="00812DCF"/>
    <w:rsid w:val="00833CF7"/>
    <w:rsid w:val="00834CDE"/>
    <w:rsid w:val="00842464"/>
    <w:rsid w:val="00844672"/>
    <w:rsid w:val="00845601"/>
    <w:rsid w:val="00855C5C"/>
    <w:rsid w:val="008628AE"/>
    <w:rsid w:val="00877C5A"/>
    <w:rsid w:val="0089231A"/>
    <w:rsid w:val="008955C7"/>
    <w:rsid w:val="008A0619"/>
    <w:rsid w:val="008A3C96"/>
    <w:rsid w:val="008B14F6"/>
    <w:rsid w:val="008B4019"/>
    <w:rsid w:val="008B65C9"/>
    <w:rsid w:val="008C2D4A"/>
    <w:rsid w:val="008D3900"/>
    <w:rsid w:val="008D6D35"/>
    <w:rsid w:val="008D6E1D"/>
    <w:rsid w:val="008E3924"/>
    <w:rsid w:val="008F1829"/>
    <w:rsid w:val="008F39B4"/>
    <w:rsid w:val="008F4162"/>
    <w:rsid w:val="008F7673"/>
    <w:rsid w:val="009009D1"/>
    <w:rsid w:val="00903E02"/>
    <w:rsid w:val="009113A1"/>
    <w:rsid w:val="00913175"/>
    <w:rsid w:val="0091328E"/>
    <w:rsid w:val="009157A7"/>
    <w:rsid w:val="00916EDB"/>
    <w:rsid w:val="009174FF"/>
    <w:rsid w:val="00920861"/>
    <w:rsid w:val="00922B13"/>
    <w:rsid w:val="009242EF"/>
    <w:rsid w:val="00932291"/>
    <w:rsid w:val="00932861"/>
    <w:rsid w:val="0093408E"/>
    <w:rsid w:val="009412A1"/>
    <w:rsid w:val="00952DDF"/>
    <w:rsid w:val="00960534"/>
    <w:rsid w:val="009610A3"/>
    <w:rsid w:val="00961ED6"/>
    <w:rsid w:val="00963B6A"/>
    <w:rsid w:val="009673E6"/>
    <w:rsid w:val="00970950"/>
    <w:rsid w:val="009812D4"/>
    <w:rsid w:val="009920D8"/>
    <w:rsid w:val="00994872"/>
    <w:rsid w:val="009952F5"/>
    <w:rsid w:val="009A6DB7"/>
    <w:rsid w:val="009B38BE"/>
    <w:rsid w:val="009B74CB"/>
    <w:rsid w:val="009C3D0F"/>
    <w:rsid w:val="009D1519"/>
    <w:rsid w:val="009E1B19"/>
    <w:rsid w:val="009F35E2"/>
    <w:rsid w:val="009F65F9"/>
    <w:rsid w:val="009F68BA"/>
    <w:rsid w:val="009F6C7B"/>
    <w:rsid w:val="00A03240"/>
    <w:rsid w:val="00A05F76"/>
    <w:rsid w:val="00A06277"/>
    <w:rsid w:val="00A079DC"/>
    <w:rsid w:val="00A111C2"/>
    <w:rsid w:val="00A1582E"/>
    <w:rsid w:val="00A179B4"/>
    <w:rsid w:val="00A27DA7"/>
    <w:rsid w:val="00A338E7"/>
    <w:rsid w:val="00A35CAA"/>
    <w:rsid w:val="00A36E7F"/>
    <w:rsid w:val="00A41E65"/>
    <w:rsid w:val="00A43E0A"/>
    <w:rsid w:val="00A530C7"/>
    <w:rsid w:val="00A53E19"/>
    <w:rsid w:val="00A55F5B"/>
    <w:rsid w:val="00A60185"/>
    <w:rsid w:val="00A60423"/>
    <w:rsid w:val="00A62A2B"/>
    <w:rsid w:val="00A646F0"/>
    <w:rsid w:val="00A661EA"/>
    <w:rsid w:val="00A753A8"/>
    <w:rsid w:val="00A816D8"/>
    <w:rsid w:val="00A830E5"/>
    <w:rsid w:val="00A85565"/>
    <w:rsid w:val="00A87135"/>
    <w:rsid w:val="00A93280"/>
    <w:rsid w:val="00A951EA"/>
    <w:rsid w:val="00AA2548"/>
    <w:rsid w:val="00AA2874"/>
    <w:rsid w:val="00AA38AE"/>
    <w:rsid w:val="00AA3B9E"/>
    <w:rsid w:val="00AA554E"/>
    <w:rsid w:val="00AA58C4"/>
    <w:rsid w:val="00AA7003"/>
    <w:rsid w:val="00AB11C8"/>
    <w:rsid w:val="00AC08A8"/>
    <w:rsid w:val="00AD56C8"/>
    <w:rsid w:val="00AD58F2"/>
    <w:rsid w:val="00AF4C6E"/>
    <w:rsid w:val="00B00C31"/>
    <w:rsid w:val="00B0512A"/>
    <w:rsid w:val="00B0529F"/>
    <w:rsid w:val="00B1418B"/>
    <w:rsid w:val="00B1558A"/>
    <w:rsid w:val="00B1667F"/>
    <w:rsid w:val="00B21195"/>
    <w:rsid w:val="00B24B22"/>
    <w:rsid w:val="00B25310"/>
    <w:rsid w:val="00B32F8F"/>
    <w:rsid w:val="00B3492A"/>
    <w:rsid w:val="00B514CE"/>
    <w:rsid w:val="00B52FB5"/>
    <w:rsid w:val="00B54DE9"/>
    <w:rsid w:val="00B553EC"/>
    <w:rsid w:val="00B55E3F"/>
    <w:rsid w:val="00B56034"/>
    <w:rsid w:val="00B63C1E"/>
    <w:rsid w:val="00B93DD0"/>
    <w:rsid w:val="00B97732"/>
    <w:rsid w:val="00BA12ED"/>
    <w:rsid w:val="00BA564F"/>
    <w:rsid w:val="00BA65A8"/>
    <w:rsid w:val="00BA6D19"/>
    <w:rsid w:val="00BA7461"/>
    <w:rsid w:val="00BA7DA9"/>
    <w:rsid w:val="00BB62DB"/>
    <w:rsid w:val="00BC3ECA"/>
    <w:rsid w:val="00BC4215"/>
    <w:rsid w:val="00BD13F5"/>
    <w:rsid w:val="00BD1A6F"/>
    <w:rsid w:val="00BE252A"/>
    <w:rsid w:val="00BE6D3C"/>
    <w:rsid w:val="00BE6E35"/>
    <w:rsid w:val="00BE7852"/>
    <w:rsid w:val="00BF7CEE"/>
    <w:rsid w:val="00C03880"/>
    <w:rsid w:val="00C114DD"/>
    <w:rsid w:val="00C135CF"/>
    <w:rsid w:val="00C142AF"/>
    <w:rsid w:val="00C14B22"/>
    <w:rsid w:val="00C2683F"/>
    <w:rsid w:val="00C3184D"/>
    <w:rsid w:val="00C444BE"/>
    <w:rsid w:val="00C4714E"/>
    <w:rsid w:val="00C47847"/>
    <w:rsid w:val="00C51CCA"/>
    <w:rsid w:val="00C5504F"/>
    <w:rsid w:val="00C57B55"/>
    <w:rsid w:val="00C63376"/>
    <w:rsid w:val="00C74F97"/>
    <w:rsid w:val="00C8276E"/>
    <w:rsid w:val="00C842AC"/>
    <w:rsid w:val="00C96688"/>
    <w:rsid w:val="00CA0723"/>
    <w:rsid w:val="00CA535A"/>
    <w:rsid w:val="00CB1690"/>
    <w:rsid w:val="00CC4365"/>
    <w:rsid w:val="00CD11B0"/>
    <w:rsid w:val="00CD57E4"/>
    <w:rsid w:val="00CE71C2"/>
    <w:rsid w:val="00CF34E9"/>
    <w:rsid w:val="00CF42D5"/>
    <w:rsid w:val="00CF4EDA"/>
    <w:rsid w:val="00D021CB"/>
    <w:rsid w:val="00D10F1A"/>
    <w:rsid w:val="00D116F8"/>
    <w:rsid w:val="00D12A53"/>
    <w:rsid w:val="00D15BF7"/>
    <w:rsid w:val="00D17596"/>
    <w:rsid w:val="00D1761A"/>
    <w:rsid w:val="00D21D54"/>
    <w:rsid w:val="00D22640"/>
    <w:rsid w:val="00D26D3A"/>
    <w:rsid w:val="00D27A00"/>
    <w:rsid w:val="00D35FA2"/>
    <w:rsid w:val="00D45EE3"/>
    <w:rsid w:val="00D50618"/>
    <w:rsid w:val="00D509E9"/>
    <w:rsid w:val="00D53B1C"/>
    <w:rsid w:val="00D63539"/>
    <w:rsid w:val="00D64C82"/>
    <w:rsid w:val="00D65996"/>
    <w:rsid w:val="00D70B1B"/>
    <w:rsid w:val="00D75624"/>
    <w:rsid w:val="00DA1B12"/>
    <w:rsid w:val="00DA3078"/>
    <w:rsid w:val="00DA54C9"/>
    <w:rsid w:val="00DA5DB3"/>
    <w:rsid w:val="00DA6739"/>
    <w:rsid w:val="00DA6CAE"/>
    <w:rsid w:val="00DB1A9E"/>
    <w:rsid w:val="00DB31D6"/>
    <w:rsid w:val="00DB4005"/>
    <w:rsid w:val="00DC1D58"/>
    <w:rsid w:val="00DC34EB"/>
    <w:rsid w:val="00DF1E5B"/>
    <w:rsid w:val="00DF2275"/>
    <w:rsid w:val="00DF3F5E"/>
    <w:rsid w:val="00DF5653"/>
    <w:rsid w:val="00E0596E"/>
    <w:rsid w:val="00E06F66"/>
    <w:rsid w:val="00E13EA4"/>
    <w:rsid w:val="00E140D7"/>
    <w:rsid w:val="00E16580"/>
    <w:rsid w:val="00E356E5"/>
    <w:rsid w:val="00E36F81"/>
    <w:rsid w:val="00E45765"/>
    <w:rsid w:val="00E5098C"/>
    <w:rsid w:val="00E60213"/>
    <w:rsid w:val="00E661B2"/>
    <w:rsid w:val="00E74D29"/>
    <w:rsid w:val="00E81B5F"/>
    <w:rsid w:val="00E83C74"/>
    <w:rsid w:val="00E83CEE"/>
    <w:rsid w:val="00E87EF6"/>
    <w:rsid w:val="00E91F18"/>
    <w:rsid w:val="00E9226D"/>
    <w:rsid w:val="00EA32D1"/>
    <w:rsid w:val="00EA416C"/>
    <w:rsid w:val="00EA5941"/>
    <w:rsid w:val="00EB2757"/>
    <w:rsid w:val="00EB3F0F"/>
    <w:rsid w:val="00EB3F70"/>
    <w:rsid w:val="00EB60CE"/>
    <w:rsid w:val="00EB7D53"/>
    <w:rsid w:val="00ED54F0"/>
    <w:rsid w:val="00ED60EE"/>
    <w:rsid w:val="00ED7458"/>
    <w:rsid w:val="00EE3146"/>
    <w:rsid w:val="00EF50BB"/>
    <w:rsid w:val="00EF53FF"/>
    <w:rsid w:val="00F00192"/>
    <w:rsid w:val="00F01DF6"/>
    <w:rsid w:val="00F0340D"/>
    <w:rsid w:val="00F059A6"/>
    <w:rsid w:val="00F112AB"/>
    <w:rsid w:val="00F17850"/>
    <w:rsid w:val="00F23756"/>
    <w:rsid w:val="00F2523A"/>
    <w:rsid w:val="00F25FFA"/>
    <w:rsid w:val="00F310D2"/>
    <w:rsid w:val="00F33A61"/>
    <w:rsid w:val="00F33CA5"/>
    <w:rsid w:val="00F347B3"/>
    <w:rsid w:val="00F36F3D"/>
    <w:rsid w:val="00F477BD"/>
    <w:rsid w:val="00F53491"/>
    <w:rsid w:val="00F65419"/>
    <w:rsid w:val="00F65A1C"/>
    <w:rsid w:val="00F66F50"/>
    <w:rsid w:val="00F82FF8"/>
    <w:rsid w:val="00F8330D"/>
    <w:rsid w:val="00F84305"/>
    <w:rsid w:val="00F8485C"/>
    <w:rsid w:val="00F87149"/>
    <w:rsid w:val="00F87FFE"/>
    <w:rsid w:val="00F954C9"/>
    <w:rsid w:val="00FA1D91"/>
    <w:rsid w:val="00FA4CF0"/>
    <w:rsid w:val="00FA61AA"/>
    <w:rsid w:val="00FA69A4"/>
    <w:rsid w:val="00FB1279"/>
    <w:rsid w:val="00FB1495"/>
    <w:rsid w:val="00FB2646"/>
    <w:rsid w:val="00FB677E"/>
    <w:rsid w:val="00FB6850"/>
    <w:rsid w:val="00FD1694"/>
    <w:rsid w:val="00FD3BA8"/>
    <w:rsid w:val="00FD7636"/>
    <w:rsid w:val="00FE0A69"/>
    <w:rsid w:val="00FE3229"/>
    <w:rsid w:val="00FE74C3"/>
    <w:rsid w:val="00FE7A15"/>
    <w:rsid w:val="00FF209C"/>
    <w:rsid w:val="00FF215C"/>
    <w:rsid w:val="00FF49E8"/>
    <w:rsid w:val="00FF672F"/>
    <w:rsid w:val="55763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CA007"/>
  <w15:chartTrackingRefBased/>
  <w15:docId w15:val="{B1D67677-AF8F-406D-98EB-F34B2E25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46"/>
    <w:pPr>
      <w:spacing w:after="140" w:line="280" w:lineRule="atLeast"/>
    </w:pPr>
    <w:rPr>
      <w:rFonts w:ascii="Times New Roman" w:eastAsia="Times New Roman" w:hAnsi="Times New Roman" w:cs="Angsana New"/>
      <w:sz w:val="22"/>
      <w:szCs w:val="22"/>
      <w:lang w:eastAsia="zh-CN" w:bidi="th-TH"/>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iPriority w:val="99"/>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LegalHeading3">
    <w:name w:val="Legal Heading 3"/>
    <w:basedOn w:val="Normal"/>
    <w:next w:val="Normal"/>
    <w:qFormat/>
    <w:rsid w:val="00590D6A"/>
    <w:pPr>
      <w:keepNext/>
      <w:keepLines/>
      <w:pBdr>
        <w:bottom w:val="single" w:sz="4" w:space="1" w:color="auto"/>
      </w:pBdr>
      <w:spacing w:before="200" w:after="0" w:line="240" w:lineRule="auto"/>
      <w:outlineLvl w:val="2"/>
    </w:pPr>
    <w:rPr>
      <w:rFonts w:ascii="Arial" w:hAnsi="Arial" w:cs="Arial"/>
      <w:bCs/>
      <w:sz w:val="42"/>
      <w:szCs w:val="42"/>
      <w:lang w:eastAsia="en-US" w:bidi="ar-SA"/>
    </w:rPr>
  </w:style>
  <w:style w:type="table" w:customStyle="1" w:styleId="TableGrid1">
    <w:name w:val="Table Grid1"/>
    <w:basedOn w:val="TableNormal"/>
    <w:next w:val="TableGrid"/>
    <w:rsid w:val="00590D6A"/>
    <w:rPr>
      <w:rFonts w:eastAsiaTheme="minorHAnsi" w:cs="Angsan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445"/>
    <w:rPr>
      <w:sz w:val="16"/>
      <w:szCs w:val="16"/>
    </w:rPr>
  </w:style>
  <w:style w:type="paragraph" w:styleId="CommentText">
    <w:name w:val="annotation text"/>
    <w:basedOn w:val="Normal"/>
    <w:link w:val="CommentTextChar"/>
    <w:uiPriority w:val="99"/>
    <w:semiHidden/>
    <w:unhideWhenUsed/>
    <w:rsid w:val="006A2445"/>
    <w:pPr>
      <w:spacing w:line="240" w:lineRule="auto"/>
    </w:pPr>
    <w:rPr>
      <w:sz w:val="20"/>
      <w:szCs w:val="25"/>
    </w:rPr>
  </w:style>
  <w:style w:type="character" w:customStyle="1" w:styleId="CommentTextChar">
    <w:name w:val="Comment Text Char"/>
    <w:basedOn w:val="DefaultParagraphFont"/>
    <w:link w:val="CommentText"/>
    <w:uiPriority w:val="99"/>
    <w:semiHidden/>
    <w:rsid w:val="006A2445"/>
    <w:rPr>
      <w:rFonts w:ascii="Times New Roman" w:eastAsia="Times New Roman" w:hAnsi="Times New Roman" w:cs="Angsana New"/>
      <w:szCs w:val="25"/>
      <w:lang w:eastAsia="zh-CN" w:bidi="th-TH"/>
    </w:rPr>
  </w:style>
  <w:style w:type="paragraph" w:styleId="CommentSubject">
    <w:name w:val="annotation subject"/>
    <w:basedOn w:val="CommentText"/>
    <w:next w:val="CommentText"/>
    <w:link w:val="CommentSubjectChar"/>
    <w:uiPriority w:val="99"/>
    <w:semiHidden/>
    <w:unhideWhenUsed/>
    <w:rsid w:val="006A2445"/>
    <w:rPr>
      <w:b/>
      <w:bCs/>
    </w:rPr>
  </w:style>
  <w:style w:type="character" w:customStyle="1" w:styleId="CommentSubjectChar">
    <w:name w:val="Comment Subject Char"/>
    <w:basedOn w:val="CommentTextChar"/>
    <w:link w:val="CommentSubject"/>
    <w:uiPriority w:val="99"/>
    <w:semiHidden/>
    <w:rsid w:val="006A2445"/>
    <w:rPr>
      <w:rFonts w:ascii="Times New Roman" w:eastAsia="Times New Roman" w:hAnsi="Times New Roman" w:cs="Angsana New"/>
      <w:b/>
      <w:bCs/>
      <w:szCs w:val="25"/>
      <w:lang w:eastAsia="zh-CN" w:bidi="th-TH"/>
    </w:rPr>
  </w:style>
  <w:style w:type="character" w:styleId="Hyperlink">
    <w:name w:val="Hyperlink"/>
    <w:basedOn w:val="DefaultParagraphFont"/>
    <w:uiPriority w:val="99"/>
    <w:unhideWhenUsed/>
    <w:rsid w:val="00416735"/>
    <w:rPr>
      <w:color w:val="0000FF" w:themeColor="hyperlink"/>
      <w:u w:val="single"/>
    </w:rPr>
  </w:style>
  <w:style w:type="character" w:customStyle="1" w:styleId="UnresolvedMention1">
    <w:name w:val="Unresolved Mention1"/>
    <w:basedOn w:val="DefaultParagraphFont"/>
    <w:uiPriority w:val="99"/>
    <w:semiHidden/>
    <w:unhideWhenUsed/>
    <w:rsid w:val="00681F1B"/>
    <w:rPr>
      <w:color w:val="605E5C"/>
      <w:shd w:val="clear" w:color="auto" w:fill="E1DFDD"/>
    </w:rPr>
  </w:style>
  <w:style w:type="paragraph" w:customStyle="1" w:styleId="LegalClauseLevel3">
    <w:name w:val="Legal Clause Level 3"/>
    <w:basedOn w:val="Normal"/>
    <w:qFormat/>
    <w:rsid w:val="008F1829"/>
    <w:pPr>
      <w:numPr>
        <w:ilvl w:val="2"/>
        <w:numId w:val="15"/>
      </w:numPr>
      <w:outlineLvl w:val="3"/>
    </w:pPr>
    <w:rPr>
      <w:rFonts w:ascii="Arial" w:hAnsi="Arial" w:cs="Arial"/>
    </w:rPr>
  </w:style>
  <w:style w:type="paragraph" w:customStyle="1" w:styleId="LegalClauseLevel4">
    <w:name w:val="Legal Clause Level 4"/>
    <w:basedOn w:val="Normal"/>
    <w:qFormat/>
    <w:rsid w:val="008F1829"/>
    <w:pPr>
      <w:numPr>
        <w:ilvl w:val="3"/>
        <w:numId w:val="15"/>
      </w:numPr>
      <w:outlineLvl w:val="3"/>
    </w:pPr>
    <w:rPr>
      <w:rFonts w:ascii="Arial" w:hAnsi="Arial" w:cs="Arial"/>
    </w:rPr>
  </w:style>
  <w:style w:type="paragraph" w:customStyle="1" w:styleId="LegalClauseLevel5">
    <w:name w:val="Legal Clause Level 5"/>
    <w:basedOn w:val="Normal"/>
    <w:qFormat/>
    <w:rsid w:val="008F1829"/>
    <w:pPr>
      <w:numPr>
        <w:ilvl w:val="4"/>
        <w:numId w:val="15"/>
      </w:numPr>
      <w:outlineLvl w:val="4"/>
    </w:pPr>
    <w:rPr>
      <w:rFonts w:ascii="Arial" w:hAnsi="Arial" w:cs="Arial"/>
    </w:rPr>
  </w:style>
  <w:style w:type="paragraph" w:customStyle="1" w:styleId="LegalScheduleLevel3">
    <w:name w:val="Legal Schedule Level 3"/>
    <w:basedOn w:val="LegalClauseLevel3"/>
    <w:qFormat/>
    <w:rsid w:val="008F1829"/>
  </w:style>
  <w:style w:type="paragraph" w:styleId="Title">
    <w:name w:val="Title"/>
    <w:basedOn w:val="Normal"/>
    <w:next w:val="Normal"/>
    <w:link w:val="TitleChar"/>
    <w:uiPriority w:val="10"/>
    <w:qFormat/>
    <w:rsid w:val="008628AE"/>
    <w:pPr>
      <w:spacing w:after="0" w:line="240" w:lineRule="auto"/>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8628AE"/>
    <w:rPr>
      <w:rFonts w:asciiTheme="majorHAnsi" w:eastAsiaTheme="majorEastAsia" w:hAnsiTheme="majorHAnsi" w:cstheme="majorBidi"/>
      <w:spacing w:val="-10"/>
      <w:kern w:val="28"/>
      <w:sz w:val="56"/>
      <w:szCs w:val="56"/>
      <w:lang w:eastAsia="en-US"/>
    </w:rPr>
  </w:style>
  <w:style w:type="paragraph" w:customStyle="1" w:styleId="Para0">
    <w:name w:val="Para 0"/>
    <w:aliases w:val="Auto,After:  3 pt"/>
    <w:basedOn w:val="Normal"/>
    <w:link w:val="Para0Char"/>
    <w:qFormat/>
    <w:rsid w:val="008628AE"/>
    <w:pPr>
      <w:spacing w:before="240" w:after="120" w:line="240" w:lineRule="atLeast"/>
    </w:pPr>
    <w:rPr>
      <w:rFonts w:ascii="Arial" w:eastAsiaTheme="minorEastAsia" w:hAnsi="Arial" w:cstheme="minorBidi"/>
      <w:sz w:val="20"/>
      <w:szCs w:val="24"/>
      <w:lang w:val="en-GB" w:eastAsia="en-US" w:bidi="ar-SA"/>
    </w:rPr>
  </w:style>
  <w:style w:type="paragraph" w:styleId="Caption">
    <w:name w:val="caption"/>
    <w:aliases w:val="CDM B/Caption,Table Caption,TABLE,Char,Item"/>
    <w:basedOn w:val="Normal"/>
    <w:next w:val="Para0"/>
    <w:link w:val="CaptionChar"/>
    <w:uiPriority w:val="35"/>
    <w:qFormat/>
    <w:rsid w:val="008628AE"/>
    <w:pPr>
      <w:spacing w:before="240" w:after="100" w:line="240" w:lineRule="atLeast"/>
    </w:pPr>
    <w:rPr>
      <w:rFonts w:ascii="Arial Narrow" w:eastAsiaTheme="minorEastAsia" w:hAnsi="Arial Narrow" w:cstheme="minorBidi"/>
      <w:b/>
      <w:sz w:val="20"/>
      <w:szCs w:val="24"/>
      <w:lang w:val="en-GB" w:eastAsia="en-US" w:bidi="ar-SA"/>
    </w:rPr>
  </w:style>
  <w:style w:type="character" w:customStyle="1" w:styleId="Para0Char">
    <w:name w:val="Para 0 Char"/>
    <w:aliases w:val="Auto Char,After:  3 pt Char Char"/>
    <w:basedOn w:val="DefaultParagraphFont"/>
    <w:link w:val="Para0"/>
    <w:rsid w:val="008628AE"/>
    <w:rPr>
      <w:rFonts w:eastAsiaTheme="minorEastAsia" w:cstheme="minorBidi"/>
      <w:szCs w:val="24"/>
      <w:lang w:val="en-GB" w:eastAsia="en-US"/>
    </w:rPr>
  </w:style>
  <w:style w:type="character" w:customStyle="1" w:styleId="CaptionChar">
    <w:name w:val="Caption Char"/>
    <w:aliases w:val="CDM B/Caption Char,Table Caption Char,TABLE Char,Char Char,Item Char"/>
    <w:basedOn w:val="DefaultParagraphFont"/>
    <w:link w:val="Caption"/>
    <w:uiPriority w:val="35"/>
    <w:rsid w:val="008628AE"/>
    <w:rPr>
      <w:rFonts w:ascii="Arial Narrow" w:eastAsiaTheme="minorEastAsia" w:hAnsi="Arial Narrow" w:cstheme="minorBidi"/>
      <w:b/>
      <w:szCs w:val="24"/>
      <w:lang w:val="en-GB" w:eastAsia="en-US"/>
    </w:rPr>
  </w:style>
  <w:style w:type="character" w:styleId="FollowedHyperlink">
    <w:name w:val="FollowedHyperlink"/>
    <w:basedOn w:val="DefaultParagraphFont"/>
    <w:uiPriority w:val="99"/>
    <w:semiHidden/>
    <w:unhideWhenUsed/>
    <w:rsid w:val="00DA5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033">
      <w:bodyDiv w:val="1"/>
      <w:marLeft w:val="0"/>
      <w:marRight w:val="0"/>
      <w:marTop w:val="0"/>
      <w:marBottom w:val="0"/>
      <w:divBdr>
        <w:top w:val="none" w:sz="0" w:space="0" w:color="auto"/>
        <w:left w:val="none" w:sz="0" w:space="0" w:color="auto"/>
        <w:bottom w:val="none" w:sz="0" w:space="0" w:color="auto"/>
        <w:right w:val="none" w:sz="0" w:space="0" w:color="auto"/>
      </w:divBdr>
    </w:div>
    <w:div w:id="917979385">
      <w:bodyDiv w:val="1"/>
      <w:marLeft w:val="0"/>
      <w:marRight w:val="0"/>
      <w:marTop w:val="0"/>
      <w:marBottom w:val="0"/>
      <w:divBdr>
        <w:top w:val="none" w:sz="0" w:space="0" w:color="auto"/>
        <w:left w:val="none" w:sz="0" w:space="0" w:color="auto"/>
        <w:bottom w:val="none" w:sz="0" w:space="0" w:color="auto"/>
        <w:right w:val="none" w:sz="0" w:space="0" w:color="auto"/>
      </w:divBdr>
    </w:div>
    <w:div w:id="1535189736">
      <w:bodyDiv w:val="1"/>
      <w:marLeft w:val="0"/>
      <w:marRight w:val="0"/>
      <w:marTop w:val="0"/>
      <w:marBottom w:val="0"/>
      <w:divBdr>
        <w:top w:val="none" w:sz="0" w:space="0" w:color="auto"/>
        <w:left w:val="none" w:sz="0" w:space="0" w:color="auto"/>
        <w:bottom w:val="none" w:sz="0" w:space="0" w:color="auto"/>
        <w:right w:val="none" w:sz="0" w:space="0" w:color="auto"/>
      </w:divBdr>
    </w:div>
    <w:div w:id="15637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vironment.gov.au/water/cewo/monitoring/mer-progra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nvironment.gov.au/water/cewo/publications/mer-plan-goulburn-20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82C1558-E4A5-46ED-B31D-1B3517BCB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C35B5-1404-4375-BB77-308AEBB081AB}">
  <ds:schemaRefs>
    <ds:schemaRef ds:uri="http://schemas.microsoft.com/sharepoint/v3/contenttype/forms"/>
  </ds:schemaRefs>
</ds:datastoreItem>
</file>

<file path=customXml/itemProps3.xml><?xml version="1.0" encoding="utf-8"?>
<ds:datastoreItem xmlns:ds="http://schemas.openxmlformats.org/officeDocument/2006/customXml" ds:itemID="{29EFD33F-6785-43DE-97EA-CE877DFA0C67}">
  <ds:schemaRefs>
    <ds:schemaRef ds:uri="http://schemas.microsoft.com/office/2006/metadata/properties"/>
    <ds:schemaRef ds:uri="http://schemas.microsoft.com/office/infopath/2007/PartnerControl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1979</Words>
  <Characters>11281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Work Order - Collaborative Research Project</dc:title>
  <dc:subject/>
  <dc:creator>Commonwealth of Australia</dc:creator>
  <cp:keywords/>
  <dc:description/>
  <cp:lastModifiedBy>Bec Durack</cp:lastModifiedBy>
  <cp:revision>2</cp:revision>
  <dcterms:created xsi:type="dcterms:W3CDTF">2020-08-26T06:14:00Z</dcterms:created>
  <dcterms:modified xsi:type="dcterms:W3CDTF">2020-08-26T06:14:00Z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