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7F3D9" w14:textId="77777777" w:rsidR="00F549A7" w:rsidRDefault="00F549A7" w:rsidP="00F549A7">
      <w:pPr>
        <w:rPr>
          <w:rFonts w:ascii="Arial" w:hAnsi="Arial" w:cs="Arial"/>
          <w:lang w:eastAsia="en-AU"/>
        </w:rPr>
      </w:pPr>
      <w:r>
        <w:rPr>
          <w:rFonts w:ascii="Arial" w:hAnsi="Arial" w:cs="Arial"/>
        </w:rPr>
        <w:t xml:space="preserve">This document is an attachment to the Goulburn Monitoring Evaluation and Research (MER) Plan and describes additional project services to be undertaken. Please visit </w:t>
      </w:r>
      <w:hyperlink r:id="rId12" w:history="1">
        <w:r>
          <w:rPr>
            <w:rStyle w:val="Hyperlink"/>
            <w:rFonts w:ascii="Arial" w:hAnsi="Arial" w:cs="Arial"/>
          </w:rPr>
          <w:t>Monitoring, Evaluation and Research Plan - Goulburn River</w:t>
        </w:r>
      </w:hyperlink>
      <w:r>
        <w:rPr>
          <w:rFonts w:ascii="Arial" w:hAnsi="Arial" w:cs="Arial"/>
        </w:rPr>
        <w:t xml:space="preserve"> to read the entire Goulburn MER Plan. </w:t>
      </w:r>
    </w:p>
    <w:p w14:paraId="7BC2908A" w14:textId="77777777" w:rsidR="00F549A7" w:rsidRDefault="00F549A7" w:rsidP="00F549A7">
      <w:pPr>
        <w:rPr>
          <w:rFonts w:ascii="Arial" w:hAnsi="Arial" w:cs="Arial"/>
          <w:lang w:eastAsia="zh-CN" w:bidi="th-TH"/>
        </w:rPr>
      </w:pPr>
      <w:r>
        <w:rPr>
          <w:rFonts w:ascii="Arial" w:hAnsi="Arial" w:cs="Arial"/>
        </w:rPr>
        <w:t xml:space="preserve">Visit </w:t>
      </w:r>
      <w:hyperlink r:id="rId13" w:history="1">
        <w:r>
          <w:rPr>
            <w:rStyle w:val="Hyperlink"/>
            <w:rFonts w:ascii="Arial" w:hAnsi="Arial" w:cs="Arial"/>
          </w:rPr>
          <w:t>Monitoring, Evaluation and Research Program (Flow-MER)</w:t>
        </w:r>
      </w:hyperlink>
      <w:r>
        <w:rPr>
          <w:rFonts w:ascii="Arial" w:hAnsi="Arial" w:cs="Arial"/>
        </w:rPr>
        <w:t xml:space="preserve"> </w:t>
      </w:r>
      <w:r>
        <w:rPr>
          <w:rFonts w:ascii="Arial" w:hAnsi="Arial" w:cs="Arial"/>
          <w:color w:val="000000"/>
        </w:rPr>
        <w:t>to find out more about monitoring undertaken by the Commonwealth Environmental Water Office.</w:t>
      </w:r>
    </w:p>
    <w:p w14:paraId="722FEDA0" w14:textId="77777777" w:rsidR="00F549A7" w:rsidRDefault="00F549A7" w:rsidP="00F549A7">
      <w:pPr>
        <w:spacing w:after="0" w:line="240" w:lineRule="auto"/>
        <w:rPr>
          <w:rFonts w:ascii="Arial" w:hAnsi="Arial" w:cs="Arial"/>
          <w:i/>
          <w:iCs/>
        </w:rPr>
      </w:pPr>
    </w:p>
    <w:p w14:paraId="33BBF7C1" w14:textId="77777777" w:rsidR="00F549A7" w:rsidRDefault="00F549A7" w:rsidP="00F549A7">
      <w:pPr>
        <w:spacing w:after="0" w:line="240" w:lineRule="auto"/>
        <w:rPr>
          <w:rFonts w:ascii="Arial" w:hAnsi="Arial" w:cs="Arial"/>
          <w:bCs/>
          <w:sz w:val="24"/>
        </w:rPr>
      </w:pPr>
      <w:r>
        <w:rPr>
          <w:rFonts w:ascii="Arial" w:hAnsi="Arial" w:cs="Arial"/>
          <w:i/>
          <w:iCs/>
        </w:rPr>
        <w:t>Note that all projects will comply with Covid-19 pandemic restrictions and may require changes to activity and timelines.</w:t>
      </w:r>
    </w:p>
    <w:p w14:paraId="412B3CD5" w14:textId="77777777" w:rsidR="0084583C" w:rsidRPr="0084583C" w:rsidRDefault="0084583C" w:rsidP="0084583C">
      <w:pPr>
        <w:keepNext/>
        <w:keepLines/>
        <w:pBdr>
          <w:bottom w:val="single" w:sz="4" w:space="1" w:color="auto"/>
        </w:pBdr>
        <w:spacing w:before="200" w:after="0" w:line="240" w:lineRule="auto"/>
        <w:outlineLvl w:val="2"/>
        <w:rPr>
          <w:rFonts w:ascii="Arial" w:eastAsia="Times New Roman" w:hAnsi="Arial" w:cs="Arial"/>
          <w:bCs/>
          <w:sz w:val="42"/>
          <w:szCs w:val="42"/>
        </w:rPr>
      </w:pPr>
      <w:bookmarkStart w:id="0" w:name="_Toc524705227"/>
      <w:bookmarkStart w:id="1" w:name="Sch_5"/>
      <w:bookmarkStart w:id="2" w:name="_Ref162235660"/>
      <w:r w:rsidRPr="0084583C">
        <w:rPr>
          <w:rFonts w:ascii="Arial" w:eastAsia="Times New Roman" w:hAnsi="Arial" w:cs="Arial"/>
          <w:bCs/>
          <w:sz w:val="42"/>
          <w:szCs w:val="42"/>
        </w:rPr>
        <w:t>Schedule 6 –Work Order</w:t>
      </w:r>
      <w:bookmarkEnd w:id="0"/>
    </w:p>
    <w:p w14:paraId="32C981EF" w14:textId="77777777" w:rsidR="0084583C" w:rsidRPr="0084583C" w:rsidRDefault="0084583C" w:rsidP="0084583C">
      <w:pPr>
        <w:spacing w:after="140" w:line="280" w:lineRule="atLeast"/>
        <w:rPr>
          <w:rFonts w:ascii="Times New Roman" w:eastAsia="Times New Roman" w:hAnsi="Times New Roman" w:cs="Angsana New"/>
        </w:rPr>
      </w:pPr>
    </w:p>
    <w:tbl>
      <w:tblPr>
        <w:tblStyle w:val="TableGrid12"/>
        <w:tblW w:w="0" w:type="auto"/>
        <w:tblLook w:val="04A0" w:firstRow="1" w:lastRow="0" w:firstColumn="1" w:lastColumn="0" w:noHBand="0" w:noVBand="1"/>
      </w:tblPr>
      <w:tblGrid>
        <w:gridCol w:w="9202"/>
      </w:tblGrid>
      <w:tr w:rsidR="0084583C" w:rsidRPr="0084583C" w14:paraId="16F98826" w14:textId="77777777" w:rsidTr="0084583C">
        <w:tc>
          <w:tcPr>
            <w:tcW w:w="9202" w:type="dxa"/>
            <w:shd w:val="clear" w:color="auto" w:fill="548DD4"/>
          </w:tcPr>
          <w:bookmarkEnd w:id="1"/>
          <w:bookmarkEnd w:id="2"/>
          <w:p w14:paraId="778A7D65" w14:textId="77777777" w:rsidR="0084583C" w:rsidRPr="0084583C" w:rsidRDefault="0084583C" w:rsidP="0084583C">
            <w:pPr>
              <w:spacing w:after="140" w:line="280" w:lineRule="atLeast"/>
              <w:rPr>
                <w:rFonts w:ascii="Times New Roman" w:eastAsia="Times New Roman" w:hAnsi="Times New Roman" w:cs="Arial"/>
                <w:lang w:eastAsia="zh-CN" w:bidi="th-TH"/>
              </w:rPr>
            </w:pPr>
            <w:r w:rsidRPr="0084583C">
              <w:rPr>
                <w:rFonts w:ascii="Times New Roman" w:eastAsia="Times New Roman" w:hAnsi="Times New Roman" w:cs="Arial"/>
                <w:b/>
                <w:color w:val="FFFFFF"/>
                <w:sz w:val="32"/>
                <w:lang w:eastAsia="zh-CN" w:bidi="th-TH"/>
              </w:rPr>
              <w:t xml:space="preserve">Order </w:t>
            </w:r>
          </w:p>
        </w:tc>
      </w:tr>
      <w:tr w:rsidR="0084583C" w:rsidRPr="0084583C" w14:paraId="6B28A603" w14:textId="77777777" w:rsidTr="00F253D8">
        <w:tc>
          <w:tcPr>
            <w:tcW w:w="9202" w:type="dxa"/>
          </w:tcPr>
          <w:p w14:paraId="7DE8E867" w14:textId="77777777" w:rsidR="0084583C" w:rsidRPr="0084583C" w:rsidRDefault="0084583C" w:rsidP="0084583C">
            <w:pPr>
              <w:spacing w:after="140" w:line="280" w:lineRule="atLeast"/>
              <w:rPr>
                <w:rFonts w:ascii="Times New Roman" w:eastAsia="Times New Roman" w:hAnsi="Times New Roman" w:cs="Arial"/>
                <w:lang w:eastAsia="zh-CN" w:bidi="th-TH"/>
              </w:rPr>
            </w:pPr>
            <w:r w:rsidRPr="0084583C">
              <w:rPr>
                <w:rFonts w:ascii="Times New Roman" w:eastAsia="Times New Roman" w:hAnsi="Times New Roman" w:cs="Arial"/>
                <w:lang w:eastAsia="zh-CN" w:bidi="th-TH"/>
              </w:rPr>
              <w:t>The parties have agreed in accordance with clause 7 the Agreement that the Provider will provide the Additional Project Services specified in this Work Order.</w:t>
            </w:r>
          </w:p>
        </w:tc>
      </w:tr>
    </w:tbl>
    <w:p w14:paraId="11759ED4" w14:textId="77777777" w:rsidR="0084583C" w:rsidRPr="0084583C" w:rsidRDefault="0084583C" w:rsidP="0084583C">
      <w:pPr>
        <w:spacing w:after="0" w:line="280" w:lineRule="atLeast"/>
        <w:rPr>
          <w:rFonts w:ascii="Arial" w:eastAsia="Times New Roman" w:hAnsi="Arial" w:cs="Arial"/>
          <w:b/>
          <w:sz w:val="24"/>
          <w:lang w:eastAsia="zh-CN" w:bidi="th-TH"/>
        </w:rPr>
      </w:pPr>
    </w:p>
    <w:p w14:paraId="685AE77B" w14:textId="32AF673A" w:rsidR="0084583C" w:rsidRPr="0084583C" w:rsidRDefault="0084583C" w:rsidP="0084583C">
      <w:pPr>
        <w:spacing w:after="0" w:line="280" w:lineRule="atLeast"/>
        <w:rPr>
          <w:rFonts w:ascii="Arial" w:eastAsia="Times New Roman" w:hAnsi="Arial" w:cs="Arial"/>
          <w:b/>
          <w:sz w:val="24"/>
          <w:lang w:eastAsia="zh-CN" w:bidi="th-TH"/>
        </w:rPr>
      </w:pPr>
      <w:r w:rsidRPr="0084583C">
        <w:rPr>
          <w:rFonts w:ascii="Arial" w:eastAsia="Times New Roman" w:hAnsi="Arial" w:cs="Arial"/>
          <w:b/>
          <w:sz w:val="24"/>
          <w:lang w:eastAsia="zh-CN" w:bidi="th-TH"/>
        </w:rPr>
        <w:t xml:space="preserve">Goulburn MER </w:t>
      </w:r>
      <w:r w:rsidR="00B041CB">
        <w:rPr>
          <w:rFonts w:ascii="Arial" w:eastAsia="Times New Roman" w:hAnsi="Arial" w:cs="Arial"/>
          <w:b/>
          <w:sz w:val="24"/>
          <w:lang w:eastAsia="zh-CN" w:bidi="th-TH"/>
        </w:rPr>
        <w:t>Pelagic</w:t>
      </w:r>
      <w:r w:rsidRPr="0084583C">
        <w:rPr>
          <w:rFonts w:ascii="Arial" w:eastAsia="Times New Roman" w:hAnsi="Arial" w:cs="Arial"/>
          <w:b/>
          <w:sz w:val="24"/>
          <w:lang w:eastAsia="zh-CN" w:bidi="th-TH"/>
        </w:rPr>
        <w:t xml:space="preserve"> Metabolism Monitoring</w:t>
      </w:r>
    </w:p>
    <w:p w14:paraId="026F49EE" w14:textId="77777777" w:rsidR="0084583C" w:rsidRPr="0084583C" w:rsidRDefault="0084583C" w:rsidP="0084583C">
      <w:pPr>
        <w:spacing w:after="0" w:line="280" w:lineRule="atLeast"/>
        <w:rPr>
          <w:rFonts w:ascii="Arial" w:eastAsia="Times New Roman" w:hAnsi="Arial" w:cs="Arial"/>
          <w:lang w:eastAsia="zh-CN" w:bidi="th-TH"/>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1276"/>
        <w:gridCol w:w="5670"/>
      </w:tblGrid>
      <w:tr w:rsidR="0084583C" w:rsidRPr="0084583C" w14:paraId="1A3540ED" w14:textId="77777777" w:rsidTr="0084583C">
        <w:trPr>
          <w:tblHeader/>
        </w:trPr>
        <w:tc>
          <w:tcPr>
            <w:tcW w:w="675" w:type="dxa"/>
            <w:shd w:val="clear" w:color="auto" w:fill="548DD4"/>
            <w:vAlign w:val="center"/>
          </w:tcPr>
          <w:p w14:paraId="0273E6B0" w14:textId="77777777" w:rsidR="0084583C" w:rsidRPr="0084583C" w:rsidRDefault="0084583C" w:rsidP="0084583C">
            <w:pPr>
              <w:widowControl w:val="0"/>
              <w:spacing w:before="240" w:after="140" w:line="280" w:lineRule="atLeast"/>
              <w:jc w:val="center"/>
              <w:outlineLvl w:val="0"/>
              <w:rPr>
                <w:rFonts w:ascii="Arial" w:eastAsia="Times New Roman" w:hAnsi="Arial" w:cs="Arial"/>
                <w:b/>
                <w:bCs/>
                <w:color w:val="FFFFFF"/>
                <w:lang w:eastAsia="zh-CN" w:bidi="th-TH"/>
              </w:rPr>
            </w:pPr>
            <w:r w:rsidRPr="0084583C">
              <w:rPr>
                <w:rFonts w:ascii="Arial" w:eastAsia="Times New Roman" w:hAnsi="Arial" w:cs="Arial"/>
                <w:b/>
                <w:bCs/>
                <w:color w:val="FFFFFF"/>
                <w:lang w:eastAsia="zh-CN" w:bidi="th-TH"/>
              </w:rPr>
              <w:t>Item</w:t>
            </w:r>
          </w:p>
        </w:tc>
        <w:tc>
          <w:tcPr>
            <w:tcW w:w="1985" w:type="dxa"/>
            <w:shd w:val="clear" w:color="auto" w:fill="548DD4"/>
            <w:vAlign w:val="center"/>
          </w:tcPr>
          <w:p w14:paraId="33659C65" w14:textId="77777777" w:rsidR="0084583C" w:rsidRPr="0084583C" w:rsidRDefault="0084583C" w:rsidP="0084583C">
            <w:pPr>
              <w:widowControl w:val="0"/>
              <w:tabs>
                <w:tab w:val="num" w:pos="34"/>
              </w:tabs>
              <w:spacing w:before="240" w:after="140" w:line="280" w:lineRule="atLeast"/>
              <w:ind w:left="34"/>
              <w:jc w:val="center"/>
              <w:outlineLvl w:val="2"/>
              <w:rPr>
                <w:rFonts w:ascii="Arial" w:eastAsia="Times New Roman" w:hAnsi="Arial" w:cs="Arial"/>
                <w:b/>
                <w:bCs/>
                <w:color w:val="FFFFFF"/>
                <w:lang w:eastAsia="zh-CN" w:bidi="th-TH"/>
              </w:rPr>
            </w:pPr>
            <w:r w:rsidRPr="0084583C">
              <w:rPr>
                <w:rFonts w:ascii="Arial" w:eastAsia="Times New Roman" w:hAnsi="Arial" w:cs="Arial"/>
                <w:b/>
                <w:bCs/>
                <w:color w:val="FFFFFF"/>
                <w:lang w:eastAsia="zh-CN" w:bidi="th-TH"/>
              </w:rPr>
              <w:t>Description</w:t>
            </w:r>
          </w:p>
        </w:tc>
        <w:tc>
          <w:tcPr>
            <w:tcW w:w="1276" w:type="dxa"/>
            <w:shd w:val="clear" w:color="auto" w:fill="548DD4"/>
            <w:vAlign w:val="center"/>
          </w:tcPr>
          <w:p w14:paraId="5C2DB0D7" w14:textId="77777777" w:rsidR="0084583C" w:rsidRPr="0084583C" w:rsidRDefault="0084583C" w:rsidP="0084583C">
            <w:pPr>
              <w:widowControl w:val="0"/>
              <w:tabs>
                <w:tab w:val="num" w:pos="34"/>
              </w:tabs>
              <w:spacing w:before="240" w:after="140" w:line="280" w:lineRule="atLeast"/>
              <w:ind w:left="34"/>
              <w:jc w:val="center"/>
              <w:outlineLvl w:val="2"/>
              <w:rPr>
                <w:rFonts w:ascii="Arial" w:eastAsia="Times New Roman" w:hAnsi="Arial" w:cs="Arial"/>
                <w:b/>
                <w:bCs/>
                <w:color w:val="FFFFFF"/>
                <w:lang w:eastAsia="zh-CN" w:bidi="th-TH"/>
              </w:rPr>
            </w:pPr>
            <w:r w:rsidRPr="0084583C">
              <w:rPr>
                <w:rFonts w:ascii="Arial" w:eastAsia="Times New Roman" w:hAnsi="Arial" w:cs="Arial"/>
                <w:b/>
                <w:bCs/>
                <w:color w:val="FFFFFF"/>
                <w:lang w:eastAsia="zh-CN" w:bidi="th-TH"/>
              </w:rPr>
              <w:t>Clause</w:t>
            </w:r>
          </w:p>
        </w:tc>
        <w:tc>
          <w:tcPr>
            <w:tcW w:w="5670" w:type="dxa"/>
            <w:shd w:val="clear" w:color="auto" w:fill="548DD4"/>
            <w:vAlign w:val="center"/>
          </w:tcPr>
          <w:p w14:paraId="5FE61EB7" w14:textId="77777777" w:rsidR="0084583C" w:rsidRPr="0084583C" w:rsidRDefault="0084583C" w:rsidP="0084583C">
            <w:pPr>
              <w:widowControl w:val="0"/>
              <w:tabs>
                <w:tab w:val="num" w:pos="0"/>
              </w:tabs>
              <w:spacing w:before="240" w:after="140" w:line="280" w:lineRule="atLeast"/>
              <w:ind w:left="33" w:hanging="8"/>
              <w:jc w:val="center"/>
              <w:outlineLvl w:val="2"/>
              <w:rPr>
                <w:rFonts w:ascii="Arial" w:eastAsia="Times New Roman" w:hAnsi="Arial" w:cs="Arial"/>
                <w:b/>
                <w:bCs/>
                <w:color w:val="FFFFFF"/>
                <w:lang w:eastAsia="zh-CN" w:bidi="th-TH"/>
              </w:rPr>
            </w:pPr>
            <w:r w:rsidRPr="0084583C">
              <w:rPr>
                <w:rFonts w:ascii="Arial" w:eastAsia="Times New Roman" w:hAnsi="Arial" w:cs="Arial"/>
                <w:b/>
                <w:bCs/>
                <w:color w:val="FFFFFF"/>
                <w:lang w:eastAsia="zh-CN" w:bidi="th-TH"/>
              </w:rPr>
              <w:t>Details</w:t>
            </w:r>
          </w:p>
        </w:tc>
      </w:tr>
      <w:tr w:rsidR="0084583C" w:rsidRPr="0084583C" w14:paraId="64B81430" w14:textId="77777777" w:rsidTr="00F253D8">
        <w:tc>
          <w:tcPr>
            <w:tcW w:w="675" w:type="dxa"/>
          </w:tcPr>
          <w:p w14:paraId="080893E6" w14:textId="77777777" w:rsidR="0084583C" w:rsidRPr="0084583C" w:rsidRDefault="0084583C" w:rsidP="0084583C">
            <w:pPr>
              <w:widowControl w:val="0"/>
              <w:numPr>
                <w:ilvl w:val="0"/>
                <w:numId w:val="4"/>
              </w:numPr>
              <w:spacing w:after="140" w:line="280" w:lineRule="atLeast"/>
              <w:rPr>
                <w:rFonts w:ascii="Times New Roman" w:eastAsia="Times New Roman" w:hAnsi="Times New Roman" w:cs="Angsana New"/>
                <w:lang w:eastAsia="zh-CN" w:bidi="th-TH"/>
              </w:rPr>
            </w:pPr>
            <w:bookmarkStart w:id="3" w:name="_Ref183243785"/>
          </w:p>
        </w:tc>
        <w:bookmarkEnd w:id="3"/>
        <w:tc>
          <w:tcPr>
            <w:tcW w:w="1985" w:type="dxa"/>
            <w:shd w:val="clear" w:color="auto" w:fill="auto"/>
          </w:tcPr>
          <w:p w14:paraId="4C1EA330" w14:textId="77777777" w:rsidR="0084583C" w:rsidRPr="0084583C" w:rsidRDefault="0084583C" w:rsidP="0084583C">
            <w:pPr>
              <w:widowControl w:val="0"/>
              <w:spacing w:before="120" w:after="120" w:line="240" w:lineRule="auto"/>
              <w:rPr>
                <w:rFonts w:ascii="Arial" w:eastAsia="Times New Roman" w:hAnsi="Arial" w:cs="Arial"/>
                <w:b/>
                <w:lang w:eastAsia="zh-CN" w:bidi="th-TH"/>
              </w:rPr>
            </w:pPr>
            <w:r w:rsidRPr="0084583C">
              <w:rPr>
                <w:rFonts w:ascii="Arial" w:eastAsia="Times New Roman" w:hAnsi="Arial" w:cs="Arial"/>
                <w:b/>
                <w:lang w:eastAsia="zh-CN" w:bidi="th-TH"/>
              </w:rPr>
              <w:t>Agreement description</w:t>
            </w:r>
          </w:p>
        </w:tc>
        <w:tc>
          <w:tcPr>
            <w:tcW w:w="1276" w:type="dxa"/>
            <w:shd w:val="clear" w:color="auto" w:fill="auto"/>
          </w:tcPr>
          <w:p w14:paraId="4E6750F6" w14:textId="77777777" w:rsidR="0084583C" w:rsidRPr="0084583C" w:rsidRDefault="0084583C" w:rsidP="0084583C">
            <w:pPr>
              <w:widowControl w:val="0"/>
              <w:spacing w:before="120" w:after="120" w:line="240" w:lineRule="auto"/>
              <w:rPr>
                <w:rFonts w:ascii="Arial" w:eastAsia="Times New Roman" w:hAnsi="Arial" w:cs="Arial"/>
                <w:lang w:eastAsia="zh-CN" w:bidi="th-TH"/>
              </w:rPr>
            </w:pPr>
            <w:r w:rsidRPr="0084583C">
              <w:rPr>
                <w:rFonts w:ascii="Arial" w:eastAsia="Times New Roman" w:hAnsi="Arial" w:cs="Arial"/>
                <w:lang w:eastAsia="zh-CN" w:bidi="th-TH"/>
              </w:rPr>
              <w:t>N/A</w:t>
            </w:r>
          </w:p>
        </w:tc>
        <w:tc>
          <w:tcPr>
            <w:tcW w:w="5670" w:type="dxa"/>
            <w:shd w:val="clear" w:color="auto" w:fill="auto"/>
          </w:tcPr>
          <w:p w14:paraId="6C99D61D" w14:textId="77777777" w:rsidR="0084583C" w:rsidRPr="0084583C" w:rsidRDefault="0084583C" w:rsidP="0084583C">
            <w:pPr>
              <w:widowControl w:val="0"/>
              <w:spacing w:before="120" w:after="140" w:line="280" w:lineRule="atLeast"/>
              <w:rPr>
                <w:rFonts w:ascii="Arial" w:eastAsia="Times New Roman" w:hAnsi="Arial" w:cs="Arial"/>
                <w:lang w:eastAsia="zh-CN" w:bidi="th-TH"/>
              </w:rPr>
            </w:pPr>
            <w:r w:rsidRPr="0084583C">
              <w:rPr>
                <w:rFonts w:ascii="Arial" w:eastAsia="Times New Roman" w:hAnsi="Arial" w:cs="Arial"/>
                <w:lang w:eastAsia="zh-CN" w:bidi="th-TH"/>
              </w:rPr>
              <w:t>Agreement for Additional Project Services in respect of Long-form Services Agreement Commonwealth Environmental Water Office: Monitoring, Evaluation and Research Services for the Goulburn River Selected Area – 18 March 2019</w:t>
            </w:r>
          </w:p>
        </w:tc>
      </w:tr>
      <w:tr w:rsidR="0084583C" w:rsidRPr="0084583C" w14:paraId="60B51AF9" w14:textId="77777777" w:rsidTr="00F253D8">
        <w:tc>
          <w:tcPr>
            <w:tcW w:w="675" w:type="dxa"/>
          </w:tcPr>
          <w:p w14:paraId="04EB66CF" w14:textId="77777777" w:rsidR="0084583C" w:rsidRPr="0084583C" w:rsidRDefault="0084583C" w:rsidP="0084583C">
            <w:pPr>
              <w:widowControl w:val="0"/>
              <w:numPr>
                <w:ilvl w:val="0"/>
                <w:numId w:val="2"/>
              </w:numPr>
              <w:spacing w:after="140" w:line="280" w:lineRule="atLeast"/>
              <w:rPr>
                <w:rFonts w:ascii="Times New Roman" w:eastAsia="Times New Roman" w:hAnsi="Times New Roman" w:cs="Angsana New"/>
                <w:lang w:eastAsia="en-AU"/>
              </w:rPr>
            </w:pPr>
          </w:p>
        </w:tc>
        <w:tc>
          <w:tcPr>
            <w:tcW w:w="1985" w:type="dxa"/>
            <w:shd w:val="clear" w:color="auto" w:fill="auto"/>
          </w:tcPr>
          <w:p w14:paraId="55D3BFDB" w14:textId="77777777" w:rsidR="0084583C" w:rsidRPr="0084583C" w:rsidRDefault="0084583C" w:rsidP="0084583C">
            <w:pPr>
              <w:widowControl w:val="0"/>
              <w:spacing w:before="120" w:after="120" w:line="240" w:lineRule="auto"/>
              <w:rPr>
                <w:rFonts w:ascii="Arial" w:eastAsia="Times New Roman" w:hAnsi="Arial" w:cs="Arial"/>
                <w:b/>
                <w:lang w:eastAsia="zh-CN" w:bidi="th-TH"/>
              </w:rPr>
            </w:pPr>
            <w:r w:rsidRPr="0084583C">
              <w:rPr>
                <w:rFonts w:ascii="Arial" w:eastAsia="Times New Roman" w:hAnsi="Arial" w:cs="Arial"/>
                <w:b/>
                <w:lang w:eastAsia="zh-CN" w:bidi="th-TH"/>
              </w:rPr>
              <w:t>Names of Parties to the Agreement</w:t>
            </w:r>
          </w:p>
        </w:tc>
        <w:tc>
          <w:tcPr>
            <w:tcW w:w="1276" w:type="dxa"/>
            <w:shd w:val="clear" w:color="auto" w:fill="auto"/>
          </w:tcPr>
          <w:p w14:paraId="3774184A" w14:textId="77777777" w:rsidR="0084583C" w:rsidRPr="0084583C" w:rsidRDefault="0084583C" w:rsidP="0084583C">
            <w:pPr>
              <w:widowControl w:val="0"/>
              <w:spacing w:before="120" w:after="120" w:line="240" w:lineRule="auto"/>
              <w:rPr>
                <w:rFonts w:ascii="Arial" w:eastAsia="Times New Roman" w:hAnsi="Arial" w:cs="Arial"/>
                <w:lang w:eastAsia="zh-CN" w:bidi="th-TH"/>
              </w:rPr>
            </w:pPr>
            <w:r w:rsidRPr="0084583C">
              <w:rPr>
                <w:rFonts w:ascii="Arial" w:eastAsia="Times New Roman" w:hAnsi="Arial" w:cs="Arial"/>
                <w:lang w:eastAsia="zh-CN" w:bidi="th-TH"/>
              </w:rPr>
              <w:t>N/A</w:t>
            </w:r>
          </w:p>
        </w:tc>
        <w:tc>
          <w:tcPr>
            <w:tcW w:w="5670" w:type="dxa"/>
            <w:shd w:val="clear" w:color="auto" w:fill="auto"/>
          </w:tcPr>
          <w:p w14:paraId="7BD49FA7" w14:textId="77777777" w:rsidR="0084583C" w:rsidRPr="0084583C" w:rsidRDefault="0084583C" w:rsidP="0084583C">
            <w:pPr>
              <w:widowControl w:val="0"/>
              <w:spacing w:before="120" w:after="120" w:line="240" w:lineRule="auto"/>
              <w:rPr>
                <w:rFonts w:ascii="Arial" w:eastAsia="Times New Roman" w:hAnsi="Arial" w:cs="Arial"/>
                <w:lang w:eastAsia="zh-CN" w:bidi="th-TH"/>
              </w:rPr>
            </w:pPr>
            <w:r w:rsidRPr="0084583C">
              <w:rPr>
                <w:rFonts w:ascii="Arial" w:eastAsia="Times New Roman" w:hAnsi="Arial" w:cs="Arial"/>
                <w:lang w:eastAsia="zh-CN" w:bidi="th-TH"/>
              </w:rPr>
              <w:t xml:space="preserve">The Commonwealth of Australia as represented by the Department of Agriculture, </w:t>
            </w:r>
            <w:proofErr w:type="gramStart"/>
            <w:r w:rsidRPr="0084583C">
              <w:rPr>
                <w:rFonts w:ascii="Arial" w:eastAsia="Times New Roman" w:hAnsi="Arial" w:cs="Arial"/>
                <w:lang w:eastAsia="zh-CN" w:bidi="th-TH"/>
              </w:rPr>
              <w:t>Water</w:t>
            </w:r>
            <w:proofErr w:type="gramEnd"/>
            <w:r w:rsidRPr="0084583C">
              <w:rPr>
                <w:rFonts w:ascii="Arial" w:eastAsia="Times New Roman" w:hAnsi="Arial" w:cs="Arial"/>
                <w:lang w:eastAsia="zh-CN" w:bidi="th-TH"/>
              </w:rPr>
              <w:t xml:space="preserve"> and the Environment</w:t>
            </w:r>
          </w:p>
          <w:p w14:paraId="26FDC287" w14:textId="77777777" w:rsidR="0084583C" w:rsidRPr="0084583C" w:rsidRDefault="0084583C" w:rsidP="0084583C">
            <w:pPr>
              <w:widowControl w:val="0"/>
              <w:spacing w:before="120" w:after="120" w:line="240" w:lineRule="auto"/>
              <w:rPr>
                <w:rFonts w:ascii="Arial" w:eastAsia="Times New Roman" w:hAnsi="Arial" w:cs="Arial"/>
                <w:lang w:eastAsia="zh-CN" w:bidi="th-TH"/>
              </w:rPr>
            </w:pPr>
            <w:r w:rsidRPr="0084583C">
              <w:rPr>
                <w:rFonts w:ascii="Arial" w:eastAsia="Times New Roman" w:hAnsi="Arial" w:cs="Arial"/>
                <w:lang w:eastAsia="zh-CN" w:bidi="th-TH"/>
              </w:rPr>
              <w:t>ABN 34 190 894 983</w:t>
            </w:r>
          </w:p>
          <w:p w14:paraId="701C8E6E" w14:textId="77777777" w:rsidR="0084583C" w:rsidRPr="0084583C" w:rsidRDefault="0084583C" w:rsidP="0084583C">
            <w:pPr>
              <w:widowControl w:val="0"/>
              <w:spacing w:before="120" w:after="140" w:line="280" w:lineRule="atLeast"/>
              <w:rPr>
                <w:rFonts w:ascii="Arial" w:eastAsia="Times New Roman" w:hAnsi="Arial" w:cs="Arial"/>
                <w:color w:val="000000"/>
                <w:lang w:eastAsia="zh-CN" w:bidi="th-TH"/>
              </w:rPr>
            </w:pPr>
            <w:r w:rsidRPr="0084583C">
              <w:rPr>
                <w:rFonts w:ascii="Arial" w:eastAsia="Times New Roman" w:hAnsi="Arial" w:cs="Arial"/>
                <w:color w:val="000000"/>
                <w:lang w:eastAsia="zh-CN" w:bidi="th-TH"/>
              </w:rPr>
              <w:t>University of Melbourne</w:t>
            </w:r>
          </w:p>
          <w:p w14:paraId="1291068D" w14:textId="77777777" w:rsidR="0084583C" w:rsidRPr="0084583C" w:rsidRDefault="0084583C" w:rsidP="0084583C">
            <w:pPr>
              <w:widowControl w:val="0"/>
              <w:spacing w:before="120" w:after="140" w:line="280" w:lineRule="atLeast"/>
              <w:rPr>
                <w:rFonts w:ascii="Arial" w:eastAsia="Times New Roman" w:hAnsi="Arial" w:cs="Arial"/>
                <w:lang w:eastAsia="zh-CN" w:bidi="th-TH"/>
              </w:rPr>
            </w:pPr>
            <w:r w:rsidRPr="0084583C">
              <w:rPr>
                <w:rFonts w:ascii="Arial" w:eastAsia="Times New Roman" w:hAnsi="Arial" w:cs="Arial"/>
                <w:lang w:eastAsia="zh-CN" w:bidi="th-TH"/>
              </w:rPr>
              <w:t>ABN: 84 002 705 224</w:t>
            </w:r>
          </w:p>
        </w:tc>
      </w:tr>
      <w:tr w:rsidR="0084583C" w:rsidRPr="0084583C" w14:paraId="3D01967B" w14:textId="77777777" w:rsidTr="00F253D8">
        <w:tc>
          <w:tcPr>
            <w:tcW w:w="675" w:type="dxa"/>
          </w:tcPr>
          <w:p w14:paraId="1ED8B4CD" w14:textId="77777777" w:rsidR="0084583C" w:rsidRPr="0084583C" w:rsidRDefault="0084583C" w:rsidP="0084583C">
            <w:pPr>
              <w:widowControl w:val="0"/>
              <w:numPr>
                <w:ilvl w:val="0"/>
                <w:numId w:val="2"/>
              </w:numPr>
              <w:spacing w:after="140" w:line="280" w:lineRule="atLeast"/>
              <w:rPr>
                <w:rFonts w:ascii="Times New Roman" w:eastAsia="Times New Roman" w:hAnsi="Times New Roman" w:cs="Angsana New"/>
                <w:lang w:eastAsia="en-AU"/>
              </w:rPr>
            </w:pPr>
            <w:bookmarkStart w:id="4" w:name="_Ref183246463"/>
          </w:p>
        </w:tc>
        <w:bookmarkEnd w:id="4"/>
        <w:tc>
          <w:tcPr>
            <w:tcW w:w="1985" w:type="dxa"/>
            <w:shd w:val="clear" w:color="auto" w:fill="auto"/>
          </w:tcPr>
          <w:p w14:paraId="7A9CD6FD" w14:textId="77777777" w:rsidR="0084583C" w:rsidRPr="0084583C" w:rsidRDefault="0084583C" w:rsidP="0084583C">
            <w:pPr>
              <w:widowControl w:val="0"/>
              <w:spacing w:before="120" w:after="120" w:line="240" w:lineRule="auto"/>
              <w:rPr>
                <w:rFonts w:ascii="Arial" w:eastAsia="Times New Roman" w:hAnsi="Arial" w:cs="Arial"/>
                <w:b/>
                <w:lang w:eastAsia="zh-CN" w:bidi="th-TH"/>
              </w:rPr>
            </w:pPr>
            <w:r w:rsidRPr="0084583C">
              <w:rPr>
                <w:rFonts w:ascii="Arial" w:eastAsia="Times New Roman" w:hAnsi="Arial" w:cs="Arial"/>
                <w:b/>
                <w:lang w:eastAsia="zh-CN" w:bidi="th-TH"/>
              </w:rPr>
              <w:t>Additional Project Start Date</w:t>
            </w:r>
          </w:p>
        </w:tc>
        <w:tc>
          <w:tcPr>
            <w:tcW w:w="1276" w:type="dxa"/>
            <w:shd w:val="clear" w:color="auto" w:fill="auto"/>
          </w:tcPr>
          <w:p w14:paraId="6DF0A2CA" w14:textId="77777777" w:rsidR="0084583C" w:rsidRPr="0084583C" w:rsidRDefault="0084583C" w:rsidP="0084583C">
            <w:pPr>
              <w:widowControl w:val="0"/>
              <w:spacing w:before="120" w:after="120" w:line="240" w:lineRule="auto"/>
              <w:rPr>
                <w:rFonts w:ascii="Arial" w:eastAsia="Times New Roman" w:hAnsi="Arial" w:cs="Arial"/>
                <w:b/>
                <w:lang w:eastAsia="zh-CN" w:bidi="th-TH"/>
              </w:rPr>
            </w:pPr>
            <w:r w:rsidRPr="0084583C">
              <w:rPr>
                <w:rFonts w:ascii="Arial" w:eastAsia="Times New Roman" w:hAnsi="Arial" w:cs="Arial"/>
                <w:lang w:eastAsia="zh-CN" w:bidi="th-TH"/>
              </w:rPr>
              <w:t xml:space="preserve">1.1 </w:t>
            </w:r>
          </w:p>
        </w:tc>
        <w:tc>
          <w:tcPr>
            <w:tcW w:w="5670" w:type="dxa"/>
            <w:shd w:val="clear" w:color="auto" w:fill="auto"/>
          </w:tcPr>
          <w:p w14:paraId="43A21B64" w14:textId="77777777" w:rsidR="0084583C" w:rsidRPr="0084583C" w:rsidRDefault="0084583C" w:rsidP="0084583C">
            <w:pPr>
              <w:widowControl w:val="0"/>
              <w:spacing w:before="120" w:after="140" w:line="280" w:lineRule="atLeast"/>
              <w:rPr>
                <w:rFonts w:ascii="Arial" w:eastAsia="Times New Roman" w:hAnsi="Arial" w:cs="Arial"/>
                <w:lang w:eastAsia="zh-CN" w:bidi="th-TH"/>
              </w:rPr>
            </w:pPr>
            <w:r w:rsidRPr="0084583C">
              <w:rPr>
                <w:rFonts w:ascii="Arial" w:eastAsia="Times New Roman" w:hAnsi="Arial" w:cs="Arial"/>
                <w:lang w:eastAsia="zh-CN" w:bidi="th-TH"/>
              </w:rPr>
              <w:t>On approval by CEWO of the Work Order</w:t>
            </w:r>
          </w:p>
        </w:tc>
      </w:tr>
      <w:tr w:rsidR="0084583C" w:rsidRPr="0084583C" w14:paraId="4ED57469" w14:textId="77777777" w:rsidTr="00F253D8">
        <w:tc>
          <w:tcPr>
            <w:tcW w:w="675" w:type="dxa"/>
          </w:tcPr>
          <w:p w14:paraId="00F6CDA5" w14:textId="77777777" w:rsidR="0084583C" w:rsidRPr="0084583C" w:rsidRDefault="0084583C" w:rsidP="0084583C">
            <w:pPr>
              <w:widowControl w:val="0"/>
              <w:numPr>
                <w:ilvl w:val="0"/>
                <w:numId w:val="2"/>
              </w:numPr>
              <w:spacing w:after="140" w:line="280" w:lineRule="atLeast"/>
              <w:rPr>
                <w:rFonts w:ascii="Times New Roman" w:eastAsia="Times New Roman" w:hAnsi="Times New Roman" w:cs="Angsana New"/>
                <w:lang w:eastAsia="en-AU"/>
              </w:rPr>
            </w:pPr>
            <w:bookmarkStart w:id="5" w:name="_Ref183246259"/>
          </w:p>
        </w:tc>
        <w:bookmarkEnd w:id="5"/>
        <w:tc>
          <w:tcPr>
            <w:tcW w:w="1985" w:type="dxa"/>
            <w:shd w:val="clear" w:color="auto" w:fill="auto"/>
          </w:tcPr>
          <w:p w14:paraId="173BE812" w14:textId="77777777" w:rsidR="0084583C" w:rsidRPr="0084583C" w:rsidRDefault="0084583C" w:rsidP="0084583C">
            <w:pPr>
              <w:widowControl w:val="0"/>
              <w:spacing w:before="120" w:after="120" w:line="240" w:lineRule="auto"/>
              <w:rPr>
                <w:rFonts w:ascii="Arial" w:eastAsia="Times New Roman" w:hAnsi="Arial" w:cs="Arial"/>
                <w:b/>
                <w:lang w:eastAsia="zh-CN" w:bidi="th-TH"/>
              </w:rPr>
            </w:pPr>
            <w:r w:rsidRPr="0084583C">
              <w:rPr>
                <w:rFonts w:ascii="Arial" w:eastAsia="Times New Roman" w:hAnsi="Arial" w:cs="Arial"/>
                <w:b/>
                <w:lang w:eastAsia="zh-CN" w:bidi="th-TH"/>
              </w:rPr>
              <w:t>Additional Project Timeframe</w:t>
            </w:r>
          </w:p>
        </w:tc>
        <w:tc>
          <w:tcPr>
            <w:tcW w:w="1276" w:type="dxa"/>
            <w:shd w:val="clear" w:color="auto" w:fill="auto"/>
          </w:tcPr>
          <w:p w14:paraId="7042A5B2" w14:textId="77777777" w:rsidR="0084583C" w:rsidRPr="0084583C" w:rsidRDefault="0084583C" w:rsidP="0084583C">
            <w:pPr>
              <w:widowControl w:val="0"/>
              <w:spacing w:before="120" w:after="120" w:line="240" w:lineRule="auto"/>
              <w:rPr>
                <w:rFonts w:ascii="Arial" w:eastAsia="Times New Roman" w:hAnsi="Arial" w:cs="Arial"/>
                <w:b/>
                <w:lang w:eastAsia="zh-CN" w:bidi="th-TH"/>
              </w:rPr>
            </w:pPr>
            <w:r w:rsidRPr="0084583C">
              <w:rPr>
                <w:rFonts w:ascii="Arial" w:eastAsia="Times New Roman" w:hAnsi="Arial" w:cs="Arial"/>
                <w:lang w:eastAsia="zh-CN" w:bidi="th-TH"/>
              </w:rPr>
              <w:t>1.1</w:t>
            </w:r>
            <w:r w:rsidRPr="0084583C">
              <w:rPr>
                <w:rFonts w:ascii="Arial" w:eastAsia="Times New Roman" w:hAnsi="Arial" w:cs="Arial"/>
                <w:b/>
                <w:lang w:eastAsia="zh-CN" w:bidi="th-TH"/>
              </w:rPr>
              <w:t xml:space="preserve"> </w:t>
            </w:r>
          </w:p>
        </w:tc>
        <w:tc>
          <w:tcPr>
            <w:tcW w:w="5670" w:type="dxa"/>
            <w:shd w:val="clear" w:color="auto" w:fill="auto"/>
          </w:tcPr>
          <w:p w14:paraId="47DB9AFB" w14:textId="77777777" w:rsidR="0084583C" w:rsidRPr="0084583C" w:rsidRDefault="0084583C" w:rsidP="0084583C">
            <w:pPr>
              <w:widowControl w:val="0"/>
              <w:spacing w:before="120" w:after="140" w:line="280" w:lineRule="atLeast"/>
              <w:rPr>
                <w:rFonts w:ascii="Arial" w:eastAsia="Times New Roman" w:hAnsi="Arial" w:cs="Arial"/>
                <w:color w:val="000000"/>
                <w:lang w:eastAsia="zh-CN" w:bidi="th-TH"/>
              </w:rPr>
            </w:pPr>
            <w:r w:rsidRPr="0084583C">
              <w:rPr>
                <w:rFonts w:ascii="Arial" w:eastAsia="Times New Roman" w:hAnsi="Arial" w:cs="Arial"/>
                <w:lang w:eastAsia="zh-CN" w:bidi="th-TH"/>
              </w:rPr>
              <w:t>From the date of approval by CEWO of the Work Order to 30 June 2021</w:t>
            </w:r>
          </w:p>
        </w:tc>
      </w:tr>
      <w:tr w:rsidR="0084583C" w:rsidRPr="0084583C" w14:paraId="6520BB3A" w14:textId="77777777" w:rsidTr="00F253D8">
        <w:tc>
          <w:tcPr>
            <w:tcW w:w="675" w:type="dxa"/>
          </w:tcPr>
          <w:p w14:paraId="6DDFC931" w14:textId="77777777" w:rsidR="0084583C" w:rsidRPr="0084583C" w:rsidRDefault="0084583C" w:rsidP="0084583C">
            <w:pPr>
              <w:widowControl w:val="0"/>
              <w:numPr>
                <w:ilvl w:val="0"/>
                <w:numId w:val="2"/>
              </w:numPr>
              <w:spacing w:after="140" w:line="280" w:lineRule="atLeast"/>
              <w:rPr>
                <w:rFonts w:ascii="Times New Roman" w:eastAsia="Times New Roman" w:hAnsi="Times New Roman" w:cs="Angsana New"/>
                <w:lang w:eastAsia="en-AU"/>
              </w:rPr>
            </w:pPr>
            <w:bookmarkStart w:id="6" w:name="_Ref183246792"/>
          </w:p>
        </w:tc>
        <w:bookmarkEnd w:id="6"/>
        <w:tc>
          <w:tcPr>
            <w:tcW w:w="1985" w:type="dxa"/>
          </w:tcPr>
          <w:p w14:paraId="3D364FF7" w14:textId="77777777" w:rsidR="0084583C" w:rsidRPr="0084583C" w:rsidRDefault="0084583C" w:rsidP="0084583C">
            <w:pPr>
              <w:widowControl w:val="0"/>
              <w:spacing w:before="120" w:after="120" w:line="240" w:lineRule="auto"/>
              <w:rPr>
                <w:rFonts w:ascii="Arial" w:eastAsia="Times New Roman" w:hAnsi="Arial" w:cs="Arial"/>
                <w:b/>
                <w:lang w:eastAsia="zh-CN" w:bidi="th-TH"/>
              </w:rPr>
            </w:pPr>
            <w:r w:rsidRPr="0084583C">
              <w:rPr>
                <w:rFonts w:ascii="Arial" w:eastAsia="Times New Roman" w:hAnsi="Arial" w:cs="Arial"/>
                <w:b/>
                <w:lang w:eastAsia="zh-CN" w:bidi="th-TH"/>
              </w:rPr>
              <w:t>Category of Services</w:t>
            </w:r>
          </w:p>
        </w:tc>
        <w:tc>
          <w:tcPr>
            <w:tcW w:w="1276" w:type="dxa"/>
          </w:tcPr>
          <w:p w14:paraId="67A6979C" w14:textId="77777777" w:rsidR="0084583C" w:rsidRPr="0084583C" w:rsidRDefault="0084583C" w:rsidP="0084583C">
            <w:pPr>
              <w:widowControl w:val="0"/>
              <w:spacing w:before="120" w:after="120" w:line="240" w:lineRule="auto"/>
              <w:rPr>
                <w:rFonts w:ascii="Arial" w:eastAsia="Times New Roman" w:hAnsi="Arial" w:cs="Arial"/>
                <w:lang w:eastAsia="zh-CN" w:bidi="th-TH"/>
              </w:rPr>
            </w:pPr>
            <w:r w:rsidRPr="0084583C">
              <w:rPr>
                <w:rFonts w:ascii="Arial" w:eastAsia="Times New Roman" w:hAnsi="Arial" w:cs="Arial"/>
                <w:lang w:eastAsia="zh-CN" w:bidi="th-TH"/>
              </w:rPr>
              <w:t>7</w:t>
            </w:r>
          </w:p>
        </w:tc>
        <w:tc>
          <w:tcPr>
            <w:tcW w:w="5670" w:type="dxa"/>
          </w:tcPr>
          <w:p w14:paraId="7D13368D" w14:textId="77777777" w:rsidR="0084583C" w:rsidRPr="0084583C" w:rsidRDefault="0084583C" w:rsidP="0084583C">
            <w:pPr>
              <w:widowControl w:val="0"/>
              <w:spacing w:before="120" w:after="140" w:line="280" w:lineRule="atLeast"/>
              <w:rPr>
                <w:rFonts w:ascii="Arial" w:eastAsia="Times New Roman" w:hAnsi="Arial" w:cs="Arial"/>
                <w:lang w:eastAsia="zh-CN" w:bidi="th-TH"/>
              </w:rPr>
            </w:pPr>
            <w:r w:rsidRPr="0084583C">
              <w:rPr>
                <w:rFonts w:ascii="Arial" w:eastAsia="Times New Roman" w:hAnsi="Arial" w:cs="Arial"/>
                <w:lang w:eastAsia="zh-CN" w:bidi="th-TH"/>
              </w:rPr>
              <w:t>Monitoring</w:t>
            </w:r>
          </w:p>
        </w:tc>
      </w:tr>
      <w:tr w:rsidR="0084583C" w:rsidRPr="0084583C" w14:paraId="5DB123C4" w14:textId="77777777" w:rsidTr="00F253D8">
        <w:tc>
          <w:tcPr>
            <w:tcW w:w="675" w:type="dxa"/>
          </w:tcPr>
          <w:p w14:paraId="33BB9196" w14:textId="77777777" w:rsidR="0084583C" w:rsidRPr="0084583C" w:rsidRDefault="0084583C" w:rsidP="0084583C">
            <w:pPr>
              <w:widowControl w:val="0"/>
              <w:numPr>
                <w:ilvl w:val="0"/>
                <w:numId w:val="2"/>
              </w:numPr>
              <w:spacing w:after="140" w:line="280" w:lineRule="atLeast"/>
              <w:rPr>
                <w:rFonts w:ascii="Times New Roman" w:eastAsia="Times New Roman" w:hAnsi="Times New Roman" w:cs="Angsana New"/>
                <w:lang w:eastAsia="en-AU"/>
              </w:rPr>
            </w:pPr>
            <w:bookmarkStart w:id="7" w:name="_Ref183250170"/>
          </w:p>
        </w:tc>
        <w:bookmarkEnd w:id="7"/>
        <w:tc>
          <w:tcPr>
            <w:tcW w:w="1985" w:type="dxa"/>
          </w:tcPr>
          <w:p w14:paraId="3DCD0873" w14:textId="77777777" w:rsidR="0084583C" w:rsidRPr="0084583C" w:rsidRDefault="0084583C" w:rsidP="0084583C">
            <w:pPr>
              <w:widowControl w:val="0"/>
              <w:spacing w:before="120" w:after="120" w:line="240" w:lineRule="auto"/>
              <w:rPr>
                <w:rFonts w:ascii="Arial" w:eastAsia="Times New Roman" w:hAnsi="Arial" w:cs="Arial"/>
                <w:b/>
                <w:lang w:eastAsia="zh-CN" w:bidi="th-TH"/>
              </w:rPr>
            </w:pPr>
            <w:r w:rsidRPr="0084583C">
              <w:rPr>
                <w:rFonts w:ascii="Arial" w:eastAsia="Times New Roman" w:hAnsi="Arial" w:cs="Arial"/>
                <w:b/>
                <w:lang w:eastAsia="zh-CN" w:bidi="th-TH"/>
              </w:rPr>
              <w:t xml:space="preserve">Additional Project Services </w:t>
            </w:r>
          </w:p>
          <w:p w14:paraId="7DC9FF43" w14:textId="77777777" w:rsidR="0084583C" w:rsidRPr="0084583C" w:rsidRDefault="0084583C" w:rsidP="0084583C">
            <w:pPr>
              <w:widowControl w:val="0"/>
              <w:spacing w:before="120" w:after="120" w:line="240" w:lineRule="auto"/>
              <w:rPr>
                <w:rFonts w:ascii="Arial" w:eastAsia="Times New Roman" w:hAnsi="Arial" w:cs="Arial"/>
                <w:b/>
                <w:lang w:eastAsia="zh-CN" w:bidi="th-TH"/>
              </w:rPr>
            </w:pPr>
          </w:p>
        </w:tc>
        <w:tc>
          <w:tcPr>
            <w:tcW w:w="1276" w:type="dxa"/>
          </w:tcPr>
          <w:p w14:paraId="4952A53A" w14:textId="77777777" w:rsidR="0084583C" w:rsidRPr="0084583C" w:rsidRDefault="0084583C" w:rsidP="0084583C">
            <w:pPr>
              <w:widowControl w:val="0"/>
              <w:spacing w:before="120" w:after="120" w:line="240" w:lineRule="auto"/>
              <w:rPr>
                <w:rFonts w:ascii="Arial" w:eastAsia="Times New Roman" w:hAnsi="Arial" w:cs="Arial"/>
                <w:lang w:eastAsia="zh-CN" w:bidi="th-TH"/>
              </w:rPr>
            </w:pPr>
            <w:r w:rsidRPr="0084583C">
              <w:rPr>
                <w:rFonts w:ascii="Arial" w:eastAsia="Times New Roman" w:hAnsi="Arial" w:cs="Arial"/>
                <w:lang w:eastAsia="zh-CN" w:bidi="th-TH"/>
              </w:rPr>
              <w:t>7</w:t>
            </w:r>
          </w:p>
        </w:tc>
        <w:tc>
          <w:tcPr>
            <w:tcW w:w="5670" w:type="dxa"/>
          </w:tcPr>
          <w:p w14:paraId="02996D87" w14:textId="77777777" w:rsidR="0084583C" w:rsidRPr="0084583C" w:rsidRDefault="0084583C" w:rsidP="0084583C">
            <w:pPr>
              <w:widowControl w:val="0"/>
              <w:spacing w:before="120" w:after="140" w:line="280" w:lineRule="atLeast"/>
              <w:rPr>
                <w:rFonts w:ascii="Arial" w:eastAsia="Times New Roman" w:hAnsi="Arial" w:cs="Arial"/>
                <w:lang w:eastAsia="zh-CN" w:bidi="th-TH"/>
              </w:rPr>
            </w:pPr>
            <w:r w:rsidRPr="0084583C">
              <w:rPr>
                <w:rFonts w:ascii="Arial" w:eastAsia="Times New Roman" w:hAnsi="Arial" w:cs="Arial"/>
                <w:lang w:eastAsia="zh-CN" w:bidi="th-TH"/>
              </w:rPr>
              <w:t>This work order is additional work to better understand the source of metabolic processes (primary production and respiration) in the lower Goulburn River.</w:t>
            </w:r>
          </w:p>
          <w:p w14:paraId="530B8425" w14:textId="77777777" w:rsidR="0084583C" w:rsidRPr="0084583C" w:rsidRDefault="0084583C" w:rsidP="0084583C">
            <w:pPr>
              <w:widowControl w:val="0"/>
              <w:spacing w:before="120" w:after="140" w:line="280" w:lineRule="atLeast"/>
              <w:rPr>
                <w:rFonts w:ascii="Arial" w:eastAsia="Times New Roman" w:hAnsi="Arial" w:cs="Arial"/>
                <w:lang w:eastAsia="zh-CN" w:bidi="th-TH"/>
              </w:rPr>
            </w:pPr>
            <w:r w:rsidRPr="0084583C">
              <w:rPr>
                <w:rFonts w:ascii="Arial" w:eastAsia="Times New Roman" w:hAnsi="Arial" w:cs="Arial"/>
                <w:lang w:eastAsia="zh-CN" w:bidi="th-TH"/>
              </w:rPr>
              <w:t xml:space="preserve">We will conduct field and laboratory work to measure pelagic (in the water column) production and respiration at three sites where we are conducting whole stream metabolism monitoring as part of the core program. </w:t>
            </w:r>
          </w:p>
          <w:p w14:paraId="7BD970CF" w14:textId="77777777" w:rsidR="0084583C" w:rsidRPr="0084583C" w:rsidRDefault="0084583C" w:rsidP="0084583C">
            <w:pPr>
              <w:widowControl w:val="0"/>
              <w:spacing w:before="120" w:after="140" w:line="280" w:lineRule="atLeast"/>
              <w:rPr>
                <w:rFonts w:ascii="Arial" w:eastAsia="Times New Roman" w:hAnsi="Arial" w:cs="Arial"/>
                <w:lang w:eastAsia="zh-CN" w:bidi="th-TH"/>
              </w:rPr>
            </w:pPr>
            <w:r w:rsidRPr="0084583C">
              <w:rPr>
                <w:rFonts w:ascii="Arial" w:eastAsia="Times New Roman" w:hAnsi="Arial" w:cs="Arial"/>
                <w:lang w:eastAsia="zh-CN" w:bidi="th-TH"/>
              </w:rPr>
              <w:lastRenderedPageBreak/>
              <w:t>By comparing the two, we will be able to compute the proportion of metabolism that occurs on benthic (riverbed and hard substrates) surfaces versus the proportion that occurs in the water column, and how that proportion varies under different flow conditions.</w:t>
            </w:r>
          </w:p>
          <w:p w14:paraId="5FC99F39" w14:textId="77777777" w:rsidR="0084583C" w:rsidRPr="0084583C" w:rsidRDefault="0084583C" w:rsidP="0084583C">
            <w:pPr>
              <w:widowControl w:val="0"/>
              <w:spacing w:before="120" w:after="140" w:line="280" w:lineRule="atLeast"/>
              <w:rPr>
                <w:rFonts w:ascii="Arial" w:eastAsia="Times New Roman" w:hAnsi="Arial" w:cs="Arial"/>
                <w:lang w:eastAsia="zh-CN" w:bidi="th-TH"/>
              </w:rPr>
            </w:pPr>
            <w:r w:rsidRPr="0084583C">
              <w:rPr>
                <w:rFonts w:ascii="Arial" w:eastAsia="Times New Roman" w:hAnsi="Arial" w:cs="Arial"/>
                <w:lang w:eastAsia="zh-CN" w:bidi="th-TH"/>
              </w:rPr>
              <w:t>This comparison is important because it will tell us what proportion of organic carbon fixed through primary production will be available to invertebrates and other consumers in the Goulburn River, and what proportion is exported to the Murray River. With macroinvertebrate and therefore fish production in the Goulburn likely limited by food availability, this information will help inform flows planning and complementary management actions designed to improve production.</w:t>
            </w:r>
          </w:p>
          <w:p w14:paraId="54EE2872" w14:textId="77777777" w:rsidR="0084583C" w:rsidRPr="0084583C" w:rsidRDefault="0084583C" w:rsidP="0084583C">
            <w:pPr>
              <w:widowControl w:val="0"/>
              <w:spacing w:before="120" w:after="140" w:line="280" w:lineRule="atLeast"/>
              <w:rPr>
                <w:rFonts w:ascii="Arial" w:eastAsia="Times New Roman" w:hAnsi="Arial" w:cs="Arial"/>
                <w:lang w:eastAsia="zh-CN" w:bidi="th-TH"/>
              </w:rPr>
            </w:pPr>
            <w:r w:rsidRPr="0084583C">
              <w:rPr>
                <w:rFonts w:ascii="Arial" w:eastAsia="Times New Roman" w:hAnsi="Arial" w:cs="Arial"/>
                <w:lang w:eastAsia="zh-CN" w:bidi="th-TH"/>
              </w:rPr>
              <w:t>This monitoring work will be conducted over the period Dec 2020 – March 2021 and is being undertaken as a student research project with Master of Engineering students from the University of Melbourne.</w:t>
            </w:r>
          </w:p>
          <w:p w14:paraId="4F9275FB" w14:textId="77777777" w:rsidR="0084583C" w:rsidRPr="0084583C" w:rsidRDefault="0084583C" w:rsidP="0084583C">
            <w:pPr>
              <w:widowControl w:val="0"/>
              <w:spacing w:before="120" w:after="140" w:line="280" w:lineRule="atLeast"/>
              <w:rPr>
                <w:rFonts w:ascii="Arial" w:eastAsia="Times New Roman" w:hAnsi="Arial" w:cs="Arial"/>
                <w:lang w:eastAsia="zh-CN" w:bidi="th-TH"/>
              </w:rPr>
            </w:pPr>
            <w:r w:rsidRPr="0084583C">
              <w:rPr>
                <w:rFonts w:ascii="Arial" w:eastAsia="Times New Roman" w:hAnsi="Arial" w:cs="Arial"/>
                <w:lang w:eastAsia="zh-CN" w:bidi="th-TH"/>
              </w:rPr>
              <w:t>Field procedures and a UoM risk assessment have been developed and the Standard Operating Procedures will be developed as part of the project.</w:t>
            </w:r>
          </w:p>
          <w:p w14:paraId="40C4EC7C" w14:textId="77777777" w:rsidR="0084583C" w:rsidRPr="0084583C" w:rsidRDefault="0084583C" w:rsidP="0084583C">
            <w:pPr>
              <w:widowControl w:val="0"/>
              <w:spacing w:before="120" w:after="140" w:line="280" w:lineRule="atLeast"/>
              <w:rPr>
                <w:rFonts w:ascii="Arial" w:eastAsia="Times New Roman" w:hAnsi="Arial" w:cs="Arial"/>
                <w:lang w:eastAsia="zh-CN" w:bidi="th-TH"/>
              </w:rPr>
            </w:pPr>
            <w:r w:rsidRPr="0084583C">
              <w:rPr>
                <w:rFonts w:ascii="Arial" w:eastAsia="Times New Roman" w:hAnsi="Arial" w:cs="Arial"/>
                <w:lang w:eastAsia="zh-CN" w:bidi="th-TH"/>
              </w:rPr>
              <w:t>A detailed budget is provided in Attachment A.</w:t>
            </w:r>
          </w:p>
        </w:tc>
      </w:tr>
      <w:tr w:rsidR="0084583C" w:rsidRPr="0084583C" w14:paraId="7DC35CD3" w14:textId="77777777" w:rsidTr="00F253D8">
        <w:tc>
          <w:tcPr>
            <w:tcW w:w="675" w:type="dxa"/>
          </w:tcPr>
          <w:p w14:paraId="6FB6046C" w14:textId="77777777" w:rsidR="0084583C" w:rsidRPr="0084583C" w:rsidRDefault="0084583C" w:rsidP="0084583C">
            <w:pPr>
              <w:widowControl w:val="0"/>
              <w:numPr>
                <w:ilvl w:val="0"/>
                <w:numId w:val="2"/>
              </w:numPr>
              <w:spacing w:after="140" w:line="280" w:lineRule="atLeast"/>
              <w:rPr>
                <w:rFonts w:ascii="Times New Roman" w:eastAsia="Times New Roman" w:hAnsi="Times New Roman" w:cs="Angsana New"/>
                <w:lang w:eastAsia="en-AU"/>
              </w:rPr>
            </w:pPr>
            <w:bookmarkStart w:id="8" w:name="_Ref183250249"/>
          </w:p>
        </w:tc>
        <w:bookmarkEnd w:id="8"/>
        <w:tc>
          <w:tcPr>
            <w:tcW w:w="1985" w:type="dxa"/>
          </w:tcPr>
          <w:p w14:paraId="34D4847E" w14:textId="77777777" w:rsidR="0084583C" w:rsidRPr="0084583C" w:rsidRDefault="0084583C" w:rsidP="0084583C">
            <w:pPr>
              <w:widowControl w:val="0"/>
              <w:spacing w:before="120" w:after="120" w:line="240" w:lineRule="auto"/>
              <w:rPr>
                <w:rFonts w:ascii="Arial" w:eastAsia="Times New Roman" w:hAnsi="Arial" w:cs="Arial"/>
                <w:b/>
                <w:lang w:eastAsia="zh-CN" w:bidi="th-TH"/>
              </w:rPr>
            </w:pPr>
            <w:r w:rsidRPr="0084583C">
              <w:rPr>
                <w:rFonts w:ascii="Arial" w:eastAsia="Times New Roman" w:hAnsi="Arial" w:cs="Arial"/>
                <w:b/>
                <w:lang w:eastAsia="zh-CN" w:bidi="th-TH"/>
              </w:rPr>
              <w:t>Subcontractors</w:t>
            </w:r>
          </w:p>
        </w:tc>
        <w:tc>
          <w:tcPr>
            <w:tcW w:w="1276" w:type="dxa"/>
          </w:tcPr>
          <w:p w14:paraId="57EBA6EB" w14:textId="77777777" w:rsidR="0084583C" w:rsidRPr="0084583C" w:rsidRDefault="0084583C" w:rsidP="0084583C">
            <w:pPr>
              <w:widowControl w:val="0"/>
              <w:spacing w:before="120" w:after="120" w:line="240" w:lineRule="auto"/>
              <w:rPr>
                <w:rFonts w:ascii="Arial" w:eastAsia="Times New Roman" w:hAnsi="Arial" w:cs="Arial"/>
                <w:b/>
                <w:lang w:eastAsia="zh-CN" w:bidi="th-TH"/>
              </w:rPr>
            </w:pPr>
            <w:r w:rsidRPr="0084583C">
              <w:rPr>
                <w:rFonts w:ascii="Arial" w:eastAsia="Times New Roman" w:hAnsi="Arial" w:cs="Arial"/>
                <w:lang w:eastAsia="zh-CN" w:bidi="th-TH"/>
              </w:rPr>
              <w:t xml:space="preserve">6.5 </w:t>
            </w:r>
          </w:p>
        </w:tc>
        <w:tc>
          <w:tcPr>
            <w:tcW w:w="5670" w:type="dxa"/>
          </w:tcPr>
          <w:p w14:paraId="066F7AB6" w14:textId="77777777" w:rsidR="0084583C" w:rsidRPr="0084583C" w:rsidRDefault="0084583C" w:rsidP="0084583C">
            <w:pPr>
              <w:widowControl w:val="0"/>
              <w:spacing w:before="120" w:after="140" w:line="280" w:lineRule="atLeast"/>
              <w:rPr>
                <w:rFonts w:ascii="Arial" w:eastAsia="Arial" w:hAnsi="Arial" w:cs="Arial"/>
                <w:lang w:eastAsia="zh-CN" w:bidi="th-TH"/>
              </w:rPr>
            </w:pPr>
            <w:r w:rsidRPr="0084583C">
              <w:rPr>
                <w:rFonts w:ascii="Arial" w:eastAsia="Times New Roman" w:hAnsi="Arial" w:cs="Arial"/>
                <w:lang w:eastAsia="zh-CN" w:bidi="th-TH"/>
              </w:rPr>
              <w:t>NA</w:t>
            </w:r>
          </w:p>
        </w:tc>
      </w:tr>
      <w:tr w:rsidR="0084583C" w:rsidRPr="0084583C" w14:paraId="0558174C" w14:textId="77777777" w:rsidTr="00F253D8">
        <w:tc>
          <w:tcPr>
            <w:tcW w:w="675" w:type="dxa"/>
          </w:tcPr>
          <w:p w14:paraId="4ACCFA25" w14:textId="77777777" w:rsidR="0084583C" w:rsidRPr="0084583C" w:rsidRDefault="0084583C" w:rsidP="0084583C">
            <w:pPr>
              <w:widowControl w:val="0"/>
              <w:numPr>
                <w:ilvl w:val="0"/>
                <w:numId w:val="2"/>
              </w:numPr>
              <w:spacing w:after="140" w:line="280" w:lineRule="atLeast"/>
              <w:rPr>
                <w:rFonts w:ascii="Times New Roman" w:eastAsia="Times New Roman" w:hAnsi="Times New Roman" w:cs="Angsana New"/>
                <w:lang w:eastAsia="en-AU"/>
              </w:rPr>
            </w:pPr>
            <w:bookmarkStart w:id="9" w:name="_Ref183250270"/>
          </w:p>
        </w:tc>
        <w:bookmarkEnd w:id="9"/>
        <w:tc>
          <w:tcPr>
            <w:tcW w:w="1985" w:type="dxa"/>
          </w:tcPr>
          <w:p w14:paraId="34A54212" w14:textId="77777777" w:rsidR="0084583C" w:rsidRPr="0084583C" w:rsidRDefault="0084583C" w:rsidP="0084583C">
            <w:pPr>
              <w:widowControl w:val="0"/>
              <w:spacing w:before="120" w:after="120" w:line="240" w:lineRule="auto"/>
              <w:rPr>
                <w:rFonts w:ascii="Arial" w:eastAsia="Times New Roman" w:hAnsi="Arial" w:cs="Arial"/>
                <w:b/>
                <w:lang w:eastAsia="zh-CN" w:bidi="th-TH"/>
              </w:rPr>
            </w:pPr>
            <w:r w:rsidRPr="0084583C">
              <w:rPr>
                <w:rFonts w:ascii="Arial" w:eastAsia="Times New Roman" w:hAnsi="Arial" w:cs="Arial"/>
                <w:b/>
                <w:lang w:eastAsia="zh-CN" w:bidi="th-TH"/>
              </w:rPr>
              <w:t>Progress meetings and reports</w:t>
            </w:r>
          </w:p>
        </w:tc>
        <w:tc>
          <w:tcPr>
            <w:tcW w:w="1276" w:type="dxa"/>
          </w:tcPr>
          <w:p w14:paraId="42E48435" w14:textId="77777777" w:rsidR="0084583C" w:rsidRPr="0084583C" w:rsidRDefault="0084583C" w:rsidP="0084583C">
            <w:pPr>
              <w:widowControl w:val="0"/>
              <w:spacing w:before="120" w:after="120" w:line="240" w:lineRule="auto"/>
              <w:rPr>
                <w:rFonts w:ascii="Arial" w:eastAsia="Times New Roman" w:hAnsi="Arial" w:cs="Arial"/>
                <w:lang w:eastAsia="zh-CN" w:bidi="th-TH"/>
              </w:rPr>
            </w:pPr>
            <w:r w:rsidRPr="0084583C">
              <w:rPr>
                <w:rFonts w:ascii="Arial" w:eastAsia="Times New Roman" w:hAnsi="Arial" w:cs="Arial"/>
                <w:lang w:eastAsia="zh-CN" w:bidi="th-TH"/>
              </w:rPr>
              <w:t xml:space="preserve">11 </w:t>
            </w:r>
          </w:p>
        </w:tc>
        <w:tc>
          <w:tcPr>
            <w:tcW w:w="5670" w:type="dxa"/>
          </w:tcPr>
          <w:p w14:paraId="53B0ACA9" w14:textId="77777777" w:rsidR="0084583C" w:rsidRPr="0084583C" w:rsidRDefault="0084583C" w:rsidP="0084583C">
            <w:pPr>
              <w:widowControl w:val="0"/>
              <w:spacing w:before="120" w:after="120" w:line="280" w:lineRule="atLeast"/>
              <w:rPr>
                <w:rFonts w:ascii="Arial" w:eastAsia="Times New Roman" w:hAnsi="Arial" w:cs="Arial"/>
                <w:b/>
                <w:bCs/>
                <w:lang w:eastAsia="zh-CN" w:bidi="th-TH"/>
              </w:rPr>
            </w:pPr>
            <w:r w:rsidRPr="0084583C">
              <w:rPr>
                <w:rFonts w:ascii="Arial" w:eastAsia="Times New Roman" w:hAnsi="Arial" w:cs="Arial"/>
                <w:b/>
                <w:bCs/>
                <w:lang w:eastAsia="zh-CN" w:bidi="th-TH"/>
              </w:rPr>
              <w:t>Meetings</w:t>
            </w:r>
          </w:p>
          <w:p w14:paraId="3BDCAD35" w14:textId="77777777" w:rsidR="0084583C" w:rsidRPr="0084583C" w:rsidRDefault="0084583C" w:rsidP="0084583C">
            <w:pPr>
              <w:numPr>
                <w:ilvl w:val="0"/>
                <w:numId w:val="3"/>
              </w:numPr>
              <w:spacing w:after="140" w:line="280" w:lineRule="atLeast"/>
              <w:rPr>
                <w:rFonts w:ascii="Arial" w:eastAsia="Times New Roman" w:hAnsi="Arial" w:cs="Arial"/>
                <w:lang w:eastAsia="zh-CN" w:bidi="th-TH"/>
              </w:rPr>
            </w:pPr>
            <w:r w:rsidRPr="0084583C">
              <w:rPr>
                <w:rFonts w:ascii="Arial" w:eastAsia="Times New Roman" w:hAnsi="Arial" w:cs="Arial"/>
                <w:lang w:eastAsia="zh-CN" w:bidi="th-TH"/>
              </w:rPr>
              <w:t>Meetings of the team as necessary to plan monitoring activities in concert with flow regulation decisions</w:t>
            </w:r>
          </w:p>
          <w:p w14:paraId="1BED8D9E" w14:textId="77777777" w:rsidR="0084583C" w:rsidRPr="0084583C" w:rsidRDefault="0084583C" w:rsidP="0084583C">
            <w:pPr>
              <w:widowControl w:val="0"/>
              <w:numPr>
                <w:ilvl w:val="0"/>
                <w:numId w:val="3"/>
              </w:numPr>
              <w:spacing w:after="120" w:line="280" w:lineRule="atLeast"/>
              <w:rPr>
                <w:rFonts w:ascii="Arial" w:eastAsia="Times New Roman" w:hAnsi="Arial" w:cs="Arial"/>
                <w:lang w:eastAsia="zh-CN" w:bidi="th-TH"/>
              </w:rPr>
            </w:pPr>
            <w:r w:rsidRPr="0084583C">
              <w:rPr>
                <w:rFonts w:ascii="Arial" w:eastAsia="Times New Roman" w:hAnsi="Arial" w:cs="Arial"/>
                <w:lang w:eastAsia="zh-CN" w:bidi="th-TH"/>
              </w:rPr>
              <w:t>Provide updates to each Working Group meeting</w:t>
            </w:r>
          </w:p>
          <w:p w14:paraId="035EA531" w14:textId="77777777" w:rsidR="0084583C" w:rsidRPr="0084583C" w:rsidRDefault="0084583C" w:rsidP="0084583C">
            <w:pPr>
              <w:widowControl w:val="0"/>
              <w:numPr>
                <w:ilvl w:val="0"/>
                <w:numId w:val="3"/>
              </w:numPr>
              <w:spacing w:after="140" w:line="280" w:lineRule="atLeast"/>
              <w:rPr>
                <w:rFonts w:ascii="Arial" w:eastAsia="Times New Roman" w:hAnsi="Arial" w:cs="Arial"/>
                <w:lang w:eastAsia="zh-CN" w:bidi="th-TH"/>
              </w:rPr>
            </w:pPr>
            <w:r w:rsidRPr="0084583C">
              <w:rPr>
                <w:rFonts w:ascii="Arial" w:eastAsia="Times New Roman" w:hAnsi="Arial" w:cs="Arial"/>
                <w:lang w:eastAsia="zh-CN" w:bidi="th-TH"/>
              </w:rPr>
              <w:t>Provide verbal updates to CEWO when required</w:t>
            </w:r>
          </w:p>
          <w:p w14:paraId="60F40484" w14:textId="77777777" w:rsidR="0084583C" w:rsidRPr="0084583C" w:rsidRDefault="0084583C" w:rsidP="0084583C">
            <w:pPr>
              <w:widowControl w:val="0"/>
              <w:spacing w:before="120" w:after="120" w:line="276" w:lineRule="auto"/>
              <w:rPr>
                <w:rFonts w:ascii="Arial" w:eastAsia="Times New Roman" w:hAnsi="Arial" w:cs="Arial"/>
                <w:b/>
                <w:bCs/>
                <w:lang w:eastAsia="zh-CN" w:bidi="th-TH"/>
              </w:rPr>
            </w:pPr>
            <w:r w:rsidRPr="0084583C">
              <w:rPr>
                <w:rFonts w:ascii="Arial" w:eastAsia="Times New Roman" w:hAnsi="Arial" w:cs="Arial"/>
                <w:b/>
                <w:bCs/>
                <w:lang w:eastAsia="zh-CN" w:bidi="th-TH"/>
              </w:rPr>
              <w:t>Reports</w:t>
            </w:r>
          </w:p>
          <w:p w14:paraId="0C5E333E" w14:textId="77777777" w:rsidR="0084583C" w:rsidRPr="0084583C" w:rsidRDefault="0084583C" w:rsidP="0084583C">
            <w:pPr>
              <w:widowControl w:val="0"/>
              <w:numPr>
                <w:ilvl w:val="0"/>
                <w:numId w:val="6"/>
              </w:numPr>
              <w:spacing w:after="120" w:line="280" w:lineRule="atLeast"/>
              <w:ind w:left="346" w:hanging="346"/>
              <w:rPr>
                <w:rFonts w:ascii="Arial" w:eastAsia="Times New Roman" w:hAnsi="Arial" w:cs="Arial"/>
                <w:lang w:eastAsia="zh-CN" w:bidi="th-TH"/>
              </w:rPr>
            </w:pPr>
            <w:r w:rsidRPr="0084583C">
              <w:rPr>
                <w:rFonts w:ascii="Arial" w:eastAsia="Times New Roman" w:hAnsi="Arial" w:cs="Arial"/>
                <w:lang w:eastAsia="zh-CN" w:bidi="th-TH"/>
              </w:rPr>
              <w:t>Provide brief written content describing this activity to incorporate into the Core Program quarterly outcomes newsletter</w:t>
            </w:r>
          </w:p>
          <w:p w14:paraId="14E08B99" w14:textId="77777777" w:rsidR="0084583C" w:rsidRPr="0084583C" w:rsidRDefault="0084583C" w:rsidP="0084583C">
            <w:pPr>
              <w:widowControl w:val="0"/>
              <w:numPr>
                <w:ilvl w:val="0"/>
                <w:numId w:val="6"/>
              </w:numPr>
              <w:spacing w:after="120" w:line="280" w:lineRule="atLeast"/>
              <w:ind w:left="346" w:hanging="346"/>
              <w:rPr>
                <w:rFonts w:ascii="Arial" w:eastAsia="Times New Roman" w:hAnsi="Arial" w:cs="Arial"/>
                <w:lang w:eastAsia="zh-CN" w:bidi="th-TH"/>
              </w:rPr>
            </w:pPr>
            <w:r w:rsidRPr="0084583C">
              <w:rPr>
                <w:rFonts w:ascii="Arial" w:eastAsia="Times New Roman" w:hAnsi="Arial" w:cs="Arial"/>
                <w:lang w:eastAsia="zh-CN" w:bidi="th-TH"/>
              </w:rPr>
              <w:t>Report contingency monitoring activities and outcomes as part of the Goulburn MER Annual Report in 2021</w:t>
            </w:r>
          </w:p>
        </w:tc>
      </w:tr>
      <w:tr w:rsidR="0084583C" w:rsidRPr="0084583C" w14:paraId="20C51859" w14:textId="77777777" w:rsidTr="00F253D8">
        <w:tc>
          <w:tcPr>
            <w:tcW w:w="675" w:type="dxa"/>
          </w:tcPr>
          <w:p w14:paraId="1F826041" w14:textId="77777777" w:rsidR="0084583C" w:rsidRPr="0084583C" w:rsidRDefault="0084583C" w:rsidP="0084583C">
            <w:pPr>
              <w:widowControl w:val="0"/>
              <w:numPr>
                <w:ilvl w:val="0"/>
                <w:numId w:val="2"/>
              </w:numPr>
              <w:spacing w:after="140" w:line="280" w:lineRule="atLeast"/>
              <w:rPr>
                <w:rFonts w:ascii="Times New Roman" w:eastAsia="Times New Roman" w:hAnsi="Times New Roman" w:cs="Angsana New"/>
                <w:lang w:eastAsia="en-AU"/>
              </w:rPr>
            </w:pPr>
          </w:p>
        </w:tc>
        <w:tc>
          <w:tcPr>
            <w:tcW w:w="1985" w:type="dxa"/>
          </w:tcPr>
          <w:p w14:paraId="67B36671" w14:textId="77777777" w:rsidR="0084583C" w:rsidRPr="0084583C" w:rsidRDefault="0084583C" w:rsidP="0084583C">
            <w:pPr>
              <w:widowControl w:val="0"/>
              <w:spacing w:before="120" w:after="120" w:line="240" w:lineRule="auto"/>
              <w:rPr>
                <w:rFonts w:ascii="Arial" w:eastAsia="Times New Roman" w:hAnsi="Arial" w:cs="Arial"/>
                <w:b/>
                <w:lang w:eastAsia="zh-CN" w:bidi="th-TH"/>
              </w:rPr>
            </w:pPr>
            <w:r w:rsidRPr="0084583C">
              <w:rPr>
                <w:rFonts w:ascii="Arial" w:eastAsia="Times New Roman" w:hAnsi="Arial" w:cs="Arial"/>
                <w:b/>
                <w:lang w:eastAsia="zh-CN" w:bidi="th-TH"/>
              </w:rPr>
              <w:t xml:space="preserve">Performance Criteria </w:t>
            </w:r>
          </w:p>
        </w:tc>
        <w:tc>
          <w:tcPr>
            <w:tcW w:w="1276" w:type="dxa"/>
          </w:tcPr>
          <w:p w14:paraId="686DEC2B" w14:textId="77777777" w:rsidR="0084583C" w:rsidRPr="0084583C" w:rsidRDefault="0084583C" w:rsidP="0084583C">
            <w:pPr>
              <w:widowControl w:val="0"/>
              <w:spacing w:before="120" w:after="120" w:line="240" w:lineRule="auto"/>
              <w:rPr>
                <w:rFonts w:ascii="Arial" w:eastAsia="Times New Roman" w:hAnsi="Arial" w:cs="Arial"/>
                <w:lang w:eastAsia="zh-CN" w:bidi="th-TH"/>
              </w:rPr>
            </w:pPr>
            <w:r w:rsidRPr="0084583C">
              <w:rPr>
                <w:rFonts w:ascii="Arial" w:eastAsia="Times New Roman" w:hAnsi="Arial" w:cs="Arial"/>
                <w:lang w:eastAsia="zh-CN" w:bidi="th-TH"/>
              </w:rPr>
              <w:t>12</w:t>
            </w:r>
          </w:p>
        </w:tc>
        <w:tc>
          <w:tcPr>
            <w:tcW w:w="5670" w:type="dxa"/>
          </w:tcPr>
          <w:p w14:paraId="5C0A15C5" w14:textId="77777777" w:rsidR="0084583C" w:rsidRPr="0084583C" w:rsidRDefault="0084583C" w:rsidP="0084583C">
            <w:pPr>
              <w:widowControl w:val="0"/>
              <w:tabs>
                <w:tab w:val="left" w:pos="720"/>
              </w:tabs>
              <w:spacing w:before="60" w:after="120" w:line="276" w:lineRule="auto"/>
              <w:ind w:left="68"/>
              <w:outlineLvl w:val="3"/>
              <w:rPr>
                <w:rFonts w:ascii="Arial" w:eastAsia="Times New Roman" w:hAnsi="Arial" w:cs="Arial"/>
                <w:lang w:eastAsia="en-AU"/>
              </w:rPr>
            </w:pPr>
            <w:r w:rsidRPr="0084583C">
              <w:rPr>
                <w:rFonts w:ascii="Arial" w:eastAsia="Times New Roman" w:hAnsi="Arial" w:cs="Arial"/>
                <w:lang w:eastAsia="en-AU"/>
              </w:rPr>
              <w:t>The following Performance Criteria will apply to the Additional Project Services specified in the Work Order:</w:t>
            </w:r>
          </w:p>
          <w:p w14:paraId="09F212D7" w14:textId="77777777" w:rsidR="0084583C" w:rsidRPr="0084583C" w:rsidRDefault="0084583C" w:rsidP="0084583C">
            <w:pPr>
              <w:widowControl w:val="0"/>
              <w:numPr>
                <w:ilvl w:val="0"/>
                <w:numId w:val="5"/>
              </w:numPr>
              <w:spacing w:after="60" w:line="280" w:lineRule="atLeast"/>
              <w:ind w:left="714" w:hanging="357"/>
              <w:rPr>
                <w:rFonts w:ascii="Arial" w:eastAsia="Calibri" w:hAnsi="Arial" w:cs="Arial"/>
              </w:rPr>
            </w:pPr>
            <w:r w:rsidRPr="0084583C">
              <w:rPr>
                <w:rFonts w:ascii="Arial" w:eastAsia="Calibri" w:hAnsi="Arial" w:cs="Arial"/>
              </w:rPr>
              <w:t>Must be undertaken in accordance with the Work Order.</w:t>
            </w:r>
          </w:p>
          <w:p w14:paraId="26C987A4" w14:textId="77777777" w:rsidR="0084583C" w:rsidRPr="0084583C" w:rsidRDefault="0084583C" w:rsidP="0084583C">
            <w:pPr>
              <w:widowControl w:val="0"/>
              <w:numPr>
                <w:ilvl w:val="0"/>
                <w:numId w:val="5"/>
              </w:numPr>
              <w:spacing w:after="60" w:line="280" w:lineRule="atLeast"/>
              <w:ind w:left="714" w:hanging="357"/>
              <w:rPr>
                <w:rFonts w:ascii="Arial" w:eastAsia="Calibri" w:hAnsi="Arial" w:cs="Arial"/>
              </w:rPr>
            </w:pPr>
            <w:r w:rsidRPr="0084583C">
              <w:rPr>
                <w:rFonts w:ascii="Arial" w:eastAsia="Calibri" w:hAnsi="Arial" w:cs="Arial"/>
              </w:rPr>
              <w:t>Must be completed to a professional standard.</w:t>
            </w:r>
          </w:p>
          <w:p w14:paraId="1C6567A3" w14:textId="77777777" w:rsidR="0084583C" w:rsidRPr="0084583C" w:rsidRDefault="0084583C" w:rsidP="0084583C">
            <w:pPr>
              <w:widowControl w:val="0"/>
              <w:numPr>
                <w:ilvl w:val="0"/>
                <w:numId w:val="5"/>
              </w:numPr>
              <w:spacing w:after="60" w:line="280" w:lineRule="atLeast"/>
              <w:ind w:left="714" w:hanging="357"/>
              <w:rPr>
                <w:rFonts w:ascii="Arial" w:eastAsia="Calibri" w:hAnsi="Arial" w:cs="Arial"/>
              </w:rPr>
            </w:pPr>
            <w:r w:rsidRPr="0084583C">
              <w:rPr>
                <w:rFonts w:ascii="Arial" w:eastAsia="Calibri" w:hAnsi="Arial" w:cs="Arial"/>
              </w:rPr>
              <w:t xml:space="preserve">Must address relevant feedback provided by the CEWO. </w:t>
            </w:r>
          </w:p>
          <w:p w14:paraId="79458F82" w14:textId="77777777" w:rsidR="0084583C" w:rsidRPr="0084583C" w:rsidRDefault="0084583C" w:rsidP="0084583C">
            <w:pPr>
              <w:widowControl w:val="0"/>
              <w:numPr>
                <w:ilvl w:val="0"/>
                <w:numId w:val="5"/>
              </w:numPr>
              <w:spacing w:after="60" w:line="280" w:lineRule="atLeast"/>
              <w:ind w:left="714" w:hanging="357"/>
              <w:rPr>
                <w:rFonts w:ascii="Arial" w:eastAsia="Calibri" w:hAnsi="Arial" w:cs="Arial"/>
              </w:rPr>
            </w:pPr>
            <w:r w:rsidRPr="0084583C">
              <w:rPr>
                <w:rFonts w:ascii="Arial" w:eastAsia="Calibri" w:hAnsi="Arial" w:cs="Arial"/>
              </w:rPr>
              <w:t xml:space="preserve">Must be undertaken in accordance with the </w:t>
            </w:r>
            <w:r w:rsidRPr="0084583C">
              <w:rPr>
                <w:rFonts w:ascii="Arial" w:eastAsia="Calibri" w:hAnsi="Arial" w:cs="Arial"/>
              </w:rPr>
              <w:lastRenderedPageBreak/>
              <w:t>dates and timeframes specified in the Work Order</w:t>
            </w:r>
          </w:p>
          <w:p w14:paraId="7C9F7060" w14:textId="77777777" w:rsidR="0084583C" w:rsidRPr="0084583C" w:rsidRDefault="0084583C" w:rsidP="0084583C">
            <w:pPr>
              <w:widowControl w:val="0"/>
              <w:numPr>
                <w:ilvl w:val="0"/>
                <w:numId w:val="5"/>
              </w:numPr>
              <w:spacing w:after="60" w:line="280" w:lineRule="atLeast"/>
              <w:ind w:left="714" w:hanging="357"/>
              <w:rPr>
                <w:rFonts w:ascii="Arial" w:eastAsia="Calibri" w:hAnsi="Arial" w:cs="Arial"/>
              </w:rPr>
            </w:pPr>
            <w:r w:rsidRPr="0084583C">
              <w:rPr>
                <w:rFonts w:ascii="Arial" w:eastAsia="Calibri" w:hAnsi="Arial" w:cs="Arial"/>
              </w:rPr>
              <w:t>Outcomes must be included in the annual Goulburn MER report in accordance with the agreed standard format and template</w:t>
            </w:r>
          </w:p>
          <w:p w14:paraId="0BA70059" w14:textId="77777777" w:rsidR="0084583C" w:rsidRPr="0084583C" w:rsidRDefault="0084583C" w:rsidP="0084583C">
            <w:pPr>
              <w:widowControl w:val="0"/>
              <w:spacing w:after="60" w:line="276" w:lineRule="auto"/>
              <w:ind w:left="714"/>
              <w:rPr>
                <w:rFonts w:ascii="Arial" w:eastAsia="Calibri" w:hAnsi="Arial" w:cs="Arial"/>
              </w:rPr>
            </w:pPr>
          </w:p>
        </w:tc>
      </w:tr>
    </w:tbl>
    <w:p w14:paraId="16B2EEE7" w14:textId="77777777" w:rsidR="0084583C" w:rsidRDefault="0084583C" w:rsidP="00383795">
      <w:pPr>
        <w:spacing w:after="140" w:line="280" w:lineRule="atLeast"/>
        <w:jc w:val="right"/>
      </w:pPr>
    </w:p>
    <w:sectPr w:rsidR="0084583C" w:rsidSect="00A73905">
      <w:footerReference w:type="default" r:id="rId14"/>
      <w:pgSz w:w="11906" w:h="16838"/>
      <w:pgMar w:top="993"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1AE75" w14:textId="77777777" w:rsidR="00B331DD" w:rsidRDefault="00B331DD">
      <w:pPr>
        <w:spacing w:after="0" w:line="240" w:lineRule="auto"/>
      </w:pPr>
      <w:r>
        <w:separator/>
      </w:r>
    </w:p>
  </w:endnote>
  <w:endnote w:type="continuationSeparator" w:id="0">
    <w:p w14:paraId="69127EF5" w14:textId="77777777" w:rsidR="00B331DD" w:rsidRDefault="00B33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43830"/>
      <w:docPartObj>
        <w:docPartGallery w:val="Page Numbers (Bottom of Page)"/>
        <w:docPartUnique/>
      </w:docPartObj>
    </w:sdtPr>
    <w:sdtEndPr/>
    <w:sdtContent>
      <w:p w14:paraId="13136DD6" w14:textId="77777777" w:rsidR="008A4FA9" w:rsidRDefault="0084583C">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FEFF9" w14:textId="77777777" w:rsidR="00B331DD" w:rsidRDefault="00B331DD">
      <w:pPr>
        <w:spacing w:after="0" w:line="240" w:lineRule="auto"/>
      </w:pPr>
      <w:r>
        <w:separator/>
      </w:r>
    </w:p>
  </w:footnote>
  <w:footnote w:type="continuationSeparator" w:id="0">
    <w:p w14:paraId="3EE2B275" w14:textId="77777777" w:rsidR="00B331DD" w:rsidRDefault="00B33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F745BC2"/>
    <w:multiLevelType w:val="multilevel"/>
    <w:tmpl w:val="E5E89F92"/>
    <w:numStyleLink w:val="BulletList"/>
  </w:abstractNum>
  <w:abstractNum w:abstractNumId="3" w15:restartNumberingAfterBreak="0">
    <w:nsid w:val="4F926341"/>
    <w:multiLevelType w:val="hybridMultilevel"/>
    <w:tmpl w:val="D02C9CAE"/>
    <w:lvl w:ilvl="0" w:tplc="9AA66414">
      <w:start w:val="7"/>
      <w:numFmt w:val="bullet"/>
      <w:lvlText w:val="-"/>
      <w:lvlJc w:val="left"/>
      <w:pPr>
        <w:ind w:left="720" w:hanging="360"/>
      </w:pPr>
      <w:rPr>
        <w:rFonts w:ascii="Arial" w:eastAsia="Times New Roman" w:hAnsi="Arial" w:cs="Arial"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27709C4"/>
    <w:multiLevelType w:val="hybridMultilevel"/>
    <w:tmpl w:val="B054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0"/>
    <w:lvlOverride w:ilvl="0">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3C"/>
    <w:rsid w:val="0010708F"/>
    <w:rsid w:val="001772B8"/>
    <w:rsid w:val="00383795"/>
    <w:rsid w:val="003C5241"/>
    <w:rsid w:val="004A33F2"/>
    <w:rsid w:val="00681175"/>
    <w:rsid w:val="0084583C"/>
    <w:rsid w:val="00A176B0"/>
    <w:rsid w:val="00A73905"/>
    <w:rsid w:val="00B041CB"/>
    <w:rsid w:val="00B331DD"/>
    <w:rsid w:val="00F549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D1DE"/>
  <w15:chartTrackingRefBased/>
  <w15:docId w15:val="{C5E80BCA-3737-4BE8-B6C5-7DE97C62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583C"/>
    <w:pPr>
      <w:tabs>
        <w:tab w:val="center" w:pos="4513"/>
        <w:tab w:val="right" w:pos="9026"/>
      </w:tabs>
      <w:spacing w:after="0" w:line="240" w:lineRule="auto"/>
    </w:pPr>
    <w:rPr>
      <w:rFonts w:ascii="Arial" w:eastAsia="Calibri" w:hAnsi="Arial" w:cs="Times New Roman"/>
    </w:rPr>
  </w:style>
  <w:style w:type="character" w:customStyle="1" w:styleId="FooterChar">
    <w:name w:val="Footer Char"/>
    <w:basedOn w:val="DefaultParagraphFont"/>
    <w:link w:val="Footer"/>
    <w:uiPriority w:val="99"/>
    <w:rsid w:val="0084583C"/>
    <w:rPr>
      <w:rFonts w:ascii="Arial" w:eastAsia="Calibri" w:hAnsi="Arial" w:cs="Times New Roman"/>
    </w:rPr>
  </w:style>
  <w:style w:type="numbering" w:customStyle="1" w:styleId="BulletList">
    <w:name w:val="Bullet List"/>
    <w:uiPriority w:val="99"/>
    <w:rsid w:val="0084583C"/>
    <w:pPr>
      <w:numPr>
        <w:numId w:val="1"/>
      </w:numPr>
    </w:pPr>
  </w:style>
  <w:style w:type="paragraph" w:styleId="ListBullet">
    <w:name w:val="List Bullet"/>
    <w:basedOn w:val="Normal"/>
    <w:uiPriority w:val="99"/>
    <w:unhideWhenUsed/>
    <w:qFormat/>
    <w:rsid w:val="0084583C"/>
    <w:pPr>
      <w:numPr>
        <w:numId w:val="3"/>
      </w:numPr>
      <w:spacing w:after="200" w:line="276" w:lineRule="auto"/>
    </w:pPr>
    <w:rPr>
      <w:rFonts w:ascii="Arial" w:eastAsia="Calibri" w:hAnsi="Arial" w:cs="Times New Roman"/>
    </w:rPr>
  </w:style>
  <w:style w:type="paragraph" w:styleId="ListBullet2">
    <w:name w:val="List Bullet 2"/>
    <w:basedOn w:val="Normal"/>
    <w:uiPriority w:val="99"/>
    <w:unhideWhenUsed/>
    <w:rsid w:val="0084583C"/>
    <w:pPr>
      <w:numPr>
        <w:ilvl w:val="1"/>
        <w:numId w:val="3"/>
      </w:numPr>
      <w:spacing w:after="200" w:line="276" w:lineRule="auto"/>
    </w:pPr>
    <w:rPr>
      <w:rFonts w:ascii="Arial" w:eastAsia="Calibri" w:hAnsi="Arial" w:cs="Times New Roman"/>
    </w:rPr>
  </w:style>
  <w:style w:type="paragraph" w:styleId="ListBullet3">
    <w:name w:val="List Bullet 3"/>
    <w:basedOn w:val="Normal"/>
    <w:uiPriority w:val="99"/>
    <w:unhideWhenUsed/>
    <w:rsid w:val="0084583C"/>
    <w:pPr>
      <w:numPr>
        <w:ilvl w:val="2"/>
        <w:numId w:val="3"/>
      </w:numPr>
      <w:spacing w:after="200" w:line="276" w:lineRule="auto"/>
    </w:pPr>
    <w:rPr>
      <w:rFonts w:ascii="Arial" w:eastAsia="Calibri" w:hAnsi="Arial" w:cs="Times New Roman"/>
    </w:rPr>
  </w:style>
  <w:style w:type="paragraph" w:styleId="ListBullet4">
    <w:name w:val="List Bullet 4"/>
    <w:basedOn w:val="Normal"/>
    <w:uiPriority w:val="99"/>
    <w:unhideWhenUsed/>
    <w:rsid w:val="0084583C"/>
    <w:pPr>
      <w:numPr>
        <w:ilvl w:val="3"/>
        <w:numId w:val="3"/>
      </w:numPr>
      <w:spacing w:after="200" w:line="276" w:lineRule="auto"/>
    </w:pPr>
    <w:rPr>
      <w:rFonts w:ascii="Arial" w:eastAsia="Calibri" w:hAnsi="Arial" w:cs="Times New Roman"/>
    </w:rPr>
  </w:style>
  <w:style w:type="paragraph" w:styleId="ListBullet5">
    <w:name w:val="List Bullet 5"/>
    <w:basedOn w:val="Normal"/>
    <w:uiPriority w:val="99"/>
    <w:unhideWhenUsed/>
    <w:rsid w:val="0084583C"/>
    <w:pPr>
      <w:numPr>
        <w:ilvl w:val="4"/>
        <w:numId w:val="3"/>
      </w:numPr>
      <w:spacing w:after="200" w:line="276" w:lineRule="auto"/>
    </w:pPr>
    <w:rPr>
      <w:rFonts w:ascii="Arial" w:eastAsia="Calibri" w:hAnsi="Arial" w:cs="Times New Roman"/>
    </w:rPr>
  </w:style>
  <w:style w:type="table" w:customStyle="1" w:styleId="TableGrid12">
    <w:name w:val="Table Grid12"/>
    <w:basedOn w:val="TableNormal"/>
    <w:next w:val="TableGrid"/>
    <w:rsid w:val="0084583C"/>
    <w:pPr>
      <w:spacing w:after="0" w:line="240" w:lineRule="auto"/>
    </w:pPr>
    <w:rPr>
      <w:rFonts w:ascii="Arial" w:hAnsi="Arial"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45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549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7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vironment.gov.au/water/cewo/monitoring/mer-progra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nvironment.gov.au/water/cewo/publications/mer-plan-goulburn-201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2BFB70DE-6003-40D7-9811-9447E8E87EAD}"/>
</file>

<file path=customXml/itemProps2.xml><?xml version="1.0" encoding="utf-8"?>
<ds:datastoreItem xmlns:ds="http://schemas.openxmlformats.org/officeDocument/2006/customXml" ds:itemID="{6786D982-7C56-4B22-A1D9-DB42072FF518}">
  <ds:schemaRefs>
    <ds:schemaRef ds:uri="http://schemas.microsoft.com/office/2006/metadata/properties"/>
    <ds:schemaRef ds:uri="http://schemas.microsoft.com/office/infopath/2007/PartnerControls"/>
    <ds:schemaRef ds:uri="5af92df4-ae3d-4772-abff-92e7cba13994"/>
  </ds:schemaRefs>
</ds:datastoreItem>
</file>

<file path=customXml/itemProps3.xml><?xml version="1.0" encoding="utf-8"?>
<ds:datastoreItem xmlns:ds="http://schemas.openxmlformats.org/officeDocument/2006/customXml" ds:itemID="{647E3CB1-D39C-4455-936E-53C97D869366}">
  <ds:schemaRefs>
    <ds:schemaRef ds:uri="http://schemas.microsoft.com/sharepoint/v3/contenttype/forms"/>
  </ds:schemaRefs>
</ds:datastoreItem>
</file>

<file path=customXml/itemProps4.xml><?xml version="1.0" encoding="utf-8"?>
<ds:datastoreItem xmlns:ds="http://schemas.openxmlformats.org/officeDocument/2006/customXml" ds:itemID="{F482F7E3-51E7-4055-96B8-75E672B9B84C}">
  <ds:schemaRefs>
    <ds:schemaRef ds:uri="http://schemas.microsoft.com/office/2006/metadata/customXsn"/>
  </ds:schemaRefs>
</ds:datastoreItem>
</file>

<file path=customXml/itemProps5.xml><?xml version="1.0" encoding="utf-8"?>
<ds:datastoreItem xmlns:ds="http://schemas.openxmlformats.org/officeDocument/2006/customXml" ds:itemID="{F4A97789-4172-4818-A65E-8A35B244583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Pelagic Metabolism Monitoring - Work Order - Final - CEWO approval 16 Dec 2020</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 to the Goulburn MER Plan – Pelagic Metabolism Monitoring - Work Order</dc:title>
  <dc:subject/>
  <dc:creator>Commonwealth of Australia</dc:creator>
  <cp:keywords/>
  <dc:description/>
  <cp:lastModifiedBy>Bec Durack</cp:lastModifiedBy>
  <cp:revision>2</cp:revision>
  <dcterms:created xsi:type="dcterms:W3CDTF">2021-01-18T03:40:00Z</dcterms:created>
  <dcterms:modified xsi:type="dcterms:W3CDTF">2021-01-18T03:40:00Z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{a8f0bc9d-7c61-4d87-8154-4194e40ae5d3}</vt:lpwstr>
  </property>
  <property fmtid="{D5CDD505-2E9C-101B-9397-08002B2CF9AE}" pid="5" name="RecordPoint_ActiveItemListId">
    <vt:lpwstr>{3fc32201-913f-4d6a-85e8-5b8b2e362428}</vt:lpwstr>
  </property>
  <property fmtid="{D5CDD505-2E9C-101B-9397-08002B2CF9AE}" pid="6" name="RecordPoint_ActiveItemUniqueId">
    <vt:lpwstr>{b465ef0d-ddfd-475c-9609-55efc8caa464}</vt:lpwstr>
  </property>
  <property fmtid="{D5CDD505-2E9C-101B-9397-08002B2CF9AE}" pid="7" name="RecordPoint_ActiveItemWebId">
    <vt:lpwstr>{e9dbc1f6-467e-4375-b5ab-015cee2f651e}</vt:lpwstr>
  </property>
</Properties>
</file>