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0345" w14:textId="77777777" w:rsidR="00615691" w:rsidRDefault="00615691" w:rsidP="00615691">
      <w:pPr>
        <w:rPr>
          <w:rFonts w:ascii="Arial" w:hAnsi="Arial" w:cs="Arial"/>
          <w:lang w:eastAsia="en-AU"/>
        </w:rPr>
      </w:pPr>
      <w:bookmarkStart w:id="0" w:name="_Toc524705227"/>
      <w:bookmarkStart w:id="1" w:name="Sch_5"/>
      <w:bookmarkStart w:id="2" w:name="_Ref162235660"/>
      <w:r>
        <w:rPr>
          <w:rFonts w:ascii="Arial" w:hAnsi="Arial" w:cs="Arial"/>
        </w:rPr>
        <w:t xml:space="preserve">This document is an attachment to the Goulburn Monitoring Evaluation and Research (MER) Plan and describes additional project services to be undertaken. Please visit </w:t>
      </w:r>
      <w:hyperlink r:id="rId10" w:history="1">
        <w:r>
          <w:rPr>
            <w:rStyle w:val="Hyperlink"/>
            <w:rFonts w:ascii="Arial" w:hAnsi="Arial" w:cs="Arial"/>
          </w:rPr>
          <w:t>Monitoring, Evaluation and Research Plan - Goulburn River</w:t>
        </w:r>
      </w:hyperlink>
      <w:r>
        <w:rPr>
          <w:rFonts w:ascii="Arial" w:hAnsi="Arial" w:cs="Arial"/>
        </w:rPr>
        <w:t xml:space="preserve"> to read the entire Goulburn MER Plan. </w:t>
      </w:r>
    </w:p>
    <w:p w14:paraId="03C0655B" w14:textId="77777777" w:rsidR="00615691" w:rsidRDefault="00615691" w:rsidP="00615691">
      <w:pPr>
        <w:rPr>
          <w:rFonts w:ascii="Arial" w:hAnsi="Arial" w:cs="Arial"/>
          <w:lang w:eastAsia="zh-CN" w:bidi="th-TH"/>
        </w:rPr>
      </w:pPr>
      <w:r>
        <w:rPr>
          <w:rFonts w:ascii="Arial" w:hAnsi="Arial" w:cs="Arial"/>
        </w:rPr>
        <w:t xml:space="preserve">Visit </w:t>
      </w:r>
      <w:hyperlink r:id="rId11" w:history="1">
        <w:r>
          <w:rPr>
            <w:rStyle w:val="Hyperlink"/>
            <w:rFonts w:ascii="Arial" w:hAnsi="Arial" w:cs="Arial"/>
          </w:rPr>
          <w:t>Monitoring, Evaluation and Research Program (Flow-MER)</w:t>
        </w:r>
      </w:hyperlink>
      <w:r>
        <w:rPr>
          <w:rFonts w:ascii="Arial" w:hAnsi="Arial" w:cs="Arial"/>
        </w:rPr>
        <w:t xml:space="preserve"> </w:t>
      </w:r>
      <w:r>
        <w:rPr>
          <w:rFonts w:ascii="Arial" w:hAnsi="Arial" w:cs="Arial"/>
          <w:color w:val="000000"/>
        </w:rPr>
        <w:t>to find out more about monitoring undertaken by the Commonwealth Environmental Water Office.</w:t>
      </w:r>
    </w:p>
    <w:p w14:paraId="06FD0E22" w14:textId="77777777" w:rsidR="00615691" w:rsidRDefault="00615691" w:rsidP="00615691">
      <w:pPr>
        <w:spacing w:after="0" w:line="240" w:lineRule="auto"/>
        <w:rPr>
          <w:rFonts w:ascii="Arial" w:hAnsi="Arial" w:cs="Arial"/>
          <w:i/>
          <w:iCs/>
        </w:rPr>
      </w:pPr>
    </w:p>
    <w:p w14:paraId="3513D910" w14:textId="77777777" w:rsidR="00615691" w:rsidRDefault="00615691" w:rsidP="00615691">
      <w:pPr>
        <w:spacing w:after="0" w:line="240" w:lineRule="auto"/>
        <w:rPr>
          <w:rFonts w:ascii="Arial" w:hAnsi="Arial" w:cs="Arial"/>
          <w:bCs/>
          <w:sz w:val="24"/>
        </w:rPr>
      </w:pPr>
      <w:r>
        <w:rPr>
          <w:rFonts w:ascii="Arial" w:hAnsi="Arial" w:cs="Arial"/>
          <w:i/>
          <w:iCs/>
        </w:rPr>
        <w:t>Note that all projects will comply with Covid-19 pandemic restrictions and may require changes to activity and timelines.</w:t>
      </w:r>
    </w:p>
    <w:p w14:paraId="135D1251" w14:textId="77777777" w:rsidR="00765B80" w:rsidRPr="00765B80" w:rsidRDefault="00765B80" w:rsidP="00765B80">
      <w:pPr>
        <w:keepNext/>
        <w:keepLines/>
        <w:pBdr>
          <w:bottom w:val="single" w:sz="4" w:space="1" w:color="auto"/>
        </w:pBdr>
        <w:spacing w:before="200" w:after="0" w:line="240" w:lineRule="auto"/>
        <w:outlineLvl w:val="2"/>
        <w:rPr>
          <w:rFonts w:ascii="Arial" w:eastAsia="Times New Roman" w:hAnsi="Arial" w:cs="Arial"/>
          <w:bCs/>
          <w:sz w:val="42"/>
          <w:szCs w:val="42"/>
        </w:rPr>
      </w:pPr>
      <w:r w:rsidRPr="00765B80">
        <w:rPr>
          <w:rFonts w:ascii="Arial" w:eastAsia="Times New Roman" w:hAnsi="Arial" w:cs="Arial"/>
          <w:bCs/>
          <w:sz w:val="42"/>
          <w:szCs w:val="42"/>
        </w:rPr>
        <w:t>Schedule 6 –Work Order</w:t>
      </w:r>
      <w:bookmarkEnd w:id="0"/>
    </w:p>
    <w:p w14:paraId="74945702" w14:textId="77777777" w:rsidR="00765B80" w:rsidRPr="00765B80" w:rsidRDefault="00765B80" w:rsidP="00765B80">
      <w:pPr>
        <w:spacing w:after="0" w:line="240" w:lineRule="auto"/>
        <w:rPr>
          <w:rFonts w:ascii="Times New Roman" w:eastAsia="Times New Roman" w:hAnsi="Times New Roman" w:cs="Angsana New"/>
        </w:rPr>
      </w:pPr>
    </w:p>
    <w:p w14:paraId="79DAE0A8" w14:textId="77777777" w:rsidR="00765B80" w:rsidRPr="00765B80" w:rsidRDefault="00765B80" w:rsidP="00765B80">
      <w:pPr>
        <w:spacing w:after="0" w:line="240" w:lineRule="auto"/>
        <w:rPr>
          <w:rFonts w:ascii="Times New Roman" w:eastAsia="Times New Roman" w:hAnsi="Times New Roman" w:cs="Angsana New"/>
          <w:b/>
          <w:sz w:val="24"/>
        </w:rPr>
      </w:pPr>
      <w:r w:rsidRPr="00765B80">
        <w:rPr>
          <w:rFonts w:ascii="Times New Roman" w:eastAsia="Times New Roman" w:hAnsi="Times New Roman" w:cs="Angsana New"/>
          <w:b/>
          <w:sz w:val="24"/>
        </w:rPr>
        <w:t>Goulburn MER - Turf Mat Retrieval</w:t>
      </w:r>
    </w:p>
    <w:p w14:paraId="5CE993D3" w14:textId="77777777" w:rsidR="00765B80" w:rsidRPr="00765B80" w:rsidRDefault="00765B80" w:rsidP="00765B80">
      <w:pPr>
        <w:spacing w:after="0" w:line="240" w:lineRule="auto"/>
        <w:rPr>
          <w:rFonts w:ascii="Times New Roman" w:eastAsia="Times New Roman" w:hAnsi="Times New Roman" w:cs="Angsana New"/>
        </w:rPr>
      </w:pPr>
    </w:p>
    <w:tbl>
      <w:tblPr>
        <w:tblStyle w:val="TableGrid11"/>
        <w:tblW w:w="9634" w:type="dxa"/>
        <w:tblLook w:val="04A0" w:firstRow="1" w:lastRow="0" w:firstColumn="1" w:lastColumn="0" w:noHBand="0" w:noVBand="1"/>
      </w:tblPr>
      <w:tblGrid>
        <w:gridCol w:w="9634"/>
      </w:tblGrid>
      <w:tr w:rsidR="00765B80" w:rsidRPr="00765B80" w14:paraId="2A75033C" w14:textId="77777777" w:rsidTr="00765B80">
        <w:tc>
          <w:tcPr>
            <w:tcW w:w="9634" w:type="dxa"/>
            <w:shd w:val="clear" w:color="auto" w:fill="548DD4"/>
          </w:tcPr>
          <w:bookmarkEnd w:id="1"/>
          <w:bookmarkEnd w:id="2"/>
          <w:p w14:paraId="07D8FD2B" w14:textId="77777777" w:rsidR="00765B80" w:rsidRPr="00765B80" w:rsidRDefault="00765B80" w:rsidP="00765B80">
            <w:pPr>
              <w:spacing w:after="140" w:line="280" w:lineRule="atLeast"/>
              <w:rPr>
                <w:rFonts w:ascii="Times New Roman" w:eastAsia="Times New Roman" w:hAnsi="Times New Roman" w:cs="Arial"/>
                <w:lang w:eastAsia="zh-CN" w:bidi="th-TH"/>
              </w:rPr>
            </w:pPr>
            <w:r w:rsidRPr="00765B80">
              <w:rPr>
                <w:rFonts w:ascii="Times New Roman" w:eastAsia="Times New Roman" w:hAnsi="Times New Roman" w:cs="Arial"/>
                <w:b/>
                <w:color w:val="FFFFFF"/>
                <w:sz w:val="32"/>
                <w:lang w:eastAsia="zh-CN" w:bidi="th-TH"/>
              </w:rPr>
              <w:t xml:space="preserve">Order </w:t>
            </w:r>
          </w:p>
        </w:tc>
      </w:tr>
      <w:tr w:rsidR="00765B80" w:rsidRPr="00765B80" w14:paraId="22EA195C" w14:textId="77777777" w:rsidTr="00F253D8">
        <w:tc>
          <w:tcPr>
            <w:tcW w:w="9634" w:type="dxa"/>
          </w:tcPr>
          <w:p w14:paraId="6609D981" w14:textId="77777777" w:rsidR="00765B80" w:rsidRPr="00765B80" w:rsidRDefault="00765B80" w:rsidP="00765B80">
            <w:pPr>
              <w:spacing w:after="140" w:line="280" w:lineRule="atLeast"/>
              <w:rPr>
                <w:rFonts w:ascii="Times New Roman" w:eastAsia="Times New Roman" w:hAnsi="Times New Roman" w:cs="Arial"/>
                <w:lang w:eastAsia="zh-CN" w:bidi="th-TH"/>
              </w:rPr>
            </w:pPr>
            <w:r w:rsidRPr="00765B80">
              <w:rPr>
                <w:rFonts w:ascii="Times New Roman" w:eastAsia="Times New Roman" w:hAnsi="Times New Roman" w:cs="Arial"/>
                <w:lang w:eastAsia="zh-CN" w:bidi="th-TH"/>
              </w:rPr>
              <w:t>The parties have agreed in accordance with clause 7 the Agreement that the Provider will provide the Additional Project Services specified in this Work Order.</w:t>
            </w:r>
          </w:p>
        </w:tc>
      </w:tr>
    </w:tbl>
    <w:p w14:paraId="09DB9CB1" w14:textId="77777777" w:rsidR="00765B80" w:rsidRPr="00765B80" w:rsidRDefault="00765B80" w:rsidP="00765B80">
      <w:pPr>
        <w:spacing w:after="140" w:line="280" w:lineRule="atLeast"/>
        <w:rPr>
          <w:rFonts w:ascii="Arial" w:eastAsia="Times New Roman" w:hAnsi="Arial" w:cs="Arial"/>
          <w:lang w:eastAsia="zh-CN" w:bidi="th-TH"/>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765B80" w:rsidRPr="00765B80" w14:paraId="06A0918A" w14:textId="77777777" w:rsidTr="00765B80">
        <w:trPr>
          <w:tblHeader/>
        </w:trPr>
        <w:tc>
          <w:tcPr>
            <w:tcW w:w="675" w:type="dxa"/>
            <w:shd w:val="clear" w:color="auto" w:fill="548DD4"/>
            <w:vAlign w:val="center"/>
          </w:tcPr>
          <w:p w14:paraId="4916E39A" w14:textId="77777777" w:rsidR="00765B80" w:rsidRPr="00765B80" w:rsidRDefault="00765B80" w:rsidP="00765B80">
            <w:pPr>
              <w:keepNext/>
              <w:spacing w:before="240" w:after="140" w:line="280" w:lineRule="atLeast"/>
              <w:jc w:val="center"/>
              <w:outlineLvl w:val="0"/>
              <w:rPr>
                <w:rFonts w:ascii="Arial" w:eastAsia="Times New Roman" w:hAnsi="Arial" w:cs="Arial"/>
                <w:b/>
                <w:bCs/>
                <w:color w:val="FFFFFF"/>
                <w:lang w:eastAsia="zh-CN" w:bidi="th-TH"/>
              </w:rPr>
            </w:pPr>
            <w:r w:rsidRPr="00765B80">
              <w:rPr>
                <w:rFonts w:ascii="Arial" w:eastAsia="Times New Roman" w:hAnsi="Arial" w:cs="Arial"/>
                <w:b/>
                <w:bCs/>
                <w:color w:val="FFFFFF"/>
                <w:lang w:eastAsia="zh-CN" w:bidi="th-TH"/>
              </w:rPr>
              <w:t>Item</w:t>
            </w:r>
          </w:p>
        </w:tc>
        <w:tc>
          <w:tcPr>
            <w:tcW w:w="1985" w:type="dxa"/>
            <w:shd w:val="clear" w:color="auto" w:fill="548DD4"/>
            <w:vAlign w:val="center"/>
          </w:tcPr>
          <w:p w14:paraId="0E2678B8" w14:textId="77777777" w:rsidR="00765B80" w:rsidRPr="00765B80" w:rsidRDefault="00765B80" w:rsidP="00765B80">
            <w:pPr>
              <w:keepNext/>
              <w:tabs>
                <w:tab w:val="num" w:pos="34"/>
              </w:tabs>
              <w:spacing w:before="240" w:after="140" w:line="280" w:lineRule="atLeast"/>
              <w:ind w:left="34"/>
              <w:jc w:val="center"/>
              <w:outlineLvl w:val="2"/>
              <w:rPr>
                <w:rFonts w:ascii="Arial" w:eastAsia="Times New Roman" w:hAnsi="Arial" w:cs="Arial"/>
                <w:b/>
                <w:bCs/>
                <w:color w:val="FFFFFF"/>
                <w:lang w:eastAsia="zh-CN" w:bidi="th-TH"/>
              </w:rPr>
            </w:pPr>
            <w:r w:rsidRPr="00765B80">
              <w:rPr>
                <w:rFonts w:ascii="Arial" w:eastAsia="Times New Roman" w:hAnsi="Arial" w:cs="Arial"/>
                <w:b/>
                <w:bCs/>
                <w:color w:val="FFFFFF"/>
                <w:lang w:eastAsia="zh-CN" w:bidi="th-TH"/>
              </w:rPr>
              <w:t>Description</w:t>
            </w:r>
          </w:p>
        </w:tc>
        <w:tc>
          <w:tcPr>
            <w:tcW w:w="1276" w:type="dxa"/>
            <w:shd w:val="clear" w:color="auto" w:fill="548DD4"/>
            <w:vAlign w:val="center"/>
          </w:tcPr>
          <w:p w14:paraId="74F1E24A" w14:textId="77777777" w:rsidR="00765B80" w:rsidRPr="00765B80" w:rsidRDefault="00765B80" w:rsidP="00765B80">
            <w:pPr>
              <w:keepNext/>
              <w:tabs>
                <w:tab w:val="num" w:pos="34"/>
              </w:tabs>
              <w:spacing w:before="240" w:after="140" w:line="280" w:lineRule="atLeast"/>
              <w:ind w:left="34"/>
              <w:jc w:val="center"/>
              <w:outlineLvl w:val="2"/>
              <w:rPr>
                <w:rFonts w:ascii="Arial" w:eastAsia="Times New Roman" w:hAnsi="Arial" w:cs="Arial"/>
                <w:b/>
                <w:bCs/>
                <w:color w:val="FFFFFF"/>
                <w:lang w:eastAsia="zh-CN" w:bidi="th-TH"/>
              </w:rPr>
            </w:pPr>
            <w:r w:rsidRPr="00765B80">
              <w:rPr>
                <w:rFonts w:ascii="Arial" w:eastAsia="Times New Roman" w:hAnsi="Arial" w:cs="Arial"/>
                <w:b/>
                <w:bCs/>
                <w:color w:val="FFFFFF"/>
                <w:lang w:eastAsia="zh-CN" w:bidi="th-TH"/>
              </w:rPr>
              <w:t>Clause</w:t>
            </w:r>
          </w:p>
        </w:tc>
        <w:tc>
          <w:tcPr>
            <w:tcW w:w="5670" w:type="dxa"/>
            <w:shd w:val="clear" w:color="auto" w:fill="548DD4"/>
            <w:vAlign w:val="center"/>
          </w:tcPr>
          <w:p w14:paraId="7E831A9A" w14:textId="77777777" w:rsidR="00765B80" w:rsidRPr="00765B80" w:rsidRDefault="00765B80" w:rsidP="00765B80">
            <w:pPr>
              <w:keepNext/>
              <w:tabs>
                <w:tab w:val="num" w:pos="0"/>
              </w:tabs>
              <w:spacing w:before="240" w:after="140" w:line="280" w:lineRule="atLeast"/>
              <w:ind w:left="33" w:hanging="8"/>
              <w:jc w:val="center"/>
              <w:outlineLvl w:val="2"/>
              <w:rPr>
                <w:rFonts w:ascii="Arial" w:eastAsia="Times New Roman" w:hAnsi="Arial" w:cs="Arial"/>
                <w:b/>
                <w:bCs/>
                <w:color w:val="FFFFFF"/>
                <w:lang w:eastAsia="zh-CN" w:bidi="th-TH"/>
              </w:rPr>
            </w:pPr>
            <w:r w:rsidRPr="00765B80">
              <w:rPr>
                <w:rFonts w:ascii="Arial" w:eastAsia="Times New Roman" w:hAnsi="Arial" w:cs="Arial"/>
                <w:b/>
                <w:bCs/>
                <w:color w:val="FFFFFF"/>
                <w:lang w:eastAsia="zh-CN" w:bidi="th-TH"/>
              </w:rPr>
              <w:t>Details</w:t>
            </w:r>
          </w:p>
        </w:tc>
      </w:tr>
      <w:tr w:rsidR="00765B80" w:rsidRPr="00765B80" w14:paraId="39A89F55" w14:textId="77777777" w:rsidTr="00F253D8">
        <w:tc>
          <w:tcPr>
            <w:tcW w:w="675" w:type="dxa"/>
          </w:tcPr>
          <w:p w14:paraId="58FC1DE5" w14:textId="77777777" w:rsidR="00765B80" w:rsidRPr="00765B80" w:rsidRDefault="00765B80" w:rsidP="00765B80">
            <w:pPr>
              <w:numPr>
                <w:ilvl w:val="0"/>
                <w:numId w:val="2"/>
              </w:numPr>
              <w:spacing w:after="140" w:line="280" w:lineRule="atLeast"/>
              <w:rPr>
                <w:rFonts w:ascii="Times New Roman" w:eastAsia="Times New Roman" w:hAnsi="Times New Roman" w:cs="Angsana New"/>
                <w:lang w:eastAsia="zh-CN" w:bidi="th-TH"/>
              </w:rPr>
            </w:pPr>
            <w:bookmarkStart w:id="3" w:name="_Ref183243785"/>
          </w:p>
        </w:tc>
        <w:bookmarkEnd w:id="3"/>
        <w:tc>
          <w:tcPr>
            <w:tcW w:w="1985" w:type="dxa"/>
            <w:shd w:val="clear" w:color="auto" w:fill="auto"/>
          </w:tcPr>
          <w:p w14:paraId="5B13ADF6"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Agreement description</w:t>
            </w:r>
          </w:p>
        </w:tc>
        <w:tc>
          <w:tcPr>
            <w:tcW w:w="1276" w:type="dxa"/>
            <w:shd w:val="clear" w:color="auto" w:fill="auto"/>
          </w:tcPr>
          <w:p w14:paraId="1D05930E"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N/A</w:t>
            </w:r>
          </w:p>
        </w:tc>
        <w:tc>
          <w:tcPr>
            <w:tcW w:w="5670" w:type="dxa"/>
            <w:shd w:val="clear" w:color="auto" w:fill="auto"/>
          </w:tcPr>
          <w:p w14:paraId="79E74E02"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 xml:space="preserve">Agreement for Additional Project Services in respect of                                                                                                                                                                                                                      Long-form Services Agreement Commonwealth Environmental Water Office: Monitoring, Evaluation and Research Services for the Goulburn River Selected Area – 18 March 2019. </w:t>
            </w:r>
          </w:p>
        </w:tc>
      </w:tr>
      <w:tr w:rsidR="00765B80" w:rsidRPr="00765B80" w14:paraId="193B0CA0" w14:textId="77777777" w:rsidTr="00F253D8">
        <w:tc>
          <w:tcPr>
            <w:tcW w:w="675" w:type="dxa"/>
          </w:tcPr>
          <w:p w14:paraId="14F55C6B"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p>
        </w:tc>
        <w:tc>
          <w:tcPr>
            <w:tcW w:w="1985" w:type="dxa"/>
            <w:shd w:val="clear" w:color="auto" w:fill="auto"/>
          </w:tcPr>
          <w:p w14:paraId="23E734DD"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Names of Parties to the Agreement</w:t>
            </w:r>
          </w:p>
        </w:tc>
        <w:tc>
          <w:tcPr>
            <w:tcW w:w="1276" w:type="dxa"/>
            <w:shd w:val="clear" w:color="auto" w:fill="auto"/>
          </w:tcPr>
          <w:p w14:paraId="77E3BA67"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N/A</w:t>
            </w:r>
          </w:p>
        </w:tc>
        <w:tc>
          <w:tcPr>
            <w:tcW w:w="5670" w:type="dxa"/>
            <w:shd w:val="clear" w:color="auto" w:fill="auto"/>
          </w:tcPr>
          <w:p w14:paraId="7673037E" w14:textId="77777777" w:rsidR="00765B80" w:rsidRPr="00765B80" w:rsidRDefault="00765B80" w:rsidP="00765B80">
            <w:pPr>
              <w:spacing w:before="120" w:after="120" w:line="240" w:lineRule="auto"/>
              <w:rPr>
                <w:rFonts w:ascii="Arial" w:eastAsia="Times New Roman" w:hAnsi="Arial" w:cs="Arial"/>
                <w:lang w:eastAsia="zh-CN" w:bidi="th-TH"/>
              </w:rPr>
            </w:pPr>
            <w:r w:rsidRPr="00765B80">
              <w:rPr>
                <w:rFonts w:ascii="Arial" w:eastAsia="Times New Roman" w:hAnsi="Arial" w:cs="Arial"/>
                <w:lang w:eastAsia="zh-CN" w:bidi="th-TH"/>
              </w:rPr>
              <w:t>The Commonwealth of Australia as represented by the Department of the Environment and Energy</w:t>
            </w:r>
          </w:p>
          <w:p w14:paraId="3559DF34" w14:textId="77777777" w:rsidR="00765B80" w:rsidRPr="00765B80" w:rsidRDefault="00765B80" w:rsidP="00765B80">
            <w:pPr>
              <w:spacing w:before="120" w:after="120" w:line="240" w:lineRule="auto"/>
              <w:rPr>
                <w:rFonts w:ascii="Arial" w:eastAsia="Times New Roman" w:hAnsi="Arial" w:cs="Arial"/>
                <w:lang w:eastAsia="zh-CN" w:bidi="th-TH"/>
              </w:rPr>
            </w:pPr>
            <w:r w:rsidRPr="00765B80">
              <w:rPr>
                <w:rFonts w:ascii="Arial" w:eastAsia="Times New Roman" w:hAnsi="Arial" w:cs="Arial"/>
                <w:lang w:eastAsia="zh-CN" w:bidi="th-TH"/>
              </w:rPr>
              <w:t>ABN 34 190 894 983</w:t>
            </w:r>
          </w:p>
          <w:p w14:paraId="53D48D0E"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University of Melbourne</w:t>
            </w:r>
          </w:p>
          <w:p w14:paraId="1C3430A6"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ABN: 84 002 705 224</w:t>
            </w:r>
          </w:p>
        </w:tc>
      </w:tr>
      <w:tr w:rsidR="00765B80" w:rsidRPr="00765B80" w14:paraId="48D82C32" w14:textId="77777777" w:rsidTr="00F253D8">
        <w:tc>
          <w:tcPr>
            <w:tcW w:w="675" w:type="dxa"/>
          </w:tcPr>
          <w:p w14:paraId="09601212"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4" w:name="_Ref183246463"/>
          </w:p>
        </w:tc>
        <w:bookmarkEnd w:id="4"/>
        <w:tc>
          <w:tcPr>
            <w:tcW w:w="1985" w:type="dxa"/>
            <w:shd w:val="clear" w:color="auto" w:fill="auto"/>
          </w:tcPr>
          <w:p w14:paraId="45A1FC01"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Additional Project Start Date</w:t>
            </w:r>
          </w:p>
        </w:tc>
        <w:tc>
          <w:tcPr>
            <w:tcW w:w="1276" w:type="dxa"/>
            <w:shd w:val="clear" w:color="auto" w:fill="auto"/>
          </w:tcPr>
          <w:p w14:paraId="724D866E" w14:textId="030C10B0" w:rsidR="00765B80" w:rsidRPr="001E7788" w:rsidRDefault="001E7788" w:rsidP="00765B80">
            <w:pPr>
              <w:spacing w:before="120" w:after="120" w:line="240" w:lineRule="auto"/>
              <w:rPr>
                <w:rFonts w:ascii="Arial" w:eastAsia="Times New Roman" w:hAnsi="Arial" w:cs="Arial"/>
                <w:b/>
                <w:bCs/>
                <w:lang w:eastAsia="zh-CN" w:bidi="th-TH"/>
              </w:rPr>
            </w:pPr>
            <w:r w:rsidRPr="001E7788">
              <w:rPr>
                <w:rFonts w:ascii="Times New Roman" w:eastAsia="Times New Roman" w:hAnsi="Times New Roman" w:cs="Angsana New"/>
                <w:b/>
                <w:bCs/>
                <w:lang w:eastAsia="zh-CN" w:bidi="th-TH"/>
              </w:rPr>
              <w:t>1.1</w:t>
            </w:r>
          </w:p>
        </w:tc>
        <w:tc>
          <w:tcPr>
            <w:tcW w:w="5670" w:type="dxa"/>
            <w:shd w:val="clear" w:color="auto" w:fill="auto"/>
          </w:tcPr>
          <w:p w14:paraId="232B2286"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On approval by CEWO of the Work Order</w:t>
            </w:r>
          </w:p>
        </w:tc>
      </w:tr>
      <w:tr w:rsidR="00765B80" w:rsidRPr="00765B80" w14:paraId="4B3FF980" w14:textId="77777777" w:rsidTr="00F253D8">
        <w:tc>
          <w:tcPr>
            <w:tcW w:w="675" w:type="dxa"/>
          </w:tcPr>
          <w:p w14:paraId="282458E0"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5" w:name="_Ref183246259"/>
          </w:p>
        </w:tc>
        <w:bookmarkEnd w:id="5"/>
        <w:tc>
          <w:tcPr>
            <w:tcW w:w="1985" w:type="dxa"/>
            <w:shd w:val="clear" w:color="auto" w:fill="auto"/>
          </w:tcPr>
          <w:p w14:paraId="157253A2"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Additional Project Timeframe</w:t>
            </w:r>
          </w:p>
        </w:tc>
        <w:tc>
          <w:tcPr>
            <w:tcW w:w="1276" w:type="dxa"/>
            <w:shd w:val="clear" w:color="auto" w:fill="auto"/>
          </w:tcPr>
          <w:p w14:paraId="5DFF218D" w14:textId="72F22738" w:rsidR="00765B80" w:rsidRPr="001E7788" w:rsidRDefault="001E7788" w:rsidP="00765B80">
            <w:pPr>
              <w:spacing w:before="120" w:after="120" w:line="240" w:lineRule="auto"/>
              <w:rPr>
                <w:rFonts w:ascii="Arial" w:eastAsia="Times New Roman" w:hAnsi="Arial" w:cs="Arial"/>
                <w:b/>
                <w:bCs/>
                <w:lang w:eastAsia="zh-CN" w:bidi="th-TH"/>
              </w:rPr>
            </w:pPr>
            <w:r w:rsidRPr="001E7788">
              <w:rPr>
                <w:rFonts w:ascii="Times New Roman" w:eastAsia="Times New Roman" w:hAnsi="Times New Roman" w:cs="Angsana New"/>
                <w:b/>
                <w:bCs/>
                <w:lang w:eastAsia="zh-CN" w:bidi="th-TH"/>
              </w:rPr>
              <w:t>1.1</w:t>
            </w:r>
          </w:p>
        </w:tc>
        <w:tc>
          <w:tcPr>
            <w:tcW w:w="5670" w:type="dxa"/>
            <w:shd w:val="clear" w:color="auto" w:fill="auto"/>
          </w:tcPr>
          <w:p w14:paraId="1FB704CD"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From the date of approval by CEWO of the Work Order until 30 December 2020</w:t>
            </w:r>
          </w:p>
        </w:tc>
      </w:tr>
      <w:tr w:rsidR="00765B80" w:rsidRPr="00765B80" w14:paraId="26E2AFD9" w14:textId="77777777" w:rsidTr="00F253D8">
        <w:tc>
          <w:tcPr>
            <w:tcW w:w="675" w:type="dxa"/>
          </w:tcPr>
          <w:p w14:paraId="705372D9"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6" w:name="_Ref183246792"/>
          </w:p>
        </w:tc>
        <w:bookmarkEnd w:id="6"/>
        <w:tc>
          <w:tcPr>
            <w:tcW w:w="1985" w:type="dxa"/>
          </w:tcPr>
          <w:p w14:paraId="4C69D662"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Category of Services</w:t>
            </w:r>
          </w:p>
        </w:tc>
        <w:tc>
          <w:tcPr>
            <w:tcW w:w="1276" w:type="dxa"/>
          </w:tcPr>
          <w:p w14:paraId="135248A4"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7</w:t>
            </w:r>
          </w:p>
        </w:tc>
        <w:tc>
          <w:tcPr>
            <w:tcW w:w="5670" w:type="dxa"/>
          </w:tcPr>
          <w:p w14:paraId="56B989A7"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Monitoring</w:t>
            </w:r>
          </w:p>
        </w:tc>
      </w:tr>
      <w:tr w:rsidR="00765B80" w:rsidRPr="00765B80" w14:paraId="62D9D9AD" w14:textId="77777777" w:rsidTr="00F253D8">
        <w:tc>
          <w:tcPr>
            <w:tcW w:w="675" w:type="dxa"/>
          </w:tcPr>
          <w:p w14:paraId="6180EC0D"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7" w:name="_Ref183250170"/>
          </w:p>
        </w:tc>
        <w:bookmarkEnd w:id="7"/>
        <w:tc>
          <w:tcPr>
            <w:tcW w:w="1985" w:type="dxa"/>
          </w:tcPr>
          <w:p w14:paraId="29EC8EDB"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 xml:space="preserve">Additional Project Services </w:t>
            </w:r>
          </w:p>
          <w:p w14:paraId="7331431E" w14:textId="77777777" w:rsidR="00765B80" w:rsidRPr="00765B80" w:rsidRDefault="00765B80" w:rsidP="00765B80">
            <w:pPr>
              <w:spacing w:before="120" w:after="120" w:line="240" w:lineRule="auto"/>
              <w:rPr>
                <w:rFonts w:ascii="Arial" w:eastAsia="Times New Roman" w:hAnsi="Arial" w:cs="Arial"/>
                <w:b/>
                <w:lang w:eastAsia="zh-CN" w:bidi="th-TH"/>
              </w:rPr>
            </w:pPr>
          </w:p>
        </w:tc>
        <w:tc>
          <w:tcPr>
            <w:tcW w:w="1276" w:type="dxa"/>
          </w:tcPr>
          <w:p w14:paraId="43E8D4C1"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7</w:t>
            </w:r>
          </w:p>
        </w:tc>
        <w:tc>
          <w:tcPr>
            <w:tcW w:w="5670" w:type="dxa"/>
          </w:tcPr>
          <w:p w14:paraId="5636B785" w14:textId="77777777" w:rsidR="00765B80" w:rsidRPr="00765B80" w:rsidRDefault="00765B80" w:rsidP="00765B80">
            <w:pPr>
              <w:spacing w:before="120" w:after="120" w:line="240" w:lineRule="auto"/>
              <w:rPr>
                <w:rFonts w:ascii="Arial" w:eastAsia="Times New Roman" w:hAnsi="Arial" w:cs="Arial"/>
                <w:b/>
                <w:bCs/>
                <w:lang w:eastAsia="zh-CN" w:bidi="th-TH"/>
              </w:rPr>
            </w:pPr>
            <w:r w:rsidRPr="00765B80">
              <w:rPr>
                <w:rFonts w:ascii="Arial" w:eastAsia="Times New Roman" w:hAnsi="Arial" w:cs="Arial"/>
                <w:b/>
                <w:bCs/>
                <w:lang w:eastAsia="zh-CN" w:bidi="th-TH"/>
              </w:rPr>
              <w:t>Field Visit</w:t>
            </w:r>
          </w:p>
          <w:p w14:paraId="0C2B4721"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 xml:space="preserve">November 2020: Retrieval of mats deployed in late 2019 &amp; Deployment of a new set. Compared to the </w:t>
            </w:r>
            <w:r w:rsidRPr="00765B80">
              <w:rPr>
                <w:rFonts w:ascii="Arial" w:eastAsia="Times New Roman" w:hAnsi="Arial" w:cs="Arial"/>
                <w:lang w:eastAsia="zh-CN" w:bidi="th-TH"/>
              </w:rPr>
              <w:lastRenderedPageBreak/>
              <w:t>original sequence of field visits, this extra trip sits between Field visit 3 (November 2019) and Field Visit 4 (now to be held late 2020 after the second spring fresh).</w:t>
            </w:r>
          </w:p>
          <w:p w14:paraId="73548059" w14:textId="77777777" w:rsidR="00765B80" w:rsidRPr="00765B80" w:rsidRDefault="00765B80" w:rsidP="00765B80">
            <w:pPr>
              <w:spacing w:before="120" w:after="140" w:line="280" w:lineRule="atLeast"/>
              <w:rPr>
                <w:rFonts w:ascii="Arial" w:eastAsia="Times New Roman" w:hAnsi="Arial" w:cs="Arial"/>
                <w:b/>
                <w:bCs/>
                <w:lang w:eastAsia="zh-CN" w:bidi="th-TH"/>
              </w:rPr>
            </w:pPr>
            <w:r w:rsidRPr="00765B80">
              <w:rPr>
                <w:rFonts w:ascii="Arial" w:eastAsia="Times New Roman" w:hAnsi="Arial" w:cs="Arial"/>
                <w:b/>
                <w:bCs/>
                <w:lang w:eastAsia="zh-CN" w:bidi="th-TH"/>
              </w:rPr>
              <w:t>Rationale</w:t>
            </w:r>
          </w:p>
          <w:p w14:paraId="0BCCBB7D"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Turf mats were deployed in November 2019 as part of ‘Field Visit 3’ as per the original Turf Mats work order. These were not able to be processed on time because of COVID-19 related shutdowns to the laboratories at University of Melbourne where the sediment samples are dried, and the seeds are grown out. A trip was planned around June 2020 to retrieve the mats once labs started to open again at the university. This trip was prevented by high natural flows in the river and the Victorian second wave of Coronavirus and renewed shutdowns. High natural flows continued through winter and into spring even as restrictions began to ease.</w:t>
            </w:r>
          </w:p>
          <w:p w14:paraId="48416647"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By the time a retrieval trip was possible for these mats, they had been exposed to Summer IVT flows, several natural high-flow events over winter, and the early spring fresh 2020. Any data collected from the mats would be extremely difficult to interpret. Following several conversations between the University of Melbourne and Streamology, and after consultation with the CEWO, it was decided to ‘discard’ the data from the mats that had been deployed for almost 12 months and to replace them with a new set of mats at the earliest possible opportunity.</w:t>
            </w:r>
          </w:p>
          <w:p w14:paraId="0FFD90A8"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Because this is effectively a replacement of the mats deployed in November 2019, this requires a single extra field trip in addition to the 7 field visits specified in the original Turf Mats work order, but no extra laboratory processing time. Methods employed in the field will be identical to those described in the original Turf Mats SOP.</w:t>
            </w:r>
          </w:p>
          <w:p w14:paraId="46B68359" w14:textId="488DC2AA"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No new processes or methods are required for this activity compared to those previously approved by CEWO.</w:t>
            </w:r>
          </w:p>
        </w:tc>
      </w:tr>
      <w:tr w:rsidR="00765B80" w:rsidRPr="00765B80" w14:paraId="3866CFE5" w14:textId="77777777" w:rsidTr="00F253D8">
        <w:tc>
          <w:tcPr>
            <w:tcW w:w="675" w:type="dxa"/>
          </w:tcPr>
          <w:p w14:paraId="5A80B4B6"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8" w:name="_Ref183250249"/>
          </w:p>
        </w:tc>
        <w:bookmarkEnd w:id="8"/>
        <w:tc>
          <w:tcPr>
            <w:tcW w:w="1985" w:type="dxa"/>
          </w:tcPr>
          <w:p w14:paraId="16A1956B"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Subcontractors</w:t>
            </w:r>
          </w:p>
        </w:tc>
        <w:tc>
          <w:tcPr>
            <w:tcW w:w="1276" w:type="dxa"/>
          </w:tcPr>
          <w:p w14:paraId="4FEDE18B" w14:textId="7CA70825" w:rsidR="00765B80" w:rsidRPr="00711CBC" w:rsidRDefault="00B4161D" w:rsidP="00765B80">
            <w:pPr>
              <w:spacing w:before="120" w:after="120" w:line="240" w:lineRule="auto"/>
              <w:rPr>
                <w:rFonts w:ascii="Arial" w:eastAsia="Times New Roman" w:hAnsi="Arial" w:cs="Arial"/>
                <w:b/>
                <w:bCs/>
                <w:lang w:eastAsia="zh-CN" w:bidi="th-TH"/>
              </w:rPr>
            </w:pPr>
            <w:r w:rsidRPr="00711CBC">
              <w:rPr>
                <w:rFonts w:ascii="Times New Roman" w:eastAsia="Times New Roman" w:hAnsi="Times New Roman" w:cs="Angsana New"/>
                <w:b/>
                <w:bCs/>
                <w:lang w:eastAsia="zh-CN" w:bidi="th-TH"/>
              </w:rPr>
              <w:t>6</w:t>
            </w:r>
            <w:r w:rsidR="00711CBC" w:rsidRPr="00711CBC">
              <w:rPr>
                <w:rFonts w:ascii="Times New Roman" w:eastAsia="Times New Roman" w:hAnsi="Times New Roman" w:cs="Angsana New"/>
                <w:b/>
                <w:bCs/>
                <w:lang w:eastAsia="zh-CN" w:bidi="th-TH"/>
              </w:rPr>
              <w:t>.5</w:t>
            </w:r>
          </w:p>
        </w:tc>
        <w:tc>
          <w:tcPr>
            <w:tcW w:w="5670" w:type="dxa"/>
          </w:tcPr>
          <w:p w14:paraId="73F269C2"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Streamology Pty. Ltd.</w:t>
            </w:r>
          </w:p>
          <w:p w14:paraId="35D036A1"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20 Iarias Lane, Bright, Vic. 3741</w:t>
            </w:r>
          </w:p>
          <w:p w14:paraId="0FCCA1C6"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ABN 34 336 739 166</w:t>
            </w:r>
            <w:r w:rsidRPr="00765B80" w:rsidDel="006D47F1">
              <w:rPr>
                <w:rFonts w:ascii="Times New Roman" w:eastAsia="Times New Roman" w:hAnsi="Times New Roman" w:cs="Angsana New"/>
                <w:sz w:val="16"/>
                <w:szCs w:val="16"/>
                <w:lang w:eastAsia="zh-CN" w:bidi="th-TH"/>
              </w:rPr>
              <w:t xml:space="preserve"> </w:t>
            </w:r>
          </w:p>
        </w:tc>
      </w:tr>
      <w:tr w:rsidR="00765B80" w:rsidRPr="00765B80" w14:paraId="1A6CBBEA" w14:textId="77777777" w:rsidTr="00F253D8">
        <w:tc>
          <w:tcPr>
            <w:tcW w:w="675" w:type="dxa"/>
          </w:tcPr>
          <w:p w14:paraId="5B42490D"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bookmarkStart w:id="9" w:name="_Ref183250270"/>
          </w:p>
        </w:tc>
        <w:bookmarkEnd w:id="9"/>
        <w:tc>
          <w:tcPr>
            <w:tcW w:w="1985" w:type="dxa"/>
          </w:tcPr>
          <w:p w14:paraId="18F94ECB"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Progress meetings and reports</w:t>
            </w:r>
          </w:p>
        </w:tc>
        <w:tc>
          <w:tcPr>
            <w:tcW w:w="1276" w:type="dxa"/>
          </w:tcPr>
          <w:p w14:paraId="2F5077C5" w14:textId="1B84A88C" w:rsidR="00765B80" w:rsidRPr="00765B80" w:rsidRDefault="00711CBC" w:rsidP="00765B80">
            <w:pPr>
              <w:spacing w:before="120" w:after="120" w:line="240" w:lineRule="auto"/>
              <w:rPr>
                <w:rFonts w:ascii="Arial" w:eastAsia="Times New Roman" w:hAnsi="Arial" w:cs="Arial"/>
                <w:b/>
                <w:lang w:eastAsia="zh-CN" w:bidi="th-TH"/>
              </w:rPr>
            </w:pPr>
            <w:r>
              <w:rPr>
                <w:rFonts w:ascii="Arial" w:eastAsia="Times New Roman" w:hAnsi="Arial" w:cs="Arial"/>
                <w:b/>
                <w:lang w:eastAsia="zh-CN" w:bidi="th-TH"/>
              </w:rPr>
              <w:t>11</w:t>
            </w:r>
          </w:p>
        </w:tc>
        <w:tc>
          <w:tcPr>
            <w:tcW w:w="5670" w:type="dxa"/>
          </w:tcPr>
          <w:p w14:paraId="3D0F98FB" w14:textId="77777777" w:rsidR="00765B80" w:rsidRPr="00765B80" w:rsidRDefault="00765B80" w:rsidP="00765B80">
            <w:pPr>
              <w:spacing w:before="120" w:after="140" w:line="280" w:lineRule="atLeast"/>
              <w:rPr>
                <w:rFonts w:ascii="Arial" w:eastAsia="Times New Roman" w:hAnsi="Arial" w:cs="Arial"/>
                <w:lang w:eastAsia="zh-CN" w:bidi="th-TH"/>
              </w:rPr>
            </w:pPr>
            <w:r w:rsidRPr="00765B80">
              <w:rPr>
                <w:rFonts w:ascii="Arial" w:eastAsia="Times New Roman" w:hAnsi="Arial" w:cs="Arial"/>
                <w:lang w:eastAsia="zh-CN" w:bidi="th-TH"/>
              </w:rPr>
              <w:t>This activity will not create any extra reporting or meetings beyond what is already covered in the original Turf Mats Work Order.</w:t>
            </w:r>
          </w:p>
        </w:tc>
      </w:tr>
      <w:tr w:rsidR="00765B80" w:rsidRPr="00765B80" w14:paraId="696C7339" w14:textId="77777777" w:rsidTr="00F253D8">
        <w:tc>
          <w:tcPr>
            <w:tcW w:w="675" w:type="dxa"/>
          </w:tcPr>
          <w:p w14:paraId="5871B49B" w14:textId="77777777" w:rsidR="00765B80" w:rsidRPr="00765B80" w:rsidRDefault="00765B80" w:rsidP="00765B80">
            <w:pPr>
              <w:numPr>
                <w:ilvl w:val="0"/>
                <w:numId w:val="1"/>
              </w:numPr>
              <w:spacing w:after="140" w:line="280" w:lineRule="atLeast"/>
              <w:rPr>
                <w:rFonts w:ascii="Times New Roman" w:eastAsia="Times New Roman" w:hAnsi="Times New Roman" w:cs="Angsana New"/>
                <w:lang w:eastAsia="en-AU"/>
              </w:rPr>
            </w:pPr>
          </w:p>
        </w:tc>
        <w:tc>
          <w:tcPr>
            <w:tcW w:w="1985" w:type="dxa"/>
          </w:tcPr>
          <w:p w14:paraId="1D2A8BC8" w14:textId="77777777" w:rsidR="00765B80" w:rsidRPr="00765B80" w:rsidRDefault="00765B80" w:rsidP="00765B80">
            <w:pPr>
              <w:spacing w:before="120" w:after="120" w:line="240" w:lineRule="auto"/>
              <w:rPr>
                <w:rFonts w:ascii="Arial" w:eastAsia="Times New Roman" w:hAnsi="Arial" w:cs="Arial"/>
                <w:b/>
                <w:lang w:eastAsia="zh-CN" w:bidi="th-TH"/>
              </w:rPr>
            </w:pPr>
            <w:r w:rsidRPr="00765B80">
              <w:rPr>
                <w:rFonts w:ascii="Arial" w:eastAsia="Times New Roman" w:hAnsi="Arial" w:cs="Arial"/>
                <w:b/>
                <w:lang w:eastAsia="zh-CN" w:bidi="th-TH"/>
              </w:rPr>
              <w:t xml:space="preserve">Performance Criteria </w:t>
            </w:r>
          </w:p>
        </w:tc>
        <w:tc>
          <w:tcPr>
            <w:tcW w:w="1276" w:type="dxa"/>
          </w:tcPr>
          <w:p w14:paraId="04413999" w14:textId="730F36A1" w:rsidR="00765B80" w:rsidRPr="00765B80" w:rsidRDefault="00711CBC" w:rsidP="00765B80">
            <w:pPr>
              <w:spacing w:before="120" w:after="120" w:line="240" w:lineRule="auto"/>
              <w:rPr>
                <w:rFonts w:ascii="Arial" w:eastAsia="Times New Roman" w:hAnsi="Arial" w:cs="Arial"/>
                <w:b/>
                <w:lang w:eastAsia="zh-CN" w:bidi="th-TH"/>
              </w:rPr>
            </w:pPr>
            <w:r>
              <w:rPr>
                <w:rFonts w:ascii="Arial" w:eastAsia="Times New Roman" w:hAnsi="Arial" w:cs="Arial"/>
                <w:b/>
                <w:lang w:eastAsia="zh-CN" w:bidi="th-TH"/>
              </w:rPr>
              <w:t>12</w:t>
            </w:r>
          </w:p>
        </w:tc>
        <w:tc>
          <w:tcPr>
            <w:tcW w:w="5670" w:type="dxa"/>
          </w:tcPr>
          <w:p w14:paraId="554B5010" w14:textId="77777777" w:rsidR="00765B80" w:rsidRPr="00765B80" w:rsidRDefault="00765B80" w:rsidP="00765B80">
            <w:pPr>
              <w:tabs>
                <w:tab w:val="left" w:pos="720"/>
              </w:tabs>
              <w:spacing w:after="140" w:line="280" w:lineRule="atLeast"/>
              <w:ind w:left="67"/>
              <w:outlineLvl w:val="3"/>
              <w:rPr>
                <w:rFonts w:ascii="Arial" w:eastAsia="Times New Roman" w:hAnsi="Arial" w:cs="Arial"/>
                <w:lang w:eastAsia="en-AU"/>
              </w:rPr>
            </w:pPr>
            <w:r w:rsidRPr="00765B80">
              <w:rPr>
                <w:rFonts w:ascii="Arial" w:eastAsia="Times New Roman" w:hAnsi="Arial" w:cs="Arial"/>
                <w:lang w:eastAsia="en-AU"/>
              </w:rPr>
              <w:t>The following Performance Criteria will apply to the Additional Project Services specified in the Work Order:</w:t>
            </w:r>
          </w:p>
          <w:p w14:paraId="454B5978" w14:textId="77777777" w:rsidR="00765B80" w:rsidRPr="00765B80" w:rsidRDefault="00765B80" w:rsidP="00765B80">
            <w:pPr>
              <w:numPr>
                <w:ilvl w:val="0"/>
                <w:numId w:val="3"/>
              </w:numPr>
              <w:spacing w:after="140" w:line="280" w:lineRule="atLeast"/>
              <w:rPr>
                <w:rFonts w:ascii="Arial" w:eastAsia="Calibri" w:hAnsi="Arial" w:cs="Arial"/>
              </w:rPr>
            </w:pPr>
            <w:r w:rsidRPr="00765B80">
              <w:rPr>
                <w:rFonts w:ascii="Arial" w:eastAsia="Calibri" w:hAnsi="Arial" w:cs="Arial"/>
              </w:rPr>
              <w:t>Must be undertaken in accordance with the Work Order and the Turf Mat Standard Operating Procedures.</w:t>
            </w:r>
          </w:p>
          <w:p w14:paraId="76B41A65" w14:textId="77777777" w:rsidR="00765B80" w:rsidRPr="00765B80" w:rsidRDefault="00765B80" w:rsidP="00765B80">
            <w:pPr>
              <w:numPr>
                <w:ilvl w:val="0"/>
                <w:numId w:val="3"/>
              </w:numPr>
              <w:spacing w:after="140" w:line="280" w:lineRule="atLeast"/>
              <w:rPr>
                <w:rFonts w:ascii="Arial" w:eastAsia="Calibri" w:hAnsi="Arial" w:cs="Arial"/>
              </w:rPr>
            </w:pPr>
            <w:r w:rsidRPr="00765B80">
              <w:rPr>
                <w:rFonts w:ascii="Arial" w:eastAsia="Calibri" w:hAnsi="Arial" w:cs="Arial"/>
              </w:rPr>
              <w:t>Must be completed to a professional standard.</w:t>
            </w:r>
          </w:p>
          <w:p w14:paraId="766591AB" w14:textId="77777777" w:rsidR="00765B80" w:rsidRPr="00765B80" w:rsidRDefault="00765B80" w:rsidP="00765B80">
            <w:pPr>
              <w:numPr>
                <w:ilvl w:val="0"/>
                <w:numId w:val="3"/>
              </w:numPr>
              <w:spacing w:after="140" w:line="280" w:lineRule="atLeast"/>
              <w:rPr>
                <w:rFonts w:ascii="Arial" w:eastAsia="Calibri" w:hAnsi="Arial" w:cs="Arial"/>
              </w:rPr>
            </w:pPr>
            <w:r w:rsidRPr="00765B80">
              <w:rPr>
                <w:rFonts w:ascii="Arial" w:eastAsia="Calibri" w:hAnsi="Arial" w:cs="Arial"/>
              </w:rPr>
              <w:t xml:space="preserve">Must address relevant feedback provided by the CEWO. </w:t>
            </w:r>
          </w:p>
          <w:p w14:paraId="31924C6D" w14:textId="77777777" w:rsidR="00765B80" w:rsidRPr="00765B80" w:rsidRDefault="00765B80" w:rsidP="00765B80">
            <w:pPr>
              <w:numPr>
                <w:ilvl w:val="0"/>
                <w:numId w:val="3"/>
              </w:numPr>
              <w:spacing w:after="140" w:line="280" w:lineRule="atLeast"/>
              <w:rPr>
                <w:rFonts w:ascii="Arial" w:eastAsia="Calibri" w:hAnsi="Arial" w:cs="Arial"/>
              </w:rPr>
            </w:pPr>
            <w:r w:rsidRPr="00765B80">
              <w:rPr>
                <w:rFonts w:ascii="Arial" w:eastAsia="Calibri" w:hAnsi="Arial" w:cs="Arial"/>
              </w:rPr>
              <w:t xml:space="preserve">Must be undertaken in accordance with the dates and timeframes specified in the Work Order </w:t>
            </w:r>
          </w:p>
          <w:p w14:paraId="548ABC73" w14:textId="77777777" w:rsidR="00765B80" w:rsidRPr="00765B80" w:rsidRDefault="00765B80" w:rsidP="00765B80">
            <w:pPr>
              <w:numPr>
                <w:ilvl w:val="0"/>
                <w:numId w:val="3"/>
              </w:numPr>
              <w:spacing w:after="140" w:line="280" w:lineRule="atLeast"/>
              <w:rPr>
                <w:rFonts w:ascii="Arial" w:eastAsia="Calibri" w:hAnsi="Arial" w:cs="Arial"/>
              </w:rPr>
            </w:pPr>
            <w:r w:rsidRPr="00765B80">
              <w:rPr>
                <w:rFonts w:ascii="Arial" w:eastAsia="Times New Roman" w:hAnsi="Arial" w:cs="Arial"/>
                <w:bCs/>
                <w:lang w:eastAsia="zh-CN" w:bidi="th-TH"/>
              </w:rPr>
              <w:t xml:space="preserve">Outcomes must be included in the annual Goulburn MER report in accordance with the agreed standard format and template and include recommendations for how Commonwealth environmental water can be best used to influence seed recruitment/growth. </w:t>
            </w:r>
          </w:p>
        </w:tc>
      </w:tr>
    </w:tbl>
    <w:p w14:paraId="4C0ECB68" w14:textId="77777777" w:rsidR="00765B80" w:rsidRDefault="00765B80" w:rsidP="00A57813"/>
    <w:sectPr w:rsidR="00765B80" w:rsidSect="00A5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1" w15:restartNumberingAfterBreak="0">
    <w:nsid w:val="4F926341"/>
    <w:multiLevelType w:val="hybridMultilevel"/>
    <w:tmpl w:val="D02C9CAE"/>
    <w:lvl w:ilvl="0" w:tplc="9AA66414">
      <w:start w:val="7"/>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80"/>
    <w:rsid w:val="001772B8"/>
    <w:rsid w:val="0018595B"/>
    <w:rsid w:val="001E7788"/>
    <w:rsid w:val="002935B0"/>
    <w:rsid w:val="00425703"/>
    <w:rsid w:val="0056131A"/>
    <w:rsid w:val="00615691"/>
    <w:rsid w:val="00711CBC"/>
    <w:rsid w:val="00763ED0"/>
    <w:rsid w:val="00765B80"/>
    <w:rsid w:val="00A57813"/>
    <w:rsid w:val="00B4161D"/>
    <w:rsid w:val="00CB3830"/>
    <w:rsid w:val="00D87268"/>
    <w:rsid w:val="00E12240"/>
    <w:rsid w:val="00F85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F081"/>
  <w15:chartTrackingRefBased/>
  <w15:docId w15:val="{D5D54C76-6B3D-4B19-B1D3-6BED090E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rsid w:val="00765B80"/>
    <w:pPr>
      <w:spacing w:after="0" w:line="240" w:lineRule="auto"/>
    </w:pPr>
    <w:rPr>
      <w:rFonts w:ascii="Arial" w:hAnsi="Arial"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nvironment.gov.au/water/cewo/monitoring/mer-program" TargetMode="External"/><Relationship Id="rId10" Type="http://schemas.openxmlformats.org/officeDocument/2006/relationships/hyperlink" Target="http://www.environment.gov.au/water/cewo/publications/mer-plan-goulburn-2019"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E424E1D8DDEA143A37DB189FDD0BB2D" ma:contentTypeVersion="26" ma:contentTypeDescription="Create a new Word Document" ma:contentTypeScope="" ma:versionID="1aac61c27a84a146d971a636bdeb7426">
  <xsd:schema xmlns:xsd="http://www.w3.org/2001/XMLSchema" xmlns:xs="http://www.w3.org/2001/XMLSchema" xmlns:p="http://schemas.microsoft.com/office/2006/metadata/properties" xmlns:ns2="5af92df4-ae3d-4772-abff-92e7cba13994" targetNamespace="http://schemas.microsoft.com/office/2006/metadata/properties" ma:root="true" ma:fieldsID="fa0944682220f84d0c28097b6fdef6f5"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D18CDFC-B732-42AB-ABE5-2E0253BF83B6}"/>
</file>

<file path=customXml/itemProps2.xml><?xml version="1.0" encoding="utf-8"?>
<ds:datastoreItem xmlns:ds="http://schemas.openxmlformats.org/officeDocument/2006/customXml" ds:itemID="{1E627642-FAEE-4C78-88C4-DC0FA4262CE4}">
  <ds:schemaRefs>
    <ds:schemaRef ds:uri="http://schemas.microsoft.com/sharepoint/v3/contenttype/forms"/>
  </ds:schemaRefs>
</ds:datastoreItem>
</file>

<file path=customXml/itemProps3.xml><?xml version="1.0" encoding="utf-8"?>
<ds:datastoreItem xmlns:ds="http://schemas.openxmlformats.org/officeDocument/2006/customXml" ds:itemID="{04A8A3B8-7E00-4994-880E-297CDE81A20D}">
  <ds:schemaRefs>
    <ds:schemaRef ds:uri="http://schemas.microsoft.com/office/2006/metadata/properties"/>
    <ds:schemaRef ds:uri="http://schemas.microsoft.com/office/infopath/2007/PartnerControls"/>
    <ds:schemaRef ds:uri="5af92df4-ae3d-4772-abff-92e7cba13994"/>
  </ds:schemaRefs>
</ds:datastoreItem>
</file>

<file path=customXml/itemProps4.xml><?xml version="1.0" encoding="utf-8"?>
<ds:datastoreItem xmlns:ds="http://schemas.openxmlformats.org/officeDocument/2006/customXml" ds:itemID="{DC1B66D2-7BC9-453E-AE4D-E31C5F08B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EB8CFE-C078-4523-B1FB-560089BB56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Turf Mat Retrieval Work Order - final - CEWO approved 14 Dec 2020</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to the Goulburn MER Plan – Turf Mat Retrieval Work Order</dc:title>
  <dc:subject/>
  <dc:creator>Commonwealth of Australia</dc:creator>
  <cp:keywords/>
  <dc:description/>
  <cp:lastModifiedBy>Bec Durack</cp:lastModifiedBy>
  <cp:revision>2</cp:revision>
  <cp:lastPrinted>2021-01-14T06:17:00Z</cp:lastPrinted>
  <dcterms:created xsi:type="dcterms:W3CDTF">2021-01-15T03:20:00Z</dcterms:created>
  <dcterms:modified xsi:type="dcterms:W3CDTF">2021-01-15T03:20:00Z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ActiveItemUniqueId">
    <vt:lpwstr>{43395c74-272d-478b-83ce-8803ed8e932e}</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{3fc32201-913f-4d6a-85e8-5b8b2e362428}</vt:lpwstr>
  </property>
  <property fmtid="{D5CDD505-2E9C-101B-9397-08002B2CF9AE}" pid="7" name="RecordPoint_ActiveItemWebId">
    <vt:lpwstr>{e9dbc1f6-467e-4375-b5ab-015cee2f651e}</vt:lpwstr>
  </property>
</Properties>
</file>