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31020" w14:textId="77777777" w:rsidR="0056240A" w:rsidRDefault="007B7971">
      <w:pPr>
        <w:pStyle w:val="Heading1"/>
      </w:pPr>
      <w:r w:rsidRPr="00E525A4">
        <w:t xml:space="preserve">AUS-MEAT Capability Assessment </w:t>
      </w:r>
      <w:r>
        <w:t>Review</w:t>
      </w:r>
    </w:p>
    <w:p w14:paraId="15BE7A6A" w14:textId="55661F74" w:rsidR="001D095E" w:rsidRDefault="007B7971">
      <w:pPr>
        <w:pStyle w:val="AuthorOrganisationAffiliation"/>
        <w:tabs>
          <w:tab w:val="left" w:pos="7995"/>
        </w:tabs>
      </w:pPr>
      <w:r>
        <w:t>Agricultur</w:t>
      </w:r>
      <w:r w:rsidR="00681542">
        <w:t>al</w:t>
      </w:r>
      <w:r>
        <w:t xml:space="preserve"> Policy Division</w:t>
      </w:r>
    </w:p>
    <w:p w14:paraId="476ADF5E" w14:textId="77777777" w:rsidR="0056240A" w:rsidRDefault="007B7971">
      <w:pPr>
        <w:pStyle w:val="Picture"/>
      </w:pPr>
      <w:r>
        <w:drawing>
          <wp:inline distT="0" distB="0" distL="0" distR="0" wp14:anchorId="33EF602D" wp14:editId="01496037">
            <wp:extent cx="5765165" cy="5516245"/>
            <wp:effectExtent l="19050" t="0" r="698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23391" name="Picture 3"/>
                    <pic:cNvPicPr>
                      <a:picLocks noChangeAspect="1" noChangeArrowheads="1"/>
                    </pic:cNvPicPr>
                  </pic:nvPicPr>
                  <pic:blipFill>
                    <a:blip r:embed="rId11" cstate="print"/>
                    <a:stretch>
                      <a:fillRect/>
                    </a:stretch>
                  </pic:blipFill>
                  <pic:spPr bwMode="auto">
                    <a:xfrm>
                      <a:off x="0" y="0"/>
                      <a:ext cx="5765165" cy="5516245"/>
                    </a:xfrm>
                    <a:prstGeom prst="rect">
                      <a:avLst/>
                    </a:prstGeom>
                    <a:noFill/>
                    <a:ln w="9525">
                      <a:noFill/>
                      <a:miter lim="800000"/>
                      <a:headEnd/>
                      <a:tailEnd/>
                    </a:ln>
                  </pic:spPr>
                </pic:pic>
              </a:graphicData>
            </a:graphic>
          </wp:inline>
        </w:drawing>
      </w:r>
    </w:p>
    <w:p w14:paraId="6A07EF17" w14:textId="77777777" w:rsidR="0056240A" w:rsidRDefault="007B7971">
      <w:pPr>
        <w:pStyle w:val="Normalsmall"/>
      </w:pPr>
      <w:r>
        <w:br w:type="page"/>
      </w:r>
      <w:r>
        <w:lastRenderedPageBreak/>
        <w:t>© Commonwealth of Australia 2019</w:t>
      </w:r>
    </w:p>
    <w:p w14:paraId="4D6C2C4E" w14:textId="77777777" w:rsidR="0056240A" w:rsidRDefault="007B7971">
      <w:pPr>
        <w:pStyle w:val="Normalsmall"/>
        <w:rPr>
          <w:rStyle w:val="Strong"/>
        </w:rPr>
      </w:pPr>
      <w:r>
        <w:rPr>
          <w:rStyle w:val="Strong"/>
        </w:rPr>
        <w:t>Ownership of intellectual property rights</w:t>
      </w:r>
    </w:p>
    <w:p w14:paraId="49EC9C34" w14:textId="77777777" w:rsidR="0056240A" w:rsidRDefault="007B7971">
      <w:pPr>
        <w:pStyle w:val="Normalsmall"/>
      </w:pPr>
      <w:r>
        <w:t>Unless otherwise noted, copyright (and any other intellectual property rights, if any) in this publication is owned by the Commonwealth of Australia (referred to as the Commonwealth).</w:t>
      </w:r>
    </w:p>
    <w:p w14:paraId="15315800" w14:textId="77777777" w:rsidR="0056240A" w:rsidRDefault="007B7971">
      <w:pPr>
        <w:pStyle w:val="Normalsmall"/>
        <w:rPr>
          <w:rStyle w:val="Strong"/>
        </w:rPr>
      </w:pPr>
      <w:r>
        <w:rPr>
          <w:rStyle w:val="Strong"/>
        </w:rPr>
        <w:t>Creative Commons licence</w:t>
      </w:r>
    </w:p>
    <w:p w14:paraId="2109BB10" w14:textId="77777777" w:rsidR="0056240A" w:rsidRDefault="007B7971">
      <w:pPr>
        <w:pStyle w:val="Normalsmall"/>
      </w:pPr>
      <w:r>
        <w:t>All material in this publication is licensed under a Creative Commons Attribution 4.0 International Licence except content supplied by third parties, logos and the Commonwealth Coat of Arms.</w:t>
      </w:r>
    </w:p>
    <w:p w14:paraId="0D5A1E19" w14:textId="77777777" w:rsidR="0056240A" w:rsidRDefault="007B7971">
      <w:pPr>
        <w:pStyle w:val="Normalsmall"/>
      </w:pPr>
      <w:r>
        <w:t>Inquiries about the licence and any use of this document should be emailed to copyright@agriculture.gov.au.</w:t>
      </w:r>
    </w:p>
    <w:p w14:paraId="55414AEB" w14:textId="77777777" w:rsidR="0056240A" w:rsidRDefault="007B7971">
      <w:pPr>
        <w:pStyle w:val="Normalsmall"/>
      </w:pPr>
      <w:r>
        <w:rPr>
          <w:noProof/>
          <w:lang w:eastAsia="en-AU"/>
        </w:rPr>
        <w:drawing>
          <wp:inline distT="0" distB="0" distL="0" distR="0" wp14:anchorId="76FCC47E" wp14:editId="5A0AFD8D">
            <wp:extent cx="724535" cy="255270"/>
            <wp:effectExtent l="19050" t="0" r="0" b="0"/>
            <wp:docPr id="2" name="Picture 1" descr="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57289" name="Picture 1" descr="C:\Documents and Settings\west merryn\Local Settings\Temporary Internet Files\Content.Word\by.png"/>
                    <pic:cNvPicPr>
                      <a:picLocks noChangeAspect="1" noChangeArrowheads="1"/>
                    </pic:cNvPicPr>
                  </pic:nvPicPr>
                  <pic:blipFill>
                    <a:blip r:embed="rId12" cstate="prin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44E40F29" w14:textId="77777777" w:rsidR="0056240A" w:rsidRDefault="007B7971">
      <w:pPr>
        <w:pStyle w:val="Normalsmall"/>
        <w:rPr>
          <w:rStyle w:val="Strong"/>
        </w:rPr>
      </w:pPr>
      <w:r>
        <w:rPr>
          <w:rStyle w:val="Strong"/>
        </w:rPr>
        <w:t>Cataloguing data</w:t>
      </w:r>
    </w:p>
    <w:p w14:paraId="7C26600C" w14:textId="548371EB" w:rsidR="0056240A" w:rsidRDefault="007B7971">
      <w:pPr>
        <w:pStyle w:val="Normalsmall"/>
      </w:pPr>
      <w:r>
        <w:t>This publication (and any material sourced from it) should be attributed as:</w:t>
      </w:r>
      <w:r w:rsidR="00027EE0">
        <w:t xml:space="preserve"> </w:t>
      </w:r>
      <w:r w:rsidR="006B7CDA">
        <w:t xml:space="preserve">Department of Agriculture </w:t>
      </w:r>
      <w:r w:rsidR="00027EE0">
        <w:t>2019,</w:t>
      </w:r>
      <w:r>
        <w:t xml:space="preserve"> </w:t>
      </w:r>
      <w:r w:rsidR="00E525A4" w:rsidRPr="00E525A4">
        <w:rPr>
          <w:i/>
        </w:rPr>
        <w:t>AUS-MEAT Capability Assessment Review</w:t>
      </w:r>
      <w:r w:rsidR="00E525A4">
        <w:t>,</w:t>
      </w:r>
      <w:r>
        <w:t xml:space="preserve"> Canberra, </w:t>
      </w:r>
      <w:r w:rsidR="00E525A4">
        <w:t>April</w:t>
      </w:r>
      <w:r>
        <w:t>. CC BY 4.0.</w:t>
      </w:r>
    </w:p>
    <w:p w14:paraId="10560771" w14:textId="77777777" w:rsidR="0056240A" w:rsidRDefault="007B7971">
      <w:pPr>
        <w:pStyle w:val="Normalsmall"/>
      </w:pPr>
      <w:r w:rsidRPr="00C45A27">
        <w:t>This publication is available at agriculture.gov.au/publications.</w:t>
      </w:r>
      <w:bookmarkStart w:id="0" w:name="_GoBack"/>
      <w:bookmarkEnd w:id="0"/>
    </w:p>
    <w:p w14:paraId="4F682429" w14:textId="1E41D535" w:rsidR="0056240A" w:rsidRDefault="007B7971">
      <w:pPr>
        <w:pStyle w:val="Normalsmall"/>
        <w:spacing w:after="0"/>
      </w:pPr>
      <w:r>
        <w:t xml:space="preserve">Department of Agriculture </w:t>
      </w:r>
    </w:p>
    <w:p w14:paraId="694015E1" w14:textId="77777777" w:rsidR="0056240A" w:rsidRDefault="007B7971">
      <w:pPr>
        <w:pStyle w:val="Normalsmall"/>
        <w:spacing w:after="0"/>
      </w:pPr>
      <w:r>
        <w:t>GPO Box 858 Canberra ACT 2601</w:t>
      </w:r>
    </w:p>
    <w:p w14:paraId="5A944289" w14:textId="77777777" w:rsidR="0056240A" w:rsidRDefault="007B7971">
      <w:pPr>
        <w:pStyle w:val="Normalsmall"/>
        <w:spacing w:after="0"/>
      </w:pPr>
      <w:r>
        <w:t>Telephone 1800 900 090</w:t>
      </w:r>
    </w:p>
    <w:p w14:paraId="04C96DE5" w14:textId="77777777" w:rsidR="0056240A" w:rsidRDefault="007B7971">
      <w:pPr>
        <w:pStyle w:val="Normalsmall"/>
      </w:pPr>
      <w:r>
        <w:t>Web agriculture.gov.au</w:t>
      </w:r>
    </w:p>
    <w:p w14:paraId="3E89A1CA" w14:textId="21BD25C7" w:rsidR="0056240A" w:rsidRDefault="007B7971">
      <w:pPr>
        <w:pStyle w:val="Normalsmall"/>
      </w:pPr>
      <w:r>
        <w:t xml:space="preserve">The Australian Government acting through the </w:t>
      </w:r>
      <w:r w:rsidR="006B7CDA">
        <w:t xml:space="preserve">Department of Agriculture </w:t>
      </w:r>
      <w:r>
        <w:t>has exercised due care and skill in preparing and compiling the information and data in this publication. Notwithstanding, the Department of Agriculture,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11093AE" w14:textId="77777777" w:rsidR="0056240A" w:rsidRPr="00E525A4" w:rsidRDefault="007B7971">
      <w:pPr>
        <w:pStyle w:val="Normalsmall"/>
        <w:rPr>
          <w:rStyle w:val="Strong"/>
        </w:rPr>
      </w:pPr>
      <w:r w:rsidRPr="00E525A4">
        <w:rPr>
          <w:rStyle w:val="Strong"/>
        </w:rPr>
        <w:t>Acknowledgements</w:t>
      </w:r>
    </w:p>
    <w:p w14:paraId="0F4D9972" w14:textId="3BD79BE9" w:rsidR="00E525A4" w:rsidRDefault="007B7971">
      <w:pPr>
        <w:pStyle w:val="Normalsmall"/>
      </w:pPr>
      <w:r w:rsidRPr="00E525A4">
        <w:t>The authors thank interview and survey participants for their input.</w:t>
      </w:r>
    </w:p>
    <w:p w14:paraId="2F0454D3" w14:textId="77536F7C" w:rsidR="00027EE0" w:rsidRDefault="00027EE0">
      <w:pPr>
        <w:spacing w:after="0" w:line="240" w:lineRule="auto"/>
        <w:rPr>
          <w:sz w:val="18"/>
          <w:szCs w:val="18"/>
        </w:rPr>
      </w:pPr>
      <w: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5436F526" w14:textId="77777777" w:rsidR="0056240A" w:rsidRDefault="007B7971">
          <w:pPr>
            <w:pStyle w:val="TOCHeading"/>
          </w:pPr>
          <w:r>
            <w:t>Conte</w:t>
          </w:r>
          <w:r w:rsidR="00995F6E">
            <w:t>nts</w:t>
          </w:r>
        </w:p>
        <w:p w14:paraId="5EBB82B2" w14:textId="77777777" w:rsidR="00EB1FB3" w:rsidRDefault="007B7971">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12958266" w:history="1">
            <w:r w:rsidR="00EB1FB3" w:rsidRPr="00D55553">
              <w:rPr>
                <w:rStyle w:val="Hyperlink"/>
              </w:rPr>
              <w:t>Summary</w:t>
            </w:r>
            <w:r w:rsidR="00EB1FB3">
              <w:rPr>
                <w:webHidden/>
              </w:rPr>
              <w:tab/>
            </w:r>
            <w:r w:rsidR="00EB1FB3">
              <w:rPr>
                <w:webHidden/>
              </w:rPr>
              <w:fldChar w:fldCharType="begin"/>
            </w:r>
            <w:r w:rsidR="00EB1FB3">
              <w:rPr>
                <w:webHidden/>
              </w:rPr>
              <w:instrText xml:space="preserve"> PAGEREF _Toc12958266 \h </w:instrText>
            </w:r>
            <w:r w:rsidR="00EB1FB3">
              <w:rPr>
                <w:webHidden/>
              </w:rPr>
            </w:r>
            <w:r w:rsidR="00EB1FB3">
              <w:rPr>
                <w:webHidden/>
              </w:rPr>
              <w:fldChar w:fldCharType="separate"/>
            </w:r>
            <w:r w:rsidR="00BF54B3">
              <w:rPr>
                <w:webHidden/>
              </w:rPr>
              <w:t>4</w:t>
            </w:r>
            <w:r w:rsidR="00EB1FB3">
              <w:rPr>
                <w:webHidden/>
              </w:rPr>
              <w:fldChar w:fldCharType="end"/>
            </w:r>
          </w:hyperlink>
        </w:p>
        <w:p w14:paraId="5A91D1CF" w14:textId="77777777" w:rsidR="00EB1FB3" w:rsidRDefault="00BF54B3">
          <w:pPr>
            <w:pStyle w:val="TOC1"/>
            <w:rPr>
              <w:rFonts w:asciiTheme="minorHAnsi" w:eastAsiaTheme="minorEastAsia" w:hAnsiTheme="minorHAnsi"/>
              <w:b w:val="0"/>
              <w:lang w:eastAsia="en-AU"/>
            </w:rPr>
          </w:pPr>
          <w:hyperlink w:anchor="_Toc12958267" w:history="1">
            <w:r w:rsidR="00EB1FB3" w:rsidRPr="00D55553">
              <w:rPr>
                <w:rStyle w:val="Hyperlink"/>
              </w:rPr>
              <w:t>1</w:t>
            </w:r>
            <w:r w:rsidR="00EB1FB3">
              <w:rPr>
                <w:rFonts w:asciiTheme="minorHAnsi" w:eastAsiaTheme="minorEastAsia" w:hAnsiTheme="minorHAnsi"/>
                <w:b w:val="0"/>
                <w:lang w:eastAsia="en-AU"/>
              </w:rPr>
              <w:tab/>
            </w:r>
            <w:r w:rsidR="00EB1FB3" w:rsidRPr="00D55553">
              <w:rPr>
                <w:rStyle w:val="Hyperlink"/>
              </w:rPr>
              <w:t>Context</w:t>
            </w:r>
            <w:r w:rsidR="00EB1FB3">
              <w:rPr>
                <w:webHidden/>
              </w:rPr>
              <w:tab/>
            </w:r>
            <w:r w:rsidR="00EB1FB3">
              <w:rPr>
                <w:webHidden/>
              </w:rPr>
              <w:fldChar w:fldCharType="begin"/>
            </w:r>
            <w:r w:rsidR="00EB1FB3">
              <w:rPr>
                <w:webHidden/>
              </w:rPr>
              <w:instrText xml:space="preserve"> PAGEREF _Toc12958267 \h </w:instrText>
            </w:r>
            <w:r w:rsidR="00EB1FB3">
              <w:rPr>
                <w:webHidden/>
              </w:rPr>
            </w:r>
            <w:r w:rsidR="00EB1FB3">
              <w:rPr>
                <w:webHidden/>
              </w:rPr>
              <w:fldChar w:fldCharType="separate"/>
            </w:r>
            <w:r>
              <w:rPr>
                <w:webHidden/>
              </w:rPr>
              <w:t>5</w:t>
            </w:r>
            <w:r w:rsidR="00EB1FB3">
              <w:rPr>
                <w:webHidden/>
              </w:rPr>
              <w:fldChar w:fldCharType="end"/>
            </w:r>
          </w:hyperlink>
        </w:p>
        <w:p w14:paraId="272AE8AA" w14:textId="77777777" w:rsidR="00EB1FB3" w:rsidRDefault="00BF54B3">
          <w:pPr>
            <w:pStyle w:val="TOC2"/>
            <w:tabs>
              <w:tab w:val="left" w:pos="1100"/>
            </w:tabs>
            <w:rPr>
              <w:rFonts w:asciiTheme="minorHAnsi" w:eastAsiaTheme="minorEastAsia" w:hAnsiTheme="minorHAnsi"/>
              <w:lang w:eastAsia="en-AU"/>
            </w:rPr>
          </w:pPr>
          <w:hyperlink w:anchor="_Toc12958268" w:history="1">
            <w:r w:rsidR="00EB1FB3" w:rsidRPr="00D55553">
              <w:rPr>
                <w:rStyle w:val="Hyperlink"/>
                <w:lang w:eastAsia="ja-JP"/>
              </w:rPr>
              <w:t>1.1</w:t>
            </w:r>
            <w:r w:rsidR="00EB1FB3">
              <w:rPr>
                <w:rFonts w:asciiTheme="minorHAnsi" w:eastAsiaTheme="minorEastAsia" w:hAnsiTheme="minorHAnsi"/>
                <w:lang w:eastAsia="en-AU"/>
              </w:rPr>
              <w:tab/>
            </w:r>
            <w:r w:rsidR="00EB1FB3" w:rsidRPr="00D55553">
              <w:rPr>
                <w:rStyle w:val="Hyperlink"/>
                <w:lang w:eastAsia="ja-JP"/>
              </w:rPr>
              <w:t>Terms of reference</w:t>
            </w:r>
            <w:r w:rsidR="00EB1FB3">
              <w:rPr>
                <w:webHidden/>
              </w:rPr>
              <w:tab/>
            </w:r>
            <w:r w:rsidR="00EB1FB3">
              <w:rPr>
                <w:webHidden/>
              </w:rPr>
              <w:fldChar w:fldCharType="begin"/>
            </w:r>
            <w:r w:rsidR="00EB1FB3">
              <w:rPr>
                <w:webHidden/>
              </w:rPr>
              <w:instrText xml:space="preserve"> PAGEREF _Toc12958268 \h </w:instrText>
            </w:r>
            <w:r w:rsidR="00EB1FB3">
              <w:rPr>
                <w:webHidden/>
              </w:rPr>
            </w:r>
            <w:r w:rsidR="00EB1FB3">
              <w:rPr>
                <w:webHidden/>
              </w:rPr>
              <w:fldChar w:fldCharType="separate"/>
            </w:r>
            <w:r>
              <w:rPr>
                <w:webHidden/>
              </w:rPr>
              <w:t>5</w:t>
            </w:r>
            <w:r w:rsidR="00EB1FB3">
              <w:rPr>
                <w:webHidden/>
              </w:rPr>
              <w:fldChar w:fldCharType="end"/>
            </w:r>
          </w:hyperlink>
        </w:p>
        <w:p w14:paraId="342C7BE7" w14:textId="77777777" w:rsidR="00EB1FB3" w:rsidRDefault="00BF54B3">
          <w:pPr>
            <w:pStyle w:val="TOC2"/>
            <w:tabs>
              <w:tab w:val="left" w:pos="1100"/>
            </w:tabs>
            <w:rPr>
              <w:rFonts w:asciiTheme="minorHAnsi" w:eastAsiaTheme="minorEastAsia" w:hAnsiTheme="minorHAnsi"/>
              <w:lang w:eastAsia="en-AU"/>
            </w:rPr>
          </w:pPr>
          <w:hyperlink w:anchor="_Toc12958269" w:history="1">
            <w:r w:rsidR="00EB1FB3" w:rsidRPr="00D55553">
              <w:rPr>
                <w:rStyle w:val="Hyperlink"/>
                <w:lang w:eastAsia="ja-JP"/>
              </w:rPr>
              <w:t>1.2</w:t>
            </w:r>
            <w:r w:rsidR="00EB1FB3">
              <w:rPr>
                <w:rFonts w:asciiTheme="minorHAnsi" w:eastAsiaTheme="minorEastAsia" w:hAnsiTheme="minorHAnsi"/>
                <w:lang w:eastAsia="en-AU"/>
              </w:rPr>
              <w:tab/>
            </w:r>
            <w:r w:rsidR="00EB1FB3" w:rsidRPr="00D55553">
              <w:rPr>
                <w:rStyle w:val="Hyperlink"/>
                <w:lang w:eastAsia="ja-JP"/>
              </w:rPr>
              <w:t>Review process</w:t>
            </w:r>
            <w:r w:rsidR="00EB1FB3">
              <w:rPr>
                <w:webHidden/>
              </w:rPr>
              <w:tab/>
            </w:r>
            <w:r w:rsidR="00EB1FB3">
              <w:rPr>
                <w:webHidden/>
              </w:rPr>
              <w:fldChar w:fldCharType="begin"/>
            </w:r>
            <w:r w:rsidR="00EB1FB3">
              <w:rPr>
                <w:webHidden/>
              </w:rPr>
              <w:instrText xml:space="preserve"> PAGEREF _Toc12958269 \h </w:instrText>
            </w:r>
            <w:r w:rsidR="00EB1FB3">
              <w:rPr>
                <w:webHidden/>
              </w:rPr>
            </w:r>
            <w:r w:rsidR="00EB1FB3">
              <w:rPr>
                <w:webHidden/>
              </w:rPr>
              <w:fldChar w:fldCharType="separate"/>
            </w:r>
            <w:r>
              <w:rPr>
                <w:webHidden/>
              </w:rPr>
              <w:t>5</w:t>
            </w:r>
            <w:r w:rsidR="00EB1FB3">
              <w:rPr>
                <w:webHidden/>
              </w:rPr>
              <w:fldChar w:fldCharType="end"/>
            </w:r>
          </w:hyperlink>
        </w:p>
        <w:p w14:paraId="299A24F6" w14:textId="77777777" w:rsidR="00EB1FB3" w:rsidRDefault="00BF54B3">
          <w:pPr>
            <w:pStyle w:val="TOC1"/>
            <w:rPr>
              <w:rFonts w:asciiTheme="minorHAnsi" w:eastAsiaTheme="minorEastAsia" w:hAnsiTheme="minorHAnsi"/>
              <w:b w:val="0"/>
              <w:lang w:eastAsia="en-AU"/>
            </w:rPr>
          </w:pPr>
          <w:hyperlink w:anchor="_Toc12958270" w:history="1">
            <w:r w:rsidR="00EB1FB3" w:rsidRPr="00D55553">
              <w:rPr>
                <w:rStyle w:val="Hyperlink"/>
              </w:rPr>
              <w:t>2</w:t>
            </w:r>
            <w:r w:rsidR="00EB1FB3">
              <w:rPr>
                <w:rFonts w:asciiTheme="minorHAnsi" w:eastAsiaTheme="minorEastAsia" w:hAnsiTheme="minorHAnsi"/>
                <w:b w:val="0"/>
                <w:lang w:eastAsia="en-AU"/>
              </w:rPr>
              <w:tab/>
            </w:r>
            <w:r w:rsidR="00EB1FB3" w:rsidRPr="00D55553">
              <w:rPr>
                <w:rStyle w:val="Hyperlink"/>
              </w:rPr>
              <w:t>Background</w:t>
            </w:r>
            <w:r w:rsidR="00EB1FB3">
              <w:rPr>
                <w:webHidden/>
              </w:rPr>
              <w:tab/>
            </w:r>
            <w:r w:rsidR="00EB1FB3">
              <w:rPr>
                <w:webHidden/>
              </w:rPr>
              <w:fldChar w:fldCharType="begin"/>
            </w:r>
            <w:r w:rsidR="00EB1FB3">
              <w:rPr>
                <w:webHidden/>
              </w:rPr>
              <w:instrText xml:space="preserve"> PAGEREF _Toc12958270 \h </w:instrText>
            </w:r>
            <w:r w:rsidR="00EB1FB3">
              <w:rPr>
                <w:webHidden/>
              </w:rPr>
            </w:r>
            <w:r w:rsidR="00EB1FB3">
              <w:rPr>
                <w:webHidden/>
              </w:rPr>
              <w:fldChar w:fldCharType="separate"/>
            </w:r>
            <w:r>
              <w:rPr>
                <w:webHidden/>
              </w:rPr>
              <w:t>6</w:t>
            </w:r>
            <w:r w:rsidR="00EB1FB3">
              <w:rPr>
                <w:webHidden/>
              </w:rPr>
              <w:fldChar w:fldCharType="end"/>
            </w:r>
          </w:hyperlink>
        </w:p>
        <w:p w14:paraId="1988B541" w14:textId="77777777" w:rsidR="00EB1FB3" w:rsidRDefault="00BF54B3">
          <w:pPr>
            <w:pStyle w:val="TOC2"/>
            <w:tabs>
              <w:tab w:val="left" w:pos="1100"/>
            </w:tabs>
            <w:rPr>
              <w:rFonts w:asciiTheme="minorHAnsi" w:eastAsiaTheme="minorEastAsia" w:hAnsiTheme="minorHAnsi"/>
              <w:lang w:eastAsia="en-AU"/>
            </w:rPr>
          </w:pPr>
          <w:hyperlink w:anchor="_Toc12958271" w:history="1">
            <w:r w:rsidR="00EB1FB3" w:rsidRPr="00D55553">
              <w:rPr>
                <w:rStyle w:val="Hyperlink"/>
                <w:lang w:eastAsia="ja-JP"/>
              </w:rPr>
              <w:t>2.1</w:t>
            </w:r>
            <w:r w:rsidR="00EB1FB3">
              <w:rPr>
                <w:rFonts w:asciiTheme="minorHAnsi" w:eastAsiaTheme="minorEastAsia" w:hAnsiTheme="minorHAnsi"/>
                <w:lang w:eastAsia="en-AU"/>
              </w:rPr>
              <w:tab/>
            </w:r>
            <w:r w:rsidR="00EB1FB3" w:rsidRPr="00D55553">
              <w:rPr>
                <w:rStyle w:val="Hyperlink"/>
                <w:lang w:eastAsia="ja-JP"/>
              </w:rPr>
              <w:t>Red meat industry</w:t>
            </w:r>
            <w:r w:rsidR="00EB1FB3">
              <w:rPr>
                <w:webHidden/>
              </w:rPr>
              <w:tab/>
            </w:r>
            <w:r w:rsidR="00EB1FB3">
              <w:rPr>
                <w:webHidden/>
              </w:rPr>
              <w:fldChar w:fldCharType="begin"/>
            </w:r>
            <w:r w:rsidR="00EB1FB3">
              <w:rPr>
                <w:webHidden/>
              </w:rPr>
              <w:instrText xml:space="preserve"> PAGEREF _Toc12958271 \h </w:instrText>
            </w:r>
            <w:r w:rsidR="00EB1FB3">
              <w:rPr>
                <w:webHidden/>
              </w:rPr>
            </w:r>
            <w:r w:rsidR="00EB1FB3">
              <w:rPr>
                <w:webHidden/>
              </w:rPr>
              <w:fldChar w:fldCharType="separate"/>
            </w:r>
            <w:r>
              <w:rPr>
                <w:webHidden/>
              </w:rPr>
              <w:t>6</w:t>
            </w:r>
            <w:r w:rsidR="00EB1FB3">
              <w:rPr>
                <w:webHidden/>
              </w:rPr>
              <w:fldChar w:fldCharType="end"/>
            </w:r>
          </w:hyperlink>
        </w:p>
        <w:p w14:paraId="2C9E47D2" w14:textId="77777777" w:rsidR="00EB1FB3" w:rsidRDefault="00BF54B3">
          <w:pPr>
            <w:pStyle w:val="TOC2"/>
            <w:tabs>
              <w:tab w:val="left" w:pos="1100"/>
            </w:tabs>
            <w:rPr>
              <w:rFonts w:asciiTheme="minorHAnsi" w:eastAsiaTheme="minorEastAsia" w:hAnsiTheme="minorHAnsi"/>
              <w:lang w:eastAsia="en-AU"/>
            </w:rPr>
          </w:pPr>
          <w:hyperlink w:anchor="_Toc12958272" w:history="1">
            <w:r w:rsidR="00EB1FB3" w:rsidRPr="00D55553">
              <w:rPr>
                <w:rStyle w:val="Hyperlink"/>
                <w:lang w:eastAsia="ja-JP"/>
              </w:rPr>
              <w:t>2.2</w:t>
            </w:r>
            <w:r w:rsidR="00EB1FB3">
              <w:rPr>
                <w:rFonts w:asciiTheme="minorHAnsi" w:eastAsiaTheme="minorEastAsia" w:hAnsiTheme="minorHAnsi"/>
                <w:lang w:eastAsia="en-AU"/>
              </w:rPr>
              <w:tab/>
            </w:r>
            <w:r w:rsidR="00EB1FB3" w:rsidRPr="00D55553">
              <w:rPr>
                <w:rStyle w:val="Hyperlink"/>
                <w:lang w:eastAsia="ja-JP"/>
              </w:rPr>
              <w:t>DEXA Technology</w:t>
            </w:r>
            <w:r w:rsidR="00EB1FB3">
              <w:rPr>
                <w:webHidden/>
              </w:rPr>
              <w:tab/>
            </w:r>
            <w:r w:rsidR="00EB1FB3">
              <w:rPr>
                <w:webHidden/>
              </w:rPr>
              <w:fldChar w:fldCharType="begin"/>
            </w:r>
            <w:r w:rsidR="00EB1FB3">
              <w:rPr>
                <w:webHidden/>
              </w:rPr>
              <w:instrText xml:space="preserve"> PAGEREF _Toc12958272 \h </w:instrText>
            </w:r>
            <w:r w:rsidR="00EB1FB3">
              <w:rPr>
                <w:webHidden/>
              </w:rPr>
            </w:r>
            <w:r w:rsidR="00EB1FB3">
              <w:rPr>
                <w:webHidden/>
              </w:rPr>
              <w:fldChar w:fldCharType="separate"/>
            </w:r>
            <w:r>
              <w:rPr>
                <w:webHidden/>
              </w:rPr>
              <w:t>7</w:t>
            </w:r>
            <w:r w:rsidR="00EB1FB3">
              <w:rPr>
                <w:webHidden/>
              </w:rPr>
              <w:fldChar w:fldCharType="end"/>
            </w:r>
          </w:hyperlink>
        </w:p>
        <w:p w14:paraId="4F360886" w14:textId="77777777" w:rsidR="00EB1FB3" w:rsidRDefault="00BF54B3">
          <w:pPr>
            <w:pStyle w:val="TOC2"/>
            <w:tabs>
              <w:tab w:val="left" w:pos="1100"/>
            </w:tabs>
            <w:rPr>
              <w:rFonts w:asciiTheme="minorHAnsi" w:eastAsiaTheme="minorEastAsia" w:hAnsiTheme="minorHAnsi"/>
              <w:lang w:eastAsia="en-AU"/>
            </w:rPr>
          </w:pPr>
          <w:hyperlink w:anchor="_Toc12958273" w:history="1">
            <w:r w:rsidR="00EB1FB3" w:rsidRPr="00D55553">
              <w:rPr>
                <w:rStyle w:val="Hyperlink"/>
                <w:lang w:eastAsia="ja-JP"/>
              </w:rPr>
              <w:t>2.3</w:t>
            </w:r>
            <w:r w:rsidR="00EB1FB3">
              <w:rPr>
                <w:rFonts w:asciiTheme="minorHAnsi" w:eastAsiaTheme="minorEastAsia" w:hAnsiTheme="minorHAnsi"/>
                <w:lang w:eastAsia="en-AU"/>
              </w:rPr>
              <w:tab/>
            </w:r>
            <w:r w:rsidR="00EB1FB3" w:rsidRPr="00D55553">
              <w:rPr>
                <w:rStyle w:val="Hyperlink"/>
                <w:lang w:eastAsia="ja-JP"/>
              </w:rPr>
              <w:t>AUS-MEAT</w:t>
            </w:r>
            <w:r w:rsidR="00EB1FB3">
              <w:rPr>
                <w:webHidden/>
              </w:rPr>
              <w:tab/>
            </w:r>
            <w:r w:rsidR="00EB1FB3">
              <w:rPr>
                <w:webHidden/>
              </w:rPr>
              <w:fldChar w:fldCharType="begin"/>
            </w:r>
            <w:r w:rsidR="00EB1FB3">
              <w:rPr>
                <w:webHidden/>
              </w:rPr>
              <w:instrText xml:space="preserve"> PAGEREF _Toc12958273 \h </w:instrText>
            </w:r>
            <w:r w:rsidR="00EB1FB3">
              <w:rPr>
                <w:webHidden/>
              </w:rPr>
            </w:r>
            <w:r w:rsidR="00EB1FB3">
              <w:rPr>
                <w:webHidden/>
              </w:rPr>
              <w:fldChar w:fldCharType="separate"/>
            </w:r>
            <w:r>
              <w:rPr>
                <w:webHidden/>
              </w:rPr>
              <w:t>8</w:t>
            </w:r>
            <w:r w:rsidR="00EB1FB3">
              <w:rPr>
                <w:webHidden/>
              </w:rPr>
              <w:fldChar w:fldCharType="end"/>
            </w:r>
          </w:hyperlink>
        </w:p>
        <w:p w14:paraId="66F1D039" w14:textId="77777777" w:rsidR="00EB1FB3" w:rsidRDefault="00BF54B3">
          <w:pPr>
            <w:pStyle w:val="TOC1"/>
            <w:rPr>
              <w:rFonts w:asciiTheme="minorHAnsi" w:eastAsiaTheme="minorEastAsia" w:hAnsiTheme="minorHAnsi"/>
              <w:b w:val="0"/>
              <w:lang w:eastAsia="en-AU"/>
            </w:rPr>
          </w:pPr>
          <w:hyperlink w:anchor="_Toc12958274" w:history="1">
            <w:r w:rsidR="00EB1FB3" w:rsidRPr="00D55553">
              <w:rPr>
                <w:rStyle w:val="Hyperlink"/>
              </w:rPr>
              <w:t>3</w:t>
            </w:r>
            <w:r w:rsidR="00EB1FB3">
              <w:rPr>
                <w:rFonts w:asciiTheme="minorHAnsi" w:eastAsiaTheme="minorEastAsia" w:hAnsiTheme="minorHAnsi"/>
                <w:b w:val="0"/>
                <w:lang w:eastAsia="en-AU"/>
              </w:rPr>
              <w:tab/>
            </w:r>
            <w:r w:rsidR="00EB1FB3" w:rsidRPr="00D55553">
              <w:rPr>
                <w:rStyle w:val="Hyperlink"/>
              </w:rPr>
              <w:t>Findings</w:t>
            </w:r>
            <w:r w:rsidR="00EB1FB3">
              <w:rPr>
                <w:webHidden/>
              </w:rPr>
              <w:tab/>
            </w:r>
            <w:r w:rsidR="00EB1FB3">
              <w:rPr>
                <w:webHidden/>
              </w:rPr>
              <w:fldChar w:fldCharType="begin"/>
            </w:r>
            <w:r w:rsidR="00EB1FB3">
              <w:rPr>
                <w:webHidden/>
              </w:rPr>
              <w:instrText xml:space="preserve"> PAGEREF _Toc12958274 \h </w:instrText>
            </w:r>
            <w:r w:rsidR="00EB1FB3">
              <w:rPr>
                <w:webHidden/>
              </w:rPr>
            </w:r>
            <w:r w:rsidR="00EB1FB3">
              <w:rPr>
                <w:webHidden/>
              </w:rPr>
              <w:fldChar w:fldCharType="separate"/>
            </w:r>
            <w:r>
              <w:rPr>
                <w:webHidden/>
              </w:rPr>
              <w:t>10</w:t>
            </w:r>
            <w:r w:rsidR="00EB1FB3">
              <w:rPr>
                <w:webHidden/>
              </w:rPr>
              <w:fldChar w:fldCharType="end"/>
            </w:r>
          </w:hyperlink>
        </w:p>
        <w:p w14:paraId="65CE08DA" w14:textId="77777777" w:rsidR="00EB1FB3" w:rsidRDefault="00BF54B3">
          <w:pPr>
            <w:pStyle w:val="TOC2"/>
            <w:tabs>
              <w:tab w:val="left" w:pos="1100"/>
            </w:tabs>
            <w:rPr>
              <w:rFonts w:asciiTheme="minorHAnsi" w:eastAsiaTheme="minorEastAsia" w:hAnsiTheme="minorHAnsi"/>
              <w:lang w:eastAsia="en-AU"/>
            </w:rPr>
          </w:pPr>
          <w:hyperlink w:anchor="_Toc12958275" w:history="1">
            <w:r w:rsidR="00EB1FB3" w:rsidRPr="00D55553">
              <w:rPr>
                <w:rStyle w:val="Hyperlink"/>
                <w:lang w:eastAsia="ja-JP"/>
              </w:rPr>
              <w:t>3.1</w:t>
            </w:r>
            <w:r w:rsidR="00EB1FB3">
              <w:rPr>
                <w:rFonts w:asciiTheme="minorHAnsi" w:eastAsiaTheme="minorEastAsia" w:hAnsiTheme="minorHAnsi"/>
                <w:lang w:eastAsia="en-AU"/>
              </w:rPr>
              <w:tab/>
            </w:r>
            <w:r w:rsidR="00EB1FB3" w:rsidRPr="00D55553">
              <w:rPr>
                <w:rStyle w:val="Hyperlink"/>
                <w:lang w:eastAsia="ja-JP"/>
              </w:rPr>
              <w:t>Skills and capabilities</w:t>
            </w:r>
            <w:r w:rsidR="00EB1FB3">
              <w:rPr>
                <w:webHidden/>
              </w:rPr>
              <w:tab/>
            </w:r>
            <w:r w:rsidR="00EB1FB3">
              <w:rPr>
                <w:webHidden/>
              </w:rPr>
              <w:fldChar w:fldCharType="begin"/>
            </w:r>
            <w:r w:rsidR="00EB1FB3">
              <w:rPr>
                <w:webHidden/>
              </w:rPr>
              <w:instrText xml:space="preserve"> PAGEREF _Toc12958275 \h </w:instrText>
            </w:r>
            <w:r w:rsidR="00EB1FB3">
              <w:rPr>
                <w:webHidden/>
              </w:rPr>
            </w:r>
            <w:r w:rsidR="00EB1FB3">
              <w:rPr>
                <w:webHidden/>
              </w:rPr>
              <w:fldChar w:fldCharType="separate"/>
            </w:r>
            <w:r>
              <w:rPr>
                <w:webHidden/>
              </w:rPr>
              <w:t>10</w:t>
            </w:r>
            <w:r w:rsidR="00EB1FB3">
              <w:rPr>
                <w:webHidden/>
              </w:rPr>
              <w:fldChar w:fldCharType="end"/>
            </w:r>
          </w:hyperlink>
        </w:p>
        <w:p w14:paraId="2C366D7C" w14:textId="77777777" w:rsidR="00EB1FB3" w:rsidRDefault="00BF54B3">
          <w:pPr>
            <w:pStyle w:val="TOC2"/>
            <w:tabs>
              <w:tab w:val="left" w:pos="1100"/>
            </w:tabs>
            <w:rPr>
              <w:rFonts w:asciiTheme="minorHAnsi" w:eastAsiaTheme="minorEastAsia" w:hAnsiTheme="minorHAnsi"/>
              <w:lang w:eastAsia="en-AU"/>
            </w:rPr>
          </w:pPr>
          <w:hyperlink w:anchor="_Toc12958276" w:history="1">
            <w:r w:rsidR="00EB1FB3" w:rsidRPr="00D55553">
              <w:rPr>
                <w:rStyle w:val="Hyperlink"/>
                <w:lang w:eastAsia="ja-JP"/>
              </w:rPr>
              <w:t>3.2</w:t>
            </w:r>
            <w:r w:rsidR="00EB1FB3">
              <w:rPr>
                <w:rFonts w:asciiTheme="minorHAnsi" w:eastAsiaTheme="minorEastAsia" w:hAnsiTheme="minorHAnsi"/>
                <w:lang w:eastAsia="en-AU"/>
              </w:rPr>
              <w:tab/>
            </w:r>
            <w:r w:rsidR="00EB1FB3" w:rsidRPr="00D55553">
              <w:rPr>
                <w:rStyle w:val="Hyperlink"/>
                <w:lang w:eastAsia="ja-JP"/>
              </w:rPr>
              <w:t>Assessment of AUS-MEAT</w:t>
            </w:r>
            <w:r w:rsidR="00EB1FB3">
              <w:rPr>
                <w:webHidden/>
              </w:rPr>
              <w:tab/>
            </w:r>
            <w:r w:rsidR="00EB1FB3">
              <w:rPr>
                <w:webHidden/>
              </w:rPr>
              <w:fldChar w:fldCharType="begin"/>
            </w:r>
            <w:r w:rsidR="00EB1FB3">
              <w:rPr>
                <w:webHidden/>
              </w:rPr>
              <w:instrText xml:space="preserve"> PAGEREF _Toc12958276 \h </w:instrText>
            </w:r>
            <w:r w:rsidR="00EB1FB3">
              <w:rPr>
                <w:webHidden/>
              </w:rPr>
            </w:r>
            <w:r w:rsidR="00EB1FB3">
              <w:rPr>
                <w:webHidden/>
              </w:rPr>
              <w:fldChar w:fldCharType="separate"/>
            </w:r>
            <w:r>
              <w:rPr>
                <w:webHidden/>
              </w:rPr>
              <w:t>13</w:t>
            </w:r>
            <w:r w:rsidR="00EB1FB3">
              <w:rPr>
                <w:webHidden/>
              </w:rPr>
              <w:fldChar w:fldCharType="end"/>
            </w:r>
          </w:hyperlink>
        </w:p>
        <w:p w14:paraId="3F13032A" w14:textId="77777777" w:rsidR="00EB1FB3" w:rsidRDefault="00BF54B3">
          <w:pPr>
            <w:pStyle w:val="TOC1"/>
            <w:rPr>
              <w:rFonts w:asciiTheme="minorHAnsi" w:eastAsiaTheme="minorEastAsia" w:hAnsiTheme="minorHAnsi"/>
              <w:b w:val="0"/>
              <w:lang w:eastAsia="en-AU"/>
            </w:rPr>
          </w:pPr>
          <w:hyperlink w:anchor="_Toc12958277" w:history="1">
            <w:r w:rsidR="00EB1FB3" w:rsidRPr="00D55553">
              <w:rPr>
                <w:rStyle w:val="Hyperlink"/>
              </w:rPr>
              <w:t>Appendix A: Targeted stakeholder consultation register</w:t>
            </w:r>
            <w:r w:rsidR="00EB1FB3">
              <w:rPr>
                <w:webHidden/>
              </w:rPr>
              <w:tab/>
            </w:r>
            <w:r w:rsidR="00EB1FB3">
              <w:rPr>
                <w:webHidden/>
              </w:rPr>
              <w:fldChar w:fldCharType="begin"/>
            </w:r>
            <w:r w:rsidR="00EB1FB3">
              <w:rPr>
                <w:webHidden/>
              </w:rPr>
              <w:instrText xml:space="preserve"> PAGEREF _Toc12958277 \h </w:instrText>
            </w:r>
            <w:r w:rsidR="00EB1FB3">
              <w:rPr>
                <w:webHidden/>
              </w:rPr>
            </w:r>
            <w:r w:rsidR="00EB1FB3">
              <w:rPr>
                <w:webHidden/>
              </w:rPr>
              <w:fldChar w:fldCharType="separate"/>
            </w:r>
            <w:r>
              <w:rPr>
                <w:webHidden/>
              </w:rPr>
              <w:t>18</w:t>
            </w:r>
            <w:r w:rsidR="00EB1FB3">
              <w:rPr>
                <w:webHidden/>
              </w:rPr>
              <w:fldChar w:fldCharType="end"/>
            </w:r>
          </w:hyperlink>
        </w:p>
        <w:p w14:paraId="576D4948" w14:textId="77777777" w:rsidR="00EB1FB3" w:rsidRDefault="00BF54B3">
          <w:pPr>
            <w:pStyle w:val="TOC1"/>
            <w:rPr>
              <w:rFonts w:asciiTheme="minorHAnsi" w:eastAsiaTheme="minorEastAsia" w:hAnsiTheme="minorHAnsi"/>
              <w:b w:val="0"/>
              <w:lang w:eastAsia="en-AU"/>
            </w:rPr>
          </w:pPr>
          <w:hyperlink w:anchor="_Toc12958278" w:history="1">
            <w:r w:rsidR="00EB1FB3" w:rsidRPr="00D55553">
              <w:rPr>
                <w:rStyle w:val="Hyperlink"/>
              </w:rPr>
              <w:t>Appendix B: Public consultation summary</w:t>
            </w:r>
            <w:r w:rsidR="00EB1FB3">
              <w:rPr>
                <w:webHidden/>
              </w:rPr>
              <w:tab/>
            </w:r>
            <w:r w:rsidR="00EB1FB3">
              <w:rPr>
                <w:webHidden/>
              </w:rPr>
              <w:fldChar w:fldCharType="begin"/>
            </w:r>
            <w:r w:rsidR="00EB1FB3">
              <w:rPr>
                <w:webHidden/>
              </w:rPr>
              <w:instrText xml:space="preserve"> PAGEREF _Toc12958278 \h </w:instrText>
            </w:r>
            <w:r w:rsidR="00EB1FB3">
              <w:rPr>
                <w:webHidden/>
              </w:rPr>
            </w:r>
            <w:r w:rsidR="00EB1FB3">
              <w:rPr>
                <w:webHidden/>
              </w:rPr>
              <w:fldChar w:fldCharType="separate"/>
            </w:r>
            <w:r>
              <w:rPr>
                <w:webHidden/>
              </w:rPr>
              <w:t>19</w:t>
            </w:r>
            <w:r w:rsidR="00EB1FB3">
              <w:rPr>
                <w:webHidden/>
              </w:rPr>
              <w:fldChar w:fldCharType="end"/>
            </w:r>
          </w:hyperlink>
        </w:p>
        <w:p w14:paraId="16A145FF" w14:textId="77777777" w:rsidR="00EB1FB3" w:rsidRDefault="00BF54B3">
          <w:pPr>
            <w:pStyle w:val="TOC2"/>
            <w:rPr>
              <w:rFonts w:asciiTheme="minorHAnsi" w:eastAsiaTheme="minorEastAsia" w:hAnsiTheme="minorHAnsi"/>
              <w:lang w:eastAsia="en-AU"/>
            </w:rPr>
          </w:pPr>
          <w:hyperlink w:anchor="_Toc12958279" w:history="1">
            <w:r w:rsidR="00EB1FB3" w:rsidRPr="00D55553">
              <w:rPr>
                <w:rStyle w:val="Hyperlink"/>
                <w:lang w:eastAsia="ja-JP"/>
              </w:rPr>
              <w:t>Operational insights</w:t>
            </w:r>
            <w:r w:rsidR="00EB1FB3">
              <w:rPr>
                <w:webHidden/>
              </w:rPr>
              <w:tab/>
            </w:r>
            <w:r w:rsidR="00EB1FB3">
              <w:rPr>
                <w:webHidden/>
              </w:rPr>
              <w:fldChar w:fldCharType="begin"/>
            </w:r>
            <w:r w:rsidR="00EB1FB3">
              <w:rPr>
                <w:webHidden/>
              </w:rPr>
              <w:instrText xml:space="preserve"> PAGEREF _Toc12958279 \h </w:instrText>
            </w:r>
            <w:r w:rsidR="00EB1FB3">
              <w:rPr>
                <w:webHidden/>
              </w:rPr>
            </w:r>
            <w:r w:rsidR="00EB1FB3">
              <w:rPr>
                <w:webHidden/>
              </w:rPr>
              <w:fldChar w:fldCharType="separate"/>
            </w:r>
            <w:r>
              <w:rPr>
                <w:webHidden/>
              </w:rPr>
              <w:t>19</w:t>
            </w:r>
            <w:r w:rsidR="00EB1FB3">
              <w:rPr>
                <w:webHidden/>
              </w:rPr>
              <w:fldChar w:fldCharType="end"/>
            </w:r>
          </w:hyperlink>
        </w:p>
        <w:p w14:paraId="4406FE42" w14:textId="77777777" w:rsidR="00EB1FB3" w:rsidRDefault="00BF54B3">
          <w:pPr>
            <w:pStyle w:val="TOC2"/>
            <w:rPr>
              <w:rFonts w:asciiTheme="minorHAnsi" w:eastAsiaTheme="minorEastAsia" w:hAnsiTheme="minorHAnsi"/>
              <w:lang w:eastAsia="en-AU"/>
            </w:rPr>
          </w:pPr>
          <w:hyperlink w:anchor="_Toc12958280" w:history="1">
            <w:r w:rsidR="00EB1FB3" w:rsidRPr="00D55553">
              <w:rPr>
                <w:rStyle w:val="Hyperlink"/>
                <w:lang w:eastAsia="ja-JP"/>
              </w:rPr>
              <w:t>Regulatory insights</w:t>
            </w:r>
            <w:r w:rsidR="00EB1FB3">
              <w:rPr>
                <w:webHidden/>
              </w:rPr>
              <w:tab/>
            </w:r>
            <w:r w:rsidR="00EB1FB3">
              <w:rPr>
                <w:webHidden/>
              </w:rPr>
              <w:fldChar w:fldCharType="begin"/>
            </w:r>
            <w:r w:rsidR="00EB1FB3">
              <w:rPr>
                <w:webHidden/>
              </w:rPr>
              <w:instrText xml:space="preserve"> PAGEREF _Toc12958280 \h </w:instrText>
            </w:r>
            <w:r w:rsidR="00EB1FB3">
              <w:rPr>
                <w:webHidden/>
              </w:rPr>
            </w:r>
            <w:r w:rsidR="00EB1FB3">
              <w:rPr>
                <w:webHidden/>
              </w:rPr>
              <w:fldChar w:fldCharType="separate"/>
            </w:r>
            <w:r>
              <w:rPr>
                <w:webHidden/>
              </w:rPr>
              <w:t>19</w:t>
            </w:r>
            <w:r w:rsidR="00EB1FB3">
              <w:rPr>
                <w:webHidden/>
              </w:rPr>
              <w:fldChar w:fldCharType="end"/>
            </w:r>
          </w:hyperlink>
        </w:p>
        <w:p w14:paraId="5B5513C6" w14:textId="77777777" w:rsidR="00EB1FB3" w:rsidRDefault="00BF54B3">
          <w:pPr>
            <w:pStyle w:val="TOC2"/>
            <w:rPr>
              <w:rFonts w:asciiTheme="minorHAnsi" w:eastAsiaTheme="minorEastAsia" w:hAnsiTheme="minorHAnsi"/>
              <w:lang w:eastAsia="en-AU"/>
            </w:rPr>
          </w:pPr>
          <w:hyperlink w:anchor="_Toc12958281" w:history="1">
            <w:r w:rsidR="00EB1FB3" w:rsidRPr="00D55553">
              <w:rPr>
                <w:rStyle w:val="Hyperlink"/>
                <w:lang w:eastAsia="ja-JP"/>
              </w:rPr>
              <w:t>Implementation insights</w:t>
            </w:r>
            <w:r w:rsidR="00EB1FB3">
              <w:rPr>
                <w:webHidden/>
              </w:rPr>
              <w:tab/>
            </w:r>
            <w:r w:rsidR="00EB1FB3">
              <w:rPr>
                <w:webHidden/>
              </w:rPr>
              <w:fldChar w:fldCharType="begin"/>
            </w:r>
            <w:r w:rsidR="00EB1FB3">
              <w:rPr>
                <w:webHidden/>
              </w:rPr>
              <w:instrText xml:space="preserve"> PAGEREF _Toc12958281 \h </w:instrText>
            </w:r>
            <w:r w:rsidR="00EB1FB3">
              <w:rPr>
                <w:webHidden/>
              </w:rPr>
            </w:r>
            <w:r w:rsidR="00EB1FB3">
              <w:rPr>
                <w:webHidden/>
              </w:rPr>
              <w:fldChar w:fldCharType="separate"/>
            </w:r>
            <w:r>
              <w:rPr>
                <w:webHidden/>
              </w:rPr>
              <w:t>20</w:t>
            </w:r>
            <w:r w:rsidR="00EB1FB3">
              <w:rPr>
                <w:webHidden/>
              </w:rPr>
              <w:fldChar w:fldCharType="end"/>
            </w:r>
          </w:hyperlink>
        </w:p>
        <w:p w14:paraId="69E47F0D" w14:textId="77777777" w:rsidR="00EB1FB3" w:rsidRDefault="00BF54B3">
          <w:pPr>
            <w:pStyle w:val="TOC2"/>
            <w:rPr>
              <w:rFonts w:asciiTheme="minorHAnsi" w:eastAsiaTheme="minorEastAsia" w:hAnsiTheme="minorHAnsi"/>
              <w:lang w:eastAsia="en-AU"/>
            </w:rPr>
          </w:pPr>
          <w:hyperlink w:anchor="_Toc12958282" w:history="1">
            <w:r w:rsidR="00EB1FB3" w:rsidRPr="00D55553">
              <w:rPr>
                <w:rStyle w:val="Hyperlink"/>
              </w:rPr>
              <w:t>Skills and capabilities insights</w:t>
            </w:r>
            <w:r w:rsidR="00EB1FB3">
              <w:rPr>
                <w:webHidden/>
              </w:rPr>
              <w:tab/>
            </w:r>
            <w:r w:rsidR="00EB1FB3">
              <w:rPr>
                <w:webHidden/>
              </w:rPr>
              <w:fldChar w:fldCharType="begin"/>
            </w:r>
            <w:r w:rsidR="00EB1FB3">
              <w:rPr>
                <w:webHidden/>
              </w:rPr>
              <w:instrText xml:space="preserve"> PAGEREF _Toc12958282 \h </w:instrText>
            </w:r>
            <w:r w:rsidR="00EB1FB3">
              <w:rPr>
                <w:webHidden/>
              </w:rPr>
            </w:r>
            <w:r w:rsidR="00EB1FB3">
              <w:rPr>
                <w:webHidden/>
              </w:rPr>
              <w:fldChar w:fldCharType="separate"/>
            </w:r>
            <w:r>
              <w:rPr>
                <w:webHidden/>
              </w:rPr>
              <w:t>20</w:t>
            </w:r>
            <w:r w:rsidR="00EB1FB3">
              <w:rPr>
                <w:webHidden/>
              </w:rPr>
              <w:fldChar w:fldCharType="end"/>
            </w:r>
          </w:hyperlink>
        </w:p>
        <w:p w14:paraId="7DEAF3AE" w14:textId="77777777" w:rsidR="00EB1FB3" w:rsidRDefault="00BF54B3">
          <w:pPr>
            <w:pStyle w:val="TOC1"/>
            <w:rPr>
              <w:rFonts w:asciiTheme="minorHAnsi" w:eastAsiaTheme="minorEastAsia" w:hAnsiTheme="minorHAnsi"/>
              <w:b w:val="0"/>
              <w:lang w:eastAsia="en-AU"/>
            </w:rPr>
          </w:pPr>
          <w:hyperlink w:anchor="_Toc12958283" w:history="1">
            <w:r w:rsidR="00EB1FB3" w:rsidRPr="00D55553">
              <w:rPr>
                <w:rStyle w:val="Hyperlink"/>
              </w:rPr>
              <w:t>Glossary</w:t>
            </w:r>
            <w:r w:rsidR="00EB1FB3">
              <w:rPr>
                <w:webHidden/>
              </w:rPr>
              <w:tab/>
            </w:r>
            <w:r w:rsidR="00EB1FB3">
              <w:rPr>
                <w:webHidden/>
              </w:rPr>
              <w:fldChar w:fldCharType="begin"/>
            </w:r>
            <w:r w:rsidR="00EB1FB3">
              <w:rPr>
                <w:webHidden/>
              </w:rPr>
              <w:instrText xml:space="preserve"> PAGEREF _Toc12958283 \h </w:instrText>
            </w:r>
            <w:r w:rsidR="00EB1FB3">
              <w:rPr>
                <w:webHidden/>
              </w:rPr>
            </w:r>
            <w:r w:rsidR="00EB1FB3">
              <w:rPr>
                <w:webHidden/>
              </w:rPr>
              <w:fldChar w:fldCharType="separate"/>
            </w:r>
            <w:r>
              <w:rPr>
                <w:webHidden/>
              </w:rPr>
              <w:t>21</w:t>
            </w:r>
            <w:r w:rsidR="00EB1FB3">
              <w:rPr>
                <w:webHidden/>
              </w:rPr>
              <w:fldChar w:fldCharType="end"/>
            </w:r>
          </w:hyperlink>
        </w:p>
        <w:p w14:paraId="399351DF" w14:textId="77777777" w:rsidR="00EB1FB3" w:rsidRDefault="00BF54B3">
          <w:pPr>
            <w:pStyle w:val="TOC1"/>
            <w:rPr>
              <w:rFonts w:asciiTheme="minorHAnsi" w:eastAsiaTheme="minorEastAsia" w:hAnsiTheme="minorHAnsi"/>
              <w:b w:val="0"/>
              <w:lang w:eastAsia="en-AU"/>
            </w:rPr>
          </w:pPr>
          <w:hyperlink w:anchor="_Toc12958284" w:history="1">
            <w:r w:rsidR="00EB1FB3" w:rsidRPr="00D55553">
              <w:rPr>
                <w:rStyle w:val="Hyperlink"/>
              </w:rPr>
              <w:t>References</w:t>
            </w:r>
            <w:r w:rsidR="00EB1FB3">
              <w:rPr>
                <w:webHidden/>
              </w:rPr>
              <w:tab/>
            </w:r>
            <w:r w:rsidR="00EB1FB3">
              <w:rPr>
                <w:webHidden/>
              </w:rPr>
              <w:fldChar w:fldCharType="begin"/>
            </w:r>
            <w:r w:rsidR="00EB1FB3">
              <w:rPr>
                <w:webHidden/>
              </w:rPr>
              <w:instrText xml:space="preserve"> PAGEREF _Toc12958284 \h </w:instrText>
            </w:r>
            <w:r w:rsidR="00EB1FB3">
              <w:rPr>
                <w:webHidden/>
              </w:rPr>
            </w:r>
            <w:r w:rsidR="00EB1FB3">
              <w:rPr>
                <w:webHidden/>
              </w:rPr>
              <w:fldChar w:fldCharType="separate"/>
            </w:r>
            <w:r>
              <w:rPr>
                <w:webHidden/>
              </w:rPr>
              <w:t>23</w:t>
            </w:r>
            <w:r w:rsidR="00EB1FB3">
              <w:rPr>
                <w:webHidden/>
              </w:rPr>
              <w:fldChar w:fldCharType="end"/>
            </w:r>
          </w:hyperlink>
        </w:p>
        <w:p w14:paraId="57DD6CB6" w14:textId="77777777" w:rsidR="0056240A" w:rsidRDefault="007B7971">
          <w:r>
            <w:rPr>
              <w:b/>
              <w:noProof/>
            </w:rPr>
            <w:fldChar w:fldCharType="end"/>
          </w:r>
        </w:p>
      </w:sdtContent>
    </w:sdt>
    <w:p w14:paraId="64A06219" w14:textId="77777777" w:rsidR="0056240A" w:rsidRDefault="007B7971">
      <w:pPr>
        <w:pStyle w:val="TOCHeading2"/>
        <w:rPr>
          <w:rStyle w:val="Strong"/>
        </w:rPr>
      </w:pPr>
      <w:r>
        <w:rPr>
          <w:rStyle w:val="Strong"/>
        </w:rPr>
        <w:t>Tables</w:t>
      </w:r>
    </w:p>
    <w:p w14:paraId="77E04D11" w14:textId="77777777" w:rsidR="00F95E9F" w:rsidRDefault="007B7971">
      <w:pPr>
        <w:pStyle w:val="TableofFigures"/>
        <w:tabs>
          <w:tab w:val="right" w:leader="dot" w:pos="9060"/>
        </w:tabs>
        <w:rPr>
          <w:rFonts w:asciiTheme="minorHAnsi" w:eastAsiaTheme="minorEastAsia" w:hAnsiTheme="minorHAnsi"/>
          <w:noProof/>
          <w:lang w:eastAsia="en-AU"/>
        </w:rPr>
      </w:pPr>
      <w:r>
        <w:rPr>
          <w:rStyle w:val="Hyperlink"/>
        </w:rPr>
        <w:fldChar w:fldCharType="begin"/>
      </w:r>
      <w:r>
        <w:rPr>
          <w:rStyle w:val="Hyperlink"/>
          <w:noProof/>
        </w:rPr>
        <w:instrText xml:space="preserve"> TOC \h \z \c "Table" </w:instrText>
      </w:r>
      <w:r>
        <w:rPr>
          <w:rStyle w:val="Hyperlink"/>
        </w:rPr>
        <w:fldChar w:fldCharType="separate"/>
      </w:r>
      <w:hyperlink w:anchor="_Toc5289872" w:history="1">
        <w:r w:rsidRPr="00D301CF">
          <w:rPr>
            <w:rStyle w:val="Hyperlink"/>
            <w:noProof/>
          </w:rPr>
          <w:t>Table 1 Summary of Findings</w:t>
        </w:r>
        <w:r>
          <w:rPr>
            <w:noProof/>
            <w:webHidden/>
          </w:rPr>
          <w:tab/>
        </w:r>
        <w:r>
          <w:rPr>
            <w:noProof/>
            <w:webHidden/>
          </w:rPr>
          <w:fldChar w:fldCharType="begin"/>
        </w:r>
        <w:r>
          <w:rPr>
            <w:noProof/>
            <w:webHidden/>
          </w:rPr>
          <w:instrText xml:space="preserve"> PAGEREF _Toc5289872 \h </w:instrText>
        </w:r>
        <w:r>
          <w:rPr>
            <w:noProof/>
            <w:webHidden/>
          </w:rPr>
        </w:r>
        <w:r>
          <w:rPr>
            <w:noProof/>
            <w:webHidden/>
          </w:rPr>
          <w:fldChar w:fldCharType="separate"/>
        </w:r>
        <w:r w:rsidR="00BF54B3">
          <w:rPr>
            <w:noProof/>
            <w:webHidden/>
          </w:rPr>
          <w:t>16</w:t>
        </w:r>
        <w:r>
          <w:rPr>
            <w:noProof/>
            <w:webHidden/>
          </w:rPr>
          <w:fldChar w:fldCharType="end"/>
        </w:r>
      </w:hyperlink>
    </w:p>
    <w:p w14:paraId="72F98C45" w14:textId="77777777" w:rsidR="0056240A" w:rsidRDefault="007B7971" w:rsidP="00995F6E">
      <w:pPr>
        <w:pStyle w:val="TableofFigures"/>
        <w:tabs>
          <w:tab w:val="right" w:leader="dot" w:pos="9060"/>
        </w:tabs>
      </w:pPr>
      <w:r>
        <w:rPr>
          <w:noProof/>
        </w:rPr>
        <w:fldChar w:fldCharType="end"/>
      </w:r>
    </w:p>
    <w:p w14:paraId="6A872016" w14:textId="6430AF2B" w:rsidR="0056240A" w:rsidRDefault="00AB19F3">
      <w:pPr>
        <w:pStyle w:val="Heading2"/>
        <w:numPr>
          <w:ilvl w:val="0"/>
          <w:numId w:val="0"/>
        </w:numPr>
        <w:ind w:left="709" w:hanging="709"/>
      </w:pPr>
      <w:bookmarkStart w:id="1" w:name="_Toc430782149"/>
      <w:bookmarkStart w:id="2" w:name="_Toc12958266"/>
      <w:r>
        <w:lastRenderedPageBreak/>
        <w:t>Summary</w:t>
      </w:r>
      <w:bookmarkEnd w:id="1"/>
      <w:bookmarkEnd w:id="2"/>
    </w:p>
    <w:p w14:paraId="5CE6D0EB" w14:textId="6568AF46" w:rsidR="002746D6" w:rsidRDefault="007B7971" w:rsidP="00E525A4">
      <w:r w:rsidRPr="00E525A4">
        <w:t xml:space="preserve">The review into the operations and capability of AUS-MEAT has been undertaken in line with </w:t>
      </w:r>
      <w:r w:rsidR="002F1717">
        <w:t>Recommendation 3</w:t>
      </w:r>
      <w:r w:rsidRPr="00E525A4">
        <w:t xml:space="preserve"> of the Senate Standing Committees on Rural and Regional Affairs and Transport report on the effect of market consolidation on the red meat processing sector</w:t>
      </w:r>
      <w:r w:rsidR="000A0894">
        <w:t xml:space="preserve">, released on </w:t>
      </w:r>
      <w:r w:rsidR="000A0894" w:rsidRPr="000A0894">
        <w:t>12 September 2017</w:t>
      </w:r>
      <w:r w:rsidRPr="00E525A4">
        <w:t>.</w:t>
      </w:r>
    </w:p>
    <w:p w14:paraId="1DE9BAEA" w14:textId="555A0C76" w:rsidR="001D095E" w:rsidRDefault="007B7971" w:rsidP="00E525A4">
      <w:r w:rsidRPr="00E525A4">
        <w:t xml:space="preserve">The report recommended that the </w:t>
      </w:r>
      <w:r w:rsidR="006B7CDA">
        <w:t xml:space="preserve">Department of Agriculture </w:t>
      </w:r>
      <w:r w:rsidRPr="00E525A4">
        <w:t>conduct a review into the operations and capability of AUS-MEAT to determine whether it is the most appropriate body to oversight the installation, inspection, calibration, replacement and quality assurance auditing processes of the new DEXA technology. In undertaking the review the department consulted with a wide range of stakeholders across the red meat supply chain.</w:t>
      </w:r>
    </w:p>
    <w:p w14:paraId="2AB459EF" w14:textId="77777777" w:rsidR="00E525A4" w:rsidRPr="00E525A4" w:rsidRDefault="007B7971" w:rsidP="00E525A4">
      <w:r w:rsidRPr="00E525A4">
        <w:t>The review identified three different roles associated with overseeing the installation, inspection, calibration, replacement and quality assurance auditing processes of the DEXA technology:</w:t>
      </w:r>
    </w:p>
    <w:p w14:paraId="63EADEC5" w14:textId="77777777" w:rsidR="00E525A4" w:rsidRPr="00E525A4" w:rsidRDefault="002746D6" w:rsidP="007B7971">
      <w:pPr>
        <w:pStyle w:val="ListBullet"/>
      </w:pPr>
      <w:r w:rsidRPr="00E525A4">
        <w:t>commercial service provider</w:t>
      </w:r>
    </w:p>
    <w:p w14:paraId="44710734" w14:textId="77777777" w:rsidR="001D095E" w:rsidRDefault="001D095E" w:rsidP="007B7971">
      <w:pPr>
        <w:pStyle w:val="ListBullet"/>
      </w:pPr>
      <w:r>
        <w:t>general manager</w:t>
      </w:r>
    </w:p>
    <w:p w14:paraId="3F2E355A" w14:textId="77777777" w:rsidR="00E525A4" w:rsidRPr="00E525A4" w:rsidRDefault="002746D6" w:rsidP="007B7971">
      <w:pPr>
        <w:pStyle w:val="ListBullet"/>
      </w:pPr>
      <w:r w:rsidRPr="00E525A4">
        <w:t>quality assurance auditor.</w:t>
      </w:r>
    </w:p>
    <w:p w14:paraId="6AC180E7" w14:textId="7E6B65F8" w:rsidR="00E525A4" w:rsidRPr="00E525A4" w:rsidRDefault="007B7971" w:rsidP="00E525A4">
      <w:r w:rsidRPr="00E525A4">
        <w:t xml:space="preserve">The review concluded that AUS-MEAT has, or would be able to acquire, the skills and capabilities required to undertake the roles of </w:t>
      </w:r>
      <w:r w:rsidR="001D095E">
        <w:t>general manager</w:t>
      </w:r>
      <w:r w:rsidRPr="00E525A4">
        <w:t xml:space="preserve"> and </w:t>
      </w:r>
      <w:r w:rsidR="002E7877" w:rsidRPr="00E525A4">
        <w:t xml:space="preserve">quality assurance auditor </w:t>
      </w:r>
      <w:r w:rsidRPr="00E525A4">
        <w:t>which encompass overseeing the inspection, calibration and quality assurance auditing processes of the DEXA technology. It</w:t>
      </w:r>
      <w:r w:rsidR="008C4DD5">
        <w:t xml:space="preserve"> further</w:t>
      </w:r>
      <w:r w:rsidRPr="00E525A4">
        <w:t xml:space="preserve"> conclude</w:t>
      </w:r>
      <w:r w:rsidR="002E7877">
        <w:t>d</w:t>
      </w:r>
      <w:r w:rsidRPr="00E525A4">
        <w:t xml:space="preserve"> that AUS-MEAT is unlikely to acquire, the skills and capabilities required for the </w:t>
      </w:r>
      <w:r w:rsidR="00CE772C">
        <w:t>commercial service provider</w:t>
      </w:r>
      <w:r w:rsidRPr="00E525A4">
        <w:t xml:space="preserve"> role which encompasses overseeing the installation and replacement of DEXA technology.</w:t>
      </w:r>
    </w:p>
    <w:p w14:paraId="1C7B1B80" w14:textId="7933DB25" w:rsidR="00E525A4" w:rsidRDefault="007B7971" w:rsidP="00E525A4">
      <w:r w:rsidRPr="00E525A4">
        <w:t xml:space="preserve">Outcomes of the review should not be taken as government endorsement of AUS-MEAT to </w:t>
      </w:r>
      <w:r w:rsidR="00466A3A">
        <w:t>undertake the roles identified.</w:t>
      </w:r>
      <w:r w:rsidRPr="00E525A4">
        <w:t xml:space="preserve"> It is likely that other organisations also possess the necessary skills and capabilities to </w:t>
      </w:r>
      <w:r w:rsidR="002E7877">
        <w:t>do this</w:t>
      </w:r>
      <w:r w:rsidRPr="00E525A4">
        <w:t>. It is appropriate for industry to determine the appropriate body to undertake the role</w:t>
      </w:r>
      <w:r w:rsidR="008C4DD5">
        <w:t>s</w:t>
      </w:r>
      <w:r w:rsidRPr="00E525A4">
        <w:t>.</w:t>
      </w:r>
    </w:p>
    <w:p w14:paraId="3753859B" w14:textId="77777777" w:rsidR="00E525A4" w:rsidRDefault="007B7971" w:rsidP="00E525A4">
      <w:pPr>
        <w:pStyle w:val="Heading2"/>
      </w:pPr>
      <w:bookmarkStart w:id="3" w:name="_Toc12958267"/>
      <w:bookmarkStart w:id="4" w:name="_Toc430782150"/>
      <w:r w:rsidRPr="00E525A4">
        <w:lastRenderedPageBreak/>
        <w:t>Context</w:t>
      </w:r>
      <w:bookmarkEnd w:id="3"/>
    </w:p>
    <w:p w14:paraId="1A3955CA" w14:textId="3C82F1A9" w:rsidR="00E525A4" w:rsidRDefault="007B7971" w:rsidP="00E525A4">
      <w:pPr>
        <w:rPr>
          <w:lang w:eastAsia="ja-JP"/>
        </w:rPr>
      </w:pPr>
      <w:r w:rsidRPr="00E525A4">
        <w:rPr>
          <w:lang w:eastAsia="ja-JP"/>
        </w:rPr>
        <w:t xml:space="preserve">In December 2018 the Australian </w:t>
      </w:r>
      <w:r w:rsidR="00853DFA">
        <w:rPr>
          <w:lang w:eastAsia="ja-JP"/>
        </w:rPr>
        <w:t xml:space="preserve">Government tabled its response </w:t>
      </w:r>
      <w:r w:rsidRPr="00E525A4">
        <w:rPr>
          <w:lang w:eastAsia="ja-JP"/>
        </w:rPr>
        <w:t>to the Senate Standing Committees on Rural and Regional Affairs and Transport (</w:t>
      </w:r>
      <w:r w:rsidR="002F1717">
        <w:rPr>
          <w:lang w:eastAsia="ja-JP"/>
        </w:rPr>
        <w:t>RRA&amp;T Committee</w:t>
      </w:r>
      <w:r w:rsidRPr="00E525A4">
        <w:rPr>
          <w:lang w:eastAsia="ja-JP"/>
        </w:rPr>
        <w:t>) inquiry into the effect of market consolidation on the red meat processing sector</w:t>
      </w:r>
      <w:r w:rsidR="00182E4A">
        <w:rPr>
          <w:lang w:eastAsia="ja-JP"/>
        </w:rPr>
        <w:t xml:space="preserve"> </w:t>
      </w:r>
      <w:r w:rsidR="00182E4A" w:rsidRPr="00A47BF7">
        <w:rPr>
          <w:lang w:eastAsia="ja-JP"/>
        </w:rPr>
        <w:t>(</w:t>
      </w:r>
      <w:r w:rsidR="006B7CDA">
        <w:rPr>
          <w:lang w:eastAsia="ja-JP"/>
        </w:rPr>
        <w:t xml:space="preserve">Department of Agriculture </w:t>
      </w:r>
      <w:r w:rsidR="00A47BF7" w:rsidRPr="00D32908">
        <w:rPr>
          <w:lang w:eastAsia="ja-JP"/>
        </w:rPr>
        <w:t>2018</w:t>
      </w:r>
      <w:r w:rsidR="00182E4A" w:rsidRPr="00A47BF7">
        <w:rPr>
          <w:lang w:eastAsia="ja-JP"/>
        </w:rPr>
        <w:t>)</w:t>
      </w:r>
      <w:r w:rsidRPr="00A47BF7">
        <w:rPr>
          <w:lang w:eastAsia="ja-JP"/>
        </w:rPr>
        <w:t>.</w:t>
      </w:r>
      <w:r w:rsidRPr="00E525A4">
        <w:rPr>
          <w:lang w:eastAsia="ja-JP"/>
        </w:rPr>
        <w:t xml:space="preserve"> In this response, the government agreed to the </w:t>
      </w:r>
      <w:r w:rsidR="006B7CDA">
        <w:rPr>
          <w:lang w:eastAsia="ja-JP"/>
        </w:rPr>
        <w:t xml:space="preserve">Department of Agriculture </w:t>
      </w:r>
      <w:r w:rsidRPr="00E525A4">
        <w:rPr>
          <w:lang w:eastAsia="ja-JP"/>
        </w:rPr>
        <w:t>conducting a review into the operations and capability of AUS</w:t>
      </w:r>
      <w:r w:rsidR="000A0894">
        <w:rPr>
          <w:lang w:eastAsia="ja-JP"/>
        </w:rPr>
        <w:noBreakHyphen/>
      </w:r>
      <w:r w:rsidRPr="00E525A4">
        <w:rPr>
          <w:lang w:eastAsia="ja-JP"/>
        </w:rPr>
        <w:t xml:space="preserve">MEAT to determine whether it is the most appropriate body to oversee the installation, inspection, calibration, replacement and quality assurance auditing processes of the new Dual Energy X-ray Absorptiometry (DEXA) technology (the </w:t>
      </w:r>
      <w:r w:rsidR="00960E14">
        <w:rPr>
          <w:lang w:eastAsia="ja-JP"/>
        </w:rPr>
        <w:t>review</w:t>
      </w:r>
      <w:r w:rsidRPr="00E525A4">
        <w:rPr>
          <w:lang w:eastAsia="ja-JP"/>
        </w:rPr>
        <w:t>).</w:t>
      </w:r>
    </w:p>
    <w:p w14:paraId="249CEEFE" w14:textId="77777777" w:rsidR="00E525A4" w:rsidRDefault="007B7971" w:rsidP="00E525A4">
      <w:pPr>
        <w:pStyle w:val="Heading3"/>
        <w:rPr>
          <w:lang w:eastAsia="ja-JP"/>
        </w:rPr>
      </w:pPr>
      <w:bookmarkStart w:id="5" w:name="_Toc12958268"/>
      <w:r>
        <w:rPr>
          <w:lang w:eastAsia="ja-JP"/>
        </w:rPr>
        <w:t>Terms of reference</w:t>
      </w:r>
      <w:bookmarkEnd w:id="5"/>
    </w:p>
    <w:p w14:paraId="33893A20" w14:textId="73080E50" w:rsidR="00E525A4" w:rsidRDefault="007B7971" w:rsidP="00E525A4">
      <w:pPr>
        <w:rPr>
          <w:lang w:eastAsia="ja-JP"/>
        </w:rPr>
      </w:pPr>
      <w:r>
        <w:rPr>
          <w:lang w:eastAsia="ja-JP"/>
        </w:rPr>
        <w:t xml:space="preserve">The Terms of Reference (ToR) for the </w:t>
      </w:r>
      <w:r w:rsidR="00992BB1">
        <w:rPr>
          <w:lang w:eastAsia="ja-JP"/>
        </w:rPr>
        <w:t>r</w:t>
      </w:r>
      <w:r w:rsidR="00960E14">
        <w:rPr>
          <w:lang w:eastAsia="ja-JP"/>
        </w:rPr>
        <w:t>eview</w:t>
      </w:r>
      <w:r>
        <w:rPr>
          <w:lang w:eastAsia="ja-JP"/>
        </w:rPr>
        <w:t xml:space="preserve"> were to:</w:t>
      </w:r>
    </w:p>
    <w:p w14:paraId="3287ABC7" w14:textId="77777777" w:rsidR="00E525A4" w:rsidRDefault="007B7971" w:rsidP="000A3E17">
      <w:pPr>
        <w:pStyle w:val="ListNumber"/>
        <w:rPr>
          <w:lang w:eastAsia="ja-JP"/>
        </w:rPr>
      </w:pPr>
      <w:r>
        <w:rPr>
          <w:lang w:eastAsia="ja-JP"/>
        </w:rPr>
        <w:t>Identify the skills, capabilities and supporting resources required for overseeing meat processors’ rollout and on-plant operation of DEXA technology (ToR1).</w:t>
      </w:r>
    </w:p>
    <w:p w14:paraId="19D5B614" w14:textId="64501A2F" w:rsidR="00E525A4" w:rsidRDefault="007B7971" w:rsidP="000A3E17">
      <w:pPr>
        <w:pStyle w:val="ListNumber"/>
        <w:rPr>
          <w:lang w:eastAsia="ja-JP"/>
        </w:rPr>
      </w:pPr>
      <w:r>
        <w:rPr>
          <w:lang w:eastAsia="ja-JP"/>
        </w:rPr>
        <w:t>Examine and make findings about AUS-MEAT’s capability and capacity to meet the requirements identified in ToR1.</w:t>
      </w:r>
      <w:r w:rsidR="000A0894">
        <w:rPr>
          <w:lang w:eastAsia="ja-JP"/>
        </w:rPr>
        <w:t xml:space="preserve"> (ToR2)</w:t>
      </w:r>
    </w:p>
    <w:p w14:paraId="36B6ED5D" w14:textId="77777777" w:rsidR="00E525A4" w:rsidRDefault="007B7971" w:rsidP="00E525A4">
      <w:pPr>
        <w:pStyle w:val="Heading3"/>
        <w:rPr>
          <w:lang w:eastAsia="ja-JP"/>
        </w:rPr>
      </w:pPr>
      <w:bookmarkStart w:id="6" w:name="_Toc12958269"/>
      <w:r>
        <w:rPr>
          <w:lang w:eastAsia="ja-JP"/>
        </w:rPr>
        <w:t>Review process</w:t>
      </w:r>
      <w:bookmarkEnd w:id="6"/>
    </w:p>
    <w:p w14:paraId="22BCE94B" w14:textId="4AF530A9" w:rsidR="00E525A4" w:rsidRDefault="007B7971" w:rsidP="00E525A4">
      <w:pPr>
        <w:rPr>
          <w:lang w:eastAsia="ja-JP"/>
        </w:rPr>
      </w:pPr>
      <w:r>
        <w:rPr>
          <w:lang w:eastAsia="ja-JP"/>
        </w:rPr>
        <w:t xml:space="preserve">In undertaking this review, the </w:t>
      </w:r>
      <w:r w:rsidR="000832BC">
        <w:rPr>
          <w:lang w:eastAsia="ja-JP"/>
        </w:rPr>
        <w:t>department</w:t>
      </w:r>
      <w:r>
        <w:rPr>
          <w:lang w:eastAsia="ja-JP"/>
        </w:rPr>
        <w:t xml:space="preserve"> undertook a considered approach to identifying the appropriate skills base, capabilities and supporting resources required to oversee the installation, inspection, calibration, replacement and quality assurance auditing processes of DEXA technology.</w:t>
      </w:r>
    </w:p>
    <w:p w14:paraId="444EBA49" w14:textId="77777777" w:rsidR="00E525A4" w:rsidRDefault="007B7971" w:rsidP="00E525A4">
      <w:pPr>
        <w:pStyle w:val="Heading4"/>
        <w:rPr>
          <w:lang w:eastAsia="ja-JP"/>
        </w:rPr>
      </w:pPr>
      <w:r>
        <w:rPr>
          <w:lang w:eastAsia="ja-JP"/>
        </w:rPr>
        <w:t>Literature review (ToR1)</w:t>
      </w:r>
    </w:p>
    <w:p w14:paraId="1B4D6CC5" w14:textId="3B58A806" w:rsidR="00E525A4" w:rsidRDefault="007B7971" w:rsidP="00E525A4">
      <w:pPr>
        <w:rPr>
          <w:lang w:eastAsia="ja-JP"/>
        </w:rPr>
      </w:pPr>
      <w:r>
        <w:rPr>
          <w:lang w:eastAsia="ja-JP"/>
        </w:rPr>
        <w:t xml:space="preserve">The </w:t>
      </w:r>
      <w:r w:rsidR="000832BC">
        <w:rPr>
          <w:lang w:eastAsia="ja-JP"/>
        </w:rPr>
        <w:t xml:space="preserve">department </w:t>
      </w:r>
      <w:r>
        <w:rPr>
          <w:lang w:eastAsia="ja-JP"/>
        </w:rPr>
        <w:t>reviewed relevant literature regarding the Australian meat processing sector and the potential gains from the integration of DEXA technology into red meat abattoirs. This informed the roles which may be required to ensure the successful rollout and ongoing use of the technology, along with the skills associated with each role.</w:t>
      </w:r>
    </w:p>
    <w:p w14:paraId="04528AC6" w14:textId="77777777" w:rsidR="00E525A4" w:rsidRDefault="007B7971" w:rsidP="00E525A4">
      <w:pPr>
        <w:pStyle w:val="Heading4"/>
        <w:rPr>
          <w:lang w:eastAsia="ja-JP"/>
        </w:rPr>
      </w:pPr>
      <w:r>
        <w:rPr>
          <w:lang w:eastAsia="ja-JP"/>
        </w:rPr>
        <w:t>Test literature review findings (ToR1)</w:t>
      </w:r>
    </w:p>
    <w:p w14:paraId="6DA29329" w14:textId="5DDCDD3D" w:rsidR="00E525A4" w:rsidRPr="00F95E9F" w:rsidRDefault="007B7971" w:rsidP="00E525A4">
      <w:pPr>
        <w:rPr>
          <w:lang w:eastAsia="ja-JP"/>
        </w:rPr>
      </w:pPr>
      <w:r>
        <w:rPr>
          <w:lang w:eastAsia="ja-JP"/>
        </w:rPr>
        <w:t xml:space="preserve">The </w:t>
      </w:r>
      <w:r w:rsidR="000832BC">
        <w:rPr>
          <w:lang w:eastAsia="ja-JP"/>
        </w:rPr>
        <w:t>department</w:t>
      </w:r>
      <w:r>
        <w:rPr>
          <w:lang w:eastAsia="ja-JP"/>
        </w:rPr>
        <w:t xml:space="preserve"> undertook targeted, face-to-face meetings with key industry representatives, processors, research organisations and technology experts in order to validate the findings of the literature review. This included direct consultation with intended users of DEXA technology. A list of organisations the </w:t>
      </w:r>
      <w:r w:rsidR="000832BC">
        <w:rPr>
          <w:lang w:eastAsia="ja-JP"/>
        </w:rPr>
        <w:t>department</w:t>
      </w:r>
      <w:r>
        <w:rPr>
          <w:lang w:eastAsia="ja-JP"/>
        </w:rPr>
        <w:t xml:space="preserve"> engaged with directly is provided </w:t>
      </w:r>
      <w:r w:rsidRPr="00F95E9F">
        <w:rPr>
          <w:lang w:eastAsia="ja-JP"/>
        </w:rPr>
        <w:t xml:space="preserve">at </w:t>
      </w:r>
      <w:hyperlink w:anchor="_Appendix_A:_Targeted" w:history="1">
        <w:r w:rsidRPr="00F95E9F">
          <w:rPr>
            <w:rStyle w:val="Hyperlink"/>
            <w:lang w:eastAsia="ja-JP"/>
          </w:rPr>
          <w:t>Appendix A</w:t>
        </w:r>
      </w:hyperlink>
      <w:r w:rsidRPr="00F95E9F">
        <w:rPr>
          <w:lang w:eastAsia="ja-JP"/>
        </w:rPr>
        <w:t>.</w:t>
      </w:r>
    </w:p>
    <w:p w14:paraId="10F485CE" w14:textId="50D7A0CC" w:rsidR="001D095E" w:rsidRDefault="007B7971" w:rsidP="00E525A4">
      <w:pPr>
        <w:rPr>
          <w:lang w:eastAsia="ja-JP"/>
        </w:rPr>
      </w:pPr>
      <w:r w:rsidRPr="00F95E9F">
        <w:rPr>
          <w:lang w:eastAsia="ja-JP"/>
        </w:rPr>
        <w:t xml:space="preserve">In addition to targeted consultation, wider industry views were sought through the operation of a publicly accessible survey which was published on the department’s ‘Have Your Say’ platform from 13 March 2019 to 28 March 2019. </w:t>
      </w:r>
      <w:r w:rsidR="00995F6E" w:rsidRPr="00F95E9F">
        <w:rPr>
          <w:lang w:eastAsia="ja-JP"/>
        </w:rPr>
        <w:t>Findings</w:t>
      </w:r>
      <w:r w:rsidR="00853DFA" w:rsidRPr="00F95E9F">
        <w:rPr>
          <w:lang w:eastAsia="ja-JP"/>
        </w:rPr>
        <w:t xml:space="preserve"> of the survey are summarised at </w:t>
      </w:r>
      <w:hyperlink w:anchor="_Appendix_B:_Public" w:history="1">
        <w:r w:rsidR="00853DFA" w:rsidRPr="000A3E17">
          <w:rPr>
            <w:rStyle w:val="Hyperlink"/>
            <w:lang w:eastAsia="ja-JP"/>
          </w:rPr>
          <w:t xml:space="preserve">Appendix </w:t>
        </w:r>
        <w:r w:rsidR="000A3E17" w:rsidRPr="000A3E17">
          <w:rPr>
            <w:rStyle w:val="Hyperlink"/>
            <w:lang w:eastAsia="ja-JP"/>
          </w:rPr>
          <w:t>B</w:t>
        </w:r>
        <w:r w:rsidR="00853DFA" w:rsidRPr="000A3E17">
          <w:rPr>
            <w:rStyle w:val="Hyperlink"/>
            <w:lang w:eastAsia="ja-JP"/>
          </w:rPr>
          <w:t>.</w:t>
        </w:r>
      </w:hyperlink>
    </w:p>
    <w:p w14:paraId="0FBDF7B2" w14:textId="77777777" w:rsidR="00E525A4" w:rsidRDefault="007B7971" w:rsidP="00E525A4">
      <w:pPr>
        <w:pStyle w:val="Heading4"/>
        <w:rPr>
          <w:lang w:eastAsia="ja-JP"/>
        </w:rPr>
      </w:pPr>
      <w:r>
        <w:rPr>
          <w:lang w:eastAsia="ja-JP"/>
        </w:rPr>
        <w:t>AUS-MEAT assessment (ToR2)</w:t>
      </w:r>
    </w:p>
    <w:p w14:paraId="05D42290" w14:textId="7D204AF8" w:rsidR="001D095E" w:rsidRDefault="007B7971" w:rsidP="00E525A4">
      <w:pPr>
        <w:rPr>
          <w:lang w:eastAsia="ja-JP"/>
        </w:rPr>
      </w:pPr>
      <w:r>
        <w:rPr>
          <w:lang w:eastAsia="ja-JP"/>
        </w:rPr>
        <w:t xml:space="preserve">The </w:t>
      </w:r>
      <w:r w:rsidR="000832BC">
        <w:rPr>
          <w:lang w:eastAsia="ja-JP"/>
        </w:rPr>
        <w:t>department</w:t>
      </w:r>
      <w:r>
        <w:rPr>
          <w:lang w:eastAsia="ja-JP"/>
        </w:rPr>
        <w:t xml:space="preserve"> undertook an assessment of AUS-MEAT against the skills and capability set identified under ToR1 to determine whether it is an appropriate body to oversee the </w:t>
      </w:r>
      <w:r w:rsidR="001D095E">
        <w:rPr>
          <w:lang w:eastAsia="ja-JP"/>
        </w:rPr>
        <w:t>rollout</w:t>
      </w:r>
      <w:r>
        <w:rPr>
          <w:lang w:eastAsia="ja-JP"/>
        </w:rPr>
        <w:t xml:space="preserve"> and ongoing use of DEXA technology across the red meat processing industry.</w:t>
      </w:r>
    </w:p>
    <w:p w14:paraId="363E98F3" w14:textId="77777777" w:rsidR="0056240A" w:rsidRDefault="007B7971" w:rsidP="00E525A4">
      <w:pPr>
        <w:pStyle w:val="Heading2"/>
      </w:pPr>
      <w:bookmarkStart w:id="7" w:name="_Toc12958270"/>
      <w:r w:rsidRPr="00E525A4">
        <w:lastRenderedPageBreak/>
        <w:t>Background</w:t>
      </w:r>
      <w:bookmarkEnd w:id="4"/>
      <w:bookmarkEnd w:id="7"/>
    </w:p>
    <w:p w14:paraId="1A7E6351" w14:textId="5C1757BF" w:rsidR="00E525A4" w:rsidRDefault="007B7971" w:rsidP="00E525A4">
      <w:pPr>
        <w:rPr>
          <w:lang w:eastAsia="ja-JP"/>
        </w:rPr>
      </w:pPr>
      <w:r>
        <w:rPr>
          <w:lang w:eastAsia="ja-JP"/>
        </w:rPr>
        <w:t xml:space="preserve">In recent years </w:t>
      </w:r>
      <w:r w:rsidR="002F1717">
        <w:rPr>
          <w:lang w:eastAsia="ja-JP"/>
        </w:rPr>
        <w:t xml:space="preserve">the red meat industry has undergone a number of reviews, including by </w:t>
      </w:r>
      <w:r>
        <w:rPr>
          <w:lang w:eastAsia="ja-JP"/>
        </w:rPr>
        <w:t>the Australian Competition and Consumer Commission (ACCC</w:t>
      </w:r>
      <w:r w:rsidR="00853DFA">
        <w:rPr>
          <w:lang w:eastAsia="ja-JP"/>
        </w:rPr>
        <w:t>) Cattle and Beef Market Study</w:t>
      </w:r>
      <w:r w:rsidR="00A47BF7">
        <w:rPr>
          <w:lang w:eastAsia="ja-JP"/>
        </w:rPr>
        <w:t xml:space="preserve"> </w:t>
      </w:r>
      <w:r w:rsidR="00A47BF7" w:rsidRPr="0065774F">
        <w:rPr>
          <w:lang w:eastAsia="ja-JP"/>
        </w:rPr>
        <w:t>(ACCC 2017)</w:t>
      </w:r>
      <w:r w:rsidR="002F1717" w:rsidRPr="003537B6">
        <w:rPr>
          <w:lang w:eastAsia="ja-JP"/>
        </w:rPr>
        <w:t>,</w:t>
      </w:r>
      <w:r w:rsidR="00853DFA">
        <w:rPr>
          <w:lang w:eastAsia="ja-JP"/>
        </w:rPr>
        <w:t xml:space="preserve"> </w:t>
      </w:r>
      <w:r>
        <w:rPr>
          <w:lang w:eastAsia="ja-JP"/>
        </w:rPr>
        <w:t>and the Senate Standing Committees on Rural and Regional Affairs and Transport (RRA&amp;T) Inquiry into the effect of market consolidation on the red meat processing sector (the Senate Inquiry).</w:t>
      </w:r>
    </w:p>
    <w:p w14:paraId="7DB4E760" w14:textId="6A6780CE" w:rsidR="00E525A4" w:rsidRDefault="007B7971" w:rsidP="00E525A4">
      <w:pPr>
        <w:rPr>
          <w:lang w:eastAsia="ja-JP"/>
        </w:rPr>
      </w:pPr>
      <w:r>
        <w:rPr>
          <w:lang w:eastAsia="ja-JP"/>
        </w:rPr>
        <w:t>Both studies highlighted the potential benefits DEXA could bring to the industry, specifically that it could ‘increase accuracy and transparency of value assessments’</w:t>
      </w:r>
      <w:r w:rsidR="00A47BF7">
        <w:rPr>
          <w:lang w:eastAsia="ja-JP"/>
        </w:rPr>
        <w:t xml:space="preserve"> (Rural and Regional Affairs and Transport References Committee 2017)</w:t>
      </w:r>
      <w:r>
        <w:rPr>
          <w:lang w:eastAsia="ja-JP"/>
        </w:rPr>
        <w:t>. Both studies also identified that consistent implementation of the technology and appropriate auditing and verification systems would be required for DEXA to maximise potential gains to the industry.</w:t>
      </w:r>
    </w:p>
    <w:p w14:paraId="201D3C9F" w14:textId="5AE8F5D1" w:rsidR="00E525A4" w:rsidRDefault="007B7971" w:rsidP="00E525A4">
      <w:pPr>
        <w:rPr>
          <w:lang w:eastAsia="ja-JP"/>
        </w:rPr>
      </w:pPr>
      <w:r>
        <w:rPr>
          <w:lang w:eastAsia="ja-JP"/>
        </w:rPr>
        <w:t xml:space="preserve">In its final report, the </w:t>
      </w:r>
      <w:r w:rsidR="002F1717">
        <w:rPr>
          <w:lang w:eastAsia="ja-JP"/>
        </w:rPr>
        <w:t>RRA&amp;T Committee</w:t>
      </w:r>
      <w:r>
        <w:rPr>
          <w:lang w:eastAsia="ja-JP"/>
        </w:rPr>
        <w:t xml:space="preserve"> acknowledged that industry largely accepts that AUS</w:t>
      </w:r>
      <w:r w:rsidR="000832BC">
        <w:rPr>
          <w:lang w:eastAsia="ja-JP"/>
        </w:rPr>
        <w:noBreakHyphen/>
      </w:r>
      <w:r>
        <w:rPr>
          <w:lang w:eastAsia="ja-JP"/>
        </w:rPr>
        <w:t>MEAT is the appropriate body to oversee the implementation and verification of DEXA, but expressed concern over AUS-MEAT’s capability to undertake this role. Accordingly, it recommended:</w:t>
      </w:r>
    </w:p>
    <w:p w14:paraId="1CAB6539" w14:textId="1E6A084E" w:rsidR="00E525A4" w:rsidRPr="00E525A4" w:rsidRDefault="00B1154A" w:rsidP="000A3E17">
      <w:pPr>
        <w:pStyle w:val="Quote"/>
        <w:rPr>
          <w:lang w:eastAsia="ja-JP"/>
        </w:rPr>
      </w:pPr>
      <w:r w:rsidRPr="004F25B2">
        <w:rPr>
          <w:lang w:eastAsia="ja-JP"/>
        </w:rPr>
        <w:t>T</w:t>
      </w:r>
      <w:r w:rsidR="007B7971" w:rsidRPr="004F25B2">
        <w:rPr>
          <w:lang w:eastAsia="ja-JP"/>
        </w:rPr>
        <w:t>hat</w:t>
      </w:r>
      <w:r w:rsidR="007B7971" w:rsidRPr="00E525A4">
        <w:rPr>
          <w:lang w:eastAsia="ja-JP"/>
        </w:rPr>
        <w:t xml:space="preserve"> the </w:t>
      </w:r>
      <w:r w:rsidR="006B7CDA">
        <w:rPr>
          <w:lang w:eastAsia="ja-JP"/>
        </w:rPr>
        <w:t xml:space="preserve">Department of Agriculture </w:t>
      </w:r>
      <w:r w:rsidR="007B7971" w:rsidRPr="00E525A4">
        <w:rPr>
          <w:lang w:eastAsia="ja-JP"/>
        </w:rPr>
        <w:t>conduct a review into the operations and capability of AUS-MEAT to determine whether it is the most appropriate body to oversight the installation, inspection, calibration, replacement and quality assurance auditing processes of the new DEXA technology. The review should also identify what reforms and resources AUS-MEAT would require to fulfil this role.</w:t>
      </w:r>
    </w:p>
    <w:p w14:paraId="7656FDCA" w14:textId="77777777" w:rsidR="00E525A4" w:rsidRDefault="007B7971" w:rsidP="00E525A4">
      <w:pPr>
        <w:pStyle w:val="Heading3"/>
        <w:rPr>
          <w:lang w:eastAsia="ja-JP"/>
        </w:rPr>
      </w:pPr>
      <w:bookmarkStart w:id="8" w:name="_Toc12958271"/>
      <w:r>
        <w:rPr>
          <w:lang w:eastAsia="ja-JP"/>
        </w:rPr>
        <w:t>Red meat industry</w:t>
      </w:r>
      <w:bookmarkEnd w:id="8"/>
    </w:p>
    <w:p w14:paraId="02533688" w14:textId="17FB961F" w:rsidR="00E525A4" w:rsidRDefault="007B7971" w:rsidP="00E525A4">
      <w:pPr>
        <w:rPr>
          <w:lang w:eastAsia="ja-JP"/>
        </w:rPr>
      </w:pPr>
      <w:r>
        <w:rPr>
          <w:lang w:eastAsia="ja-JP"/>
        </w:rPr>
        <w:t>Australia’s red meat processing sector is worth $20 billion, making it the nation’s largest trade-exposed manufacturing industry</w:t>
      </w:r>
      <w:r w:rsidR="00A47BF7">
        <w:rPr>
          <w:lang w:eastAsia="ja-JP"/>
        </w:rPr>
        <w:t xml:space="preserve"> (Red Meat MoU Taskforce 2019)</w:t>
      </w:r>
      <w:r>
        <w:rPr>
          <w:lang w:eastAsia="ja-JP"/>
        </w:rPr>
        <w:t>. The industry is reliant on overseas markets with approximately 60 per cent of production exported. As a result, profitability is highly influenced by demand fluctuations due to changes in the exchange rate</w:t>
      </w:r>
      <w:r w:rsidR="002F1717">
        <w:rPr>
          <w:lang w:eastAsia="ja-JP"/>
        </w:rPr>
        <w:t>—</w:t>
      </w:r>
      <w:r>
        <w:rPr>
          <w:lang w:eastAsia="ja-JP"/>
        </w:rPr>
        <w:t>a high Australian dollar makes Australian meat products more expensive in overseas markets, which can weaken demand. The processing sector is also affected by Australia’s variable weather conditions, which can alter the supply of cattle available for slaughter.</w:t>
      </w:r>
    </w:p>
    <w:p w14:paraId="4D5FB488" w14:textId="77777777" w:rsidR="00E525A4" w:rsidRDefault="007B7971" w:rsidP="00E525A4">
      <w:pPr>
        <w:rPr>
          <w:lang w:eastAsia="ja-JP"/>
        </w:rPr>
      </w:pPr>
      <w:r>
        <w:rPr>
          <w:lang w:eastAsia="ja-JP"/>
        </w:rPr>
        <w:t>The Australian red meat industry operates within a dynamic and competitive global environment. As a high-cost industry that is unable to compete on quantity—accounting for only about two per cent of the global cattle herd—Australian red meat has instead found a niche in high value, international markets as a high quality, sustainably sourced product that attracts price premiums. However, in light of growing international competition, the rise of alternative protein sources and challenges to the industry’s social license to operate, it is important that all actors along the red meat supply chain continue to ensure that their operations are efficient, innovative and aligned with industry best practice.</w:t>
      </w:r>
    </w:p>
    <w:p w14:paraId="6B9D96EE" w14:textId="77777777" w:rsidR="00E525A4" w:rsidRDefault="007B7971" w:rsidP="00E525A4">
      <w:pPr>
        <w:rPr>
          <w:lang w:eastAsia="ja-JP"/>
        </w:rPr>
      </w:pPr>
      <w:r>
        <w:rPr>
          <w:lang w:eastAsia="ja-JP"/>
        </w:rPr>
        <w:t>Higher wage rates and limited opportunities for economies of scale mean that Australia’s processing sector faces significantly higher costs of operation than many foreign processors. To seek efficiency gains and build economies of scale in production and distribution, vertical integration along the supply chain has been employed by several larger operators.</w:t>
      </w:r>
    </w:p>
    <w:p w14:paraId="17B40AEB" w14:textId="5368C169" w:rsidR="00E525A4" w:rsidRDefault="007B7971" w:rsidP="00E525A4">
      <w:pPr>
        <w:rPr>
          <w:lang w:eastAsia="ja-JP"/>
        </w:rPr>
      </w:pPr>
      <w:r>
        <w:rPr>
          <w:lang w:eastAsia="ja-JP"/>
        </w:rPr>
        <w:lastRenderedPageBreak/>
        <w:t>Th</w:t>
      </w:r>
      <w:r w:rsidR="001647DD">
        <w:rPr>
          <w:lang w:eastAsia="ja-JP"/>
        </w:rPr>
        <w:t>is</w:t>
      </w:r>
      <w:r>
        <w:rPr>
          <w:lang w:eastAsia="ja-JP"/>
        </w:rPr>
        <w:t xml:space="preserve"> combination of factors act as a driver for the processing sector to adopt new technologies and innovative methods to increase operational efficiency, productivity and product quality. In recent years, research and development projects, driven by industry, have been focusing on the potential use of </w:t>
      </w:r>
      <w:r w:rsidR="001647DD">
        <w:rPr>
          <w:lang w:eastAsia="ja-JP"/>
        </w:rPr>
        <w:t xml:space="preserve">objective carcase measurement </w:t>
      </w:r>
      <w:r>
        <w:rPr>
          <w:lang w:eastAsia="ja-JP"/>
        </w:rPr>
        <w:t>(OCM) technologies, such as DEXA technology, to better measure carcase attributes to predict eating quality, disease or contamination, precise boning cutting lines, and lean meat yield.</w:t>
      </w:r>
    </w:p>
    <w:p w14:paraId="7113A6EB" w14:textId="77777777" w:rsidR="00E525A4" w:rsidRDefault="007B7971" w:rsidP="00E525A4">
      <w:pPr>
        <w:pStyle w:val="Heading3"/>
        <w:rPr>
          <w:lang w:eastAsia="ja-JP"/>
        </w:rPr>
      </w:pPr>
      <w:bookmarkStart w:id="9" w:name="_Toc12958272"/>
      <w:r>
        <w:rPr>
          <w:lang w:eastAsia="ja-JP"/>
        </w:rPr>
        <w:t>DEXA Technology</w:t>
      </w:r>
      <w:bookmarkEnd w:id="9"/>
    </w:p>
    <w:p w14:paraId="19F78580" w14:textId="3307224D" w:rsidR="00E525A4" w:rsidRDefault="007B7971" w:rsidP="00E525A4">
      <w:pPr>
        <w:rPr>
          <w:lang w:eastAsia="ja-JP"/>
        </w:rPr>
      </w:pPr>
      <w:r>
        <w:rPr>
          <w:lang w:eastAsia="ja-JP"/>
        </w:rPr>
        <w:t xml:space="preserve">In recognition of the need to adapt, industry has investigated, and is now investing in, DEXA technology. DEXA is a type of OCM that enables optimised boning; potentially lifting the revenue from saleable meat to producers and reducing the cost of processing. Recognising the potential value of this technology to the industry as a whole, in 2016 Meat </w:t>
      </w:r>
      <w:r w:rsidR="00BA209A">
        <w:rPr>
          <w:lang w:eastAsia="ja-JP"/>
        </w:rPr>
        <w:t xml:space="preserve">&amp; </w:t>
      </w:r>
      <w:r>
        <w:rPr>
          <w:lang w:eastAsia="ja-JP"/>
        </w:rPr>
        <w:t>Livestock Australia (MLA) announced its support for</w:t>
      </w:r>
      <w:r w:rsidR="008602F5">
        <w:rPr>
          <w:lang w:eastAsia="ja-JP"/>
        </w:rPr>
        <w:t xml:space="preserve"> </w:t>
      </w:r>
      <w:r>
        <w:rPr>
          <w:lang w:eastAsia="ja-JP"/>
        </w:rPr>
        <w:t>accelerating the adoption of DEXA technology across the industry</w:t>
      </w:r>
      <w:r w:rsidR="00A47BF7">
        <w:rPr>
          <w:lang w:eastAsia="ja-JP"/>
        </w:rPr>
        <w:t xml:space="preserve"> (Meat &amp; Livestock Australia 2016)</w:t>
      </w:r>
      <w:r>
        <w:rPr>
          <w:lang w:eastAsia="ja-JP"/>
        </w:rPr>
        <w:t xml:space="preserve">. The application of DEXA in beef processing is still in the developmental stages and to date, a whole-of-industry </w:t>
      </w:r>
      <w:r w:rsidR="001D095E">
        <w:rPr>
          <w:lang w:eastAsia="ja-JP"/>
        </w:rPr>
        <w:t>rollout</w:t>
      </w:r>
      <w:r>
        <w:rPr>
          <w:lang w:eastAsia="ja-JP"/>
        </w:rPr>
        <w:t xml:space="preserve"> has not occurred. The application of DEXA technology for the analysis of lamb carcase measurements is more advanced than for beef carcase measurements.</w:t>
      </w:r>
    </w:p>
    <w:p w14:paraId="47C94A5A" w14:textId="4F7F4D05" w:rsidR="001D095E" w:rsidRDefault="007B7971" w:rsidP="00E525A4">
      <w:pPr>
        <w:rPr>
          <w:lang w:eastAsia="ja-JP"/>
        </w:rPr>
      </w:pPr>
      <w:r>
        <w:rPr>
          <w:lang w:eastAsia="ja-JP"/>
        </w:rPr>
        <w:t xml:space="preserve">DEXA was originally designed for the medical industry to measure bone density. DEXA can also be used to measure total body composition and fat content and thus determine the </w:t>
      </w:r>
      <w:r w:rsidR="00BA209A">
        <w:rPr>
          <w:lang w:eastAsia="ja-JP"/>
        </w:rPr>
        <w:t>l</w:t>
      </w:r>
      <w:r>
        <w:rPr>
          <w:lang w:eastAsia="ja-JP"/>
        </w:rPr>
        <w:t xml:space="preserve">ean </w:t>
      </w:r>
      <w:r w:rsidR="00BA209A">
        <w:rPr>
          <w:lang w:eastAsia="ja-JP"/>
        </w:rPr>
        <w:t>m</w:t>
      </w:r>
      <w:r>
        <w:rPr>
          <w:lang w:eastAsia="ja-JP"/>
        </w:rPr>
        <w:t xml:space="preserve">eat </w:t>
      </w:r>
      <w:r w:rsidR="00BA209A">
        <w:rPr>
          <w:lang w:eastAsia="ja-JP"/>
        </w:rPr>
        <w:t>y</w:t>
      </w:r>
      <w:r>
        <w:rPr>
          <w:lang w:eastAsia="ja-JP"/>
        </w:rPr>
        <w:t>ield (LMY) of a carcase. The first whole lamb carcase DEXA system was developed in a collaboration between Murdoch University and Scott Automation and Robotics.</w:t>
      </w:r>
    </w:p>
    <w:p w14:paraId="10364A25" w14:textId="37FBEBD6" w:rsidR="00E525A4" w:rsidRDefault="007B7971" w:rsidP="00E525A4">
      <w:pPr>
        <w:rPr>
          <w:lang w:eastAsia="ja-JP"/>
        </w:rPr>
      </w:pPr>
      <w:r>
        <w:rPr>
          <w:lang w:eastAsia="ja-JP"/>
        </w:rPr>
        <w:t>DEXA technology utilises two X-ray beams with different energy levels that are projected through a carcase to provide a timely and accurate indication of LMY. The data captured by DEXA includes x-ray images, carcase weight, and carcase identification which are fed into a software algorithm to calculate the LMY of the animal carcase</w:t>
      </w:r>
      <w:r w:rsidR="00A47BF7">
        <w:rPr>
          <w:lang w:eastAsia="ja-JP"/>
        </w:rPr>
        <w:t xml:space="preserve"> (Ernst &amp; Young 2017)</w:t>
      </w:r>
      <w:r>
        <w:rPr>
          <w:lang w:eastAsia="ja-JP"/>
        </w:rPr>
        <w:t>. This information can help the entire red meat value chain make more informed business decisions to improve on-farm and processing efficiency that in turn may result in the delivery of a more cost effective product</w:t>
      </w:r>
      <w:r w:rsidR="00A47BF7">
        <w:rPr>
          <w:lang w:eastAsia="ja-JP"/>
        </w:rPr>
        <w:t xml:space="preserve"> (Australian Beef Sustainability Framework 2018)</w:t>
      </w:r>
      <w:r>
        <w:rPr>
          <w:lang w:eastAsia="ja-JP"/>
        </w:rPr>
        <w:t>.</w:t>
      </w:r>
    </w:p>
    <w:p w14:paraId="0DC7330E" w14:textId="0AE1BE16" w:rsidR="001D095E" w:rsidRDefault="007B7971" w:rsidP="00E525A4">
      <w:pPr>
        <w:rPr>
          <w:lang w:eastAsia="ja-JP"/>
        </w:rPr>
      </w:pPr>
      <w:r>
        <w:rPr>
          <w:lang w:eastAsia="ja-JP"/>
        </w:rPr>
        <w:t>DEXA also has the potential to drive automated de-boning and optimise profit for the industry. It may speed up carcase processing time through integration with the boning room continuous chain as it is currently estimated to have capacity to scan up to 520 hot or chilled beef sides per hour</w:t>
      </w:r>
      <w:r w:rsidR="00D85041">
        <w:rPr>
          <w:lang w:eastAsia="ja-JP"/>
        </w:rPr>
        <w:t xml:space="preserve"> (Scott Automation and Robotics 2017)</w:t>
      </w:r>
      <w:r>
        <w:rPr>
          <w:lang w:eastAsia="ja-JP"/>
        </w:rPr>
        <w:t>. It also has the potential to provide LMY feedback to processors, producers and seed-stock suppliers for an individual carcase which may help inform these actors about ways to increase meat yield on stock.</w:t>
      </w:r>
    </w:p>
    <w:p w14:paraId="2DFE49BF" w14:textId="3860FD05" w:rsidR="001D095E" w:rsidRDefault="007B7971" w:rsidP="00E525A4">
      <w:pPr>
        <w:rPr>
          <w:lang w:eastAsia="ja-JP"/>
        </w:rPr>
      </w:pPr>
      <w:r>
        <w:rPr>
          <w:lang w:eastAsia="ja-JP"/>
        </w:rPr>
        <w:t>The use of OCM technology in livestock is advocated by Advanced Measurement Technologies for Globally Competitive Australian Meat (</w:t>
      </w:r>
      <w:proofErr w:type="spellStart"/>
      <w:r>
        <w:rPr>
          <w:lang w:eastAsia="ja-JP"/>
        </w:rPr>
        <w:t>ALMTech</w:t>
      </w:r>
      <w:proofErr w:type="spellEnd"/>
      <w:r>
        <w:rPr>
          <w:lang w:eastAsia="ja-JP"/>
        </w:rPr>
        <w:t xml:space="preserve">). The </w:t>
      </w:r>
      <w:proofErr w:type="spellStart"/>
      <w:r>
        <w:rPr>
          <w:lang w:eastAsia="ja-JP"/>
        </w:rPr>
        <w:t>ALMTech</w:t>
      </w:r>
      <w:proofErr w:type="spellEnd"/>
      <w:r>
        <w:rPr>
          <w:lang w:eastAsia="ja-JP"/>
        </w:rPr>
        <w:t xml:space="preserve"> Industry Calibration Working Group (ICWG) is currently working on a project targeted towards developing objective gold standard measurements for carcase attributes that influence the value of livestock</w:t>
      </w:r>
      <w:r w:rsidR="00804904">
        <w:rPr>
          <w:lang w:eastAsia="ja-JP"/>
        </w:rPr>
        <w:t xml:space="preserve"> (</w:t>
      </w:r>
      <w:proofErr w:type="spellStart"/>
      <w:r w:rsidR="00804904">
        <w:rPr>
          <w:lang w:eastAsia="ja-JP"/>
        </w:rPr>
        <w:t>ALMTech</w:t>
      </w:r>
      <w:proofErr w:type="spellEnd"/>
      <w:r w:rsidR="00804904">
        <w:rPr>
          <w:lang w:eastAsia="ja-JP"/>
        </w:rPr>
        <w:t xml:space="preserve"> 2017)</w:t>
      </w:r>
      <w:r>
        <w:rPr>
          <w:lang w:eastAsia="ja-JP"/>
        </w:rPr>
        <w:t xml:space="preserve">. These attributes include carcase LMY, eating quality and compliance with market specifications. DEXA has been a technology of focus for </w:t>
      </w:r>
      <w:proofErr w:type="spellStart"/>
      <w:r>
        <w:rPr>
          <w:lang w:eastAsia="ja-JP"/>
        </w:rPr>
        <w:t>ALMTech</w:t>
      </w:r>
      <w:proofErr w:type="spellEnd"/>
      <w:r>
        <w:rPr>
          <w:lang w:eastAsia="ja-JP"/>
        </w:rPr>
        <w:t>, with initial LMY measurements showing high accuracy and precision.</w:t>
      </w:r>
    </w:p>
    <w:p w14:paraId="0F5FFDEE" w14:textId="77777777" w:rsidR="00E525A4" w:rsidRPr="00853DFA" w:rsidRDefault="007B7971" w:rsidP="00853DFA">
      <w:pPr>
        <w:pStyle w:val="Heading4"/>
        <w:rPr>
          <w:lang w:eastAsia="ja-JP"/>
        </w:rPr>
      </w:pPr>
      <w:r w:rsidRPr="00853DFA">
        <w:rPr>
          <w:lang w:eastAsia="ja-JP"/>
        </w:rPr>
        <w:lastRenderedPageBreak/>
        <w:t xml:space="preserve">Industry wide </w:t>
      </w:r>
      <w:r w:rsidR="001D095E">
        <w:rPr>
          <w:lang w:eastAsia="ja-JP"/>
        </w:rPr>
        <w:t>rollout</w:t>
      </w:r>
      <w:r w:rsidRPr="00853DFA">
        <w:rPr>
          <w:lang w:eastAsia="ja-JP"/>
        </w:rPr>
        <w:t xml:space="preserve"> of DEXA technology</w:t>
      </w:r>
    </w:p>
    <w:p w14:paraId="709D4942" w14:textId="4D59CB8C" w:rsidR="001D095E" w:rsidRDefault="007B7971" w:rsidP="00E525A4">
      <w:pPr>
        <w:rPr>
          <w:lang w:eastAsia="ja-JP"/>
        </w:rPr>
      </w:pPr>
      <w:r>
        <w:rPr>
          <w:lang w:eastAsia="ja-JP"/>
        </w:rPr>
        <w:t xml:space="preserve">If </w:t>
      </w:r>
      <w:r w:rsidR="008602F5">
        <w:rPr>
          <w:lang w:eastAsia="ja-JP"/>
        </w:rPr>
        <w:t xml:space="preserve">there is to be </w:t>
      </w:r>
      <w:r>
        <w:rPr>
          <w:lang w:eastAsia="ja-JP"/>
        </w:rPr>
        <w:t xml:space="preserve">an industry wide </w:t>
      </w:r>
      <w:r w:rsidR="001D095E">
        <w:rPr>
          <w:lang w:eastAsia="ja-JP"/>
        </w:rPr>
        <w:t>rollout</w:t>
      </w:r>
      <w:r>
        <w:rPr>
          <w:lang w:eastAsia="ja-JP"/>
        </w:rPr>
        <w:t xml:space="preserve"> of DEXA technology, it is critical that installation, calibration and use is consistent across facilities and aligned with an industry</w:t>
      </w:r>
      <w:r w:rsidR="008602F5">
        <w:rPr>
          <w:lang w:eastAsia="ja-JP"/>
        </w:rPr>
        <w:t>-</w:t>
      </w:r>
      <w:r>
        <w:rPr>
          <w:lang w:eastAsia="ja-JP"/>
        </w:rPr>
        <w:t>wide standard. However, there is currently no widely accepted industry standard for this purpose. An industry standard for DEXA technology would ensure data collected across facilities is consistent and potentially enable it to be used in future research and development projects to drive further efficiencies for the industry.</w:t>
      </w:r>
    </w:p>
    <w:p w14:paraId="5D1052D9" w14:textId="33161938" w:rsidR="001D095E" w:rsidRDefault="000832BC" w:rsidP="00E525A4">
      <w:pPr>
        <w:rPr>
          <w:lang w:eastAsia="ja-JP"/>
        </w:rPr>
      </w:pPr>
      <w:r>
        <w:rPr>
          <w:lang w:eastAsia="ja-JP"/>
        </w:rPr>
        <w:t xml:space="preserve">It is </w:t>
      </w:r>
      <w:r w:rsidR="007B7971">
        <w:rPr>
          <w:lang w:eastAsia="ja-JP"/>
        </w:rPr>
        <w:t>underst</w:t>
      </w:r>
      <w:r>
        <w:rPr>
          <w:lang w:eastAsia="ja-JP"/>
        </w:rPr>
        <w:t>ood</w:t>
      </w:r>
      <w:r w:rsidR="007B7971">
        <w:rPr>
          <w:lang w:eastAsia="ja-JP"/>
        </w:rPr>
        <w:t xml:space="preserve"> that daily calibration of the DEXA machine, most likely through the use of a certified calibration density block, is required to ensure correct measurements are being taken. In an ideal situation, the machine should be calibrated in line with an industry</w:t>
      </w:r>
      <w:r w:rsidR="008602F5">
        <w:rPr>
          <w:lang w:eastAsia="ja-JP"/>
        </w:rPr>
        <w:t>-</w:t>
      </w:r>
      <w:r w:rsidR="007B7971">
        <w:rPr>
          <w:lang w:eastAsia="ja-JP"/>
        </w:rPr>
        <w:t>wide standard,</w:t>
      </w:r>
      <w:r w:rsidR="00995F6E">
        <w:rPr>
          <w:lang w:eastAsia="ja-JP"/>
        </w:rPr>
        <w:t xml:space="preserve"> should</w:t>
      </w:r>
      <w:r w:rsidR="007B7971">
        <w:rPr>
          <w:lang w:eastAsia="ja-JP"/>
        </w:rPr>
        <w:t xml:space="preserve"> such a standard be developed.</w:t>
      </w:r>
    </w:p>
    <w:p w14:paraId="564741FF" w14:textId="71D24624" w:rsidR="005572FF" w:rsidRDefault="007B7971" w:rsidP="00E525A4">
      <w:pPr>
        <w:rPr>
          <w:lang w:eastAsia="ja-JP"/>
        </w:rPr>
      </w:pPr>
      <w:r>
        <w:rPr>
          <w:lang w:eastAsia="ja-JP"/>
        </w:rPr>
        <w:t xml:space="preserve">The </w:t>
      </w:r>
      <w:r w:rsidR="000832BC">
        <w:rPr>
          <w:lang w:eastAsia="ja-JP"/>
        </w:rPr>
        <w:t>department</w:t>
      </w:r>
      <w:r>
        <w:rPr>
          <w:lang w:eastAsia="ja-JP"/>
        </w:rPr>
        <w:t xml:space="preserve"> has been advised that the only way </w:t>
      </w:r>
      <w:r w:rsidR="008602F5">
        <w:rPr>
          <w:lang w:eastAsia="ja-JP"/>
        </w:rPr>
        <w:t xml:space="preserve">now </w:t>
      </w:r>
      <w:r>
        <w:rPr>
          <w:lang w:eastAsia="ja-JP"/>
        </w:rPr>
        <w:t xml:space="preserve">to confidently independently verify calibration and measurement calculation is through the use of a computed tomography (CT) scanner. Daily verification through the use of a CT scanner is both too costly and time consuming to be practical. It is more likely that CT scanning would be used as a method to independently audit the machinery intermittently in line with an industry standard </w:t>
      </w:r>
      <w:r w:rsidR="00995F6E">
        <w:rPr>
          <w:lang w:eastAsia="ja-JP"/>
        </w:rPr>
        <w:t xml:space="preserve">if </w:t>
      </w:r>
      <w:r>
        <w:rPr>
          <w:lang w:eastAsia="ja-JP"/>
        </w:rPr>
        <w:t>developed.</w:t>
      </w:r>
    </w:p>
    <w:p w14:paraId="06BBB473" w14:textId="77777777" w:rsidR="00E525A4" w:rsidRDefault="007B7971" w:rsidP="00E525A4">
      <w:pPr>
        <w:pStyle w:val="Heading3"/>
        <w:rPr>
          <w:lang w:eastAsia="ja-JP"/>
        </w:rPr>
      </w:pPr>
      <w:bookmarkStart w:id="10" w:name="_Toc12958273"/>
      <w:r>
        <w:rPr>
          <w:lang w:eastAsia="ja-JP"/>
        </w:rPr>
        <w:t>AUS-MEAT</w:t>
      </w:r>
      <w:bookmarkEnd w:id="10"/>
    </w:p>
    <w:p w14:paraId="6A0646F6" w14:textId="77777777" w:rsidR="00E525A4" w:rsidRDefault="007B7971" w:rsidP="00E525A4">
      <w:pPr>
        <w:rPr>
          <w:lang w:eastAsia="ja-JP"/>
        </w:rPr>
      </w:pPr>
      <w:r>
        <w:rPr>
          <w:lang w:eastAsia="ja-JP"/>
        </w:rPr>
        <w:t>AUS-MEAT is a not-for-profit, industry-owned body that operates as a joint venture under the control of a Board of Directors appointed by MLA and AMPC.</w:t>
      </w:r>
    </w:p>
    <w:p w14:paraId="0DDD4B7F" w14:textId="48A8AA0E" w:rsidR="00E525A4" w:rsidRDefault="007B7971" w:rsidP="00E525A4">
      <w:pPr>
        <w:rPr>
          <w:lang w:eastAsia="ja-JP"/>
        </w:rPr>
      </w:pPr>
      <w:r>
        <w:rPr>
          <w:lang w:eastAsia="ja-JP"/>
        </w:rPr>
        <w:t>AUS-MEAT was established under the Red Meat Memorandum of Understanding (MoU)</w:t>
      </w:r>
      <w:r w:rsidR="003537B6">
        <w:rPr>
          <w:lang w:eastAsia="ja-JP"/>
        </w:rPr>
        <w:t xml:space="preserve"> (Red </w:t>
      </w:r>
      <w:r w:rsidR="008F20DE">
        <w:rPr>
          <w:lang w:eastAsia="ja-JP"/>
        </w:rPr>
        <w:t>Meat Advisory Council 2010)</w:t>
      </w:r>
      <w:r>
        <w:rPr>
          <w:lang w:eastAsia="ja-JP"/>
        </w:rPr>
        <w:t>.</w:t>
      </w:r>
      <w:r w:rsidR="001D095E">
        <w:rPr>
          <w:lang w:eastAsia="ja-JP"/>
        </w:rPr>
        <w:t xml:space="preserve"> </w:t>
      </w:r>
      <w:r>
        <w:rPr>
          <w:lang w:eastAsia="ja-JP"/>
        </w:rPr>
        <w:t xml:space="preserve">It is the national industry organisation responsible for the objective description of Australian meat and livestock based on approved quality assurance systems. AUS-MEAT is also cited as the </w:t>
      </w:r>
      <w:r w:rsidR="008602F5">
        <w:rPr>
          <w:lang w:eastAsia="ja-JP"/>
        </w:rPr>
        <w:t>'standards b</w:t>
      </w:r>
      <w:r>
        <w:rPr>
          <w:lang w:eastAsia="ja-JP"/>
        </w:rPr>
        <w:t>ody' responsible for setting standards for meat for export under Regulation 3(1) of the Australian Meat and Livestock Industry (Export Licensing) Regulations 1998.</w:t>
      </w:r>
    </w:p>
    <w:p w14:paraId="7DA611D6" w14:textId="26183019" w:rsidR="001D095E" w:rsidRDefault="007B7971" w:rsidP="00E525A4">
      <w:pPr>
        <w:rPr>
          <w:lang w:eastAsia="ja-JP"/>
        </w:rPr>
      </w:pPr>
      <w:r>
        <w:rPr>
          <w:lang w:eastAsia="ja-JP"/>
        </w:rPr>
        <w:t>AUS-MEAT has two principle objectives in the red meat processing s</w:t>
      </w:r>
      <w:r w:rsidR="00853DFA">
        <w:rPr>
          <w:lang w:eastAsia="ja-JP"/>
        </w:rPr>
        <w:t>ector</w:t>
      </w:r>
      <w:r w:rsidR="008F20DE">
        <w:rPr>
          <w:lang w:eastAsia="ja-JP"/>
        </w:rPr>
        <w:t xml:space="preserve"> (AUS-MEAT 2019)</w:t>
      </w:r>
      <w:r>
        <w:rPr>
          <w:lang w:eastAsia="ja-JP"/>
        </w:rPr>
        <w:t>:</w:t>
      </w:r>
    </w:p>
    <w:p w14:paraId="6707429D" w14:textId="383CCA39" w:rsidR="001D095E" w:rsidRDefault="007B7971" w:rsidP="000A3E17">
      <w:pPr>
        <w:pStyle w:val="ListBullet"/>
        <w:rPr>
          <w:lang w:eastAsia="ja-JP"/>
        </w:rPr>
      </w:pPr>
      <w:r w:rsidRPr="00B1154A">
        <w:rPr>
          <w:lang w:eastAsia="ja-JP"/>
        </w:rPr>
        <w:t xml:space="preserve">The administration of red meat trade descriptions. Known as the AUS-MEAT </w:t>
      </w:r>
      <w:r w:rsidR="00CC6C73">
        <w:rPr>
          <w:lang w:eastAsia="ja-JP"/>
        </w:rPr>
        <w:t>L</w:t>
      </w:r>
      <w:r w:rsidRPr="00B1154A">
        <w:rPr>
          <w:lang w:eastAsia="ja-JP"/>
        </w:rPr>
        <w:t>anguage, this description</w:t>
      </w:r>
      <w:r>
        <w:rPr>
          <w:lang w:eastAsia="ja-JP"/>
        </w:rPr>
        <w:t xml:space="preserve"> system is managed by the Australian Meat Industry Language and Standards Committee (AMILSC). The committee, which comprises of industry representatives, controls trade descriptions and AUS-MEAT National Accreditation Standards requirements. The AUS-MEAT </w:t>
      </w:r>
      <w:r w:rsidR="00CC6C73">
        <w:rPr>
          <w:lang w:eastAsia="ja-JP"/>
        </w:rPr>
        <w:t>L</w:t>
      </w:r>
      <w:r>
        <w:rPr>
          <w:lang w:eastAsia="ja-JP"/>
        </w:rPr>
        <w:t>anguage is a standard way of describing meat products and has been widely adopted throughout the Australian meat processing sector to provide industry and customers with consistency for identifying and ordering meat products.</w:t>
      </w:r>
    </w:p>
    <w:p w14:paraId="1C937540" w14:textId="2506A8C6" w:rsidR="001D095E" w:rsidRDefault="007B7971" w:rsidP="000A3E17">
      <w:pPr>
        <w:pStyle w:val="ListBullet"/>
        <w:rPr>
          <w:lang w:eastAsia="ja-JP"/>
        </w:rPr>
      </w:pPr>
      <w:r>
        <w:rPr>
          <w:lang w:eastAsia="ja-JP"/>
        </w:rPr>
        <w:t xml:space="preserve">The management and administration of the AUS-MEAT </w:t>
      </w:r>
      <w:r w:rsidR="00CC6C73">
        <w:rPr>
          <w:lang w:eastAsia="ja-JP"/>
        </w:rPr>
        <w:t>N</w:t>
      </w:r>
      <w:r>
        <w:rPr>
          <w:lang w:eastAsia="ja-JP"/>
        </w:rPr>
        <w:t xml:space="preserve">ational </w:t>
      </w:r>
      <w:r w:rsidR="00CC6C73">
        <w:rPr>
          <w:lang w:eastAsia="ja-JP"/>
        </w:rPr>
        <w:t>A</w:t>
      </w:r>
      <w:r>
        <w:rPr>
          <w:lang w:eastAsia="ja-JP"/>
        </w:rPr>
        <w:t xml:space="preserve">ccreditation </w:t>
      </w:r>
      <w:r w:rsidR="00CC6C73">
        <w:rPr>
          <w:lang w:eastAsia="ja-JP"/>
        </w:rPr>
        <w:t>S</w:t>
      </w:r>
      <w:r>
        <w:rPr>
          <w:lang w:eastAsia="ja-JP"/>
        </w:rPr>
        <w:t>tandards (optional for domestic establishments)</w:t>
      </w:r>
      <w:r w:rsidR="00173FE3">
        <w:rPr>
          <w:lang w:eastAsia="ja-JP"/>
        </w:rPr>
        <w:t>,</w:t>
      </w:r>
      <w:r>
        <w:rPr>
          <w:lang w:eastAsia="ja-JP"/>
        </w:rPr>
        <w:t xml:space="preserve"> which is also controlled by AMILSC. The standards ensure the processor</w:t>
      </w:r>
      <w:r w:rsidR="00173FE3">
        <w:rPr>
          <w:lang w:eastAsia="ja-JP"/>
        </w:rPr>
        <w:t>’</w:t>
      </w:r>
      <w:r>
        <w:rPr>
          <w:lang w:eastAsia="ja-JP"/>
        </w:rPr>
        <w:t>s quality systems are independently audited and cover quality assurance procedures throughout every step of the process including handling, storage, processing and packaging. This ensures meat products are produced by trained staff and are monitored throughout the production process.</w:t>
      </w:r>
    </w:p>
    <w:p w14:paraId="6005E786" w14:textId="0B858395" w:rsidR="00E525A4" w:rsidRDefault="007B7971" w:rsidP="00AA7262">
      <w:pPr>
        <w:keepNext/>
        <w:keepLines/>
        <w:rPr>
          <w:lang w:eastAsia="ja-JP"/>
        </w:rPr>
      </w:pPr>
      <w:r>
        <w:rPr>
          <w:lang w:eastAsia="ja-JP"/>
        </w:rPr>
        <w:lastRenderedPageBreak/>
        <w:t>AUS-MEAT achieves this though the following two broad functions</w:t>
      </w:r>
      <w:r w:rsidR="00CC6C73">
        <w:rPr>
          <w:lang w:eastAsia="ja-JP"/>
        </w:rPr>
        <w:t xml:space="preserve"> </w:t>
      </w:r>
      <w:r w:rsidR="00CC6C73" w:rsidRPr="00CC6C73">
        <w:rPr>
          <w:lang w:eastAsia="ja-JP"/>
        </w:rPr>
        <w:t>as a commercial service provider  - provides auditing and certification services for a range of industry and commercial third-party certification scheme; and delivers nationally accredited training qualifications for auditors, carcase graders and quality assurance staff.</w:t>
      </w:r>
    </w:p>
    <w:p w14:paraId="2759C176" w14:textId="77777777" w:rsidR="0056240A" w:rsidRDefault="007B7971">
      <w:pPr>
        <w:pStyle w:val="Heading2"/>
        <w:rPr>
          <w:color w:val="auto"/>
        </w:rPr>
      </w:pPr>
      <w:bookmarkStart w:id="11" w:name="_Toc430782151"/>
      <w:bookmarkStart w:id="12" w:name="_Toc12958274"/>
      <w:r w:rsidRPr="009D119E">
        <w:rPr>
          <w:color w:val="auto"/>
        </w:rPr>
        <w:lastRenderedPageBreak/>
        <w:t>Findings</w:t>
      </w:r>
      <w:bookmarkEnd w:id="11"/>
      <w:bookmarkEnd w:id="12"/>
    </w:p>
    <w:p w14:paraId="395F9586" w14:textId="6153A06A" w:rsidR="001D095E" w:rsidRDefault="00893C3F" w:rsidP="009D119E">
      <w:pPr>
        <w:rPr>
          <w:lang w:eastAsia="ja-JP"/>
        </w:rPr>
      </w:pPr>
      <w:r>
        <w:rPr>
          <w:lang w:eastAsia="ja-JP"/>
        </w:rPr>
        <w:t>T</w:t>
      </w:r>
      <w:r w:rsidR="007B7971">
        <w:rPr>
          <w:lang w:eastAsia="ja-JP"/>
        </w:rPr>
        <w:t xml:space="preserve">he </w:t>
      </w:r>
      <w:r w:rsidR="000832BC">
        <w:rPr>
          <w:lang w:eastAsia="ja-JP"/>
        </w:rPr>
        <w:t xml:space="preserve">department </w:t>
      </w:r>
      <w:r w:rsidR="007B7971">
        <w:rPr>
          <w:lang w:eastAsia="ja-JP"/>
        </w:rPr>
        <w:t xml:space="preserve">understands that, while </w:t>
      </w:r>
      <w:r w:rsidR="00CE772C">
        <w:rPr>
          <w:lang w:eastAsia="ja-JP"/>
        </w:rPr>
        <w:t xml:space="preserve">the application of DEXA technology within the lamb processing sector is </w:t>
      </w:r>
      <w:r w:rsidR="007B7971">
        <w:rPr>
          <w:lang w:eastAsia="ja-JP"/>
        </w:rPr>
        <w:t xml:space="preserve">more advanced, </w:t>
      </w:r>
      <w:r w:rsidR="00CE772C">
        <w:rPr>
          <w:lang w:eastAsia="ja-JP"/>
        </w:rPr>
        <w:t xml:space="preserve">the </w:t>
      </w:r>
      <w:r w:rsidR="007B7971">
        <w:rPr>
          <w:lang w:eastAsia="ja-JP"/>
        </w:rPr>
        <w:t>beef processing sector is still in the developmental stage.</w:t>
      </w:r>
    </w:p>
    <w:p w14:paraId="22F7FE5D" w14:textId="029696CE" w:rsidR="009D119E" w:rsidRDefault="007B7971" w:rsidP="009D119E">
      <w:pPr>
        <w:rPr>
          <w:lang w:eastAsia="ja-JP"/>
        </w:rPr>
      </w:pPr>
      <w:r>
        <w:rPr>
          <w:lang w:eastAsia="ja-JP"/>
        </w:rPr>
        <w:t xml:space="preserve">Given the infancy of DEXA technology’s use in the red meat processing sector as a whole, the </w:t>
      </w:r>
      <w:r w:rsidR="000832BC">
        <w:rPr>
          <w:lang w:eastAsia="ja-JP"/>
        </w:rPr>
        <w:t>department</w:t>
      </w:r>
      <w:r>
        <w:rPr>
          <w:lang w:eastAsia="ja-JP"/>
        </w:rPr>
        <w:t xml:space="preserve"> has made several assumptions in relation to requirements for the rollout and ongoing use of the technology by the industry. The biggest assumption made is that a whole</w:t>
      </w:r>
      <w:r w:rsidR="00CE772C">
        <w:rPr>
          <w:lang w:eastAsia="ja-JP"/>
        </w:rPr>
        <w:t>-</w:t>
      </w:r>
      <w:r>
        <w:rPr>
          <w:lang w:eastAsia="ja-JP"/>
        </w:rPr>
        <w:t>of</w:t>
      </w:r>
      <w:r w:rsidR="00CE772C">
        <w:rPr>
          <w:lang w:eastAsia="ja-JP"/>
        </w:rPr>
        <w:t>-</w:t>
      </w:r>
      <w:r>
        <w:rPr>
          <w:lang w:eastAsia="ja-JP"/>
        </w:rPr>
        <w:t xml:space="preserve">industry </w:t>
      </w:r>
      <w:r w:rsidR="001D095E">
        <w:rPr>
          <w:lang w:eastAsia="ja-JP"/>
        </w:rPr>
        <w:t>rollout</w:t>
      </w:r>
      <w:r>
        <w:rPr>
          <w:lang w:eastAsia="ja-JP"/>
        </w:rPr>
        <w:t xml:space="preserve"> would occur. This is a decision for industry and will only occur if the technology is commercially viable.</w:t>
      </w:r>
    </w:p>
    <w:p w14:paraId="1EE5F09B" w14:textId="6624103C" w:rsidR="009D119E" w:rsidRDefault="007B7971" w:rsidP="009D119E">
      <w:pPr>
        <w:rPr>
          <w:lang w:eastAsia="ja-JP"/>
        </w:rPr>
      </w:pPr>
      <w:r>
        <w:rPr>
          <w:lang w:eastAsia="ja-JP"/>
        </w:rPr>
        <w:t xml:space="preserve">In line with industry best practice, the </w:t>
      </w:r>
      <w:r w:rsidR="000832BC">
        <w:rPr>
          <w:lang w:eastAsia="ja-JP"/>
        </w:rPr>
        <w:t>department</w:t>
      </w:r>
      <w:r>
        <w:rPr>
          <w:lang w:eastAsia="ja-JP"/>
        </w:rPr>
        <w:t xml:space="preserve"> has also assumed that prior to </w:t>
      </w:r>
      <w:r w:rsidR="001D095E">
        <w:rPr>
          <w:lang w:eastAsia="ja-JP"/>
        </w:rPr>
        <w:t>rollout</w:t>
      </w:r>
      <w:r>
        <w:rPr>
          <w:lang w:eastAsia="ja-JP"/>
        </w:rPr>
        <w:t xml:space="preserve">, the use of the technology would be validated and presented to AMILSC for consideration and integration into current standards. Upon approval, AMILSC would endorse operational practices for the </w:t>
      </w:r>
      <w:r w:rsidR="001D095E">
        <w:rPr>
          <w:lang w:eastAsia="ja-JP"/>
        </w:rPr>
        <w:t>rollout</w:t>
      </w:r>
      <w:r>
        <w:rPr>
          <w:lang w:eastAsia="ja-JP"/>
        </w:rPr>
        <w:t xml:space="preserve"> and ongoing use of the technology.</w:t>
      </w:r>
    </w:p>
    <w:p w14:paraId="764C3456" w14:textId="108FBEDF" w:rsidR="009D119E" w:rsidRDefault="007B7971" w:rsidP="009D119E">
      <w:pPr>
        <w:rPr>
          <w:lang w:eastAsia="ja-JP"/>
        </w:rPr>
      </w:pPr>
      <w:r>
        <w:rPr>
          <w:lang w:eastAsia="ja-JP"/>
        </w:rPr>
        <w:t xml:space="preserve">Consistent with other industry standards, the </w:t>
      </w:r>
      <w:r w:rsidR="000832BC">
        <w:rPr>
          <w:lang w:eastAsia="ja-JP"/>
        </w:rPr>
        <w:t>department</w:t>
      </w:r>
      <w:r>
        <w:rPr>
          <w:lang w:eastAsia="ja-JP"/>
        </w:rPr>
        <w:t xml:space="preserve"> concluded DEXA</w:t>
      </w:r>
      <w:r w:rsidR="00EA0385">
        <w:rPr>
          <w:lang w:eastAsia="ja-JP"/>
        </w:rPr>
        <w:t>-</w:t>
      </w:r>
      <w:r>
        <w:rPr>
          <w:lang w:eastAsia="ja-JP"/>
        </w:rPr>
        <w:t>related standards would include:</w:t>
      </w:r>
    </w:p>
    <w:p w14:paraId="6480B2C3" w14:textId="77777777" w:rsidR="009D119E" w:rsidRDefault="007B7971" w:rsidP="000A3E17">
      <w:pPr>
        <w:pStyle w:val="ListBullet"/>
        <w:rPr>
          <w:lang w:eastAsia="ja-JP"/>
        </w:rPr>
      </w:pPr>
      <w:r>
        <w:rPr>
          <w:lang w:eastAsia="ja-JP"/>
        </w:rPr>
        <w:t>identification of where the technology should be placed within the production line</w:t>
      </w:r>
    </w:p>
    <w:p w14:paraId="3856D5DB" w14:textId="77777777" w:rsidR="009D119E" w:rsidRDefault="007B7971" w:rsidP="000A3E17">
      <w:pPr>
        <w:pStyle w:val="ListBullet"/>
        <w:rPr>
          <w:lang w:eastAsia="ja-JP"/>
        </w:rPr>
      </w:pPr>
      <w:r>
        <w:rPr>
          <w:lang w:eastAsia="ja-JP"/>
        </w:rPr>
        <w:t>mandatory calibration practices, including the use of certified calibration density blocks</w:t>
      </w:r>
    </w:p>
    <w:p w14:paraId="7657056D" w14:textId="77777777" w:rsidR="001D095E" w:rsidRDefault="007B7971" w:rsidP="000A3E17">
      <w:pPr>
        <w:pStyle w:val="ListBullet"/>
        <w:rPr>
          <w:lang w:eastAsia="ja-JP"/>
        </w:rPr>
      </w:pPr>
      <w:r>
        <w:rPr>
          <w:lang w:eastAsia="ja-JP"/>
        </w:rPr>
        <w:t>use of a mandated algorithm</w:t>
      </w:r>
    </w:p>
    <w:p w14:paraId="037822C2" w14:textId="77777777" w:rsidR="009D119E" w:rsidRDefault="007B7971" w:rsidP="000A3E17">
      <w:pPr>
        <w:pStyle w:val="ListBullet"/>
        <w:rPr>
          <w:lang w:eastAsia="ja-JP"/>
        </w:rPr>
      </w:pPr>
      <w:r>
        <w:rPr>
          <w:lang w:eastAsia="ja-JP"/>
        </w:rPr>
        <w:t>identification of certified calibration density blocks</w:t>
      </w:r>
    </w:p>
    <w:p w14:paraId="32DA1F34" w14:textId="77777777" w:rsidR="009D119E" w:rsidRDefault="007B7971" w:rsidP="000A3E17">
      <w:pPr>
        <w:pStyle w:val="ListBullet"/>
        <w:rPr>
          <w:lang w:eastAsia="ja-JP"/>
        </w:rPr>
      </w:pPr>
      <w:r>
        <w:rPr>
          <w:lang w:eastAsia="ja-JP"/>
        </w:rPr>
        <w:t>training requirements</w:t>
      </w:r>
    </w:p>
    <w:p w14:paraId="74EBE69A" w14:textId="77777777" w:rsidR="009D119E" w:rsidRDefault="007B7971" w:rsidP="000A3E17">
      <w:pPr>
        <w:pStyle w:val="ListBullet"/>
        <w:rPr>
          <w:lang w:eastAsia="ja-JP"/>
        </w:rPr>
      </w:pPr>
      <w:r>
        <w:rPr>
          <w:lang w:eastAsia="ja-JP"/>
        </w:rPr>
        <w:t>frequency of inspections</w:t>
      </w:r>
    </w:p>
    <w:p w14:paraId="18FAA48C" w14:textId="77777777" w:rsidR="009D119E" w:rsidRDefault="007B7971" w:rsidP="000A3E17">
      <w:pPr>
        <w:pStyle w:val="ListBullet"/>
        <w:rPr>
          <w:lang w:eastAsia="ja-JP"/>
        </w:rPr>
      </w:pPr>
      <w:proofErr w:type="gramStart"/>
      <w:r>
        <w:rPr>
          <w:lang w:eastAsia="ja-JP"/>
        </w:rPr>
        <w:t>frequency</w:t>
      </w:r>
      <w:proofErr w:type="gramEnd"/>
      <w:r>
        <w:rPr>
          <w:lang w:eastAsia="ja-JP"/>
        </w:rPr>
        <w:t xml:space="preserve"> of audits.</w:t>
      </w:r>
    </w:p>
    <w:p w14:paraId="62875969" w14:textId="77777777" w:rsidR="009D119E" w:rsidRDefault="007B7971" w:rsidP="009D119E">
      <w:pPr>
        <w:rPr>
          <w:lang w:eastAsia="ja-JP"/>
        </w:rPr>
      </w:pPr>
      <w:r>
        <w:rPr>
          <w:lang w:eastAsia="ja-JP"/>
        </w:rPr>
        <w:t>It is also expected that the manufacturing of the technology would occur in line with an endorsed standard.</w:t>
      </w:r>
    </w:p>
    <w:p w14:paraId="7D7E0714" w14:textId="33B63542" w:rsidR="009D119E" w:rsidRDefault="007B7971" w:rsidP="009D119E">
      <w:pPr>
        <w:rPr>
          <w:lang w:eastAsia="ja-JP"/>
        </w:rPr>
      </w:pPr>
      <w:r>
        <w:rPr>
          <w:lang w:eastAsia="ja-JP"/>
        </w:rPr>
        <w:t xml:space="preserve">While this review is DEXA-centric, the </w:t>
      </w:r>
      <w:r w:rsidR="000832BC">
        <w:rPr>
          <w:lang w:eastAsia="ja-JP"/>
        </w:rPr>
        <w:t>department</w:t>
      </w:r>
      <w:r>
        <w:rPr>
          <w:lang w:eastAsia="ja-JP"/>
        </w:rPr>
        <w:t xml:space="preserve"> acknowledges that the industry may choose to </w:t>
      </w:r>
      <w:r w:rsidR="001D095E">
        <w:rPr>
          <w:lang w:eastAsia="ja-JP"/>
        </w:rPr>
        <w:t>rollout</w:t>
      </w:r>
      <w:r>
        <w:rPr>
          <w:lang w:eastAsia="ja-JP"/>
        </w:rPr>
        <w:t xml:space="preserve"> an alternat</w:t>
      </w:r>
      <w:r w:rsidR="00995F6E">
        <w:rPr>
          <w:lang w:eastAsia="ja-JP"/>
        </w:rPr>
        <w:t>iv</w:t>
      </w:r>
      <w:r>
        <w:rPr>
          <w:lang w:eastAsia="ja-JP"/>
        </w:rPr>
        <w:t xml:space="preserve">e OCM technology in the future. As a result, the </w:t>
      </w:r>
      <w:r w:rsidR="000832BC">
        <w:rPr>
          <w:lang w:eastAsia="ja-JP"/>
        </w:rPr>
        <w:t>department</w:t>
      </w:r>
      <w:r>
        <w:rPr>
          <w:lang w:eastAsia="ja-JP"/>
        </w:rPr>
        <w:t xml:space="preserve"> has undertaken the assessment of required roles for the implementation of DEXA technology in a way that could be transferable to any OCM technology.</w:t>
      </w:r>
    </w:p>
    <w:p w14:paraId="66E286B8" w14:textId="77777777" w:rsidR="009D119E" w:rsidRDefault="007B7971" w:rsidP="009D119E">
      <w:pPr>
        <w:pStyle w:val="Heading3"/>
        <w:rPr>
          <w:lang w:eastAsia="ja-JP"/>
        </w:rPr>
      </w:pPr>
      <w:bookmarkStart w:id="13" w:name="_Toc12958275"/>
      <w:r>
        <w:rPr>
          <w:lang w:eastAsia="ja-JP"/>
        </w:rPr>
        <w:t>Skills and capabilities</w:t>
      </w:r>
      <w:bookmarkEnd w:id="13"/>
    </w:p>
    <w:p w14:paraId="1B5735CF" w14:textId="7025F539" w:rsidR="009D119E" w:rsidRDefault="007B7971" w:rsidP="009D119E">
      <w:pPr>
        <w:rPr>
          <w:lang w:eastAsia="ja-JP"/>
        </w:rPr>
      </w:pPr>
      <w:r>
        <w:rPr>
          <w:lang w:eastAsia="ja-JP"/>
        </w:rPr>
        <w:t xml:space="preserve">Based on the outcomes of stakeholder consultations with key industry representatives, research bodies and technology experts, the </w:t>
      </w:r>
      <w:r w:rsidR="000832BC">
        <w:rPr>
          <w:lang w:eastAsia="ja-JP"/>
        </w:rPr>
        <w:t>department</w:t>
      </w:r>
      <w:r>
        <w:rPr>
          <w:lang w:eastAsia="ja-JP"/>
        </w:rPr>
        <w:t xml:space="preserve"> has determined that the skills and capabilities required to oversee the installation, inspection, calibration, replacement and quality assurance auditing processes of DEXA vary depending on the activity undertaken.</w:t>
      </w:r>
    </w:p>
    <w:p w14:paraId="7BB80E6D" w14:textId="7B3D7A26" w:rsidR="009D119E" w:rsidRDefault="007B7971" w:rsidP="00AA7262">
      <w:pPr>
        <w:keepNext/>
        <w:keepLines/>
        <w:rPr>
          <w:lang w:eastAsia="ja-JP"/>
        </w:rPr>
      </w:pPr>
      <w:r>
        <w:rPr>
          <w:lang w:eastAsia="ja-JP"/>
        </w:rPr>
        <w:lastRenderedPageBreak/>
        <w:t xml:space="preserve">The </w:t>
      </w:r>
      <w:r w:rsidR="000832BC">
        <w:rPr>
          <w:lang w:eastAsia="ja-JP"/>
        </w:rPr>
        <w:t>department</w:t>
      </w:r>
      <w:r>
        <w:rPr>
          <w:lang w:eastAsia="ja-JP"/>
        </w:rPr>
        <w:t xml:space="preserve"> has identified three different roles that would need to be filled:</w:t>
      </w:r>
    </w:p>
    <w:p w14:paraId="5F0E6FB2" w14:textId="01EEDFC8" w:rsidR="009D119E" w:rsidRPr="00B1154A" w:rsidRDefault="00CE772C" w:rsidP="00AA7262">
      <w:pPr>
        <w:pStyle w:val="ListBullet"/>
        <w:keepNext/>
        <w:keepLines/>
        <w:rPr>
          <w:lang w:eastAsia="ja-JP"/>
        </w:rPr>
      </w:pPr>
      <w:r w:rsidRPr="000A3E17">
        <w:rPr>
          <w:lang w:eastAsia="ja-JP"/>
        </w:rPr>
        <w:t>commercial service provider</w:t>
      </w:r>
    </w:p>
    <w:p w14:paraId="47DFE27F" w14:textId="77777777" w:rsidR="001D095E" w:rsidRDefault="001D095E" w:rsidP="00AA7262">
      <w:pPr>
        <w:pStyle w:val="ListBullet"/>
        <w:keepNext/>
        <w:keepLines/>
        <w:rPr>
          <w:lang w:eastAsia="ja-JP"/>
        </w:rPr>
      </w:pPr>
      <w:r w:rsidRPr="00B1154A">
        <w:rPr>
          <w:lang w:eastAsia="ja-JP"/>
        </w:rPr>
        <w:t>general</w:t>
      </w:r>
      <w:r>
        <w:rPr>
          <w:lang w:eastAsia="ja-JP"/>
        </w:rPr>
        <w:t xml:space="preserve"> manager</w:t>
      </w:r>
    </w:p>
    <w:p w14:paraId="7300EC03" w14:textId="0F6FDB59" w:rsidR="009D119E" w:rsidRDefault="00CE772C" w:rsidP="00AA7262">
      <w:pPr>
        <w:pStyle w:val="ListBullet"/>
        <w:keepNext/>
        <w:keepLines/>
        <w:rPr>
          <w:lang w:eastAsia="ja-JP"/>
        </w:rPr>
      </w:pPr>
      <w:proofErr w:type="gramStart"/>
      <w:r>
        <w:rPr>
          <w:lang w:eastAsia="ja-JP"/>
        </w:rPr>
        <w:t>quality</w:t>
      </w:r>
      <w:proofErr w:type="gramEnd"/>
      <w:r>
        <w:rPr>
          <w:lang w:eastAsia="ja-JP"/>
        </w:rPr>
        <w:t xml:space="preserve"> assurance auditor</w:t>
      </w:r>
      <w:r w:rsidR="007B7971">
        <w:rPr>
          <w:lang w:eastAsia="ja-JP"/>
        </w:rPr>
        <w:t>.</w:t>
      </w:r>
    </w:p>
    <w:p w14:paraId="056B330B" w14:textId="621F238B" w:rsidR="001D095E" w:rsidRDefault="007B7971" w:rsidP="009D119E">
      <w:pPr>
        <w:rPr>
          <w:lang w:eastAsia="ja-JP"/>
        </w:rPr>
      </w:pPr>
      <w:r>
        <w:rPr>
          <w:lang w:eastAsia="ja-JP"/>
        </w:rPr>
        <w:t xml:space="preserve">Although three different roles have been identified, the </w:t>
      </w:r>
      <w:r w:rsidR="000832BC">
        <w:rPr>
          <w:lang w:eastAsia="ja-JP"/>
        </w:rPr>
        <w:t>department</w:t>
      </w:r>
      <w:r>
        <w:rPr>
          <w:lang w:eastAsia="ja-JP"/>
        </w:rPr>
        <w:t>, supported by stakeholder feedback, considers that there is nothing limiting the ability of one organisation in undertaking multiple roles, as long as the organisation is able to demonstrate that it has the required skills, capabilities and level of independence associated with each role.</w:t>
      </w:r>
    </w:p>
    <w:p w14:paraId="7C91DB86" w14:textId="0CE311A7" w:rsidR="009D119E" w:rsidRDefault="007B7971" w:rsidP="009D119E">
      <w:pPr>
        <w:rPr>
          <w:lang w:eastAsia="ja-JP"/>
        </w:rPr>
      </w:pPr>
      <w:r>
        <w:rPr>
          <w:lang w:eastAsia="ja-JP"/>
        </w:rPr>
        <w:t xml:space="preserve">Ultimately, the decision of which organisation/s are to undertake each role is a decision for industry. If industry decides that different organisations are needed to provide different roles, </w:t>
      </w:r>
      <w:r w:rsidR="00995F6E">
        <w:rPr>
          <w:lang w:eastAsia="ja-JP"/>
        </w:rPr>
        <w:t xml:space="preserve">organisations </w:t>
      </w:r>
      <w:r>
        <w:rPr>
          <w:lang w:eastAsia="ja-JP"/>
        </w:rPr>
        <w:t xml:space="preserve">operate cohesively and </w:t>
      </w:r>
      <w:r w:rsidR="00995F6E">
        <w:rPr>
          <w:lang w:eastAsia="ja-JP"/>
        </w:rPr>
        <w:t>are</w:t>
      </w:r>
      <w:r>
        <w:rPr>
          <w:lang w:eastAsia="ja-JP"/>
        </w:rPr>
        <w:t xml:space="preserve"> well</w:t>
      </w:r>
      <w:r w:rsidR="00CE772C">
        <w:rPr>
          <w:lang w:eastAsia="ja-JP"/>
        </w:rPr>
        <w:t xml:space="preserve"> </w:t>
      </w:r>
      <w:r>
        <w:rPr>
          <w:lang w:eastAsia="ja-JP"/>
        </w:rPr>
        <w:t>integrated.</w:t>
      </w:r>
    </w:p>
    <w:p w14:paraId="029F9C2B" w14:textId="057702BE" w:rsidR="001D095E" w:rsidRPr="000A3E17" w:rsidRDefault="007B7971" w:rsidP="000A3E17">
      <w:pPr>
        <w:pStyle w:val="Heading4"/>
        <w:numPr>
          <w:ilvl w:val="0"/>
          <w:numId w:val="0"/>
        </w:numPr>
        <w:ind w:left="964" w:hanging="964"/>
        <w:rPr>
          <w:b w:val="0"/>
          <w:lang w:eastAsia="ja-JP"/>
        </w:rPr>
      </w:pPr>
      <w:r w:rsidRPr="00027EE0">
        <w:rPr>
          <w:lang w:eastAsia="ja-JP"/>
        </w:rPr>
        <w:t xml:space="preserve">Role 1: Commercial </w:t>
      </w:r>
      <w:r w:rsidR="00BA209A">
        <w:rPr>
          <w:lang w:eastAsia="ja-JP"/>
        </w:rPr>
        <w:t>s</w:t>
      </w:r>
      <w:r w:rsidRPr="00027EE0">
        <w:rPr>
          <w:lang w:eastAsia="ja-JP"/>
        </w:rPr>
        <w:t xml:space="preserve">ervice </w:t>
      </w:r>
      <w:r w:rsidR="00BA209A">
        <w:rPr>
          <w:lang w:eastAsia="ja-JP"/>
        </w:rPr>
        <w:t>p</w:t>
      </w:r>
      <w:r w:rsidRPr="00027EE0">
        <w:rPr>
          <w:lang w:eastAsia="ja-JP"/>
        </w:rPr>
        <w:t>rovider</w:t>
      </w:r>
    </w:p>
    <w:p w14:paraId="4036D418" w14:textId="41B0E467" w:rsidR="009D119E" w:rsidRPr="009D119E" w:rsidRDefault="007B7971" w:rsidP="000A3E17">
      <w:pPr>
        <w:pStyle w:val="Heading5"/>
        <w:rPr>
          <w:lang w:eastAsia="ja-JP"/>
        </w:rPr>
      </w:pPr>
      <w:r w:rsidRPr="000A3E17">
        <w:rPr>
          <w:lang w:eastAsia="ja-JP"/>
        </w:rPr>
        <w:t>Definition</w:t>
      </w:r>
    </w:p>
    <w:p w14:paraId="12737896" w14:textId="57380833" w:rsidR="009D119E" w:rsidRDefault="007B7971" w:rsidP="009D119E">
      <w:pPr>
        <w:rPr>
          <w:lang w:eastAsia="ja-JP"/>
        </w:rPr>
      </w:pPr>
      <w:r>
        <w:rPr>
          <w:lang w:eastAsia="ja-JP"/>
        </w:rPr>
        <w:t xml:space="preserve">The </w:t>
      </w:r>
      <w:r w:rsidR="00CE772C">
        <w:rPr>
          <w:lang w:eastAsia="ja-JP"/>
        </w:rPr>
        <w:t>commercial service provider</w:t>
      </w:r>
      <w:r>
        <w:rPr>
          <w:lang w:eastAsia="ja-JP"/>
        </w:rPr>
        <w:t xml:space="preserve"> would be responsible for manufacturing DEXA machinery and supporting equipment. It would also be in the remit of the </w:t>
      </w:r>
      <w:r w:rsidR="00CE772C">
        <w:rPr>
          <w:lang w:eastAsia="ja-JP"/>
        </w:rPr>
        <w:t>commercial service provider</w:t>
      </w:r>
      <w:r>
        <w:rPr>
          <w:lang w:eastAsia="ja-JP"/>
        </w:rPr>
        <w:t xml:space="preserve"> to ensure consistent installation of the technology in line with AMILSC requirements. </w:t>
      </w:r>
      <w:r w:rsidR="00EA0385">
        <w:rPr>
          <w:lang w:eastAsia="ja-JP"/>
        </w:rPr>
        <w:t>T</w:t>
      </w:r>
      <w:r>
        <w:rPr>
          <w:lang w:eastAsia="ja-JP"/>
        </w:rPr>
        <w:t xml:space="preserve">he </w:t>
      </w:r>
      <w:r w:rsidR="00CE772C">
        <w:rPr>
          <w:lang w:eastAsia="ja-JP"/>
        </w:rPr>
        <w:t>commercial service provider</w:t>
      </w:r>
      <w:r>
        <w:rPr>
          <w:lang w:eastAsia="ja-JP"/>
        </w:rPr>
        <w:t xml:space="preserve"> would </w:t>
      </w:r>
      <w:r w:rsidR="00EA0385">
        <w:rPr>
          <w:lang w:eastAsia="ja-JP"/>
        </w:rPr>
        <w:t xml:space="preserve">also </w:t>
      </w:r>
      <w:r>
        <w:rPr>
          <w:lang w:eastAsia="ja-JP"/>
        </w:rPr>
        <w:t>be required to certify equipment upon installation, undertake initial calibration and have capacity for scheduled maintenance and replacement of the equipment over the lifetime of the technology.</w:t>
      </w:r>
    </w:p>
    <w:p w14:paraId="72E5D121" w14:textId="1B9F664B" w:rsidR="009D119E" w:rsidRPr="009D119E" w:rsidRDefault="007B7971" w:rsidP="000A3E17">
      <w:pPr>
        <w:pStyle w:val="Heading5"/>
        <w:rPr>
          <w:lang w:eastAsia="ja-JP"/>
        </w:rPr>
      </w:pPr>
      <w:r w:rsidRPr="000A3E17">
        <w:rPr>
          <w:lang w:eastAsia="ja-JP"/>
        </w:rPr>
        <w:t>Skills capabilities and supporting resources required</w:t>
      </w:r>
    </w:p>
    <w:p w14:paraId="7594D97E" w14:textId="4D2415F3" w:rsidR="009D119E" w:rsidRDefault="007B7971" w:rsidP="009D119E">
      <w:pPr>
        <w:rPr>
          <w:lang w:eastAsia="ja-JP"/>
        </w:rPr>
      </w:pPr>
      <w:r>
        <w:rPr>
          <w:lang w:eastAsia="ja-JP"/>
        </w:rPr>
        <w:t xml:space="preserve">The </w:t>
      </w:r>
      <w:r w:rsidR="00CE772C">
        <w:rPr>
          <w:lang w:eastAsia="ja-JP"/>
        </w:rPr>
        <w:t>commercial service provider</w:t>
      </w:r>
      <w:r>
        <w:rPr>
          <w:lang w:eastAsia="ja-JP"/>
        </w:rPr>
        <w:t xml:space="preserve"> should possess the following skills, capabilities and resources:</w:t>
      </w:r>
    </w:p>
    <w:p w14:paraId="6A68B660" w14:textId="77777777" w:rsidR="009D119E" w:rsidRDefault="007B7971" w:rsidP="000A3E17">
      <w:pPr>
        <w:pStyle w:val="ListBullet"/>
        <w:rPr>
          <w:lang w:eastAsia="ja-JP"/>
        </w:rPr>
      </w:pPr>
      <w:r>
        <w:rPr>
          <w:lang w:eastAsia="ja-JP"/>
        </w:rPr>
        <w:t>ability to manufacture/source manufactured technology in line with relevant AMILSC requirements</w:t>
      </w:r>
    </w:p>
    <w:p w14:paraId="4E29679A" w14:textId="77777777" w:rsidR="009D119E" w:rsidRDefault="007B7971" w:rsidP="000A3E17">
      <w:pPr>
        <w:pStyle w:val="ListBullet"/>
        <w:rPr>
          <w:lang w:eastAsia="ja-JP"/>
        </w:rPr>
      </w:pPr>
      <w:r>
        <w:rPr>
          <w:lang w:eastAsia="ja-JP"/>
        </w:rPr>
        <w:t>technical knowledge and qualifications required for installation and maintenance</w:t>
      </w:r>
    </w:p>
    <w:p w14:paraId="257859E9" w14:textId="77777777" w:rsidR="009D119E" w:rsidRDefault="007B7971" w:rsidP="000A3E17">
      <w:pPr>
        <w:pStyle w:val="ListBullet"/>
        <w:rPr>
          <w:lang w:eastAsia="ja-JP"/>
        </w:rPr>
      </w:pPr>
      <w:r>
        <w:rPr>
          <w:lang w:eastAsia="ja-JP"/>
        </w:rPr>
        <w:t>ability to undertake initial calibration of the technology in line with relevant standards</w:t>
      </w:r>
    </w:p>
    <w:p w14:paraId="151E06C1" w14:textId="77777777" w:rsidR="009D119E" w:rsidRDefault="007B7971" w:rsidP="000A3E17">
      <w:pPr>
        <w:pStyle w:val="ListBullet"/>
        <w:rPr>
          <w:lang w:eastAsia="ja-JP"/>
        </w:rPr>
      </w:pPr>
      <w:r>
        <w:rPr>
          <w:lang w:eastAsia="ja-JP"/>
        </w:rPr>
        <w:t>strong technical knowledge of DEXA equipment</w:t>
      </w:r>
    </w:p>
    <w:p w14:paraId="3BF5DC0D" w14:textId="77777777" w:rsidR="001D095E" w:rsidRDefault="007B7971" w:rsidP="000A3E17">
      <w:pPr>
        <w:pStyle w:val="ListBullet"/>
        <w:rPr>
          <w:lang w:eastAsia="ja-JP"/>
        </w:rPr>
      </w:pPr>
      <w:r>
        <w:rPr>
          <w:lang w:eastAsia="ja-JP"/>
        </w:rPr>
        <w:t>ability to certify technology in line with a national accreditation standard</w:t>
      </w:r>
    </w:p>
    <w:p w14:paraId="6207B291" w14:textId="77777777" w:rsidR="009D119E" w:rsidRDefault="007B7971" w:rsidP="000A3E17">
      <w:pPr>
        <w:pStyle w:val="ListBullet"/>
        <w:rPr>
          <w:lang w:eastAsia="ja-JP"/>
        </w:rPr>
      </w:pPr>
      <w:proofErr w:type="gramStart"/>
      <w:r>
        <w:rPr>
          <w:lang w:eastAsia="ja-JP"/>
        </w:rPr>
        <w:t>sufficient</w:t>
      </w:r>
      <w:proofErr w:type="gramEnd"/>
      <w:r>
        <w:rPr>
          <w:lang w:eastAsia="ja-JP"/>
        </w:rPr>
        <w:t xml:space="preserve"> staff to undertake maintenance and replacement.</w:t>
      </w:r>
    </w:p>
    <w:p w14:paraId="5C5A4854" w14:textId="7C6AE8C9" w:rsidR="009D119E" w:rsidRPr="009D119E" w:rsidRDefault="007B7971" w:rsidP="000A3E17">
      <w:pPr>
        <w:pStyle w:val="Heading4"/>
        <w:numPr>
          <w:ilvl w:val="0"/>
          <w:numId w:val="0"/>
        </w:numPr>
        <w:ind w:left="964" w:hanging="964"/>
        <w:rPr>
          <w:lang w:eastAsia="ja-JP"/>
        </w:rPr>
      </w:pPr>
      <w:r w:rsidRPr="00027EE0">
        <w:rPr>
          <w:lang w:eastAsia="ja-JP"/>
        </w:rPr>
        <w:t xml:space="preserve">Role 2: </w:t>
      </w:r>
      <w:r w:rsidR="00BA209A">
        <w:rPr>
          <w:lang w:eastAsia="ja-JP"/>
        </w:rPr>
        <w:t>G</w:t>
      </w:r>
      <w:r w:rsidR="001D095E" w:rsidRPr="00027EE0">
        <w:rPr>
          <w:lang w:eastAsia="ja-JP"/>
        </w:rPr>
        <w:t xml:space="preserve">eneral </w:t>
      </w:r>
      <w:proofErr w:type="gramStart"/>
      <w:r w:rsidR="001D095E" w:rsidRPr="00027EE0">
        <w:rPr>
          <w:lang w:eastAsia="ja-JP"/>
        </w:rPr>
        <w:t>manager</w:t>
      </w:r>
      <w:proofErr w:type="gramEnd"/>
    </w:p>
    <w:p w14:paraId="0E95AEB0" w14:textId="77777777" w:rsidR="009D119E" w:rsidRPr="009D119E" w:rsidRDefault="007B7971" w:rsidP="000A3E17">
      <w:pPr>
        <w:pStyle w:val="Heading5"/>
        <w:rPr>
          <w:lang w:eastAsia="ja-JP"/>
        </w:rPr>
      </w:pPr>
      <w:r w:rsidRPr="000A3E17">
        <w:rPr>
          <w:lang w:eastAsia="ja-JP"/>
        </w:rPr>
        <w:t>Definition</w:t>
      </w:r>
    </w:p>
    <w:p w14:paraId="1F5B4632" w14:textId="77777777" w:rsidR="009D119E" w:rsidRDefault="007B7971" w:rsidP="009D119E">
      <w:pPr>
        <w:rPr>
          <w:lang w:eastAsia="ja-JP"/>
        </w:rPr>
      </w:pPr>
      <w:r>
        <w:rPr>
          <w:lang w:eastAsia="ja-JP"/>
        </w:rPr>
        <w:t xml:space="preserve">The </w:t>
      </w:r>
      <w:r w:rsidR="001D095E">
        <w:rPr>
          <w:lang w:eastAsia="ja-JP"/>
        </w:rPr>
        <w:t>general manager</w:t>
      </w:r>
      <w:r>
        <w:rPr>
          <w:lang w:eastAsia="ja-JP"/>
        </w:rPr>
        <w:t xml:space="preserve"> would be responsible for overseeing the ongoing use of DEXA in processing facilities, including maintaining a centralised record management system that identifies which facilities have the technology installed, certification status of the facility and a register of calibration density blocks issued to each facility, including when they were last audited. The </w:t>
      </w:r>
      <w:r w:rsidR="001D095E">
        <w:rPr>
          <w:lang w:eastAsia="ja-JP"/>
        </w:rPr>
        <w:t>general manager</w:t>
      </w:r>
      <w:r>
        <w:rPr>
          <w:lang w:eastAsia="ja-JP"/>
        </w:rPr>
        <w:t xml:space="preserve"> would also be responsible for initially certifying and distributing calibration density blocks required under AMILSC endorsed standards.</w:t>
      </w:r>
    </w:p>
    <w:p w14:paraId="0BA09EBF" w14:textId="77777777" w:rsidR="009D119E" w:rsidRDefault="007B7971" w:rsidP="009D119E">
      <w:pPr>
        <w:rPr>
          <w:lang w:eastAsia="ja-JP"/>
        </w:rPr>
      </w:pPr>
      <w:r>
        <w:rPr>
          <w:lang w:eastAsia="ja-JP"/>
        </w:rPr>
        <w:t xml:space="preserve">The </w:t>
      </w:r>
      <w:r w:rsidR="001D095E">
        <w:rPr>
          <w:lang w:eastAsia="ja-JP"/>
        </w:rPr>
        <w:t>general manager</w:t>
      </w:r>
      <w:r>
        <w:rPr>
          <w:lang w:eastAsia="ja-JP"/>
        </w:rPr>
        <w:t xml:space="preserve"> would be expected to undertake the inspection of processing facilities to ensure onsite management and operation of DEXA machinery complies with AMILSC standards and industry best practice documentation.</w:t>
      </w:r>
    </w:p>
    <w:p w14:paraId="2BF6A9CE" w14:textId="77777777" w:rsidR="001D095E" w:rsidRDefault="007B7971" w:rsidP="009D119E">
      <w:pPr>
        <w:rPr>
          <w:lang w:eastAsia="ja-JP"/>
        </w:rPr>
      </w:pPr>
      <w:r>
        <w:rPr>
          <w:lang w:eastAsia="ja-JP"/>
        </w:rPr>
        <w:lastRenderedPageBreak/>
        <w:t xml:space="preserve">It is likely that the </w:t>
      </w:r>
      <w:r w:rsidR="001D095E">
        <w:rPr>
          <w:lang w:eastAsia="ja-JP"/>
        </w:rPr>
        <w:t>general manager</w:t>
      </w:r>
      <w:r>
        <w:rPr>
          <w:lang w:eastAsia="ja-JP"/>
        </w:rPr>
        <w:t xml:space="preserve"> would be expected to deliver relevant training to align with AMILSC endorsed training packages. It is also likely that ongoing assessment of operational staff would be required to ensure their skills remain current.</w:t>
      </w:r>
    </w:p>
    <w:p w14:paraId="30DD01F4" w14:textId="77777777" w:rsidR="009D119E" w:rsidRDefault="007B7971" w:rsidP="009D119E">
      <w:pPr>
        <w:rPr>
          <w:lang w:eastAsia="ja-JP"/>
        </w:rPr>
      </w:pPr>
      <w:r>
        <w:rPr>
          <w:lang w:eastAsia="ja-JP"/>
        </w:rPr>
        <w:t xml:space="preserve">The </w:t>
      </w:r>
      <w:r w:rsidR="001D095E">
        <w:rPr>
          <w:lang w:eastAsia="ja-JP"/>
        </w:rPr>
        <w:t>general manager</w:t>
      </w:r>
      <w:r>
        <w:rPr>
          <w:lang w:eastAsia="ja-JP"/>
        </w:rPr>
        <w:t xml:space="preserve"> would also be expected to be the central contact person for any inquiries about how the technology is used. In the event that a producer or processor wanted to dispute carcase measurements obtained through the use of DEXA, it would be the role of the </w:t>
      </w:r>
      <w:r w:rsidR="001D095E">
        <w:rPr>
          <w:lang w:eastAsia="ja-JP"/>
        </w:rPr>
        <w:t>general manager</w:t>
      </w:r>
      <w:r>
        <w:rPr>
          <w:lang w:eastAsia="ja-JP"/>
        </w:rPr>
        <w:t xml:space="preserve"> to:</w:t>
      </w:r>
    </w:p>
    <w:p w14:paraId="29A0B75F" w14:textId="2C715B3C" w:rsidR="009D119E" w:rsidRDefault="007B7971" w:rsidP="00F762B3">
      <w:pPr>
        <w:pStyle w:val="ListParagraph"/>
        <w:numPr>
          <w:ilvl w:val="0"/>
          <w:numId w:val="15"/>
        </w:numPr>
        <w:rPr>
          <w:lang w:eastAsia="ja-JP"/>
        </w:rPr>
      </w:pPr>
      <w:r>
        <w:rPr>
          <w:lang w:eastAsia="ja-JP"/>
        </w:rPr>
        <w:t>undertake a review into onsite practices to ensure calibration and machinery operation were undertaken in line with accreditation standards</w:t>
      </w:r>
    </w:p>
    <w:p w14:paraId="15A7872A" w14:textId="77777777" w:rsidR="009D119E" w:rsidRDefault="007B7971" w:rsidP="00F762B3">
      <w:pPr>
        <w:pStyle w:val="ListParagraph"/>
        <w:numPr>
          <w:ilvl w:val="0"/>
          <w:numId w:val="15"/>
        </w:numPr>
        <w:rPr>
          <w:lang w:eastAsia="ja-JP"/>
        </w:rPr>
      </w:pPr>
      <w:proofErr w:type="gramStart"/>
      <w:r>
        <w:rPr>
          <w:lang w:eastAsia="ja-JP"/>
        </w:rPr>
        <w:t>provide</w:t>
      </w:r>
      <w:proofErr w:type="gramEnd"/>
      <w:r>
        <w:rPr>
          <w:lang w:eastAsia="ja-JP"/>
        </w:rPr>
        <w:t xml:space="preserve"> information to the parties involved regarding carcase grading and classification standards.</w:t>
      </w:r>
    </w:p>
    <w:p w14:paraId="56F90CF4" w14:textId="77777777" w:rsidR="009D119E" w:rsidRDefault="007B7971" w:rsidP="009D119E">
      <w:pPr>
        <w:rPr>
          <w:lang w:eastAsia="ja-JP"/>
        </w:rPr>
      </w:pPr>
      <w:r>
        <w:rPr>
          <w:lang w:eastAsia="ja-JP"/>
        </w:rPr>
        <w:t xml:space="preserve">If a dispute was to be taken further by a producer or processor, this would be resolved through other commercial litigation avenues and would not be the responsibility of the </w:t>
      </w:r>
      <w:r w:rsidR="001D095E">
        <w:rPr>
          <w:lang w:eastAsia="ja-JP"/>
        </w:rPr>
        <w:t>general manager</w:t>
      </w:r>
      <w:r>
        <w:rPr>
          <w:lang w:eastAsia="ja-JP"/>
        </w:rPr>
        <w:t>.</w:t>
      </w:r>
    </w:p>
    <w:p w14:paraId="2B72DD69" w14:textId="77777777" w:rsidR="009D119E" w:rsidRPr="009D119E" w:rsidRDefault="007B7971" w:rsidP="000A3E17">
      <w:pPr>
        <w:pStyle w:val="Heading5"/>
        <w:rPr>
          <w:lang w:eastAsia="ja-JP"/>
        </w:rPr>
      </w:pPr>
      <w:r w:rsidRPr="000A3E17">
        <w:rPr>
          <w:lang w:eastAsia="ja-JP"/>
        </w:rPr>
        <w:t>Skills, capabilities and supporting resources</w:t>
      </w:r>
    </w:p>
    <w:p w14:paraId="70A4C6C7" w14:textId="6B981129" w:rsidR="009D119E" w:rsidRDefault="007B7971" w:rsidP="009D119E">
      <w:pPr>
        <w:rPr>
          <w:lang w:eastAsia="ja-JP"/>
        </w:rPr>
      </w:pPr>
      <w:r>
        <w:rPr>
          <w:lang w:eastAsia="ja-JP"/>
        </w:rPr>
        <w:t xml:space="preserve">The </w:t>
      </w:r>
      <w:r w:rsidR="001D095E">
        <w:rPr>
          <w:lang w:eastAsia="ja-JP"/>
        </w:rPr>
        <w:t>general manager</w:t>
      </w:r>
      <w:r w:rsidR="00EA0385">
        <w:rPr>
          <w:lang w:eastAsia="ja-JP"/>
        </w:rPr>
        <w:t>’s</w:t>
      </w:r>
      <w:r>
        <w:rPr>
          <w:lang w:eastAsia="ja-JP"/>
        </w:rPr>
        <w:t xml:space="preserve"> key skills and experiences</w:t>
      </w:r>
      <w:r w:rsidR="00EA0385">
        <w:rPr>
          <w:lang w:eastAsia="ja-JP"/>
        </w:rPr>
        <w:t xml:space="preserve"> will need to include</w:t>
      </w:r>
      <w:r>
        <w:rPr>
          <w:lang w:eastAsia="ja-JP"/>
        </w:rPr>
        <w:t>:</w:t>
      </w:r>
    </w:p>
    <w:p w14:paraId="7C6AC4FD" w14:textId="77777777" w:rsidR="001D095E" w:rsidRDefault="007B7971" w:rsidP="000A3E17">
      <w:pPr>
        <w:pStyle w:val="ListBullet"/>
        <w:rPr>
          <w:lang w:eastAsia="ja-JP"/>
        </w:rPr>
      </w:pPr>
      <w:r>
        <w:rPr>
          <w:lang w:eastAsia="ja-JP"/>
        </w:rPr>
        <w:t>strong understanding of relevant AMILSC endorsed standards and of how to assess compliance against a standard</w:t>
      </w:r>
    </w:p>
    <w:p w14:paraId="27141220" w14:textId="77777777" w:rsidR="009D119E" w:rsidRDefault="007B7971" w:rsidP="000A3E17">
      <w:pPr>
        <w:pStyle w:val="ListBullet"/>
        <w:rPr>
          <w:lang w:eastAsia="ja-JP"/>
        </w:rPr>
      </w:pPr>
      <w:r>
        <w:rPr>
          <w:lang w:eastAsia="ja-JP"/>
        </w:rPr>
        <w:t>ability to undertake general inspection of the facility and how it uses the technology to ensure it is compliant with AMILSC endorsed standards and best practice</w:t>
      </w:r>
    </w:p>
    <w:p w14:paraId="480824F9" w14:textId="77777777" w:rsidR="009D119E" w:rsidRDefault="007B7971" w:rsidP="000A3E17">
      <w:pPr>
        <w:pStyle w:val="ListBullet"/>
        <w:rPr>
          <w:lang w:eastAsia="ja-JP"/>
        </w:rPr>
      </w:pPr>
      <w:r>
        <w:rPr>
          <w:lang w:eastAsia="ja-JP"/>
        </w:rPr>
        <w:t>experience in inspecting equipment in line with an AMILSC endorsed standard</w:t>
      </w:r>
    </w:p>
    <w:p w14:paraId="7B7F4C01" w14:textId="77777777" w:rsidR="009D119E" w:rsidRDefault="007B7971" w:rsidP="000A3E17">
      <w:pPr>
        <w:pStyle w:val="ListBullet"/>
        <w:rPr>
          <w:lang w:eastAsia="ja-JP"/>
        </w:rPr>
      </w:pPr>
      <w:r>
        <w:rPr>
          <w:lang w:eastAsia="ja-JP"/>
        </w:rPr>
        <w:t>ability to ensure consistent practices are implemented across businesses, including consistent calibration in line with an industry standard</w:t>
      </w:r>
    </w:p>
    <w:p w14:paraId="5D93C39D" w14:textId="77777777" w:rsidR="001D095E" w:rsidRDefault="007B7971" w:rsidP="000A3E17">
      <w:pPr>
        <w:pStyle w:val="ListBullet"/>
        <w:rPr>
          <w:lang w:eastAsia="ja-JP"/>
        </w:rPr>
      </w:pPr>
      <w:r>
        <w:rPr>
          <w:lang w:eastAsia="ja-JP"/>
        </w:rPr>
        <w:t>ability to certify and distribute density calibration blocks</w:t>
      </w:r>
    </w:p>
    <w:p w14:paraId="08C4449E" w14:textId="77777777" w:rsidR="009D119E" w:rsidRDefault="007B7971" w:rsidP="000A3E17">
      <w:pPr>
        <w:pStyle w:val="ListBullet"/>
        <w:rPr>
          <w:lang w:eastAsia="ja-JP"/>
        </w:rPr>
      </w:pPr>
      <w:r>
        <w:rPr>
          <w:lang w:eastAsia="ja-JP"/>
        </w:rPr>
        <w:t>strong understanding of DEXA technology and how it will be used</w:t>
      </w:r>
    </w:p>
    <w:p w14:paraId="6C89080F" w14:textId="77777777" w:rsidR="001D095E" w:rsidRDefault="007B7971" w:rsidP="000A3E17">
      <w:pPr>
        <w:pStyle w:val="ListBullet"/>
        <w:rPr>
          <w:lang w:eastAsia="ja-JP"/>
        </w:rPr>
      </w:pPr>
      <w:r>
        <w:rPr>
          <w:lang w:eastAsia="ja-JP"/>
        </w:rPr>
        <w:t>ability to maintain and store records</w:t>
      </w:r>
    </w:p>
    <w:p w14:paraId="60071D29" w14:textId="77777777" w:rsidR="001D095E" w:rsidRDefault="007B7971" w:rsidP="000A3E17">
      <w:pPr>
        <w:pStyle w:val="ListBullet"/>
        <w:rPr>
          <w:lang w:eastAsia="ja-JP"/>
        </w:rPr>
      </w:pPr>
      <w:r>
        <w:rPr>
          <w:lang w:eastAsia="ja-JP"/>
        </w:rPr>
        <w:t>ability to track and keep records of inspection outcomes</w:t>
      </w:r>
    </w:p>
    <w:p w14:paraId="0BF69586" w14:textId="77777777" w:rsidR="009D119E" w:rsidRDefault="007B7971" w:rsidP="000A3E17">
      <w:pPr>
        <w:pStyle w:val="ListBullet"/>
        <w:rPr>
          <w:lang w:eastAsia="ja-JP"/>
        </w:rPr>
      </w:pPr>
      <w:r>
        <w:rPr>
          <w:lang w:eastAsia="ja-JP"/>
        </w:rPr>
        <w:t>ability to generate reports and document facility results</w:t>
      </w:r>
    </w:p>
    <w:p w14:paraId="0DD2F12D" w14:textId="77777777" w:rsidR="009D119E" w:rsidRDefault="007B7971" w:rsidP="000A3E17">
      <w:pPr>
        <w:pStyle w:val="ListBullet"/>
        <w:rPr>
          <w:lang w:eastAsia="ja-JP"/>
        </w:rPr>
      </w:pPr>
      <w:r>
        <w:rPr>
          <w:lang w:eastAsia="ja-JP"/>
        </w:rPr>
        <w:t>ability to communicate technical information to users</w:t>
      </w:r>
    </w:p>
    <w:p w14:paraId="707B075D" w14:textId="77777777" w:rsidR="009D119E" w:rsidRDefault="007B7971" w:rsidP="000A3E17">
      <w:pPr>
        <w:pStyle w:val="ListBullet"/>
        <w:rPr>
          <w:lang w:eastAsia="ja-JP"/>
        </w:rPr>
      </w:pPr>
      <w:r>
        <w:rPr>
          <w:lang w:eastAsia="ja-JP"/>
        </w:rPr>
        <w:t>ability to deliver relevant training to align with AMILSC endorsed training packages</w:t>
      </w:r>
    </w:p>
    <w:p w14:paraId="3AD66795" w14:textId="77777777" w:rsidR="001D095E" w:rsidRDefault="007B7971" w:rsidP="000A3E17">
      <w:pPr>
        <w:pStyle w:val="ListBullet"/>
        <w:rPr>
          <w:lang w:eastAsia="ja-JP"/>
        </w:rPr>
      </w:pPr>
      <w:r>
        <w:rPr>
          <w:lang w:eastAsia="ja-JP"/>
        </w:rPr>
        <w:t>ability to demonstrate independence from processors and producers</w:t>
      </w:r>
    </w:p>
    <w:p w14:paraId="4E508F14" w14:textId="77777777" w:rsidR="001D095E" w:rsidRDefault="007B7971" w:rsidP="000A3E17">
      <w:pPr>
        <w:pStyle w:val="ListBullet"/>
        <w:rPr>
          <w:lang w:eastAsia="ja-JP"/>
        </w:rPr>
      </w:pPr>
      <w:r>
        <w:rPr>
          <w:lang w:eastAsia="ja-JP"/>
        </w:rPr>
        <w:t>ability to investigate and come to a resolution on DEXA carcase measurement disputes</w:t>
      </w:r>
    </w:p>
    <w:p w14:paraId="038DC4D7" w14:textId="43D73866" w:rsidR="009D119E" w:rsidRDefault="007B7971" w:rsidP="000A3E17">
      <w:pPr>
        <w:pStyle w:val="ListBullet"/>
        <w:rPr>
          <w:lang w:eastAsia="ja-JP"/>
        </w:rPr>
      </w:pPr>
      <w:proofErr w:type="gramStart"/>
      <w:r>
        <w:rPr>
          <w:lang w:eastAsia="ja-JP"/>
        </w:rPr>
        <w:t>relevant</w:t>
      </w:r>
      <w:proofErr w:type="gramEnd"/>
      <w:r>
        <w:rPr>
          <w:lang w:eastAsia="ja-JP"/>
        </w:rPr>
        <w:t xml:space="preserve"> occupational health &amp; safety accreditation.</w:t>
      </w:r>
    </w:p>
    <w:p w14:paraId="70C52606" w14:textId="0ECF9702" w:rsidR="001D095E" w:rsidRPr="000A3E17" w:rsidRDefault="007B7971" w:rsidP="000A3E17">
      <w:pPr>
        <w:pStyle w:val="Heading4"/>
        <w:numPr>
          <w:ilvl w:val="0"/>
          <w:numId w:val="0"/>
        </w:numPr>
        <w:ind w:left="964" w:hanging="964"/>
        <w:rPr>
          <w:b w:val="0"/>
          <w:lang w:eastAsia="ja-JP"/>
        </w:rPr>
      </w:pPr>
      <w:r w:rsidRPr="00027EE0">
        <w:rPr>
          <w:lang w:eastAsia="ja-JP"/>
        </w:rPr>
        <w:t xml:space="preserve">Role 3: Quality </w:t>
      </w:r>
      <w:r w:rsidR="00BA209A">
        <w:rPr>
          <w:lang w:eastAsia="ja-JP"/>
        </w:rPr>
        <w:t>a</w:t>
      </w:r>
      <w:r w:rsidRPr="00027EE0">
        <w:rPr>
          <w:lang w:eastAsia="ja-JP"/>
        </w:rPr>
        <w:t xml:space="preserve">ssurance </w:t>
      </w:r>
      <w:r w:rsidR="00BA209A">
        <w:rPr>
          <w:lang w:eastAsia="ja-JP"/>
        </w:rPr>
        <w:t>a</w:t>
      </w:r>
      <w:r w:rsidRPr="00027EE0">
        <w:rPr>
          <w:lang w:eastAsia="ja-JP"/>
        </w:rPr>
        <w:t>uditor</w:t>
      </w:r>
    </w:p>
    <w:p w14:paraId="56509DAD" w14:textId="77777777" w:rsidR="009D119E" w:rsidRPr="009D119E" w:rsidRDefault="007B7971" w:rsidP="000A3E17">
      <w:pPr>
        <w:pStyle w:val="Heading5"/>
        <w:rPr>
          <w:lang w:eastAsia="ja-JP"/>
        </w:rPr>
      </w:pPr>
      <w:r w:rsidRPr="000A3E17">
        <w:rPr>
          <w:lang w:eastAsia="ja-JP"/>
        </w:rPr>
        <w:t>Definition</w:t>
      </w:r>
    </w:p>
    <w:p w14:paraId="6DBDEC75" w14:textId="6B45D48A" w:rsidR="001D095E" w:rsidRDefault="007B7971" w:rsidP="009D119E">
      <w:pPr>
        <w:rPr>
          <w:lang w:eastAsia="ja-JP"/>
        </w:rPr>
      </w:pPr>
      <w:r>
        <w:rPr>
          <w:lang w:eastAsia="ja-JP"/>
        </w:rPr>
        <w:t xml:space="preserve">The </w:t>
      </w:r>
      <w:r w:rsidR="00EA0385">
        <w:rPr>
          <w:lang w:eastAsia="ja-JP"/>
        </w:rPr>
        <w:t xml:space="preserve">quality assurance auditor </w:t>
      </w:r>
      <w:r>
        <w:rPr>
          <w:lang w:eastAsia="ja-JP"/>
        </w:rPr>
        <w:t>would be responsible for undertaking audits to ensure machinery is calibrated correctly, most likely through auditing calibration density blocks</w:t>
      </w:r>
      <w:r w:rsidR="00995F6E">
        <w:rPr>
          <w:lang w:eastAsia="ja-JP"/>
        </w:rPr>
        <w:t xml:space="preserve"> and verifying </w:t>
      </w:r>
      <w:r w:rsidR="00995F6E">
        <w:rPr>
          <w:lang w:eastAsia="ja-JP"/>
        </w:rPr>
        <w:lastRenderedPageBreak/>
        <w:t>records</w:t>
      </w:r>
      <w:r>
        <w:rPr>
          <w:lang w:eastAsia="ja-JP"/>
        </w:rPr>
        <w:t xml:space="preserve">. The </w:t>
      </w:r>
      <w:r w:rsidR="00EA0385">
        <w:rPr>
          <w:lang w:eastAsia="ja-JP"/>
        </w:rPr>
        <w:t xml:space="preserve">auditor </w:t>
      </w:r>
      <w:r>
        <w:rPr>
          <w:lang w:eastAsia="ja-JP"/>
        </w:rPr>
        <w:t xml:space="preserve">would be expected to report audit outcomes back to the </w:t>
      </w:r>
      <w:r w:rsidR="001D095E">
        <w:rPr>
          <w:lang w:eastAsia="ja-JP"/>
        </w:rPr>
        <w:t>general manager</w:t>
      </w:r>
      <w:r>
        <w:rPr>
          <w:lang w:eastAsia="ja-JP"/>
        </w:rPr>
        <w:t xml:space="preserve"> for central record keeping.</w:t>
      </w:r>
    </w:p>
    <w:p w14:paraId="2A2532F3" w14:textId="68BDE7C8" w:rsidR="001D095E" w:rsidRDefault="007B7971" w:rsidP="009D119E">
      <w:pPr>
        <w:rPr>
          <w:lang w:eastAsia="ja-JP"/>
        </w:rPr>
      </w:pPr>
      <w:r>
        <w:rPr>
          <w:lang w:eastAsia="ja-JP"/>
        </w:rPr>
        <w:t xml:space="preserve">If a discrepancy was to be identified through an audit by the </w:t>
      </w:r>
      <w:r w:rsidR="00EA0385">
        <w:rPr>
          <w:lang w:eastAsia="ja-JP"/>
        </w:rPr>
        <w:t>auditor</w:t>
      </w:r>
      <w:r>
        <w:rPr>
          <w:lang w:eastAsia="ja-JP"/>
        </w:rPr>
        <w:t xml:space="preserve">, it would be the responsibility of the facility to rectify the discrepancy. Depending on the severity of the discrepancy, the </w:t>
      </w:r>
      <w:r w:rsidR="00EA0385">
        <w:rPr>
          <w:lang w:eastAsia="ja-JP"/>
        </w:rPr>
        <w:t xml:space="preserve">auditor </w:t>
      </w:r>
      <w:r>
        <w:rPr>
          <w:lang w:eastAsia="ja-JP"/>
        </w:rPr>
        <w:t>would have the authority to revoke certification of the machinery until the discrepancy was rectified.</w:t>
      </w:r>
    </w:p>
    <w:p w14:paraId="70206439" w14:textId="37E705E9" w:rsidR="009D119E" w:rsidRDefault="007B7971" w:rsidP="009D119E">
      <w:pPr>
        <w:rPr>
          <w:lang w:eastAsia="ja-JP"/>
        </w:rPr>
      </w:pPr>
      <w:r>
        <w:rPr>
          <w:lang w:eastAsia="ja-JP"/>
        </w:rPr>
        <w:t xml:space="preserve">Auditing frequency by the </w:t>
      </w:r>
      <w:r w:rsidR="00EA0385">
        <w:rPr>
          <w:lang w:eastAsia="ja-JP"/>
        </w:rPr>
        <w:t xml:space="preserve">quality assurance auditor </w:t>
      </w:r>
      <w:r>
        <w:rPr>
          <w:lang w:eastAsia="ja-JP"/>
        </w:rPr>
        <w:t xml:space="preserve">would be stipulated by the AMILSC; however, it is unlikely to align with inspections of facility operational practices (undertaken by the </w:t>
      </w:r>
      <w:r w:rsidR="001D095E">
        <w:rPr>
          <w:lang w:eastAsia="ja-JP"/>
        </w:rPr>
        <w:t>general manager</w:t>
      </w:r>
      <w:r>
        <w:rPr>
          <w:lang w:eastAsia="ja-JP"/>
        </w:rPr>
        <w:t xml:space="preserve">). </w:t>
      </w:r>
      <w:r w:rsidR="00EA0385">
        <w:rPr>
          <w:lang w:eastAsia="ja-JP"/>
        </w:rPr>
        <w:t>Because of</w:t>
      </w:r>
      <w:r>
        <w:rPr>
          <w:lang w:eastAsia="ja-JP"/>
        </w:rPr>
        <w:t xml:space="preserve"> the technical skills required for the audit and assessment of DEXA, the required skillset of the </w:t>
      </w:r>
      <w:r w:rsidR="00EA0385">
        <w:rPr>
          <w:lang w:eastAsia="ja-JP"/>
        </w:rPr>
        <w:t>auditor</w:t>
      </w:r>
      <w:r w:rsidR="00EA0385" w:rsidDel="00EA0385">
        <w:rPr>
          <w:lang w:eastAsia="ja-JP"/>
        </w:rPr>
        <w:t xml:space="preserve"> </w:t>
      </w:r>
      <w:r>
        <w:rPr>
          <w:lang w:eastAsia="ja-JP"/>
        </w:rPr>
        <w:t>would be specific to the technology.</w:t>
      </w:r>
    </w:p>
    <w:p w14:paraId="25B1D7A5" w14:textId="77777777" w:rsidR="001D095E" w:rsidRDefault="007B7971" w:rsidP="000A3E17">
      <w:pPr>
        <w:pStyle w:val="Heading5"/>
        <w:rPr>
          <w:lang w:eastAsia="ja-JP"/>
        </w:rPr>
      </w:pPr>
      <w:r w:rsidRPr="000A3E17">
        <w:rPr>
          <w:lang w:eastAsia="ja-JP"/>
        </w:rPr>
        <w:t>Skills, capabilities and supporting resources</w:t>
      </w:r>
    </w:p>
    <w:p w14:paraId="32AA8F03" w14:textId="411B626B" w:rsidR="009D119E" w:rsidRDefault="007B7971" w:rsidP="009D119E">
      <w:pPr>
        <w:rPr>
          <w:lang w:eastAsia="ja-JP"/>
        </w:rPr>
      </w:pPr>
      <w:r>
        <w:rPr>
          <w:lang w:eastAsia="ja-JP"/>
        </w:rPr>
        <w:t xml:space="preserve">The </w:t>
      </w:r>
      <w:r w:rsidR="00EA0385">
        <w:rPr>
          <w:lang w:eastAsia="ja-JP"/>
        </w:rPr>
        <w:t xml:space="preserve">quality assurance auditor’s </w:t>
      </w:r>
      <w:r>
        <w:rPr>
          <w:lang w:eastAsia="ja-JP"/>
        </w:rPr>
        <w:t>skills, capabilities and resources</w:t>
      </w:r>
      <w:r w:rsidR="00EA0385">
        <w:rPr>
          <w:lang w:eastAsia="ja-JP"/>
        </w:rPr>
        <w:t xml:space="preserve"> will need to include</w:t>
      </w:r>
      <w:r>
        <w:rPr>
          <w:lang w:eastAsia="ja-JP"/>
        </w:rPr>
        <w:t>:</w:t>
      </w:r>
    </w:p>
    <w:p w14:paraId="543D3729" w14:textId="77777777" w:rsidR="009D119E" w:rsidRDefault="007B7971" w:rsidP="000A3E17">
      <w:pPr>
        <w:pStyle w:val="ListBullet"/>
        <w:rPr>
          <w:lang w:eastAsia="ja-JP"/>
        </w:rPr>
      </w:pPr>
      <w:r>
        <w:rPr>
          <w:lang w:eastAsia="ja-JP"/>
        </w:rPr>
        <w:t>strong understanding of the auditing process</w:t>
      </w:r>
    </w:p>
    <w:p w14:paraId="4B7A0E43" w14:textId="77777777" w:rsidR="009D119E" w:rsidRDefault="007B7971" w:rsidP="000A3E17">
      <w:pPr>
        <w:pStyle w:val="ListBullet"/>
        <w:rPr>
          <w:lang w:eastAsia="ja-JP"/>
        </w:rPr>
      </w:pPr>
      <w:r>
        <w:rPr>
          <w:lang w:eastAsia="ja-JP"/>
        </w:rPr>
        <w:t>experience in successfully auditing technology against an AMILSC endorsed standard</w:t>
      </w:r>
    </w:p>
    <w:p w14:paraId="24820F89" w14:textId="77777777" w:rsidR="009D119E" w:rsidRDefault="007B7971" w:rsidP="000A3E17">
      <w:pPr>
        <w:pStyle w:val="ListBullet"/>
        <w:rPr>
          <w:lang w:eastAsia="ja-JP"/>
        </w:rPr>
      </w:pPr>
      <w:r>
        <w:rPr>
          <w:lang w:eastAsia="ja-JP"/>
        </w:rPr>
        <w:t>ability to certify against the industry standards</w:t>
      </w:r>
    </w:p>
    <w:p w14:paraId="2C9AC387" w14:textId="77777777" w:rsidR="001D095E" w:rsidRDefault="007B7971" w:rsidP="000A3E17">
      <w:pPr>
        <w:pStyle w:val="ListBullet"/>
        <w:rPr>
          <w:lang w:eastAsia="ja-JP"/>
        </w:rPr>
      </w:pPr>
      <w:r>
        <w:rPr>
          <w:lang w:eastAsia="ja-JP"/>
        </w:rPr>
        <w:t>ability to track and keep records of auditing outcomes</w:t>
      </w:r>
    </w:p>
    <w:p w14:paraId="484BD3D4" w14:textId="77777777" w:rsidR="009D119E" w:rsidRDefault="007B7971" w:rsidP="000A3E17">
      <w:pPr>
        <w:pStyle w:val="ListBullet"/>
        <w:rPr>
          <w:lang w:eastAsia="ja-JP"/>
        </w:rPr>
      </w:pPr>
      <w:r>
        <w:rPr>
          <w:lang w:eastAsia="ja-JP"/>
        </w:rPr>
        <w:t xml:space="preserve">ability to transmit information through reports to the </w:t>
      </w:r>
      <w:r w:rsidR="001D095E">
        <w:rPr>
          <w:lang w:eastAsia="ja-JP"/>
        </w:rPr>
        <w:t>general manager</w:t>
      </w:r>
    </w:p>
    <w:p w14:paraId="200A584A" w14:textId="77777777" w:rsidR="009D119E" w:rsidRDefault="007B7971" w:rsidP="000A3E17">
      <w:pPr>
        <w:pStyle w:val="ListBullet"/>
        <w:rPr>
          <w:lang w:eastAsia="ja-JP"/>
        </w:rPr>
      </w:pPr>
      <w:r>
        <w:rPr>
          <w:lang w:eastAsia="ja-JP"/>
        </w:rPr>
        <w:t>access to the equipment required to independently audit the DEXA machinery/equipment</w:t>
      </w:r>
    </w:p>
    <w:p w14:paraId="47E9D46B" w14:textId="529B6CC0" w:rsidR="009D119E" w:rsidRDefault="007B7971" w:rsidP="000A3E17">
      <w:pPr>
        <w:pStyle w:val="ListBullet"/>
        <w:rPr>
          <w:lang w:eastAsia="ja-JP"/>
        </w:rPr>
      </w:pPr>
      <w:proofErr w:type="gramStart"/>
      <w:r>
        <w:rPr>
          <w:lang w:eastAsia="ja-JP"/>
        </w:rPr>
        <w:t>relevant</w:t>
      </w:r>
      <w:proofErr w:type="gramEnd"/>
      <w:r>
        <w:rPr>
          <w:lang w:eastAsia="ja-JP"/>
        </w:rPr>
        <w:t xml:space="preserve"> occupational health &amp; safety accreditation.</w:t>
      </w:r>
    </w:p>
    <w:p w14:paraId="7086D5EC" w14:textId="77777777" w:rsidR="009D119E" w:rsidRDefault="007B7971" w:rsidP="009D119E">
      <w:pPr>
        <w:pStyle w:val="Heading3"/>
        <w:rPr>
          <w:lang w:eastAsia="ja-JP"/>
        </w:rPr>
      </w:pPr>
      <w:bookmarkStart w:id="14" w:name="_Toc12958276"/>
      <w:r>
        <w:rPr>
          <w:lang w:eastAsia="ja-JP"/>
        </w:rPr>
        <w:t>Assessment of AUS-MEAT</w:t>
      </w:r>
      <w:bookmarkEnd w:id="14"/>
    </w:p>
    <w:p w14:paraId="7FC9C2C1" w14:textId="562FBB0F" w:rsidR="005572FF" w:rsidRDefault="007B7971" w:rsidP="000A3E17">
      <w:pPr>
        <w:pStyle w:val="Heading4"/>
        <w:numPr>
          <w:ilvl w:val="0"/>
          <w:numId w:val="0"/>
        </w:numPr>
        <w:rPr>
          <w:lang w:eastAsia="ja-JP"/>
        </w:rPr>
      </w:pPr>
      <w:r w:rsidRPr="00027EE0">
        <w:rPr>
          <w:lang w:eastAsia="ja-JP"/>
        </w:rPr>
        <w:t xml:space="preserve">Role 1: Commercial </w:t>
      </w:r>
      <w:r w:rsidR="00BA209A">
        <w:rPr>
          <w:lang w:eastAsia="ja-JP"/>
        </w:rPr>
        <w:t>s</w:t>
      </w:r>
      <w:r w:rsidRPr="00027EE0">
        <w:rPr>
          <w:lang w:eastAsia="ja-JP"/>
        </w:rPr>
        <w:t xml:space="preserve">ervice </w:t>
      </w:r>
      <w:r w:rsidR="00BA209A">
        <w:rPr>
          <w:lang w:eastAsia="ja-JP"/>
        </w:rPr>
        <w:t>p</w:t>
      </w:r>
      <w:r w:rsidRPr="00027EE0">
        <w:rPr>
          <w:lang w:eastAsia="ja-JP"/>
        </w:rPr>
        <w:t>rovider</w:t>
      </w:r>
    </w:p>
    <w:p w14:paraId="7A416869" w14:textId="5FA372BF" w:rsidR="001D095E" w:rsidRDefault="007B7971" w:rsidP="009D119E">
      <w:pPr>
        <w:rPr>
          <w:lang w:eastAsia="ja-JP"/>
        </w:rPr>
      </w:pPr>
      <w:r>
        <w:rPr>
          <w:lang w:eastAsia="ja-JP"/>
        </w:rPr>
        <w:t xml:space="preserve">In assessing AUS-MEAT against the criteria of </w:t>
      </w:r>
      <w:r w:rsidR="00CE772C">
        <w:rPr>
          <w:lang w:eastAsia="ja-JP"/>
        </w:rPr>
        <w:t>commercial service provider</w:t>
      </w:r>
      <w:r>
        <w:rPr>
          <w:lang w:eastAsia="ja-JP"/>
        </w:rPr>
        <w:t>, it became evident that AUS-MEAT did not have experience in manufacturing and installing technology equivalent to DEXA. Although AUS-MEAT has previously manufactured the colour grading cards and distributes the computers used for Onsite Correlation and Practice Program (</w:t>
      </w:r>
      <w:proofErr w:type="spellStart"/>
      <w:r>
        <w:rPr>
          <w:lang w:eastAsia="ja-JP"/>
        </w:rPr>
        <w:t>OsCap</w:t>
      </w:r>
      <w:proofErr w:type="spellEnd"/>
      <w:r>
        <w:rPr>
          <w:lang w:eastAsia="ja-JP"/>
        </w:rPr>
        <w:t>), the technical skills and qualifications required to install, initially calibrate and maintain DEXA technology are considered far more specialised.</w:t>
      </w:r>
    </w:p>
    <w:p w14:paraId="3A4F7F8D" w14:textId="1C75FA3B" w:rsidR="009D119E" w:rsidRDefault="007B7971" w:rsidP="009D119E">
      <w:pPr>
        <w:rPr>
          <w:lang w:eastAsia="ja-JP"/>
        </w:rPr>
      </w:pPr>
      <w:r>
        <w:rPr>
          <w:lang w:eastAsia="ja-JP"/>
        </w:rPr>
        <w:t xml:space="preserve">However, AUS-MEAT’s extensive experience in auditing different operational practices within the red meat sector and its engagement on </w:t>
      </w:r>
      <w:proofErr w:type="spellStart"/>
      <w:r>
        <w:rPr>
          <w:lang w:eastAsia="ja-JP"/>
        </w:rPr>
        <w:t>ALMTech’s</w:t>
      </w:r>
      <w:proofErr w:type="spellEnd"/>
      <w:r>
        <w:rPr>
          <w:lang w:eastAsia="ja-JP"/>
        </w:rPr>
        <w:t xml:space="preserve"> ICWG led the </w:t>
      </w:r>
      <w:r w:rsidR="006602ED">
        <w:rPr>
          <w:lang w:eastAsia="ja-JP"/>
        </w:rPr>
        <w:t>department</w:t>
      </w:r>
      <w:r>
        <w:rPr>
          <w:lang w:eastAsia="ja-JP"/>
        </w:rPr>
        <w:t xml:space="preserve"> to conclude that AUS-MEAT would be able to demonstrate a strong understanding of the technology and certify the technology in line with an AMILSC endorsed standard.</w:t>
      </w:r>
    </w:p>
    <w:p w14:paraId="16DD245C" w14:textId="1FDCC3D9" w:rsidR="005572FF" w:rsidRDefault="007B7971" w:rsidP="009D119E">
      <w:pPr>
        <w:rPr>
          <w:lang w:eastAsia="ja-JP"/>
        </w:rPr>
      </w:pPr>
      <w:r>
        <w:rPr>
          <w:lang w:eastAsia="ja-JP"/>
        </w:rPr>
        <w:t xml:space="preserve">The </w:t>
      </w:r>
      <w:r w:rsidR="006602ED">
        <w:rPr>
          <w:lang w:eastAsia="ja-JP"/>
        </w:rPr>
        <w:t>department</w:t>
      </w:r>
      <w:r>
        <w:rPr>
          <w:lang w:eastAsia="ja-JP"/>
        </w:rPr>
        <w:t xml:space="preserve"> also considered AUS-MEAT’s current role and remit and whether the role of Commercial Service Provided aligned with this. The </w:t>
      </w:r>
      <w:r w:rsidR="006602ED">
        <w:rPr>
          <w:lang w:eastAsia="ja-JP"/>
        </w:rPr>
        <w:t>department</w:t>
      </w:r>
      <w:r>
        <w:rPr>
          <w:lang w:eastAsia="ja-JP"/>
        </w:rPr>
        <w:t xml:space="preserve"> concluded that AUS-MEAT’s limited jurisdiction, as outlined in the National Accreditation Standards, would limit its ability to operate successfully as a </w:t>
      </w:r>
      <w:r w:rsidR="00CE772C">
        <w:rPr>
          <w:lang w:eastAsia="ja-JP"/>
        </w:rPr>
        <w:t>commercial service provider</w:t>
      </w:r>
      <w:r>
        <w:rPr>
          <w:lang w:eastAsia="ja-JP"/>
        </w:rPr>
        <w:t xml:space="preserve"> and would risk its ability to maintain transparency and mitigate any potential conflicts of interest.</w:t>
      </w:r>
    </w:p>
    <w:p w14:paraId="3CC8929F" w14:textId="32216D55" w:rsidR="009D119E" w:rsidRDefault="007B7971" w:rsidP="009D119E">
      <w:pPr>
        <w:rPr>
          <w:lang w:eastAsia="ja-JP"/>
        </w:rPr>
      </w:pPr>
      <w:r>
        <w:rPr>
          <w:lang w:eastAsia="ja-JP"/>
        </w:rPr>
        <w:t xml:space="preserve">Overall the </w:t>
      </w:r>
      <w:r w:rsidR="006602ED">
        <w:rPr>
          <w:lang w:eastAsia="ja-JP"/>
        </w:rPr>
        <w:t>department</w:t>
      </w:r>
      <w:r>
        <w:rPr>
          <w:lang w:eastAsia="ja-JP"/>
        </w:rPr>
        <w:t xml:space="preserve"> is of the view that AUS-MEAT does not currently have the skills, capabilities and staff required to undertake the role of the </w:t>
      </w:r>
      <w:r w:rsidR="00CE772C">
        <w:rPr>
          <w:lang w:eastAsia="ja-JP"/>
        </w:rPr>
        <w:t>commercial service provider</w:t>
      </w:r>
      <w:r>
        <w:rPr>
          <w:lang w:eastAsia="ja-JP"/>
        </w:rPr>
        <w:t xml:space="preserve">. </w:t>
      </w:r>
      <w:r>
        <w:rPr>
          <w:lang w:eastAsia="ja-JP"/>
        </w:rPr>
        <w:lastRenderedPageBreak/>
        <w:t xml:space="preserve">However, the </w:t>
      </w:r>
      <w:r w:rsidR="006602ED">
        <w:rPr>
          <w:lang w:eastAsia="ja-JP"/>
        </w:rPr>
        <w:t>department</w:t>
      </w:r>
      <w:r>
        <w:rPr>
          <w:lang w:eastAsia="ja-JP"/>
        </w:rPr>
        <w:t xml:space="preserve"> acknowledges that if AUS-MEAT was directed to undertake this role, past performance suggests that it has the structural resources required to successfully expand its remit and capabilities to undertake a new role.</w:t>
      </w:r>
    </w:p>
    <w:p w14:paraId="75ADB640" w14:textId="7CA04381" w:rsidR="009D119E" w:rsidRPr="009D119E" w:rsidRDefault="007B7971" w:rsidP="000A3E17">
      <w:pPr>
        <w:pStyle w:val="Heading4"/>
        <w:numPr>
          <w:ilvl w:val="0"/>
          <w:numId w:val="0"/>
        </w:numPr>
        <w:ind w:left="964" w:hanging="964"/>
        <w:rPr>
          <w:lang w:eastAsia="ja-JP"/>
        </w:rPr>
      </w:pPr>
      <w:r w:rsidRPr="00027EE0">
        <w:rPr>
          <w:lang w:eastAsia="ja-JP"/>
        </w:rPr>
        <w:t>Role 2:</w:t>
      </w:r>
      <w:r w:rsidR="001D095E" w:rsidRPr="00027EE0">
        <w:rPr>
          <w:lang w:eastAsia="ja-JP"/>
        </w:rPr>
        <w:t xml:space="preserve"> </w:t>
      </w:r>
      <w:r w:rsidR="00BA209A">
        <w:rPr>
          <w:lang w:eastAsia="ja-JP"/>
        </w:rPr>
        <w:t>G</w:t>
      </w:r>
      <w:r w:rsidR="001D095E" w:rsidRPr="00027EE0">
        <w:rPr>
          <w:lang w:eastAsia="ja-JP"/>
        </w:rPr>
        <w:t xml:space="preserve">eneral </w:t>
      </w:r>
      <w:proofErr w:type="gramStart"/>
      <w:r w:rsidR="001D095E" w:rsidRPr="00027EE0">
        <w:rPr>
          <w:lang w:eastAsia="ja-JP"/>
        </w:rPr>
        <w:t>manager</w:t>
      </w:r>
      <w:proofErr w:type="gramEnd"/>
    </w:p>
    <w:p w14:paraId="2435A2F2" w14:textId="1AFF8812" w:rsidR="001D095E" w:rsidRDefault="007B7971" w:rsidP="009D119E">
      <w:pPr>
        <w:rPr>
          <w:lang w:eastAsia="ja-JP"/>
        </w:rPr>
      </w:pPr>
      <w:r>
        <w:rPr>
          <w:lang w:eastAsia="ja-JP"/>
        </w:rPr>
        <w:t xml:space="preserve">In assessing AUS-MEAT against the criteria of </w:t>
      </w:r>
      <w:r w:rsidR="001D095E">
        <w:rPr>
          <w:lang w:eastAsia="ja-JP"/>
        </w:rPr>
        <w:t>general manager</w:t>
      </w:r>
      <w:r>
        <w:rPr>
          <w:lang w:eastAsia="ja-JP"/>
        </w:rPr>
        <w:t xml:space="preserve">, the </w:t>
      </w:r>
      <w:r w:rsidR="006602ED">
        <w:rPr>
          <w:lang w:eastAsia="ja-JP"/>
        </w:rPr>
        <w:t>department</w:t>
      </w:r>
      <w:r>
        <w:rPr>
          <w:lang w:eastAsia="ja-JP"/>
        </w:rPr>
        <w:t xml:space="preserve"> assessed what skills and capabilities AUS-MEAT currently holds in comparison with the skills and capabilities identified to fulfil the </w:t>
      </w:r>
      <w:r w:rsidR="001D095E">
        <w:rPr>
          <w:lang w:eastAsia="ja-JP"/>
        </w:rPr>
        <w:t>general manager</w:t>
      </w:r>
      <w:r>
        <w:rPr>
          <w:lang w:eastAsia="ja-JP"/>
        </w:rPr>
        <w:t xml:space="preserve"> role. The </w:t>
      </w:r>
      <w:r w:rsidR="006602ED">
        <w:rPr>
          <w:lang w:eastAsia="ja-JP"/>
        </w:rPr>
        <w:t>department</w:t>
      </w:r>
      <w:r>
        <w:rPr>
          <w:lang w:eastAsia="ja-JP"/>
        </w:rPr>
        <w:t xml:space="preserve"> also considered the two overarching objectives of AUS-MEAT.</w:t>
      </w:r>
    </w:p>
    <w:p w14:paraId="38B8F4C2" w14:textId="5813EA56" w:rsidR="009D119E" w:rsidRDefault="007B7971" w:rsidP="009D119E">
      <w:pPr>
        <w:rPr>
          <w:lang w:eastAsia="ja-JP"/>
        </w:rPr>
      </w:pPr>
      <w:r>
        <w:rPr>
          <w:lang w:eastAsia="ja-JP"/>
        </w:rPr>
        <w:t xml:space="preserve">AUS-MEAT currently accredits export processing facilities in accordance to the Meat and Live-Stock Industry Act 1997 (the Act). In line with the requirements of the Act, AUS-MEAT undertakes intermittent inspections of facilities to ensure that their practices comply with an approved </w:t>
      </w:r>
      <w:r w:rsidR="001D095E">
        <w:rPr>
          <w:lang w:eastAsia="ja-JP"/>
        </w:rPr>
        <w:t>quality management system</w:t>
      </w:r>
      <w:r>
        <w:rPr>
          <w:lang w:eastAsia="ja-JP"/>
        </w:rPr>
        <w:t xml:space="preserve">. An example is the mandatory use of the Chiller Assessment Language by exporting facilities. Taking this into consideration, the </w:t>
      </w:r>
      <w:r w:rsidR="006602ED">
        <w:rPr>
          <w:lang w:eastAsia="ja-JP"/>
        </w:rPr>
        <w:t>department</w:t>
      </w:r>
      <w:r>
        <w:rPr>
          <w:lang w:eastAsia="ja-JP"/>
        </w:rPr>
        <w:t xml:space="preserve"> concluded that AUS-MEAT has general inspection experience and a strong understanding of current AMILSC standards.</w:t>
      </w:r>
    </w:p>
    <w:p w14:paraId="2A927DF6" w14:textId="77777777" w:rsidR="009D119E" w:rsidRDefault="007B7971" w:rsidP="009D119E">
      <w:pPr>
        <w:rPr>
          <w:lang w:eastAsia="ja-JP"/>
        </w:rPr>
      </w:pPr>
      <w:r>
        <w:rPr>
          <w:lang w:eastAsia="ja-JP"/>
        </w:rPr>
        <w:t>The National Accreditation Standards stipulate which measuring instruments can be used within a processing facility. Part of AUS-MEAT’s current role is to ensure that processing facilities are utilising compliant measuring instruments. This role demonstrates AUS-MEAT’s experience in inspecting equipment in line with an industry standard and its ability to ensure consistent practices are implemented across businesses.</w:t>
      </w:r>
    </w:p>
    <w:p w14:paraId="50F704C8" w14:textId="77777777" w:rsidR="009D119E" w:rsidRDefault="007B7971" w:rsidP="009D119E">
      <w:pPr>
        <w:rPr>
          <w:lang w:eastAsia="ja-JP"/>
        </w:rPr>
      </w:pPr>
      <w:r>
        <w:rPr>
          <w:lang w:eastAsia="ja-JP"/>
        </w:rPr>
        <w:t xml:space="preserve">With reference to calibration, AUS-MEAT was able to demonstrate its experience in ensuring correct calibration of weights and measures used within processing facilities as well as in the mandatory calibration requirements of the </w:t>
      </w:r>
      <w:proofErr w:type="spellStart"/>
      <w:r>
        <w:rPr>
          <w:lang w:eastAsia="ja-JP"/>
        </w:rPr>
        <w:t>OsCap</w:t>
      </w:r>
      <w:proofErr w:type="spellEnd"/>
      <w:r>
        <w:rPr>
          <w:lang w:eastAsia="ja-JP"/>
        </w:rPr>
        <w:t xml:space="preserve"> system which it distributes, monitors and maintains.</w:t>
      </w:r>
    </w:p>
    <w:p w14:paraId="2F7F5243" w14:textId="0F11D03E" w:rsidR="009D119E" w:rsidRDefault="007B7971" w:rsidP="009D119E">
      <w:pPr>
        <w:rPr>
          <w:lang w:eastAsia="ja-JP"/>
        </w:rPr>
      </w:pPr>
      <w:r>
        <w:rPr>
          <w:lang w:eastAsia="ja-JP"/>
        </w:rPr>
        <w:t xml:space="preserve">AUS-MEAT’s successful distribution of colour grading cards and computers used for </w:t>
      </w:r>
      <w:proofErr w:type="spellStart"/>
      <w:r>
        <w:rPr>
          <w:lang w:eastAsia="ja-JP"/>
        </w:rPr>
        <w:t>OsCap</w:t>
      </w:r>
      <w:proofErr w:type="spellEnd"/>
      <w:r>
        <w:rPr>
          <w:lang w:eastAsia="ja-JP"/>
        </w:rPr>
        <w:t xml:space="preserve"> resulted in the </w:t>
      </w:r>
      <w:r w:rsidR="006602ED">
        <w:rPr>
          <w:lang w:eastAsia="ja-JP"/>
        </w:rPr>
        <w:t>department</w:t>
      </w:r>
      <w:r>
        <w:rPr>
          <w:lang w:eastAsia="ja-JP"/>
        </w:rPr>
        <w:t xml:space="preserve"> concluding that AUS-MEAT would be able to certify and distribute density calibration blocks.</w:t>
      </w:r>
    </w:p>
    <w:p w14:paraId="42839381" w14:textId="396E9CB0" w:rsidR="009D119E" w:rsidRDefault="007B7971" w:rsidP="009D119E">
      <w:pPr>
        <w:rPr>
          <w:lang w:eastAsia="ja-JP"/>
        </w:rPr>
      </w:pPr>
      <w:r>
        <w:rPr>
          <w:lang w:eastAsia="ja-JP"/>
        </w:rPr>
        <w:t xml:space="preserve">AUS-MEAT’s extensive experience in auditing different operational practices within the red meat sector and its engagement on </w:t>
      </w:r>
      <w:proofErr w:type="spellStart"/>
      <w:r>
        <w:rPr>
          <w:lang w:eastAsia="ja-JP"/>
        </w:rPr>
        <w:t>ALMTech’s</w:t>
      </w:r>
      <w:proofErr w:type="spellEnd"/>
      <w:r>
        <w:rPr>
          <w:lang w:eastAsia="ja-JP"/>
        </w:rPr>
        <w:t xml:space="preserve"> ICWG led the </w:t>
      </w:r>
      <w:r w:rsidR="006602ED">
        <w:rPr>
          <w:lang w:eastAsia="ja-JP"/>
        </w:rPr>
        <w:t>department</w:t>
      </w:r>
      <w:r>
        <w:rPr>
          <w:lang w:eastAsia="ja-JP"/>
        </w:rPr>
        <w:t xml:space="preserve"> to conclude that AUS-MEAT would be able to demonstrate a strong understanding of the technology and certify the technology in line with an AMILSC endorsed standard.</w:t>
      </w:r>
    </w:p>
    <w:p w14:paraId="4CBE9A6C" w14:textId="6C611D71" w:rsidR="001D095E" w:rsidRDefault="007B7971" w:rsidP="009D119E">
      <w:pPr>
        <w:rPr>
          <w:lang w:eastAsia="ja-JP"/>
        </w:rPr>
      </w:pPr>
      <w:r>
        <w:rPr>
          <w:lang w:eastAsia="ja-JP"/>
        </w:rPr>
        <w:t xml:space="preserve">The </w:t>
      </w:r>
      <w:r w:rsidR="006602ED">
        <w:rPr>
          <w:lang w:eastAsia="ja-JP"/>
        </w:rPr>
        <w:t>department</w:t>
      </w:r>
      <w:r>
        <w:rPr>
          <w:lang w:eastAsia="ja-JP"/>
        </w:rPr>
        <w:t xml:space="preserve"> also assessed AUS-MEAT’s current internal software program. AUS-MEAT was able to demonstrate how the software records information specific to each facility, including what accreditations it holds, when audits are due, outcomes of past audits and staff training history. The </w:t>
      </w:r>
      <w:r w:rsidR="006602ED">
        <w:rPr>
          <w:lang w:eastAsia="ja-JP"/>
        </w:rPr>
        <w:t>department</w:t>
      </w:r>
      <w:r>
        <w:rPr>
          <w:lang w:eastAsia="ja-JP"/>
        </w:rPr>
        <w:t xml:space="preserve"> determined that this software had the capability to maintain and generate relevant DEXA reports that would communicate outcomes back to stakeholders.</w:t>
      </w:r>
    </w:p>
    <w:p w14:paraId="473703EA" w14:textId="64B36957" w:rsidR="001D095E" w:rsidRDefault="007B7971" w:rsidP="009D119E">
      <w:pPr>
        <w:rPr>
          <w:lang w:eastAsia="ja-JP"/>
        </w:rPr>
      </w:pPr>
      <w:r>
        <w:rPr>
          <w:lang w:eastAsia="ja-JP"/>
        </w:rPr>
        <w:t xml:space="preserve">AUS-MEAT has been a registered training organisation since 1992. This ensures training courses comply with Training and Assessment Standards under the Australian Quality Training Framework. AUS-MEAT’s ability to undertake training through a number of platforms (both face-to-face and virtually) on a range of topics in line with an internationally recognised Quality </w:t>
      </w:r>
      <w:r>
        <w:rPr>
          <w:lang w:eastAsia="ja-JP"/>
        </w:rPr>
        <w:lastRenderedPageBreak/>
        <w:t>Management System Standard (ISO</w:t>
      </w:r>
      <w:r w:rsidR="00BA209A">
        <w:rPr>
          <w:lang w:eastAsia="ja-JP"/>
        </w:rPr>
        <w:t xml:space="preserve"> </w:t>
      </w:r>
      <w:r>
        <w:rPr>
          <w:lang w:eastAsia="ja-JP"/>
        </w:rPr>
        <w:t xml:space="preserve">9001) was recognised by the </w:t>
      </w:r>
      <w:r w:rsidR="006602ED">
        <w:rPr>
          <w:lang w:eastAsia="ja-JP"/>
        </w:rPr>
        <w:t>department</w:t>
      </w:r>
      <w:r>
        <w:rPr>
          <w:lang w:eastAsia="ja-JP"/>
        </w:rPr>
        <w:t xml:space="preserve"> as demonstrating AUS-MEAT’s strong industry knowledge and ability to deliver relevant training requirements.</w:t>
      </w:r>
    </w:p>
    <w:p w14:paraId="249E0A51" w14:textId="5F3D0113" w:rsidR="001D095E" w:rsidRDefault="007B7971" w:rsidP="009D119E">
      <w:pPr>
        <w:rPr>
          <w:lang w:eastAsia="ja-JP"/>
        </w:rPr>
      </w:pPr>
      <w:r>
        <w:rPr>
          <w:lang w:eastAsia="ja-JP"/>
        </w:rPr>
        <w:t xml:space="preserve">In assessing AUS-MEAT’s ability to demonstrate independence from processors and producers the </w:t>
      </w:r>
      <w:r w:rsidR="006602ED">
        <w:rPr>
          <w:lang w:eastAsia="ja-JP"/>
        </w:rPr>
        <w:t>department</w:t>
      </w:r>
      <w:r>
        <w:rPr>
          <w:lang w:eastAsia="ja-JP"/>
        </w:rPr>
        <w:t xml:space="preserve"> reviewed the findings of AUS-MEAT’s staff culture survey. The survey was conducted by human resources consultants in response to the </w:t>
      </w:r>
      <w:r w:rsidR="002F1717">
        <w:rPr>
          <w:lang w:eastAsia="ja-JP"/>
        </w:rPr>
        <w:t>RRA&amp;T Committee</w:t>
      </w:r>
      <w:r>
        <w:rPr>
          <w:lang w:eastAsia="ja-JP"/>
        </w:rPr>
        <w:t xml:space="preserve"> questioning the integrity of AUS-MEAT’s staff during the 2017 Senate Inquiry. The </w:t>
      </w:r>
      <w:r w:rsidR="00CC6C73">
        <w:rPr>
          <w:lang w:eastAsia="ja-JP"/>
        </w:rPr>
        <w:t xml:space="preserve">independent </w:t>
      </w:r>
      <w:r>
        <w:rPr>
          <w:lang w:eastAsia="ja-JP"/>
        </w:rPr>
        <w:t xml:space="preserve">assessment found that AUS-MEAT had no staff integrity issues. While jointly owned by both MLA and AMPC, the </w:t>
      </w:r>
      <w:r w:rsidR="006602ED">
        <w:rPr>
          <w:lang w:eastAsia="ja-JP"/>
        </w:rPr>
        <w:t>department</w:t>
      </w:r>
      <w:r>
        <w:rPr>
          <w:lang w:eastAsia="ja-JP"/>
        </w:rPr>
        <w:t xml:space="preserve"> came to the conclusion that AUS-MEAT is able to demonstrate the level of independence necessary.</w:t>
      </w:r>
    </w:p>
    <w:p w14:paraId="5DFE84E3" w14:textId="1CE20486" w:rsidR="001D095E" w:rsidRDefault="007B7971" w:rsidP="009D119E">
      <w:pPr>
        <w:rPr>
          <w:lang w:eastAsia="ja-JP"/>
        </w:rPr>
      </w:pPr>
      <w:r>
        <w:rPr>
          <w:lang w:eastAsia="ja-JP"/>
        </w:rPr>
        <w:t xml:space="preserve">AUS-MEAT was also able to demonstrate past experience in conflict resolution. AUS-MEAT has a process in place that it follows when disputes occur in relation to carcase grading and value determinations. The </w:t>
      </w:r>
      <w:r w:rsidR="006602ED">
        <w:rPr>
          <w:lang w:eastAsia="ja-JP"/>
        </w:rPr>
        <w:t>department</w:t>
      </w:r>
      <w:r>
        <w:rPr>
          <w:lang w:eastAsia="ja-JP"/>
        </w:rPr>
        <w:t xml:space="preserve"> was of the view that this process could be adapted for use in the case of disputes relating to DEXA.</w:t>
      </w:r>
    </w:p>
    <w:p w14:paraId="083CF2E7" w14:textId="598202CC" w:rsidR="009D119E" w:rsidRDefault="007B7971" w:rsidP="009D119E">
      <w:pPr>
        <w:rPr>
          <w:lang w:eastAsia="ja-JP"/>
        </w:rPr>
      </w:pPr>
      <w:r>
        <w:rPr>
          <w:lang w:eastAsia="ja-JP"/>
        </w:rPr>
        <w:t xml:space="preserve">As mentioned previously, in their analysis, the </w:t>
      </w:r>
      <w:r w:rsidR="006602ED">
        <w:rPr>
          <w:lang w:eastAsia="ja-JP"/>
        </w:rPr>
        <w:t>department</w:t>
      </w:r>
      <w:r>
        <w:rPr>
          <w:lang w:eastAsia="ja-JP"/>
        </w:rPr>
        <w:t xml:space="preserve"> made the assumption that requirements relevant to the operation and installation of DEXA technology would be integrated into the AMILSC standards. Due to AUS-MEAT being the administrator of AMILSC standards in the red meat processing industry, the </w:t>
      </w:r>
      <w:r w:rsidR="006602ED">
        <w:rPr>
          <w:lang w:eastAsia="ja-JP"/>
        </w:rPr>
        <w:t>department</w:t>
      </w:r>
      <w:r>
        <w:rPr>
          <w:lang w:eastAsia="ja-JP"/>
        </w:rPr>
        <w:t xml:space="preserve"> concluded AUS-MEAT would be well placed to undertake the role of </w:t>
      </w:r>
      <w:r w:rsidR="001D095E">
        <w:rPr>
          <w:lang w:eastAsia="ja-JP"/>
        </w:rPr>
        <w:t>general manager</w:t>
      </w:r>
      <w:r>
        <w:rPr>
          <w:lang w:eastAsia="ja-JP"/>
        </w:rPr>
        <w:t xml:space="preserve"> as it has the knowledge and previous experience required for the role.</w:t>
      </w:r>
    </w:p>
    <w:p w14:paraId="253F33C1" w14:textId="6BB237DB" w:rsidR="009D119E" w:rsidRDefault="007B7971" w:rsidP="009D119E">
      <w:pPr>
        <w:rPr>
          <w:lang w:eastAsia="ja-JP"/>
        </w:rPr>
      </w:pPr>
      <w:r>
        <w:rPr>
          <w:lang w:eastAsia="ja-JP"/>
        </w:rPr>
        <w:t xml:space="preserve">Overall the </w:t>
      </w:r>
      <w:r w:rsidR="006602ED">
        <w:rPr>
          <w:lang w:eastAsia="ja-JP"/>
        </w:rPr>
        <w:t>department</w:t>
      </w:r>
      <w:r>
        <w:rPr>
          <w:lang w:eastAsia="ja-JP"/>
        </w:rPr>
        <w:t xml:space="preserve"> concluded that there was sufficient information and evidence provided to assess AUS-MEAT as having or being able to acquire the skills and capabilities required to undertake the role of </w:t>
      </w:r>
      <w:r w:rsidR="001D095E">
        <w:rPr>
          <w:lang w:eastAsia="ja-JP"/>
        </w:rPr>
        <w:t>general manager</w:t>
      </w:r>
      <w:r>
        <w:rPr>
          <w:lang w:eastAsia="ja-JP"/>
        </w:rPr>
        <w:t>.</w:t>
      </w:r>
    </w:p>
    <w:p w14:paraId="04B1308F" w14:textId="63C62F15" w:rsidR="001D095E" w:rsidRDefault="007B7971" w:rsidP="000A3E17">
      <w:pPr>
        <w:pStyle w:val="Heading4"/>
        <w:numPr>
          <w:ilvl w:val="0"/>
          <w:numId w:val="0"/>
        </w:numPr>
        <w:ind w:left="964" w:hanging="964"/>
        <w:rPr>
          <w:lang w:eastAsia="ja-JP"/>
        </w:rPr>
      </w:pPr>
      <w:r w:rsidRPr="00027EE0">
        <w:rPr>
          <w:lang w:eastAsia="ja-JP"/>
        </w:rPr>
        <w:t xml:space="preserve">Role 3: Quality </w:t>
      </w:r>
      <w:r w:rsidR="00BA209A">
        <w:rPr>
          <w:lang w:eastAsia="ja-JP"/>
        </w:rPr>
        <w:t>a</w:t>
      </w:r>
      <w:r w:rsidRPr="00027EE0">
        <w:rPr>
          <w:lang w:eastAsia="ja-JP"/>
        </w:rPr>
        <w:t xml:space="preserve">ssurance </w:t>
      </w:r>
      <w:r w:rsidR="00BA209A">
        <w:rPr>
          <w:lang w:eastAsia="ja-JP"/>
        </w:rPr>
        <w:t>a</w:t>
      </w:r>
      <w:r w:rsidRPr="00027EE0">
        <w:rPr>
          <w:lang w:eastAsia="ja-JP"/>
        </w:rPr>
        <w:t>uditor</w:t>
      </w:r>
    </w:p>
    <w:p w14:paraId="1CA08F54" w14:textId="2F15AE0B" w:rsidR="009D119E" w:rsidRDefault="007B7971" w:rsidP="009D119E">
      <w:pPr>
        <w:rPr>
          <w:lang w:eastAsia="ja-JP"/>
        </w:rPr>
      </w:pPr>
      <w:r>
        <w:rPr>
          <w:lang w:eastAsia="ja-JP"/>
        </w:rPr>
        <w:t xml:space="preserve">In assessing AUS-MEAT against the criteria of Quality Assurance Auditor, the </w:t>
      </w:r>
      <w:r w:rsidR="006602ED">
        <w:rPr>
          <w:lang w:eastAsia="ja-JP"/>
        </w:rPr>
        <w:t>department</w:t>
      </w:r>
      <w:r>
        <w:rPr>
          <w:lang w:eastAsia="ja-JP"/>
        </w:rPr>
        <w:t xml:space="preserve"> focused on comparing the AUS-MEAT’s current auditing practices with what has been proposed under this role, as well as assessing whether AUS-MEAT would be able to access equipment required to independently audit the DEXA machinery/equipment.</w:t>
      </w:r>
    </w:p>
    <w:p w14:paraId="56A757E4" w14:textId="5DD891AD" w:rsidR="001D095E" w:rsidRDefault="007B7971" w:rsidP="009D119E">
      <w:pPr>
        <w:rPr>
          <w:lang w:eastAsia="ja-JP"/>
        </w:rPr>
      </w:pPr>
      <w:r>
        <w:rPr>
          <w:lang w:eastAsia="ja-JP"/>
        </w:rPr>
        <w:t xml:space="preserve">The </w:t>
      </w:r>
      <w:r w:rsidR="006602ED">
        <w:rPr>
          <w:lang w:eastAsia="ja-JP"/>
        </w:rPr>
        <w:t>department</w:t>
      </w:r>
      <w:r>
        <w:rPr>
          <w:lang w:eastAsia="ja-JP"/>
        </w:rPr>
        <w:t xml:space="preserve"> determined that the auditing process proposed for DEXA is likely to be similar to AUS-MEAT’s current auditing practices for other technology used in processing facilities. The </w:t>
      </w:r>
      <w:r w:rsidR="006602ED">
        <w:rPr>
          <w:lang w:eastAsia="ja-JP"/>
        </w:rPr>
        <w:t>department</w:t>
      </w:r>
      <w:r>
        <w:rPr>
          <w:lang w:eastAsia="ja-JP"/>
        </w:rPr>
        <w:t xml:space="preserve"> was advised that all of AUS-MEAT’s current auditing programs have been accredited to an internationally recognised Quality Management System Standard (ISO</w:t>
      </w:r>
      <w:r w:rsidR="00BA209A">
        <w:rPr>
          <w:lang w:eastAsia="ja-JP"/>
        </w:rPr>
        <w:t xml:space="preserve"> </w:t>
      </w:r>
      <w:r>
        <w:rPr>
          <w:lang w:eastAsia="ja-JP"/>
        </w:rPr>
        <w:t>9001) which led to the assessment that AUS-MEAT has a strong understanding of the auditing process and experience in auditing and certifying against industry standards.</w:t>
      </w:r>
    </w:p>
    <w:p w14:paraId="6CE39F84" w14:textId="58598A2A" w:rsidR="005572FF" w:rsidRDefault="007B7971" w:rsidP="009D119E">
      <w:pPr>
        <w:rPr>
          <w:lang w:eastAsia="ja-JP"/>
        </w:rPr>
      </w:pPr>
      <w:r>
        <w:rPr>
          <w:lang w:eastAsia="ja-JP"/>
        </w:rPr>
        <w:t xml:space="preserve">The </w:t>
      </w:r>
      <w:r w:rsidR="006602ED">
        <w:rPr>
          <w:lang w:eastAsia="ja-JP"/>
        </w:rPr>
        <w:t>department</w:t>
      </w:r>
      <w:r>
        <w:rPr>
          <w:lang w:eastAsia="ja-JP"/>
        </w:rPr>
        <w:t xml:space="preserve"> assessed AUS-MEAT’s current internal software program as having the capability to track and transmit auditing records for individual facilities. AUS-MEAT was able to demonstrate how its software already completes this function for other auditing services.</w:t>
      </w:r>
    </w:p>
    <w:p w14:paraId="736B750C" w14:textId="394D6943" w:rsidR="001D095E" w:rsidRDefault="007B7971" w:rsidP="009D119E">
      <w:pPr>
        <w:rPr>
          <w:lang w:eastAsia="ja-JP"/>
        </w:rPr>
      </w:pPr>
      <w:r>
        <w:rPr>
          <w:lang w:eastAsia="ja-JP"/>
        </w:rPr>
        <w:t xml:space="preserve">Given the developmental stage of the DEXA technology the </w:t>
      </w:r>
      <w:r w:rsidR="006602ED">
        <w:rPr>
          <w:lang w:eastAsia="ja-JP"/>
        </w:rPr>
        <w:t>department</w:t>
      </w:r>
      <w:r>
        <w:rPr>
          <w:lang w:eastAsia="ja-JP"/>
        </w:rPr>
        <w:t xml:space="preserve"> was unable to determine if AUS-MEAT already had access to the equipment that would be needed to audit the machinery. However, upon assessing what is required of AUS-MEAT under its current procedures, the </w:t>
      </w:r>
      <w:r w:rsidR="006602ED">
        <w:rPr>
          <w:lang w:eastAsia="ja-JP"/>
        </w:rPr>
        <w:t>department</w:t>
      </w:r>
      <w:r>
        <w:rPr>
          <w:lang w:eastAsia="ja-JP"/>
        </w:rPr>
        <w:t xml:space="preserve"> came to the conclusion that, if required, AUS-MEAT would most likely be able to acquire the equipment required to independently audit the DEXA machinery/equipment (be it </w:t>
      </w:r>
      <w:r>
        <w:rPr>
          <w:lang w:eastAsia="ja-JP"/>
        </w:rPr>
        <w:lastRenderedPageBreak/>
        <w:t xml:space="preserve">through buying the technology themselves or engaging a third party). This finding was supported by AUS-MEAT’s ongoing involvement on the </w:t>
      </w:r>
      <w:proofErr w:type="spellStart"/>
      <w:r>
        <w:rPr>
          <w:lang w:eastAsia="ja-JP"/>
        </w:rPr>
        <w:t>ALMTech</w:t>
      </w:r>
      <w:proofErr w:type="spellEnd"/>
      <w:r>
        <w:rPr>
          <w:lang w:eastAsia="ja-JP"/>
        </w:rPr>
        <w:t xml:space="preserve"> ICWG, which is currently investigating how best to implement the technology.</w:t>
      </w:r>
    </w:p>
    <w:p w14:paraId="7C76555A" w14:textId="69CBFAF1" w:rsidR="009D119E" w:rsidRDefault="007B7971" w:rsidP="009D119E">
      <w:pPr>
        <w:rPr>
          <w:lang w:eastAsia="ja-JP"/>
        </w:rPr>
      </w:pPr>
      <w:r>
        <w:rPr>
          <w:lang w:eastAsia="ja-JP"/>
        </w:rPr>
        <w:t xml:space="preserve">Overall the </w:t>
      </w:r>
      <w:r w:rsidR="006602ED">
        <w:rPr>
          <w:lang w:eastAsia="ja-JP"/>
        </w:rPr>
        <w:t>department</w:t>
      </w:r>
      <w:r>
        <w:rPr>
          <w:lang w:eastAsia="ja-JP"/>
        </w:rPr>
        <w:t xml:space="preserve"> concluded that there was sufficient information and evidence provided to assess AUS-MEAT as having or being able to acquire the skills and capabilities required to undertake the role of quality assurance auditor.</w:t>
      </w:r>
    </w:p>
    <w:p w14:paraId="62B5519C" w14:textId="5166D3F4" w:rsidR="009D119E" w:rsidRDefault="007B7971" w:rsidP="009D119E">
      <w:pPr>
        <w:rPr>
          <w:lang w:eastAsia="ja-JP"/>
        </w:rPr>
      </w:pPr>
      <w:r>
        <w:rPr>
          <w:lang w:eastAsia="ja-JP"/>
        </w:rPr>
        <w:t xml:space="preserve">The </w:t>
      </w:r>
      <w:r w:rsidR="006602ED">
        <w:rPr>
          <w:lang w:eastAsia="ja-JP"/>
        </w:rPr>
        <w:t>department</w:t>
      </w:r>
      <w:r>
        <w:rPr>
          <w:lang w:eastAsia="ja-JP"/>
        </w:rPr>
        <w:t xml:space="preserve">’s findings against each role are </w:t>
      </w:r>
      <w:r w:rsidRPr="00F95E9F">
        <w:rPr>
          <w:lang w:eastAsia="ja-JP"/>
        </w:rPr>
        <w:t xml:space="preserve">summarised in </w:t>
      </w:r>
      <w:r w:rsidR="00BA209A">
        <w:rPr>
          <w:b/>
          <w:lang w:eastAsia="ja-JP"/>
        </w:rPr>
        <w:fldChar w:fldCharType="begin"/>
      </w:r>
      <w:r w:rsidR="00BA209A">
        <w:rPr>
          <w:b/>
          <w:lang w:eastAsia="ja-JP"/>
        </w:rPr>
        <w:instrText xml:space="preserve"> REF _Ref445985033 \h </w:instrText>
      </w:r>
      <w:r w:rsidR="00BA209A">
        <w:rPr>
          <w:b/>
          <w:lang w:eastAsia="ja-JP"/>
        </w:rPr>
      </w:r>
      <w:r w:rsidR="00BA209A">
        <w:rPr>
          <w:b/>
          <w:lang w:eastAsia="ja-JP"/>
        </w:rPr>
        <w:fldChar w:fldCharType="separate"/>
      </w:r>
      <w:r w:rsidR="00BF54B3">
        <w:t xml:space="preserve">Table </w:t>
      </w:r>
      <w:r w:rsidR="00BF54B3">
        <w:rPr>
          <w:noProof/>
        </w:rPr>
        <w:t>1</w:t>
      </w:r>
      <w:r w:rsidR="00BA209A">
        <w:rPr>
          <w:b/>
          <w:lang w:eastAsia="ja-JP"/>
        </w:rPr>
        <w:fldChar w:fldCharType="end"/>
      </w:r>
      <w:r w:rsidR="00BA209A">
        <w:rPr>
          <w:b/>
          <w:lang w:eastAsia="ja-JP"/>
        </w:rPr>
        <w:t>.</w:t>
      </w:r>
    </w:p>
    <w:p w14:paraId="6108A782" w14:textId="5CABACCF" w:rsidR="009D119E" w:rsidRDefault="007B7971" w:rsidP="00F95E9F">
      <w:pPr>
        <w:pStyle w:val="Caption"/>
        <w:rPr>
          <w:lang w:eastAsia="ja-JP"/>
        </w:rPr>
      </w:pPr>
      <w:bookmarkStart w:id="15" w:name="_Ref445985033"/>
      <w:bookmarkStart w:id="16" w:name="_Toc409769171"/>
      <w:bookmarkStart w:id="17" w:name="_Toc5289872"/>
      <w:r>
        <w:t xml:space="preserve">Table </w:t>
      </w:r>
      <w:r>
        <w:rPr>
          <w:noProof/>
        </w:rPr>
        <w:fldChar w:fldCharType="begin"/>
      </w:r>
      <w:r>
        <w:rPr>
          <w:noProof/>
        </w:rPr>
        <w:instrText xml:space="preserve"> SEQ Table \* ARABIC </w:instrText>
      </w:r>
      <w:r>
        <w:rPr>
          <w:noProof/>
        </w:rPr>
        <w:fldChar w:fldCharType="separate"/>
      </w:r>
      <w:r w:rsidR="00BF54B3">
        <w:rPr>
          <w:noProof/>
        </w:rPr>
        <w:t>1</w:t>
      </w:r>
      <w:r>
        <w:rPr>
          <w:noProof/>
        </w:rPr>
        <w:fldChar w:fldCharType="end"/>
      </w:r>
      <w:bookmarkEnd w:id="15"/>
      <w:r>
        <w:t xml:space="preserve"> </w:t>
      </w:r>
      <w:bookmarkEnd w:id="16"/>
      <w:r w:rsidRPr="00F95E9F">
        <w:rPr>
          <w:bCs w:val="0"/>
        </w:rPr>
        <w:t xml:space="preserve">Summary of </w:t>
      </w:r>
      <w:r w:rsidR="008D144C">
        <w:rPr>
          <w:bCs w:val="0"/>
        </w:rPr>
        <w:t>f</w:t>
      </w:r>
      <w:r w:rsidRPr="00F95E9F">
        <w:rPr>
          <w:bCs w:val="0"/>
        </w:rPr>
        <w:t>indings</w:t>
      </w:r>
      <w:bookmarkEnd w:id="1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4"/>
        <w:gridCol w:w="1056"/>
        <w:gridCol w:w="1134"/>
        <w:gridCol w:w="1134"/>
      </w:tblGrid>
      <w:tr w:rsidR="008D144C" w14:paraId="4DAAC5A6" w14:textId="77777777" w:rsidTr="000A3E17">
        <w:trPr>
          <w:cantSplit/>
          <w:trHeight w:val="1024"/>
          <w:tblHeader/>
        </w:trPr>
        <w:tc>
          <w:tcPr>
            <w:tcW w:w="6174" w:type="dxa"/>
            <w:shd w:val="clear" w:color="auto" w:fill="auto"/>
            <w:vAlign w:val="center"/>
          </w:tcPr>
          <w:p w14:paraId="240F1E44" w14:textId="77777777" w:rsidR="008D144C" w:rsidRPr="000A3E17" w:rsidRDefault="008D144C" w:rsidP="000A3E17">
            <w:pPr>
              <w:pStyle w:val="TableHeading"/>
              <w:rPr>
                <w:b w:val="0"/>
              </w:rPr>
            </w:pPr>
            <w:r w:rsidRPr="000A3E17">
              <w:t>Requirements for the organisation/body to manage the rollout of DEXA</w:t>
            </w:r>
          </w:p>
        </w:tc>
        <w:tc>
          <w:tcPr>
            <w:tcW w:w="1056" w:type="dxa"/>
            <w:shd w:val="clear" w:color="auto" w:fill="auto"/>
            <w:noWrap/>
            <w:vAlign w:val="center"/>
            <w:hideMark/>
          </w:tcPr>
          <w:p w14:paraId="7308C9BA" w14:textId="528A5805" w:rsidR="008D144C" w:rsidRPr="000A3E17" w:rsidRDefault="008D144C" w:rsidP="000A3E17">
            <w:pPr>
              <w:pStyle w:val="TableHeading"/>
              <w:jc w:val="center"/>
              <w:rPr>
                <w:b w:val="0"/>
              </w:rPr>
            </w:pPr>
            <w:r w:rsidRPr="000A3E17">
              <w:t>Already possessed</w:t>
            </w:r>
          </w:p>
        </w:tc>
        <w:tc>
          <w:tcPr>
            <w:tcW w:w="1134" w:type="dxa"/>
            <w:shd w:val="clear" w:color="auto" w:fill="auto"/>
            <w:noWrap/>
            <w:vAlign w:val="center"/>
            <w:hideMark/>
          </w:tcPr>
          <w:p w14:paraId="3DB2BF66" w14:textId="1EC9DD12" w:rsidR="008D144C" w:rsidRPr="008D144C" w:rsidRDefault="008D144C" w:rsidP="000A3E17">
            <w:pPr>
              <w:pStyle w:val="TableHeading"/>
              <w:jc w:val="center"/>
            </w:pPr>
            <w:r w:rsidRPr="000A3E17">
              <w:t>Need to be acquired</w:t>
            </w:r>
            <w:r>
              <w:t>—</w:t>
            </w:r>
            <w:r w:rsidR="00BA209A">
              <w:t>l</w:t>
            </w:r>
            <w:r w:rsidRPr="000A3E17">
              <w:t>ikely</w:t>
            </w:r>
          </w:p>
        </w:tc>
        <w:tc>
          <w:tcPr>
            <w:tcW w:w="1134" w:type="dxa"/>
            <w:shd w:val="clear" w:color="auto" w:fill="auto"/>
            <w:vAlign w:val="center"/>
          </w:tcPr>
          <w:p w14:paraId="332FD929" w14:textId="0370C108" w:rsidR="008D144C" w:rsidRPr="000A3E17" w:rsidRDefault="008D144C" w:rsidP="000A3E17">
            <w:pPr>
              <w:pStyle w:val="TableHeading"/>
              <w:jc w:val="center"/>
              <w:rPr>
                <w:b w:val="0"/>
              </w:rPr>
            </w:pPr>
            <w:r w:rsidRPr="006B6E36">
              <w:t>Need to be acquired</w:t>
            </w:r>
            <w:r>
              <w:t>—</w:t>
            </w:r>
            <w:r w:rsidR="00BA209A">
              <w:t>u</w:t>
            </w:r>
            <w:r w:rsidRPr="000A3E17">
              <w:t>nlikely</w:t>
            </w:r>
          </w:p>
        </w:tc>
      </w:tr>
      <w:tr w:rsidR="00157813" w14:paraId="4AC79249" w14:textId="77777777" w:rsidTr="000A3E17">
        <w:trPr>
          <w:trHeight w:val="20"/>
        </w:trPr>
        <w:tc>
          <w:tcPr>
            <w:tcW w:w="9498" w:type="dxa"/>
            <w:gridSpan w:val="4"/>
            <w:shd w:val="clear" w:color="auto" w:fill="auto"/>
          </w:tcPr>
          <w:p w14:paraId="7AF95890" w14:textId="03EB47C9" w:rsidR="009D119E" w:rsidRPr="000A3E17" w:rsidRDefault="007B7971">
            <w:pPr>
              <w:pStyle w:val="TableText"/>
              <w:rPr>
                <w:rStyle w:val="Strong"/>
              </w:rPr>
            </w:pPr>
            <w:r w:rsidRPr="000A3E17">
              <w:rPr>
                <w:rStyle w:val="Strong"/>
              </w:rPr>
              <w:t xml:space="preserve">Role 1: Commercial </w:t>
            </w:r>
            <w:r w:rsidR="00BA209A">
              <w:rPr>
                <w:rStyle w:val="Strong"/>
              </w:rPr>
              <w:t>s</w:t>
            </w:r>
            <w:r w:rsidRPr="000A3E17">
              <w:rPr>
                <w:rStyle w:val="Strong"/>
              </w:rPr>
              <w:t xml:space="preserve">ervice </w:t>
            </w:r>
            <w:r w:rsidR="00BA209A">
              <w:rPr>
                <w:rStyle w:val="Strong"/>
              </w:rPr>
              <w:t>p</w:t>
            </w:r>
            <w:r w:rsidRPr="000A3E17">
              <w:rPr>
                <w:rStyle w:val="Strong"/>
              </w:rPr>
              <w:t>rovider</w:t>
            </w:r>
          </w:p>
        </w:tc>
      </w:tr>
      <w:tr w:rsidR="00157813" w14:paraId="6FC6FADF" w14:textId="77777777" w:rsidTr="000A3E17">
        <w:trPr>
          <w:trHeight w:val="20"/>
        </w:trPr>
        <w:tc>
          <w:tcPr>
            <w:tcW w:w="6174" w:type="dxa"/>
            <w:shd w:val="clear" w:color="auto" w:fill="auto"/>
          </w:tcPr>
          <w:p w14:paraId="6543CBAA" w14:textId="77777777" w:rsidR="009D119E" w:rsidRPr="000A3E17" w:rsidRDefault="007B7971">
            <w:pPr>
              <w:pStyle w:val="TableText"/>
            </w:pPr>
            <w:r w:rsidRPr="000A3E17">
              <w:t xml:space="preserve">Ability to manufacture/source manufactured technology in line with relevant AMILSC endorsed standard </w:t>
            </w:r>
          </w:p>
        </w:tc>
        <w:tc>
          <w:tcPr>
            <w:tcW w:w="1056" w:type="dxa"/>
            <w:shd w:val="clear" w:color="auto" w:fill="auto"/>
            <w:vAlign w:val="bottom"/>
          </w:tcPr>
          <w:p w14:paraId="74E92E18" w14:textId="742D9B18" w:rsidR="009D119E" w:rsidRPr="000A3E17" w:rsidRDefault="00116172">
            <w:pPr>
              <w:pStyle w:val="TableText"/>
            </w:pPr>
            <w:r>
              <w:t>No</w:t>
            </w:r>
          </w:p>
        </w:tc>
        <w:tc>
          <w:tcPr>
            <w:tcW w:w="1134" w:type="dxa"/>
            <w:shd w:val="clear" w:color="auto" w:fill="auto"/>
            <w:vAlign w:val="bottom"/>
          </w:tcPr>
          <w:p w14:paraId="309A39CB" w14:textId="14A3E6F3" w:rsidR="009D119E" w:rsidRPr="000A3E17" w:rsidRDefault="00116172">
            <w:pPr>
              <w:pStyle w:val="TableText"/>
            </w:pPr>
            <w:r>
              <w:t>No</w:t>
            </w:r>
          </w:p>
        </w:tc>
        <w:tc>
          <w:tcPr>
            <w:tcW w:w="1134" w:type="dxa"/>
            <w:shd w:val="clear" w:color="auto" w:fill="auto"/>
            <w:vAlign w:val="bottom"/>
          </w:tcPr>
          <w:p w14:paraId="27A7E9F4" w14:textId="18454056" w:rsidR="009D119E" w:rsidRPr="000A3E17" w:rsidRDefault="00116172">
            <w:pPr>
              <w:pStyle w:val="TableText"/>
            </w:pPr>
            <w:r>
              <w:t>Yes</w:t>
            </w:r>
          </w:p>
        </w:tc>
      </w:tr>
      <w:tr w:rsidR="00157813" w14:paraId="06100ED0" w14:textId="77777777" w:rsidTr="000A3E17">
        <w:trPr>
          <w:trHeight w:val="20"/>
        </w:trPr>
        <w:tc>
          <w:tcPr>
            <w:tcW w:w="6174" w:type="dxa"/>
            <w:shd w:val="clear" w:color="auto" w:fill="auto"/>
          </w:tcPr>
          <w:p w14:paraId="3F9336EC" w14:textId="77777777" w:rsidR="009D119E" w:rsidRPr="000A3E17" w:rsidRDefault="007B7971">
            <w:pPr>
              <w:pStyle w:val="TableText"/>
            </w:pPr>
            <w:r w:rsidRPr="000A3E17">
              <w:t>Technical knowledge and qualifications required for install and maintenance</w:t>
            </w:r>
          </w:p>
        </w:tc>
        <w:tc>
          <w:tcPr>
            <w:tcW w:w="1056" w:type="dxa"/>
            <w:shd w:val="clear" w:color="auto" w:fill="auto"/>
            <w:vAlign w:val="bottom"/>
          </w:tcPr>
          <w:p w14:paraId="0DAEC398" w14:textId="33C1E481" w:rsidR="009D119E" w:rsidRPr="000A3E17" w:rsidRDefault="00116172">
            <w:pPr>
              <w:pStyle w:val="TableText"/>
            </w:pPr>
            <w:r>
              <w:t>No</w:t>
            </w:r>
          </w:p>
        </w:tc>
        <w:tc>
          <w:tcPr>
            <w:tcW w:w="1134" w:type="dxa"/>
            <w:shd w:val="clear" w:color="auto" w:fill="auto"/>
            <w:vAlign w:val="bottom"/>
          </w:tcPr>
          <w:p w14:paraId="0492591E" w14:textId="30680AB9" w:rsidR="009D119E" w:rsidRPr="000A3E17" w:rsidRDefault="00116172">
            <w:pPr>
              <w:pStyle w:val="TableText"/>
            </w:pPr>
            <w:r>
              <w:t>No</w:t>
            </w:r>
          </w:p>
        </w:tc>
        <w:tc>
          <w:tcPr>
            <w:tcW w:w="1134" w:type="dxa"/>
            <w:shd w:val="clear" w:color="auto" w:fill="auto"/>
            <w:vAlign w:val="bottom"/>
          </w:tcPr>
          <w:p w14:paraId="7D717E87" w14:textId="4137D281" w:rsidR="009D119E" w:rsidRPr="000A3E17" w:rsidRDefault="00116172">
            <w:pPr>
              <w:pStyle w:val="TableText"/>
            </w:pPr>
            <w:r>
              <w:t>Yes</w:t>
            </w:r>
          </w:p>
        </w:tc>
      </w:tr>
      <w:tr w:rsidR="00157813" w14:paraId="4336AE65" w14:textId="77777777" w:rsidTr="000A3E17">
        <w:trPr>
          <w:trHeight w:val="20"/>
        </w:trPr>
        <w:tc>
          <w:tcPr>
            <w:tcW w:w="6174" w:type="dxa"/>
            <w:shd w:val="clear" w:color="auto" w:fill="auto"/>
          </w:tcPr>
          <w:p w14:paraId="3114E827" w14:textId="77777777" w:rsidR="009D119E" w:rsidRPr="000A3E17" w:rsidRDefault="007B7971">
            <w:pPr>
              <w:pStyle w:val="TableText"/>
            </w:pPr>
            <w:r w:rsidRPr="000A3E17">
              <w:t xml:space="preserve">Ability to undertake initial calibration of the technology in line with relevant AMILSC endorsed standard </w:t>
            </w:r>
          </w:p>
        </w:tc>
        <w:tc>
          <w:tcPr>
            <w:tcW w:w="1056" w:type="dxa"/>
            <w:shd w:val="clear" w:color="auto" w:fill="auto"/>
            <w:vAlign w:val="bottom"/>
          </w:tcPr>
          <w:p w14:paraId="0A1AE88D" w14:textId="15936ED1" w:rsidR="009D119E" w:rsidRPr="000A3E17" w:rsidRDefault="00116172">
            <w:pPr>
              <w:pStyle w:val="TableText"/>
            </w:pPr>
            <w:r>
              <w:t>No</w:t>
            </w:r>
          </w:p>
        </w:tc>
        <w:tc>
          <w:tcPr>
            <w:tcW w:w="1134" w:type="dxa"/>
            <w:shd w:val="clear" w:color="auto" w:fill="auto"/>
            <w:vAlign w:val="bottom"/>
          </w:tcPr>
          <w:p w14:paraId="45582E88" w14:textId="540EF422" w:rsidR="009D119E" w:rsidRPr="000A3E17" w:rsidRDefault="00116172">
            <w:pPr>
              <w:pStyle w:val="TableText"/>
            </w:pPr>
            <w:r>
              <w:t>No</w:t>
            </w:r>
          </w:p>
        </w:tc>
        <w:tc>
          <w:tcPr>
            <w:tcW w:w="1134" w:type="dxa"/>
            <w:shd w:val="clear" w:color="auto" w:fill="auto"/>
            <w:vAlign w:val="bottom"/>
          </w:tcPr>
          <w:p w14:paraId="62FDF1EB" w14:textId="315DDC5A" w:rsidR="009D119E" w:rsidRPr="000A3E17" w:rsidRDefault="00116172">
            <w:pPr>
              <w:pStyle w:val="TableText"/>
            </w:pPr>
            <w:r>
              <w:t>Yes</w:t>
            </w:r>
          </w:p>
        </w:tc>
      </w:tr>
      <w:tr w:rsidR="00157813" w14:paraId="081888CB" w14:textId="77777777" w:rsidTr="000A3E17">
        <w:trPr>
          <w:trHeight w:val="20"/>
        </w:trPr>
        <w:tc>
          <w:tcPr>
            <w:tcW w:w="6174" w:type="dxa"/>
            <w:shd w:val="clear" w:color="auto" w:fill="auto"/>
          </w:tcPr>
          <w:p w14:paraId="23CD335B" w14:textId="77777777" w:rsidR="009D119E" w:rsidRPr="000A3E17" w:rsidRDefault="007B7971">
            <w:pPr>
              <w:pStyle w:val="TableText"/>
            </w:pPr>
            <w:r w:rsidRPr="000A3E17">
              <w:t>Strong technical knowledge of DEXA equipment</w:t>
            </w:r>
          </w:p>
        </w:tc>
        <w:tc>
          <w:tcPr>
            <w:tcW w:w="1056" w:type="dxa"/>
            <w:shd w:val="clear" w:color="auto" w:fill="auto"/>
            <w:vAlign w:val="bottom"/>
          </w:tcPr>
          <w:p w14:paraId="1237FBA9" w14:textId="78DB38F1" w:rsidR="009D119E" w:rsidRPr="000A3E17" w:rsidRDefault="00116172">
            <w:pPr>
              <w:pStyle w:val="TableText"/>
            </w:pPr>
            <w:r>
              <w:t>No</w:t>
            </w:r>
          </w:p>
        </w:tc>
        <w:tc>
          <w:tcPr>
            <w:tcW w:w="1134" w:type="dxa"/>
            <w:shd w:val="clear" w:color="auto" w:fill="auto"/>
            <w:vAlign w:val="bottom"/>
          </w:tcPr>
          <w:p w14:paraId="08BE2E75" w14:textId="481CFD96" w:rsidR="009D119E" w:rsidRPr="000A3E17" w:rsidRDefault="00116172">
            <w:pPr>
              <w:pStyle w:val="TableText"/>
            </w:pPr>
            <w:r>
              <w:t>Yes</w:t>
            </w:r>
          </w:p>
        </w:tc>
        <w:tc>
          <w:tcPr>
            <w:tcW w:w="1134" w:type="dxa"/>
            <w:shd w:val="clear" w:color="auto" w:fill="auto"/>
            <w:vAlign w:val="bottom"/>
          </w:tcPr>
          <w:p w14:paraId="0308EA7E" w14:textId="1B393611" w:rsidR="009D119E" w:rsidRPr="000A3E17" w:rsidRDefault="00116172">
            <w:pPr>
              <w:pStyle w:val="TableText"/>
            </w:pPr>
            <w:r>
              <w:t>No</w:t>
            </w:r>
          </w:p>
        </w:tc>
      </w:tr>
      <w:tr w:rsidR="00157813" w14:paraId="157F6BB6" w14:textId="77777777" w:rsidTr="000A3E17">
        <w:trPr>
          <w:trHeight w:val="20"/>
        </w:trPr>
        <w:tc>
          <w:tcPr>
            <w:tcW w:w="6174" w:type="dxa"/>
            <w:shd w:val="clear" w:color="auto" w:fill="auto"/>
          </w:tcPr>
          <w:p w14:paraId="30447CE3" w14:textId="77777777" w:rsidR="009D119E" w:rsidRPr="000A3E17" w:rsidRDefault="007B7971">
            <w:pPr>
              <w:pStyle w:val="TableText"/>
            </w:pPr>
            <w:r w:rsidRPr="000A3E17">
              <w:t xml:space="preserve">Ability to certify DEXA technology in line with AMILSC endorsed standard </w:t>
            </w:r>
          </w:p>
        </w:tc>
        <w:tc>
          <w:tcPr>
            <w:tcW w:w="1056" w:type="dxa"/>
            <w:shd w:val="clear" w:color="auto" w:fill="auto"/>
            <w:noWrap/>
            <w:vAlign w:val="bottom"/>
            <w:hideMark/>
          </w:tcPr>
          <w:p w14:paraId="4E77D038" w14:textId="7CDBE418" w:rsidR="009D119E" w:rsidRPr="000A3E17" w:rsidRDefault="00116172">
            <w:pPr>
              <w:pStyle w:val="TableText"/>
            </w:pPr>
            <w:r>
              <w:t>No</w:t>
            </w:r>
          </w:p>
        </w:tc>
        <w:tc>
          <w:tcPr>
            <w:tcW w:w="1134" w:type="dxa"/>
            <w:shd w:val="clear" w:color="auto" w:fill="auto"/>
            <w:noWrap/>
            <w:vAlign w:val="bottom"/>
            <w:hideMark/>
          </w:tcPr>
          <w:p w14:paraId="657BD509" w14:textId="5F5A7297" w:rsidR="009D119E" w:rsidRPr="000A3E17" w:rsidRDefault="00116172">
            <w:pPr>
              <w:pStyle w:val="TableText"/>
            </w:pPr>
            <w:r>
              <w:t>Yes</w:t>
            </w:r>
          </w:p>
        </w:tc>
        <w:tc>
          <w:tcPr>
            <w:tcW w:w="1134" w:type="dxa"/>
            <w:shd w:val="clear" w:color="auto" w:fill="auto"/>
            <w:noWrap/>
            <w:vAlign w:val="bottom"/>
            <w:hideMark/>
          </w:tcPr>
          <w:p w14:paraId="5AA8B6F3" w14:textId="2BEAF94D" w:rsidR="009D119E" w:rsidRPr="000A3E17" w:rsidRDefault="00116172">
            <w:pPr>
              <w:pStyle w:val="TableText"/>
            </w:pPr>
            <w:r>
              <w:t>No</w:t>
            </w:r>
          </w:p>
        </w:tc>
      </w:tr>
      <w:tr w:rsidR="00157813" w14:paraId="51DD46CD" w14:textId="77777777" w:rsidTr="000A3E17">
        <w:trPr>
          <w:trHeight w:val="20"/>
        </w:trPr>
        <w:tc>
          <w:tcPr>
            <w:tcW w:w="6174" w:type="dxa"/>
            <w:shd w:val="clear" w:color="auto" w:fill="auto"/>
          </w:tcPr>
          <w:p w14:paraId="5453DA04" w14:textId="77777777" w:rsidR="009D119E" w:rsidRPr="000A3E17" w:rsidRDefault="007B7971">
            <w:pPr>
              <w:pStyle w:val="TableText"/>
            </w:pPr>
            <w:r w:rsidRPr="000A3E17">
              <w:t xml:space="preserve">Sufficient staff to undertake maintenance and replacement </w:t>
            </w:r>
          </w:p>
        </w:tc>
        <w:tc>
          <w:tcPr>
            <w:tcW w:w="1056" w:type="dxa"/>
            <w:shd w:val="clear" w:color="auto" w:fill="auto"/>
            <w:noWrap/>
            <w:vAlign w:val="bottom"/>
            <w:hideMark/>
          </w:tcPr>
          <w:p w14:paraId="2FDFAE6F" w14:textId="706ACEC5" w:rsidR="009D119E" w:rsidRPr="000A3E17" w:rsidRDefault="00116172">
            <w:pPr>
              <w:pStyle w:val="TableText"/>
            </w:pPr>
            <w:r>
              <w:t>No</w:t>
            </w:r>
          </w:p>
        </w:tc>
        <w:tc>
          <w:tcPr>
            <w:tcW w:w="1134" w:type="dxa"/>
            <w:shd w:val="clear" w:color="auto" w:fill="auto"/>
            <w:noWrap/>
            <w:vAlign w:val="bottom"/>
            <w:hideMark/>
          </w:tcPr>
          <w:p w14:paraId="3333B024" w14:textId="4C8B4690" w:rsidR="009D119E" w:rsidRPr="000A3E17" w:rsidRDefault="00116172">
            <w:pPr>
              <w:pStyle w:val="TableText"/>
            </w:pPr>
            <w:r>
              <w:t>No</w:t>
            </w:r>
          </w:p>
        </w:tc>
        <w:tc>
          <w:tcPr>
            <w:tcW w:w="1134" w:type="dxa"/>
            <w:shd w:val="clear" w:color="auto" w:fill="auto"/>
            <w:noWrap/>
            <w:vAlign w:val="bottom"/>
            <w:hideMark/>
          </w:tcPr>
          <w:p w14:paraId="60F92A6B" w14:textId="3B23FC7E" w:rsidR="009D119E" w:rsidRPr="000A3E17" w:rsidRDefault="00116172">
            <w:pPr>
              <w:pStyle w:val="TableText"/>
            </w:pPr>
            <w:r>
              <w:t>Yes</w:t>
            </w:r>
          </w:p>
        </w:tc>
      </w:tr>
      <w:tr w:rsidR="00157813" w14:paraId="5180F206" w14:textId="77777777" w:rsidTr="000A3E17">
        <w:trPr>
          <w:trHeight w:val="318"/>
        </w:trPr>
        <w:tc>
          <w:tcPr>
            <w:tcW w:w="9498" w:type="dxa"/>
            <w:gridSpan w:val="4"/>
            <w:shd w:val="clear" w:color="auto" w:fill="auto"/>
          </w:tcPr>
          <w:p w14:paraId="30F210F2" w14:textId="6E9A4510" w:rsidR="009D119E" w:rsidRPr="000A3E17" w:rsidRDefault="007B7971" w:rsidP="00BA209A">
            <w:pPr>
              <w:pStyle w:val="TableText"/>
              <w:rPr>
                <w:rStyle w:val="Strong"/>
              </w:rPr>
            </w:pPr>
            <w:r w:rsidRPr="000A3E17">
              <w:rPr>
                <w:rStyle w:val="Strong"/>
              </w:rPr>
              <w:t xml:space="preserve">Role 2: </w:t>
            </w:r>
            <w:r w:rsidR="00BA209A">
              <w:rPr>
                <w:rStyle w:val="Strong"/>
              </w:rPr>
              <w:t>G</w:t>
            </w:r>
            <w:r w:rsidR="001D095E" w:rsidRPr="000A3E17">
              <w:rPr>
                <w:rStyle w:val="Strong"/>
              </w:rPr>
              <w:t>eneral manager</w:t>
            </w:r>
          </w:p>
        </w:tc>
      </w:tr>
      <w:tr w:rsidR="00157813" w14:paraId="3944B259" w14:textId="77777777" w:rsidTr="000A3E17">
        <w:trPr>
          <w:trHeight w:val="20"/>
        </w:trPr>
        <w:tc>
          <w:tcPr>
            <w:tcW w:w="6174" w:type="dxa"/>
            <w:shd w:val="clear" w:color="auto" w:fill="auto"/>
          </w:tcPr>
          <w:p w14:paraId="5AD1AF6A" w14:textId="77777777" w:rsidR="009D119E" w:rsidRPr="000A3E17" w:rsidRDefault="007B7971">
            <w:pPr>
              <w:pStyle w:val="TableText"/>
            </w:pPr>
            <w:r w:rsidRPr="000A3E17">
              <w:t xml:space="preserve">Strong understanding of AMILSC standards and how to assess compliance against a standard </w:t>
            </w:r>
          </w:p>
        </w:tc>
        <w:tc>
          <w:tcPr>
            <w:tcW w:w="1056" w:type="dxa"/>
            <w:shd w:val="clear" w:color="auto" w:fill="auto"/>
            <w:noWrap/>
            <w:vAlign w:val="bottom"/>
          </w:tcPr>
          <w:p w14:paraId="39434A2D" w14:textId="6D9E9FDC" w:rsidR="009D119E" w:rsidRPr="000A3E17" w:rsidRDefault="00116172">
            <w:pPr>
              <w:pStyle w:val="TableText"/>
            </w:pPr>
            <w:r>
              <w:t>Yes</w:t>
            </w:r>
          </w:p>
        </w:tc>
        <w:tc>
          <w:tcPr>
            <w:tcW w:w="1134" w:type="dxa"/>
            <w:shd w:val="clear" w:color="auto" w:fill="auto"/>
            <w:noWrap/>
            <w:vAlign w:val="bottom"/>
          </w:tcPr>
          <w:p w14:paraId="658183ED" w14:textId="7967A2C5" w:rsidR="009D119E" w:rsidRPr="000A3E17" w:rsidRDefault="00116172">
            <w:pPr>
              <w:pStyle w:val="TableText"/>
            </w:pPr>
            <w:r>
              <w:t>No</w:t>
            </w:r>
          </w:p>
        </w:tc>
        <w:tc>
          <w:tcPr>
            <w:tcW w:w="1134" w:type="dxa"/>
            <w:shd w:val="clear" w:color="auto" w:fill="auto"/>
            <w:noWrap/>
            <w:vAlign w:val="bottom"/>
          </w:tcPr>
          <w:p w14:paraId="34AF044C" w14:textId="17DC567B" w:rsidR="009D119E" w:rsidRPr="000A3E17" w:rsidRDefault="00116172">
            <w:pPr>
              <w:pStyle w:val="TableText"/>
            </w:pPr>
            <w:r>
              <w:t>No</w:t>
            </w:r>
          </w:p>
        </w:tc>
      </w:tr>
      <w:tr w:rsidR="00157813" w14:paraId="0839D36D" w14:textId="77777777" w:rsidTr="000A3E17">
        <w:trPr>
          <w:trHeight w:val="20"/>
        </w:trPr>
        <w:tc>
          <w:tcPr>
            <w:tcW w:w="6174" w:type="dxa"/>
            <w:shd w:val="clear" w:color="auto" w:fill="auto"/>
          </w:tcPr>
          <w:p w14:paraId="1B7AD8E6" w14:textId="77777777" w:rsidR="009D119E" w:rsidRPr="000A3E17" w:rsidRDefault="007B7971">
            <w:pPr>
              <w:pStyle w:val="TableText"/>
            </w:pPr>
            <w:r w:rsidRPr="000A3E17">
              <w:t xml:space="preserve">Ability to undertake general inspection of a processing facility and how it uses the technology to ensure it is complainant with AMILSC endorsed standard and best practice </w:t>
            </w:r>
          </w:p>
        </w:tc>
        <w:tc>
          <w:tcPr>
            <w:tcW w:w="1056" w:type="dxa"/>
            <w:shd w:val="clear" w:color="auto" w:fill="auto"/>
            <w:noWrap/>
            <w:vAlign w:val="bottom"/>
          </w:tcPr>
          <w:p w14:paraId="52DFBDDB" w14:textId="2772C4FB" w:rsidR="009D119E" w:rsidRPr="000A3E17" w:rsidRDefault="00116172">
            <w:pPr>
              <w:pStyle w:val="TableText"/>
            </w:pPr>
            <w:r>
              <w:t>Yes</w:t>
            </w:r>
          </w:p>
        </w:tc>
        <w:tc>
          <w:tcPr>
            <w:tcW w:w="1134" w:type="dxa"/>
            <w:shd w:val="clear" w:color="auto" w:fill="auto"/>
            <w:noWrap/>
            <w:vAlign w:val="bottom"/>
          </w:tcPr>
          <w:p w14:paraId="6C834D47" w14:textId="78FB9358" w:rsidR="009D119E" w:rsidRPr="000A3E17" w:rsidRDefault="00116172">
            <w:pPr>
              <w:pStyle w:val="TableText"/>
            </w:pPr>
            <w:r>
              <w:t>No</w:t>
            </w:r>
          </w:p>
        </w:tc>
        <w:tc>
          <w:tcPr>
            <w:tcW w:w="1134" w:type="dxa"/>
            <w:shd w:val="clear" w:color="auto" w:fill="auto"/>
            <w:noWrap/>
            <w:vAlign w:val="bottom"/>
          </w:tcPr>
          <w:p w14:paraId="04388B04" w14:textId="66507FB7" w:rsidR="009D119E" w:rsidRPr="000A3E17" w:rsidRDefault="00116172">
            <w:pPr>
              <w:pStyle w:val="TableText"/>
            </w:pPr>
            <w:r>
              <w:t>No</w:t>
            </w:r>
          </w:p>
        </w:tc>
      </w:tr>
      <w:tr w:rsidR="00157813" w14:paraId="3E56AAFC" w14:textId="77777777" w:rsidTr="000A3E17">
        <w:trPr>
          <w:trHeight w:val="20"/>
        </w:trPr>
        <w:tc>
          <w:tcPr>
            <w:tcW w:w="6174" w:type="dxa"/>
            <w:shd w:val="clear" w:color="auto" w:fill="auto"/>
          </w:tcPr>
          <w:p w14:paraId="2D70AE34" w14:textId="77777777" w:rsidR="009D119E" w:rsidRPr="000A3E17" w:rsidRDefault="007B7971">
            <w:pPr>
              <w:pStyle w:val="TableText"/>
            </w:pPr>
            <w:r w:rsidRPr="000A3E17">
              <w:t>Experience in inspecting equipment in line with an AMILSC standard</w:t>
            </w:r>
          </w:p>
        </w:tc>
        <w:tc>
          <w:tcPr>
            <w:tcW w:w="1056" w:type="dxa"/>
            <w:shd w:val="clear" w:color="auto" w:fill="auto"/>
            <w:noWrap/>
            <w:vAlign w:val="bottom"/>
          </w:tcPr>
          <w:p w14:paraId="56D7BDCE" w14:textId="39408D49" w:rsidR="009D119E" w:rsidRPr="000A3E17" w:rsidRDefault="00116172">
            <w:pPr>
              <w:pStyle w:val="TableText"/>
            </w:pPr>
            <w:r>
              <w:t>Yes</w:t>
            </w:r>
          </w:p>
        </w:tc>
        <w:tc>
          <w:tcPr>
            <w:tcW w:w="1134" w:type="dxa"/>
            <w:shd w:val="clear" w:color="auto" w:fill="auto"/>
            <w:noWrap/>
            <w:vAlign w:val="bottom"/>
          </w:tcPr>
          <w:p w14:paraId="2D997B87" w14:textId="7C790262" w:rsidR="009D119E" w:rsidRPr="000A3E17" w:rsidRDefault="00116172">
            <w:pPr>
              <w:pStyle w:val="TableText"/>
            </w:pPr>
            <w:r>
              <w:t>No</w:t>
            </w:r>
          </w:p>
        </w:tc>
        <w:tc>
          <w:tcPr>
            <w:tcW w:w="1134" w:type="dxa"/>
            <w:shd w:val="clear" w:color="auto" w:fill="auto"/>
            <w:noWrap/>
            <w:vAlign w:val="bottom"/>
          </w:tcPr>
          <w:p w14:paraId="7424AEE6" w14:textId="495D53C6" w:rsidR="009D119E" w:rsidRPr="000A3E17" w:rsidRDefault="00116172">
            <w:pPr>
              <w:pStyle w:val="TableText"/>
            </w:pPr>
            <w:r>
              <w:t>No</w:t>
            </w:r>
          </w:p>
        </w:tc>
      </w:tr>
      <w:tr w:rsidR="00157813" w14:paraId="2D8B4CCF" w14:textId="77777777" w:rsidTr="000A3E17">
        <w:trPr>
          <w:trHeight w:val="20"/>
        </w:trPr>
        <w:tc>
          <w:tcPr>
            <w:tcW w:w="6174" w:type="dxa"/>
            <w:shd w:val="clear" w:color="auto" w:fill="auto"/>
          </w:tcPr>
          <w:p w14:paraId="1DEA6216" w14:textId="77777777" w:rsidR="009D119E" w:rsidRPr="000A3E17" w:rsidRDefault="007B7971">
            <w:pPr>
              <w:pStyle w:val="TableText"/>
            </w:pPr>
            <w:r w:rsidRPr="000A3E17">
              <w:t>Ability to ensure consistent practices are implemented across business, including consistent calibration in line with an industry standard</w:t>
            </w:r>
          </w:p>
        </w:tc>
        <w:tc>
          <w:tcPr>
            <w:tcW w:w="1056" w:type="dxa"/>
            <w:shd w:val="clear" w:color="auto" w:fill="auto"/>
            <w:noWrap/>
            <w:vAlign w:val="bottom"/>
          </w:tcPr>
          <w:p w14:paraId="43C1A5FB" w14:textId="3920F9A2" w:rsidR="009D119E" w:rsidRPr="000A3E17" w:rsidRDefault="00116172">
            <w:pPr>
              <w:pStyle w:val="TableText"/>
            </w:pPr>
            <w:r>
              <w:t>Yes</w:t>
            </w:r>
          </w:p>
        </w:tc>
        <w:tc>
          <w:tcPr>
            <w:tcW w:w="1134" w:type="dxa"/>
            <w:shd w:val="clear" w:color="auto" w:fill="auto"/>
            <w:noWrap/>
            <w:vAlign w:val="bottom"/>
          </w:tcPr>
          <w:p w14:paraId="77096CAA" w14:textId="41158AE7" w:rsidR="009D119E" w:rsidRPr="000A3E17" w:rsidRDefault="00116172">
            <w:pPr>
              <w:pStyle w:val="TableText"/>
            </w:pPr>
            <w:r>
              <w:t>No</w:t>
            </w:r>
          </w:p>
        </w:tc>
        <w:tc>
          <w:tcPr>
            <w:tcW w:w="1134" w:type="dxa"/>
            <w:shd w:val="clear" w:color="auto" w:fill="auto"/>
            <w:noWrap/>
            <w:vAlign w:val="bottom"/>
          </w:tcPr>
          <w:p w14:paraId="3F9AB7D5" w14:textId="727E8B98" w:rsidR="009D119E" w:rsidRPr="000A3E17" w:rsidRDefault="00116172">
            <w:pPr>
              <w:pStyle w:val="TableText"/>
            </w:pPr>
            <w:r>
              <w:t>No</w:t>
            </w:r>
          </w:p>
        </w:tc>
      </w:tr>
      <w:tr w:rsidR="00157813" w14:paraId="2B9B7122" w14:textId="77777777" w:rsidTr="000A3E17">
        <w:trPr>
          <w:trHeight w:val="20"/>
        </w:trPr>
        <w:tc>
          <w:tcPr>
            <w:tcW w:w="6174" w:type="dxa"/>
            <w:shd w:val="clear" w:color="auto" w:fill="auto"/>
          </w:tcPr>
          <w:p w14:paraId="540E604A" w14:textId="77777777" w:rsidR="009D119E" w:rsidRPr="000A3E17" w:rsidRDefault="007B7971">
            <w:pPr>
              <w:pStyle w:val="TableText"/>
            </w:pPr>
            <w:r w:rsidRPr="000A3E17">
              <w:t xml:space="preserve">Ability to certify and distribute density calibration blocks </w:t>
            </w:r>
          </w:p>
        </w:tc>
        <w:tc>
          <w:tcPr>
            <w:tcW w:w="1056" w:type="dxa"/>
            <w:shd w:val="clear" w:color="auto" w:fill="auto"/>
            <w:noWrap/>
            <w:vAlign w:val="bottom"/>
          </w:tcPr>
          <w:p w14:paraId="4690CE79" w14:textId="7BBE3196" w:rsidR="009D119E" w:rsidRPr="000A3E17" w:rsidRDefault="00116172">
            <w:pPr>
              <w:pStyle w:val="TableText"/>
            </w:pPr>
            <w:r>
              <w:t>No</w:t>
            </w:r>
          </w:p>
        </w:tc>
        <w:tc>
          <w:tcPr>
            <w:tcW w:w="1134" w:type="dxa"/>
            <w:shd w:val="clear" w:color="auto" w:fill="auto"/>
            <w:noWrap/>
            <w:vAlign w:val="bottom"/>
          </w:tcPr>
          <w:p w14:paraId="3C4DDEC2" w14:textId="4A8152EF" w:rsidR="009D119E" w:rsidRPr="000A3E17" w:rsidRDefault="00116172">
            <w:pPr>
              <w:pStyle w:val="TableText"/>
            </w:pPr>
            <w:r>
              <w:t>Yes</w:t>
            </w:r>
          </w:p>
        </w:tc>
        <w:tc>
          <w:tcPr>
            <w:tcW w:w="1134" w:type="dxa"/>
            <w:shd w:val="clear" w:color="auto" w:fill="auto"/>
            <w:noWrap/>
            <w:vAlign w:val="bottom"/>
          </w:tcPr>
          <w:p w14:paraId="12679A69" w14:textId="268E59D0" w:rsidR="009D119E" w:rsidRPr="000A3E17" w:rsidRDefault="00116172">
            <w:pPr>
              <w:pStyle w:val="TableText"/>
            </w:pPr>
            <w:r>
              <w:t>No</w:t>
            </w:r>
          </w:p>
        </w:tc>
      </w:tr>
      <w:tr w:rsidR="00157813" w14:paraId="1BA832D7" w14:textId="77777777" w:rsidTr="000A3E17">
        <w:trPr>
          <w:trHeight w:val="20"/>
        </w:trPr>
        <w:tc>
          <w:tcPr>
            <w:tcW w:w="6174" w:type="dxa"/>
            <w:shd w:val="clear" w:color="auto" w:fill="auto"/>
          </w:tcPr>
          <w:p w14:paraId="054FE7AB" w14:textId="77777777" w:rsidR="009D119E" w:rsidRPr="000A3E17" w:rsidRDefault="007B7971">
            <w:pPr>
              <w:pStyle w:val="TableText"/>
            </w:pPr>
            <w:r w:rsidRPr="000A3E17">
              <w:t>Strong understanding of DEXA technology and how it will be used</w:t>
            </w:r>
          </w:p>
        </w:tc>
        <w:tc>
          <w:tcPr>
            <w:tcW w:w="1056" w:type="dxa"/>
            <w:shd w:val="clear" w:color="auto" w:fill="auto"/>
            <w:noWrap/>
            <w:vAlign w:val="bottom"/>
          </w:tcPr>
          <w:p w14:paraId="65773514" w14:textId="5E577603" w:rsidR="009D119E" w:rsidRPr="000A3E17" w:rsidRDefault="00116172">
            <w:pPr>
              <w:pStyle w:val="TableText"/>
            </w:pPr>
            <w:r>
              <w:t>Yes</w:t>
            </w:r>
          </w:p>
        </w:tc>
        <w:tc>
          <w:tcPr>
            <w:tcW w:w="1134" w:type="dxa"/>
            <w:shd w:val="clear" w:color="auto" w:fill="auto"/>
            <w:noWrap/>
            <w:vAlign w:val="bottom"/>
          </w:tcPr>
          <w:p w14:paraId="293C35AE" w14:textId="3E185502" w:rsidR="009D119E" w:rsidRPr="000A3E17" w:rsidRDefault="00116172">
            <w:pPr>
              <w:pStyle w:val="TableText"/>
            </w:pPr>
            <w:r>
              <w:t>No</w:t>
            </w:r>
          </w:p>
        </w:tc>
        <w:tc>
          <w:tcPr>
            <w:tcW w:w="1134" w:type="dxa"/>
            <w:shd w:val="clear" w:color="auto" w:fill="auto"/>
            <w:noWrap/>
            <w:vAlign w:val="bottom"/>
          </w:tcPr>
          <w:p w14:paraId="05E41FE4" w14:textId="4681FC67" w:rsidR="009D119E" w:rsidRPr="000A3E17" w:rsidRDefault="00116172">
            <w:pPr>
              <w:pStyle w:val="TableText"/>
            </w:pPr>
            <w:r>
              <w:t>No</w:t>
            </w:r>
          </w:p>
        </w:tc>
      </w:tr>
      <w:tr w:rsidR="00157813" w14:paraId="0EF53A53" w14:textId="77777777" w:rsidTr="000A3E17">
        <w:trPr>
          <w:trHeight w:val="20"/>
        </w:trPr>
        <w:tc>
          <w:tcPr>
            <w:tcW w:w="6174" w:type="dxa"/>
            <w:shd w:val="clear" w:color="auto" w:fill="auto"/>
          </w:tcPr>
          <w:p w14:paraId="1EB320BF" w14:textId="77777777" w:rsidR="009D119E" w:rsidRPr="000A3E17" w:rsidRDefault="007B7971">
            <w:pPr>
              <w:pStyle w:val="TableText"/>
            </w:pPr>
            <w:r w:rsidRPr="000A3E17">
              <w:t xml:space="preserve">Ability to maintain and store records </w:t>
            </w:r>
          </w:p>
        </w:tc>
        <w:tc>
          <w:tcPr>
            <w:tcW w:w="1056" w:type="dxa"/>
            <w:shd w:val="clear" w:color="auto" w:fill="auto"/>
            <w:noWrap/>
            <w:vAlign w:val="bottom"/>
          </w:tcPr>
          <w:p w14:paraId="58FC1388" w14:textId="176A1A63" w:rsidR="009D119E" w:rsidRPr="000A3E17" w:rsidRDefault="00116172">
            <w:pPr>
              <w:pStyle w:val="TableText"/>
            </w:pPr>
            <w:r>
              <w:t>Yes</w:t>
            </w:r>
          </w:p>
        </w:tc>
        <w:tc>
          <w:tcPr>
            <w:tcW w:w="1134" w:type="dxa"/>
            <w:shd w:val="clear" w:color="auto" w:fill="auto"/>
            <w:noWrap/>
            <w:vAlign w:val="bottom"/>
          </w:tcPr>
          <w:p w14:paraId="59862192" w14:textId="5C82F692" w:rsidR="009D119E" w:rsidRPr="000A3E17" w:rsidRDefault="00116172">
            <w:pPr>
              <w:pStyle w:val="TableText"/>
            </w:pPr>
            <w:r>
              <w:t>No</w:t>
            </w:r>
          </w:p>
        </w:tc>
        <w:tc>
          <w:tcPr>
            <w:tcW w:w="1134" w:type="dxa"/>
            <w:shd w:val="clear" w:color="auto" w:fill="auto"/>
            <w:noWrap/>
            <w:vAlign w:val="bottom"/>
          </w:tcPr>
          <w:p w14:paraId="09C2BDBA" w14:textId="273A1821" w:rsidR="009D119E" w:rsidRPr="000A3E17" w:rsidRDefault="00116172">
            <w:pPr>
              <w:pStyle w:val="TableText"/>
            </w:pPr>
            <w:r>
              <w:t>No</w:t>
            </w:r>
          </w:p>
        </w:tc>
      </w:tr>
      <w:tr w:rsidR="00157813" w14:paraId="06022D33" w14:textId="77777777" w:rsidTr="000A3E17">
        <w:trPr>
          <w:trHeight w:val="20"/>
        </w:trPr>
        <w:tc>
          <w:tcPr>
            <w:tcW w:w="6174" w:type="dxa"/>
            <w:shd w:val="clear" w:color="auto" w:fill="auto"/>
          </w:tcPr>
          <w:p w14:paraId="70CB4D01" w14:textId="77777777" w:rsidR="009D119E" w:rsidRPr="000A3E17" w:rsidRDefault="007B7971">
            <w:pPr>
              <w:pStyle w:val="TableText"/>
            </w:pPr>
            <w:r w:rsidRPr="000A3E17">
              <w:t xml:space="preserve">Ability to track and keep records of inspection outcomes </w:t>
            </w:r>
          </w:p>
        </w:tc>
        <w:tc>
          <w:tcPr>
            <w:tcW w:w="1056" w:type="dxa"/>
            <w:shd w:val="clear" w:color="auto" w:fill="auto"/>
            <w:noWrap/>
            <w:vAlign w:val="bottom"/>
          </w:tcPr>
          <w:p w14:paraId="42560AD0" w14:textId="7ABC82B3" w:rsidR="009D119E" w:rsidRPr="000A3E17" w:rsidRDefault="00116172">
            <w:pPr>
              <w:pStyle w:val="TableText"/>
            </w:pPr>
            <w:r>
              <w:t>Yes</w:t>
            </w:r>
          </w:p>
        </w:tc>
        <w:tc>
          <w:tcPr>
            <w:tcW w:w="1134" w:type="dxa"/>
            <w:shd w:val="clear" w:color="auto" w:fill="auto"/>
            <w:noWrap/>
            <w:vAlign w:val="bottom"/>
          </w:tcPr>
          <w:p w14:paraId="79E99351" w14:textId="2CEF0FA1" w:rsidR="009D119E" w:rsidRPr="000A3E17" w:rsidRDefault="00116172">
            <w:pPr>
              <w:pStyle w:val="TableText"/>
            </w:pPr>
            <w:r>
              <w:t>No</w:t>
            </w:r>
          </w:p>
        </w:tc>
        <w:tc>
          <w:tcPr>
            <w:tcW w:w="1134" w:type="dxa"/>
            <w:shd w:val="clear" w:color="auto" w:fill="auto"/>
            <w:noWrap/>
            <w:vAlign w:val="bottom"/>
          </w:tcPr>
          <w:p w14:paraId="10C58EC1" w14:textId="6A375E0A" w:rsidR="009D119E" w:rsidRPr="000A3E17" w:rsidRDefault="00116172">
            <w:pPr>
              <w:pStyle w:val="TableText"/>
            </w:pPr>
            <w:r>
              <w:t>No</w:t>
            </w:r>
          </w:p>
        </w:tc>
      </w:tr>
      <w:tr w:rsidR="00157813" w14:paraId="23A7305A" w14:textId="77777777" w:rsidTr="000A3E17">
        <w:trPr>
          <w:trHeight w:val="20"/>
        </w:trPr>
        <w:tc>
          <w:tcPr>
            <w:tcW w:w="6174" w:type="dxa"/>
            <w:shd w:val="clear" w:color="auto" w:fill="auto"/>
          </w:tcPr>
          <w:p w14:paraId="1C8CC204" w14:textId="77777777" w:rsidR="009D119E" w:rsidRPr="000A3E17" w:rsidRDefault="007B7971">
            <w:pPr>
              <w:pStyle w:val="TableText"/>
            </w:pPr>
            <w:r w:rsidRPr="000A3E17">
              <w:t>Ability to generate reports and document facility results</w:t>
            </w:r>
          </w:p>
        </w:tc>
        <w:tc>
          <w:tcPr>
            <w:tcW w:w="1056" w:type="dxa"/>
            <w:shd w:val="clear" w:color="auto" w:fill="auto"/>
            <w:noWrap/>
            <w:vAlign w:val="bottom"/>
          </w:tcPr>
          <w:p w14:paraId="5EFBC7AD" w14:textId="691F9B91" w:rsidR="009D119E" w:rsidRPr="000A3E17" w:rsidRDefault="00116172">
            <w:pPr>
              <w:pStyle w:val="TableText"/>
            </w:pPr>
            <w:r>
              <w:t>Yes</w:t>
            </w:r>
          </w:p>
        </w:tc>
        <w:tc>
          <w:tcPr>
            <w:tcW w:w="1134" w:type="dxa"/>
            <w:shd w:val="clear" w:color="auto" w:fill="auto"/>
            <w:noWrap/>
            <w:vAlign w:val="bottom"/>
          </w:tcPr>
          <w:p w14:paraId="7C2828D6" w14:textId="7CA00621" w:rsidR="009D119E" w:rsidRPr="000A3E17" w:rsidRDefault="00116172">
            <w:pPr>
              <w:pStyle w:val="TableText"/>
            </w:pPr>
            <w:r>
              <w:t>No</w:t>
            </w:r>
          </w:p>
        </w:tc>
        <w:tc>
          <w:tcPr>
            <w:tcW w:w="1134" w:type="dxa"/>
            <w:shd w:val="clear" w:color="auto" w:fill="auto"/>
            <w:noWrap/>
            <w:vAlign w:val="bottom"/>
          </w:tcPr>
          <w:p w14:paraId="2BB396A6" w14:textId="221814E1" w:rsidR="009D119E" w:rsidRPr="000A3E17" w:rsidRDefault="00116172">
            <w:pPr>
              <w:pStyle w:val="TableText"/>
            </w:pPr>
            <w:r>
              <w:t>No</w:t>
            </w:r>
          </w:p>
        </w:tc>
      </w:tr>
      <w:tr w:rsidR="00157813" w14:paraId="5100ECFD" w14:textId="77777777" w:rsidTr="000A3E17">
        <w:trPr>
          <w:trHeight w:val="20"/>
        </w:trPr>
        <w:tc>
          <w:tcPr>
            <w:tcW w:w="6174" w:type="dxa"/>
            <w:shd w:val="clear" w:color="auto" w:fill="auto"/>
          </w:tcPr>
          <w:p w14:paraId="5FF6C290" w14:textId="77777777" w:rsidR="009D119E" w:rsidRPr="000A3E17" w:rsidRDefault="007B7971">
            <w:pPr>
              <w:pStyle w:val="TableText"/>
            </w:pPr>
            <w:r w:rsidRPr="000A3E17">
              <w:t>Ability to communicate technical information to users</w:t>
            </w:r>
          </w:p>
        </w:tc>
        <w:tc>
          <w:tcPr>
            <w:tcW w:w="1056" w:type="dxa"/>
            <w:shd w:val="clear" w:color="auto" w:fill="auto"/>
            <w:noWrap/>
            <w:vAlign w:val="bottom"/>
          </w:tcPr>
          <w:p w14:paraId="1892EE4C" w14:textId="10E5BD01" w:rsidR="009D119E" w:rsidRPr="000A3E17" w:rsidRDefault="00116172">
            <w:pPr>
              <w:pStyle w:val="TableText"/>
            </w:pPr>
            <w:r>
              <w:t>Yes</w:t>
            </w:r>
          </w:p>
        </w:tc>
        <w:tc>
          <w:tcPr>
            <w:tcW w:w="1134" w:type="dxa"/>
            <w:shd w:val="clear" w:color="auto" w:fill="auto"/>
            <w:noWrap/>
            <w:vAlign w:val="bottom"/>
          </w:tcPr>
          <w:p w14:paraId="57CCA73C" w14:textId="17A2F5C8" w:rsidR="009D119E" w:rsidRPr="000A3E17" w:rsidRDefault="00116172">
            <w:pPr>
              <w:pStyle w:val="TableText"/>
            </w:pPr>
            <w:r>
              <w:t>No</w:t>
            </w:r>
          </w:p>
        </w:tc>
        <w:tc>
          <w:tcPr>
            <w:tcW w:w="1134" w:type="dxa"/>
            <w:shd w:val="clear" w:color="auto" w:fill="auto"/>
            <w:noWrap/>
            <w:vAlign w:val="bottom"/>
          </w:tcPr>
          <w:p w14:paraId="61388987" w14:textId="61BBA9D5" w:rsidR="009D119E" w:rsidRPr="000A3E17" w:rsidRDefault="00116172">
            <w:pPr>
              <w:pStyle w:val="TableText"/>
            </w:pPr>
            <w:r>
              <w:t>No</w:t>
            </w:r>
          </w:p>
        </w:tc>
      </w:tr>
      <w:tr w:rsidR="00157813" w14:paraId="12A04860" w14:textId="77777777" w:rsidTr="000A3E17">
        <w:trPr>
          <w:trHeight w:val="20"/>
        </w:trPr>
        <w:tc>
          <w:tcPr>
            <w:tcW w:w="6174" w:type="dxa"/>
            <w:shd w:val="clear" w:color="auto" w:fill="auto"/>
          </w:tcPr>
          <w:p w14:paraId="2B9083CC" w14:textId="77777777" w:rsidR="009D119E" w:rsidRPr="000A3E17" w:rsidRDefault="007B7971">
            <w:pPr>
              <w:pStyle w:val="TableText"/>
            </w:pPr>
            <w:r w:rsidRPr="000A3E17">
              <w:t>Ability to deliver relevant training in line with AMILSC endorsed training packages</w:t>
            </w:r>
          </w:p>
        </w:tc>
        <w:tc>
          <w:tcPr>
            <w:tcW w:w="1056" w:type="dxa"/>
            <w:shd w:val="clear" w:color="auto" w:fill="auto"/>
            <w:noWrap/>
            <w:vAlign w:val="bottom"/>
          </w:tcPr>
          <w:p w14:paraId="621CF370" w14:textId="58908ADB" w:rsidR="009D119E" w:rsidRPr="000A3E17" w:rsidRDefault="00116172">
            <w:pPr>
              <w:pStyle w:val="TableText"/>
            </w:pPr>
            <w:r>
              <w:t>Yes</w:t>
            </w:r>
          </w:p>
        </w:tc>
        <w:tc>
          <w:tcPr>
            <w:tcW w:w="1134" w:type="dxa"/>
            <w:shd w:val="clear" w:color="auto" w:fill="auto"/>
            <w:noWrap/>
            <w:vAlign w:val="bottom"/>
          </w:tcPr>
          <w:p w14:paraId="0BB3F0B9" w14:textId="776F48B6" w:rsidR="009D119E" w:rsidRPr="000A3E17" w:rsidRDefault="00116172">
            <w:pPr>
              <w:pStyle w:val="TableText"/>
            </w:pPr>
            <w:r>
              <w:t>No</w:t>
            </w:r>
          </w:p>
        </w:tc>
        <w:tc>
          <w:tcPr>
            <w:tcW w:w="1134" w:type="dxa"/>
            <w:shd w:val="clear" w:color="auto" w:fill="auto"/>
            <w:noWrap/>
            <w:vAlign w:val="bottom"/>
            <w:hideMark/>
          </w:tcPr>
          <w:p w14:paraId="1126A54D" w14:textId="3C2BD5F1" w:rsidR="009D119E" w:rsidRPr="000A3E17" w:rsidRDefault="00116172">
            <w:pPr>
              <w:pStyle w:val="TableText"/>
            </w:pPr>
            <w:r>
              <w:t>No</w:t>
            </w:r>
          </w:p>
        </w:tc>
      </w:tr>
      <w:tr w:rsidR="00157813" w14:paraId="5D23D72C" w14:textId="77777777" w:rsidTr="000A3E17">
        <w:trPr>
          <w:trHeight w:val="20"/>
        </w:trPr>
        <w:tc>
          <w:tcPr>
            <w:tcW w:w="6174" w:type="dxa"/>
            <w:shd w:val="clear" w:color="auto" w:fill="auto"/>
          </w:tcPr>
          <w:p w14:paraId="2A0556B4" w14:textId="77777777" w:rsidR="009D119E" w:rsidRPr="000A3E17" w:rsidRDefault="007B7971">
            <w:pPr>
              <w:pStyle w:val="TableText"/>
            </w:pPr>
            <w:r w:rsidRPr="000A3E17">
              <w:t xml:space="preserve">Ability to demonstrate independence from processors and producers </w:t>
            </w:r>
          </w:p>
        </w:tc>
        <w:tc>
          <w:tcPr>
            <w:tcW w:w="1056" w:type="dxa"/>
            <w:shd w:val="clear" w:color="auto" w:fill="auto"/>
            <w:noWrap/>
            <w:vAlign w:val="bottom"/>
          </w:tcPr>
          <w:p w14:paraId="29DC0A57" w14:textId="78BB44FB" w:rsidR="009D119E" w:rsidRPr="000A3E17" w:rsidRDefault="00116172">
            <w:pPr>
              <w:pStyle w:val="TableText"/>
            </w:pPr>
            <w:r>
              <w:t>Yes</w:t>
            </w:r>
          </w:p>
        </w:tc>
        <w:tc>
          <w:tcPr>
            <w:tcW w:w="1134" w:type="dxa"/>
            <w:shd w:val="clear" w:color="auto" w:fill="auto"/>
            <w:noWrap/>
            <w:vAlign w:val="bottom"/>
          </w:tcPr>
          <w:p w14:paraId="79856200" w14:textId="1802646C" w:rsidR="009D119E" w:rsidRPr="000A3E17" w:rsidRDefault="00116172">
            <w:pPr>
              <w:pStyle w:val="TableText"/>
            </w:pPr>
            <w:r>
              <w:t>No</w:t>
            </w:r>
          </w:p>
        </w:tc>
        <w:tc>
          <w:tcPr>
            <w:tcW w:w="1134" w:type="dxa"/>
            <w:shd w:val="clear" w:color="auto" w:fill="auto"/>
            <w:noWrap/>
            <w:vAlign w:val="bottom"/>
          </w:tcPr>
          <w:p w14:paraId="0D0D9543" w14:textId="2ED33118" w:rsidR="009D119E" w:rsidRPr="000A3E17" w:rsidRDefault="00116172">
            <w:pPr>
              <w:pStyle w:val="TableText"/>
            </w:pPr>
            <w:r>
              <w:t>No</w:t>
            </w:r>
          </w:p>
        </w:tc>
      </w:tr>
      <w:tr w:rsidR="00157813" w14:paraId="1982100A" w14:textId="77777777" w:rsidTr="000A3E17">
        <w:trPr>
          <w:trHeight w:val="20"/>
        </w:trPr>
        <w:tc>
          <w:tcPr>
            <w:tcW w:w="6174" w:type="dxa"/>
            <w:shd w:val="clear" w:color="auto" w:fill="auto"/>
          </w:tcPr>
          <w:p w14:paraId="430296CA" w14:textId="77777777" w:rsidR="009D119E" w:rsidRPr="000A3E17" w:rsidRDefault="007B7971">
            <w:pPr>
              <w:pStyle w:val="TableText"/>
            </w:pPr>
            <w:r w:rsidRPr="000A3E17">
              <w:t xml:space="preserve">Ability to investigate and come to a resolution on DEXA carcase measurement disputes </w:t>
            </w:r>
          </w:p>
        </w:tc>
        <w:tc>
          <w:tcPr>
            <w:tcW w:w="1056" w:type="dxa"/>
            <w:shd w:val="clear" w:color="auto" w:fill="auto"/>
            <w:noWrap/>
            <w:vAlign w:val="bottom"/>
          </w:tcPr>
          <w:p w14:paraId="555F9B1F" w14:textId="4352477F" w:rsidR="009D119E" w:rsidRPr="000A3E17" w:rsidRDefault="00116172">
            <w:pPr>
              <w:pStyle w:val="TableText"/>
            </w:pPr>
            <w:r>
              <w:t>No</w:t>
            </w:r>
          </w:p>
        </w:tc>
        <w:tc>
          <w:tcPr>
            <w:tcW w:w="1134" w:type="dxa"/>
            <w:shd w:val="clear" w:color="auto" w:fill="auto"/>
            <w:noWrap/>
            <w:vAlign w:val="bottom"/>
          </w:tcPr>
          <w:p w14:paraId="4FCEE900" w14:textId="431DD0E8" w:rsidR="009D119E" w:rsidRPr="000A3E17" w:rsidRDefault="00116172">
            <w:pPr>
              <w:pStyle w:val="TableText"/>
            </w:pPr>
            <w:r>
              <w:t>Yes</w:t>
            </w:r>
          </w:p>
        </w:tc>
        <w:tc>
          <w:tcPr>
            <w:tcW w:w="1134" w:type="dxa"/>
            <w:shd w:val="clear" w:color="auto" w:fill="auto"/>
            <w:noWrap/>
            <w:vAlign w:val="bottom"/>
          </w:tcPr>
          <w:p w14:paraId="4FCD7EB0" w14:textId="1DAA5246" w:rsidR="009D119E" w:rsidRPr="000A3E17" w:rsidRDefault="00116172">
            <w:pPr>
              <w:pStyle w:val="TableText"/>
            </w:pPr>
            <w:r>
              <w:t>No</w:t>
            </w:r>
          </w:p>
        </w:tc>
      </w:tr>
      <w:tr w:rsidR="00157813" w14:paraId="317C9AEF" w14:textId="77777777" w:rsidTr="000A3E17">
        <w:trPr>
          <w:trHeight w:val="20"/>
        </w:trPr>
        <w:tc>
          <w:tcPr>
            <w:tcW w:w="6174" w:type="dxa"/>
            <w:shd w:val="clear" w:color="auto" w:fill="auto"/>
          </w:tcPr>
          <w:p w14:paraId="2DAE0AE7" w14:textId="77777777" w:rsidR="009D119E" w:rsidRPr="000A3E17" w:rsidRDefault="007B7971">
            <w:pPr>
              <w:pStyle w:val="TableText"/>
            </w:pPr>
            <w:r w:rsidRPr="000A3E17">
              <w:t>Holds relevant occupational health &amp; safety accreditation</w:t>
            </w:r>
          </w:p>
        </w:tc>
        <w:tc>
          <w:tcPr>
            <w:tcW w:w="1056" w:type="dxa"/>
            <w:shd w:val="clear" w:color="auto" w:fill="auto"/>
            <w:noWrap/>
            <w:vAlign w:val="bottom"/>
          </w:tcPr>
          <w:p w14:paraId="08E50D66" w14:textId="69E439A8" w:rsidR="009D119E" w:rsidRPr="000A3E17" w:rsidRDefault="00116172">
            <w:pPr>
              <w:pStyle w:val="TableText"/>
            </w:pPr>
            <w:r>
              <w:t>Yes</w:t>
            </w:r>
          </w:p>
        </w:tc>
        <w:tc>
          <w:tcPr>
            <w:tcW w:w="1134" w:type="dxa"/>
            <w:shd w:val="clear" w:color="auto" w:fill="auto"/>
            <w:noWrap/>
            <w:vAlign w:val="bottom"/>
            <w:hideMark/>
          </w:tcPr>
          <w:p w14:paraId="563FAE7C" w14:textId="7384D904" w:rsidR="009D119E" w:rsidRPr="000A3E17" w:rsidRDefault="00116172">
            <w:pPr>
              <w:pStyle w:val="TableText"/>
            </w:pPr>
            <w:r>
              <w:t>No</w:t>
            </w:r>
          </w:p>
        </w:tc>
        <w:tc>
          <w:tcPr>
            <w:tcW w:w="1134" w:type="dxa"/>
            <w:shd w:val="clear" w:color="auto" w:fill="auto"/>
            <w:noWrap/>
            <w:vAlign w:val="bottom"/>
            <w:hideMark/>
          </w:tcPr>
          <w:p w14:paraId="6415C03C" w14:textId="4A865960" w:rsidR="009D119E" w:rsidRPr="000A3E17" w:rsidRDefault="00116172">
            <w:pPr>
              <w:pStyle w:val="TableText"/>
            </w:pPr>
            <w:r>
              <w:t>No</w:t>
            </w:r>
          </w:p>
        </w:tc>
      </w:tr>
      <w:tr w:rsidR="00157813" w14:paraId="7252260A" w14:textId="77777777" w:rsidTr="000A3E17">
        <w:trPr>
          <w:trHeight w:val="318"/>
        </w:trPr>
        <w:tc>
          <w:tcPr>
            <w:tcW w:w="9498" w:type="dxa"/>
            <w:gridSpan w:val="4"/>
            <w:shd w:val="clear" w:color="auto" w:fill="auto"/>
          </w:tcPr>
          <w:p w14:paraId="14509433" w14:textId="2B561530" w:rsidR="009D119E" w:rsidRPr="000A3E17" w:rsidRDefault="007B7971" w:rsidP="000A3E17">
            <w:pPr>
              <w:pStyle w:val="TableText"/>
              <w:keepNext/>
              <w:rPr>
                <w:rStyle w:val="Strong"/>
              </w:rPr>
            </w:pPr>
            <w:r w:rsidRPr="000A3E17">
              <w:rPr>
                <w:rStyle w:val="Strong"/>
              </w:rPr>
              <w:lastRenderedPageBreak/>
              <w:t>Role 3</w:t>
            </w:r>
            <w:r w:rsidR="002950A2">
              <w:rPr>
                <w:rStyle w:val="Strong"/>
              </w:rPr>
              <w:t>:</w:t>
            </w:r>
            <w:r w:rsidRPr="000A3E17">
              <w:rPr>
                <w:rStyle w:val="Strong"/>
              </w:rPr>
              <w:t xml:space="preserve"> Quality </w:t>
            </w:r>
            <w:r w:rsidR="00BA209A">
              <w:rPr>
                <w:rStyle w:val="Strong"/>
              </w:rPr>
              <w:t>a</w:t>
            </w:r>
            <w:r w:rsidRPr="000A3E17">
              <w:rPr>
                <w:rStyle w:val="Strong"/>
              </w:rPr>
              <w:t xml:space="preserve">ssurance </w:t>
            </w:r>
            <w:r w:rsidR="00BA209A">
              <w:rPr>
                <w:rStyle w:val="Strong"/>
              </w:rPr>
              <w:t>a</w:t>
            </w:r>
            <w:r w:rsidRPr="000A3E17">
              <w:rPr>
                <w:rStyle w:val="Strong"/>
              </w:rPr>
              <w:t>uditor</w:t>
            </w:r>
          </w:p>
        </w:tc>
      </w:tr>
      <w:tr w:rsidR="00157813" w14:paraId="2F25A365" w14:textId="77777777" w:rsidTr="000A3E17">
        <w:trPr>
          <w:trHeight w:val="20"/>
        </w:trPr>
        <w:tc>
          <w:tcPr>
            <w:tcW w:w="6174" w:type="dxa"/>
            <w:shd w:val="clear" w:color="auto" w:fill="auto"/>
          </w:tcPr>
          <w:p w14:paraId="548A52B4" w14:textId="77777777" w:rsidR="009D119E" w:rsidRPr="000A3E17" w:rsidRDefault="007B7971">
            <w:pPr>
              <w:pStyle w:val="TableText"/>
            </w:pPr>
            <w:r w:rsidRPr="000A3E17">
              <w:t>Strong understanding of the auditing process</w:t>
            </w:r>
          </w:p>
        </w:tc>
        <w:tc>
          <w:tcPr>
            <w:tcW w:w="1056" w:type="dxa"/>
            <w:shd w:val="clear" w:color="auto" w:fill="auto"/>
            <w:vAlign w:val="bottom"/>
            <w:hideMark/>
          </w:tcPr>
          <w:p w14:paraId="5993B402" w14:textId="2077A144" w:rsidR="009D119E" w:rsidRPr="000A3E17" w:rsidRDefault="00116172">
            <w:pPr>
              <w:pStyle w:val="TableText"/>
            </w:pPr>
            <w:r>
              <w:t>Yes</w:t>
            </w:r>
          </w:p>
        </w:tc>
        <w:tc>
          <w:tcPr>
            <w:tcW w:w="1134" w:type="dxa"/>
            <w:shd w:val="clear" w:color="auto" w:fill="auto"/>
            <w:vAlign w:val="bottom"/>
            <w:hideMark/>
          </w:tcPr>
          <w:p w14:paraId="126D8ACB" w14:textId="2872647A" w:rsidR="009D119E" w:rsidRPr="000A3E17" w:rsidRDefault="00116172">
            <w:pPr>
              <w:pStyle w:val="TableText"/>
            </w:pPr>
            <w:r>
              <w:t>No</w:t>
            </w:r>
          </w:p>
        </w:tc>
        <w:tc>
          <w:tcPr>
            <w:tcW w:w="1134" w:type="dxa"/>
            <w:shd w:val="clear" w:color="auto" w:fill="auto"/>
            <w:vAlign w:val="bottom"/>
            <w:hideMark/>
          </w:tcPr>
          <w:p w14:paraId="0F724DF7" w14:textId="47856DB1" w:rsidR="009D119E" w:rsidRPr="000A3E17" w:rsidRDefault="00116172">
            <w:pPr>
              <w:pStyle w:val="TableText"/>
            </w:pPr>
            <w:r>
              <w:t>No</w:t>
            </w:r>
          </w:p>
        </w:tc>
      </w:tr>
      <w:tr w:rsidR="00157813" w14:paraId="0D5E5113" w14:textId="77777777" w:rsidTr="000A3E17">
        <w:trPr>
          <w:trHeight w:val="20"/>
        </w:trPr>
        <w:tc>
          <w:tcPr>
            <w:tcW w:w="6174" w:type="dxa"/>
            <w:shd w:val="clear" w:color="auto" w:fill="auto"/>
          </w:tcPr>
          <w:p w14:paraId="51FA290A" w14:textId="77777777" w:rsidR="009D119E" w:rsidRPr="000A3E17" w:rsidRDefault="007B7971">
            <w:pPr>
              <w:pStyle w:val="TableText"/>
            </w:pPr>
            <w:r w:rsidRPr="000A3E17">
              <w:t>Experience in successfully auditing technology against an AMILSC standard</w:t>
            </w:r>
          </w:p>
        </w:tc>
        <w:tc>
          <w:tcPr>
            <w:tcW w:w="1056" w:type="dxa"/>
            <w:shd w:val="clear" w:color="auto" w:fill="auto"/>
            <w:vAlign w:val="bottom"/>
            <w:hideMark/>
          </w:tcPr>
          <w:p w14:paraId="05054C30" w14:textId="64CE032E" w:rsidR="009D119E" w:rsidRPr="000A3E17" w:rsidRDefault="00116172">
            <w:pPr>
              <w:pStyle w:val="TableText"/>
            </w:pPr>
            <w:r>
              <w:t>Yes</w:t>
            </w:r>
          </w:p>
        </w:tc>
        <w:tc>
          <w:tcPr>
            <w:tcW w:w="1134" w:type="dxa"/>
            <w:shd w:val="clear" w:color="auto" w:fill="auto"/>
            <w:vAlign w:val="bottom"/>
            <w:hideMark/>
          </w:tcPr>
          <w:p w14:paraId="374881F7" w14:textId="4E5CDA6B" w:rsidR="009D119E" w:rsidRPr="000A3E17" w:rsidRDefault="00116172">
            <w:pPr>
              <w:pStyle w:val="TableText"/>
            </w:pPr>
            <w:r>
              <w:t>No</w:t>
            </w:r>
          </w:p>
        </w:tc>
        <w:tc>
          <w:tcPr>
            <w:tcW w:w="1134" w:type="dxa"/>
            <w:shd w:val="clear" w:color="auto" w:fill="auto"/>
            <w:vAlign w:val="bottom"/>
            <w:hideMark/>
          </w:tcPr>
          <w:p w14:paraId="73AEA0DE" w14:textId="5B342B7D" w:rsidR="009D119E" w:rsidRPr="000A3E17" w:rsidRDefault="00116172">
            <w:pPr>
              <w:pStyle w:val="TableText"/>
            </w:pPr>
            <w:r>
              <w:t>No</w:t>
            </w:r>
          </w:p>
        </w:tc>
      </w:tr>
      <w:tr w:rsidR="00157813" w14:paraId="2FB416AD" w14:textId="77777777" w:rsidTr="000A3E17">
        <w:trPr>
          <w:trHeight w:val="20"/>
        </w:trPr>
        <w:tc>
          <w:tcPr>
            <w:tcW w:w="6174" w:type="dxa"/>
            <w:shd w:val="clear" w:color="auto" w:fill="auto"/>
          </w:tcPr>
          <w:p w14:paraId="7658F315" w14:textId="77777777" w:rsidR="009D119E" w:rsidRPr="000A3E17" w:rsidRDefault="007B7971">
            <w:pPr>
              <w:pStyle w:val="TableText"/>
            </w:pPr>
            <w:r w:rsidRPr="000A3E17">
              <w:t>Ability to certify against an AMILSC standard</w:t>
            </w:r>
          </w:p>
        </w:tc>
        <w:tc>
          <w:tcPr>
            <w:tcW w:w="1056" w:type="dxa"/>
            <w:shd w:val="clear" w:color="auto" w:fill="auto"/>
            <w:noWrap/>
            <w:vAlign w:val="bottom"/>
          </w:tcPr>
          <w:p w14:paraId="4D725AC6" w14:textId="7B753478" w:rsidR="009D119E" w:rsidRPr="000A3E17" w:rsidRDefault="00116172">
            <w:pPr>
              <w:pStyle w:val="TableText"/>
            </w:pPr>
            <w:r>
              <w:t>Yes</w:t>
            </w:r>
          </w:p>
        </w:tc>
        <w:tc>
          <w:tcPr>
            <w:tcW w:w="1134" w:type="dxa"/>
            <w:shd w:val="clear" w:color="auto" w:fill="auto"/>
            <w:noWrap/>
            <w:vAlign w:val="bottom"/>
          </w:tcPr>
          <w:p w14:paraId="3711385E" w14:textId="5A6AEC88" w:rsidR="009D119E" w:rsidRPr="000A3E17" w:rsidRDefault="00116172">
            <w:pPr>
              <w:pStyle w:val="TableText"/>
            </w:pPr>
            <w:r>
              <w:t>No</w:t>
            </w:r>
          </w:p>
        </w:tc>
        <w:tc>
          <w:tcPr>
            <w:tcW w:w="1134" w:type="dxa"/>
            <w:shd w:val="clear" w:color="auto" w:fill="auto"/>
            <w:noWrap/>
            <w:vAlign w:val="bottom"/>
          </w:tcPr>
          <w:p w14:paraId="2AAC5135" w14:textId="73DE63E6" w:rsidR="009D119E" w:rsidRPr="000A3E17" w:rsidRDefault="00116172">
            <w:pPr>
              <w:pStyle w:val="TableText"/>
            </w:pPr>
            <w:r>
              <w:t>No</w:t>
            </w:r>
          </w:p>
        </w:tc>
      </w:tr>
      <w:tr w:rsidR="00157813" w14:paraId="768CF2F3" w14:textId="77777777" w:rsidTr="000A3E17">
        <w:trPr>
          <w:trHeight w:val="20"/>
        </w:trPr>
        <w:tc>
          <w:tcPr>
            <w:tcW w:w="6174" w:type="dxa"/>
            <w:shd w:val="clear" w:color="auto" w:fill="auto"/>
          </w:tcPr>
          <w:p w14:paraId="2AD6BC12" w14:textId="77777777" w:rsidR="009D119E" w:rsidRPr="000A3E17" w:rsidRDefault="007B7971">
            <w:pPr>
              <w:pStyle w:val="TableText"/>
            </w:pPr>
            <w:r w:rsidRPr="000A3E17">
              <w:t xml:space="preserve">Ability to track and keep records of auditing outcomes </w:t>
            </w:r>
          </w:p>
        </w:tc>
        <w:tc>
          <w:tcPr>
            <w:tcW w:w="1056" w:type="dxa"/>
            <w:shd w:val="clear" w:color="auto" w:fill="auto"/>
            <w:noWrap/>
            <w:vAlign w:val="bottom"/>
          </w:tcPr>
          <w:p w14:paraId="0AF9D47C" w14:textId="530110DF" w:rsidR="009D119E" w:rsidRPr="000A3E17" w:rsidRDefault="00116172">
            <w:pPr>
              <w:pStyle w:val="TableText"/>
            </w:pPr>
            <w:r>
              <w:t>Yes</w:t>
            </w:r>
          </w:p>
        </w:tc>
        <w:tc>
          <w:tcPr>
            <w:tcW w:w="1134" w:type="dxa"/>
            <w:shd w:val="clear" w:color="auto" w:fill="auto"/>
            <w:noWrap/>
            <w:vAlign w:val="bottom"/>
          </w:tcPr>
          <w:p w14:paraId="2D5959A3" w14:textId="35AB65D7" w:rsidR="009D119E" w:rsidRPr="000A3E17" w:rsidRDefault="00116172">
            <w:pPr>
              <w:pStyle w:val="TableText"/>
            </w:pPr>
            <w:r>
              <w:t>No</w:t>
            </w:r>
          </w:p>
        </w:tc>
        <w:tc>
          <w:tcPr>
            <w:tcW w:w="1134" w:type="dxa"/>
            <w:shd w:val="clear" w:color="auto" w:fill="auto"/>
            <w:noWrap/>
            <w:vAlign w:val="bottom"/>
          </w:tcPr>
          <w:p w14:paraId="57D08BB8" w14:textId="0B6EC98B" w:rsidR="009D119E" w:rsidRPr="000A3E17" w:rsidRDefault="00116172">
            <w:pPr>
              <w:pStyle w:val="TableText"/>
            </w:pPr>
            <w:r>
              <w:t>No</w:t>
            </w:r>
          </w:p>
        </w:tc>
      </w:tr>
      <w:tr w:rsidR="00157813" w14:paraId="2CEA13F6" w14:textId="77777777" w:rsidTr="000A3E17">
        <w:trPr>
          <w:trHeight w:val="20"/>
        </w:trPr>
        <w:tc>
          <w:tcPr>
            <w:tcW w:w="6174" w:type="dxa"/>
            <w:shd w:val="clear" w:color="auto" w:fill="auto"/>
          </w:tcPr>
          <w:p w14:paraId="18513DB4" w14:textId="77777777" w:rsidR="009D119E" w:rsidRPr="000A3E17" w:rsidRDefault="007B7971">
            <w:pPr>
              <w:pStyle w:val="TableText"/>
            </w:pPr>
            <w:r w:rsidRPr="000A3E17">
              <w:t xml:space="preserve">Ability to transmit information through reports to the </w:t>
            </w:r>
            <w:r w:rsidR="001D095E" w:rsidRPr="000A3E17">
              <w:t>general manager</w:t>
            </w:r>
          </w:p>
        </w:tc>
        <w:tc>
          <w:tcPr>
            <w:tcW w:w="1056" w:type="dxa"/>
            <w:shd w:val="clear" w:color="auto" w:fill="auto"/>
            <w:noWrap/>
            <w:vAlign w:val="bottom"/>
          </w:tcPr>
          <w:p w14:paraId="7FB8EBBE" w14:textId="6AF11154" w:rsidR="009D119E" w:rsidRPr="000A3E17" w:rsidRDefault="00116172">
            <w:pPr>
              <w:pStyle w:val="TableText"/>
            </w:pPr>
            <w:r>
              <w:t>Yes</w:t>
            </w:r>
          </w:p>
        </w:tc>
        <w:tc>
          <w:tcPr>
            <w:tcW w:w="1134" w:type="dxa"/>
            <w:shd w:val="clear" w:color="auto" w:fill="auto"/>
            <w:noWrap/>
            <w:vAlign w:val="bottom"/>
          </w:tcPr>
          <w:p w14:paraId="7438D18E" w14:textId="34368435" w:rsidR="009D119E" w:rsidRPr="000A3E17" w:rsidRDefault="00116172">
            <w:pPr>
              <w:pStyle w:val="TableText"/>
            </w:pPr>
            <w:r>
              <w:t>No</w:t>
            </w:r>
          </w:p>
        </w:tc>
        <w:tc>
          <w:tcPr>
            <w:tcW w:w="1134" w:type="dxa"/>
            <w:shd w:val="clear" w:color="auto" w:fill="auto"/>
            <w:noWrap/>
            <w:vAlign w:val="bottom"/>
          </w:tcPr>
          <w:p w14:paraId="42CC2667" w14:textId="2A7AAD43" w:rsidR="009D119E" w:rsidRPr="000A3E17" w:rsidRDefault="00116172">
            <w:pPr>
              <w:pStyle w:val="TableText"/>
            </w:pPr>
            <w:r>
              <w:t>No</w:t>
            </w:r>
          </w:p>
        </w:tc>
      </w:tr>
      <w:tr w:rsidR="00157813" w14:paraId="7A707538" w14:textId="77777777" w:rsidTr="000A3E17">
        <w:trPr>
          <w:trHeight w:val="20"/>
        </w:trPr>
        <w:tc>
          <w:tcPr>
            <w:tcW w:w="6174" w:type="dxa"/>
            <w:shd w:val="clear" w:color="auto" w:fill="auto"/>
          </w:tcPr>
          <w:p w14:paraId="2B0C9657" w14:textId="77777777" w:rsidR="009D119E" w:rsidRPr="000A3E17" w:rsidRDefault="007B7971">
            <w:pPr>
              <w:pStyle w:val="TableText"/>
            </w:pPr>
            <w:r w:rsidRPr="000A3E17">
              <w:t>Access to the equipment required to independently audit the DEXA machinery/equipment</w:t>
            </w:r>
          </w:p>
        </w:tc>
        <w:tc>
          <w:tcPr>
            <w:tcW w:w="1056" w:type="dxa"/>
            <w:shd w:val="clear" w:color="auto" w:fill="auto"/>
            <w:noWrap/>
            <w:vAlign w:val="bottom"/>
            <w:hideMark/>
          </w:tcPr>
          <w:p w14:paraId="1CF05682" w14:textId="3D32A6F2" w:rsidR="009D119E" w:rsidRPr="000A3E17" w:rsidRDefault="00116172">
            <w:pPr>
              <w:pStyle w:val="TableText"/>
            </w:pPr>
            <w:r>
              <w:t>No</w:t>
            </w:r>
          </w:p>
        </w:tc>
        <w:tc>
          <w:tcPr>
            <w:tcW w:w="1134" w:type="dxa"/>
            <w:shd w:val="clear" w:color="auto" w:fill="auto"/>
            <w:noWrap/>
            <w:vAlign w:val="bottom"/>
            <w:hideMark/>
          </w:tcPr>
          <w:p w14:paraId="4B3376F8" w14:textId="5B3B6D40" w:rsidR="009D119E" w:rsidRPr="000A3E17" w:rsidRDefault="00116172">
            <w:pPr>
              <w:pStyle w:val="TableText"/>
            </w:pPr>
            <w:r>
              <w:t>Yes</w:t>
            </w:r>
          </w:p>
        </w:tc>
        <w:tc>
          <w:tcPr>
            <w:tcW w:w="1134" w:type="dxa"/>
            <w:shd w:val="clear" w:color="auto" w:fill="auto"/>
            <w:noWrap/>
            <w:vAlign w:val="bottom"/>
            <w:hideMark/>
          </w:tcPr>
          <w:p w14:paraId="1067D559" w14:textId="11DB1A34" w:rsidR="009D119E" w:rsidRPr="000A3E17" w:rsidRDefault="00116172">
            <w:pPr>
              <w:pStyle w:val="TableText"/>
            </w:pPr>
            <w:r>
              <w:t>No</w:t>
            </w:r>
          </w:p>
        </w:tc>
      </w:tr>
      <w:tr w:rsidR="00157813" w14:paraId="40637ED7" w14:textId="77777777" w:rsidTr="000A3E17">
        <w:trPr>
          <w:trHeight w:val="20"/>
        </w:trPr>
        <w:tc>
          <w:tcPr>
            <w:tcW w:w="6174" w:type="dxa"/>
            <w:shd w:val="clear" w:color="auto" w:fill="auto"/>
          </w:tcPr>
          <w:p w14:paraId="474DE6E5" w14:textId="77777777" w:rsidR="009D119E" w:rsidRPr="000A3E17" w:rsidRDefault="007B7971">
            <w:pPr>
              <w:pStyle w:val="TableText"/>
            </w:pPr>
            <w:r w:rsidRPr="000A3E17">
              <w:t xml:space="preserve">Holds relevant occupation health &amp; safety accreditation </w:t>
            </w:r>
          </w:p>
        </w:tc>
        <w:tc>
          <w:tcPr>
            <w:tcW w:w="1056" w:type="dxa"/>
            <w:shd w:val="clear" w:color="auto" w:fill="auto"/>
            <w:noWrap/>
            <w:vAlign w:val="bottom"/>
            <w:hideMark/>
          </w:tcPr>
          <w:p w14:paraId="129FBB48" w14:textId="1D88EA3A" w:rsidR="009D119E" w:rsidRPr="000A3E17" w:rsidRDefault="00116172">
            <w:pPr>
              <w:pStyle w:val="TableText"/>
            </w:pPr>
            <w:r>
              <w:t>No</w:t>
            </w:r>
          </w:p>
        </w:tc>
        <w:tc>
          <w:tcPr>
            <w:tcW w:w="1134" w:type="dxa"/>
            <w:shd w:val="clear" w:color="auto" w:fill="auto"/>
            <w:noWrap/>
            <w:vAlign w:val="bottom"/>
            <w:hideMark/>
          </w:tcPr>
          <w:p w14:paraId="14E075B4" w14:textId="288E626D" w:rsidR="009D119E" w:rsidRPr="000A3E17" w:rsidRDefault="00116172">
            <w:pPr>
              <w:pStyle w:val="TableText"/>
            </w:pPr>
            <w:r>
              <w:t>Yes</w:t>
            </w:r>
          </w:p>
        </w:tc>
        <w:tc>
          <w:tcPr>
            <w:tcW w:w="1134" w:type="dxa"/>
            <w:shd w:val="clear" w:color="auto" w:fill="auto"/>
            <w:noWrap/>
            <w:vAlign w:val="bottom"/>
            <w:hideMark/>
          </w:tcPr>
          <w:p w14:paraId="021024E1" w14:textId="7962C1A4" w:rsidR="009D119E" w:rsidRPr="000A3E17" w:rsidRDefault="00116172">
            <w:pPr>
              <w:pStyle w:val="TableText"/>
            </w:pPr>
            <w:r>
              <w:t>No</w:t>
            </w:r>
          </w:p>
        </w:tc>
      </w:tr>
    </w:tbl>
    <w:p w14:paraId="2E880F9C" w14:textId="77777777" w:rsidR="0056240A" w:rsidRPr="009D119E" w:rsidRDefault="007B7971">
      <w:pPr>
        <w:pStyle w:val="Heading2"/>
        <w:numPr>
          <w:ilvl w:val="0"/>
          <w:numId w:val="0"/>
        </w:numPr>
        <w:ind w:left="709" w:hanging="709"/>
        <w:rPr>
          <w:color w:val="auto"/>
        </w:rPr>
      </w:pPr>
      <w:bookmarkStart w:id="18" w:name="_Appendix_A:_Targeted"/>
      <w:bookmarkStart w:id="19" w:name="_Toc430782160"/>
      <w:bookmarkStart w:id="20" w:name="_Toc12958277"/>
      <w:bookmarkEnd w:id="18"/>
      <w:r w:rsidRPr="009D119E">
        <w:rPr>
          <w:color w:val="auto"/>
        </w:rPr>
        <w:lastRenderedPageBreak/>
        <w:t xml:space="preserve">Appendix A: </w:t>
      </w:r>
      <w:bookmarkEnd w:id="19"/>
      <w:r w:rsidR="009D119E" w:rsidRPr="009D119E">
        <w:rPr>
          <w:color w:val="auto"/>
        </w:rPr>
        <w:t xml:space="preserve">Targeted stakeholder </w:t>
      </w:r>
      <w:r w:rsidR="009D119E" w:rsidRPr="00116172">
        <w:rPr>
          <w:color w:val="auto"/>
        </w:rPr>
        <w:t>c</w:t>
      </w:r>
      <w:r w:rsidR="009D119E" w:rsidRPr="009D119E">
        <w:rPr>
          <w:color w:val="auto"/>
        </w:rPr>
        <w:t>onsultation register</w:t>
      </w:r>
      <w:bookmarkEnd w:id="20"/>
    </w:p>
    <w:p w14:paraId="016B1331" w14:textId="38F9774B" w:rsidR="009D119E" w:rsidRPr="009D119E" w:rsidRDefault="007B7971" w:rsidP="009D119E">
      <w:bookmarkStart w:id="21" w:name="_Toc401230265"/>
      <w:r w:rsidRPr="009D119E">
        <w:t xml:space="preserve">The </w:t>
      </w:r>
      <w:r w:rsidR="006602ED">
        <w:t>department</w:t>
      </w:r>
      <w:r w:rsidRPr="009D119E">
        <w:t xml:space="preserve"> conducted targeted engagement with a range of industry stakeholder groups within the red meat processing sector to seek input on ToR1. The </w:t>
      </w:r>
      <w:r w:rsidR="006602ED">
        <w:t>department</w:t>
      </w:r>
      <w:r w:rsidRPr="009D119E">
        <w:t xml:space="preserve"> met with</w:t>
      </w:r>
      <w:r w:rsidRPr="007123FF">
        <w:t>:</w:t>
      </w:r>
    </w:p>
    <w:p w14:paraId="03CBFEA5" w14:textId="77777777" w:rsidR="009D119E" w:rsidRPr="009D119E" w:rsidRDefault="007B7971" w:rsidP="000A3E17">
      <w:pPr>
        <w:pStyle w:val="ListBullet"/>
      </w:pPr>
      <w:r>
        <w:t>A</w:t>
      </w:r>
      <w:r w:rsidRPr="009D119E">
        <w:t>US-MEAT</w:t>
      </w:r>
    </w:p>
    <w:p w14:paraId="43F4AA21" w14:textId="77777777" w:rsidR="001D095E" w:rsidRDefault="007B7971" w:rsidP="000A3E17">
      <w:pPr>
        <w:pStyle w:val="ListBullet"/>
      </w:pPr>
      <w:r w:rsidRPr="009D119E">
        <w:t>Australian Lot Feeders’ Association</w:t>
      </w:r>
    </w:p>
    <w:p w14:paraId="1C2F7D14" w14:textId="77777777" w:rsidR="001D095E" w:rsidRDefault="007B7971" w:rsidP="000A3E17">
      <w:pPr>
        <w:pStyle w:val="ListBullet"/>
      </w:pPr>
      <w:r w:rsidRPr="009D119E">
        <w:t>Australian Meat Processor Corporation</w:t>
      </w:r>
    </w:p>
    <w:p w14:paraId="64DE2E9F" w14:textId="77777777" w:rsidR="009D119E" w:rsidRPr="009D119E" w:rsidRDefault="007B7971" w:rsidP="000A3E17">
      <w:pPr>
        <w:pStyle w:val="ListBullet"/>
      </w:pPr>
      <w:r w:rsidRPr="009D119E">
        <w:t>Meat &amp; Livestock Australia</w:t>
      </w:r>
    </w:p>
    <w:p w14:paraId="3AAF791B" w14:textId="77777777" w:rsidR="009D119E" w:rsidRPr="009D119E" w:rsidRDefault="007B7971" w:rsidP="000A3E17">
      <w:pPr>
        <w:pStyle w:val="ListBullet"/>
      </w:pPr>
      <w:r w:rsidRPr="009D119E">
        <w:t>Murdoch University</w:t>
      </w:r>
    </w:p>
    <w:p w14:paraId="78C5D77F" w14:textId="77777777" w:rsidR="001D095E" w:rsidRDefault="007B7971" w:rsidP="000A3E17">
      <w:pPr>
        <w:pStyle w:val="ListBullet"/>
      </w:pPr>
      <w:r w:rsidRPr="009D119E">
        <w:t>Sheep Producers Australia</w:t>
      </w:r>
    </w:p>
    <w:p w14:paraId="58E92968" w14:textId="77612167" w:rsidR="009D119E" w:rsidRPr="009D119E" w:rsidRDefault="007B7971" w:rsidP="000A3E17">
      <w:pPr>
        <w:pStyle w:val="ListBullet"/>
      </w:pPr>
      <w:proofErr w:type="spellStart"/>
      <w:r w:rsidRPr="009D119E">
        <w:t>Teys</w:t>
      </w:r>
      <w:proofErr w:type="spellEnd"/>
      <w:r w:rsidRPr="009D119E">
        <w:t xml:space="preserve"> Australia (current user of DEXA)</w:t>
      </w:r>
      <w:r w:rsidR="002950A2">
        <w:t>.</w:t>
      </w:r>
    </w:p>
    <w:p w14:paraId="64E75223" w14:textId="48E46336" w:rsidR="000A3E17" w:rsidRDefault="000A3E17" w:rsidP="009D119E">
      <w:r w:rsidRPr="000A3E17">
        <w:t>The Australian Meat Industry Council and Cattle Council of Australia were unavailable for consultation</w:t>
      </w:r>
    </w:p>
    <w:p w14:paraId="03E667CE" w14:textId="77777777" w:rsidR="009D119E" w:rsidRPr="009D119E" w:rsidRDefault="007B7971" w:rsidP="009D119E">
      <w:r w:rsidRPr="009D119E">
        <w:t>Targeted consultation was undertaken to develop a holistic view of what skills industry believed were required. Industry’s views were taken into consideration throughout the identification of the skills, capabilities and supporting resources required for overseeing meat processors’ rollout and on-plant operation of DEXA technology.</w:t>
      </w:r>
    </w:p>
    <w:p w14:paraId="763144B8" w14:textId="3841842C" w:rsidR="009D119E" w:rsidRDefault="007B7971" w:rsidP="000A3E17">
      <w:r w:rsidRPr="009D119E">
        <w:t xml:space="preserve">The </w:t>
      </w:r>
      <w:r w:rsidR="006602ED">
        <w:t>department</w:t>
      </w:r>
      <w:r w:rsidRPr="009D119E">
        <w:t xml:space="preserve"> recognises that it has been a challenging time for the red meat industry, exacerbated by recent environmental disasters such as prolonged drought conditions across Australia and flooding in North Queensland and northern Western Australia. The </w:t>
      </w:r>
      <w:r w:rsidR="006602ED">
        <w:t>department</w:t>
      </w:r>
      <w:r w:rsidRPr="009D119E">
        <w:t xml:space="preserve"> appreciates the time taken by stakeholder groups to engage in this review process, complete the survey and share their views of DEXA technology in the industry.</w:t>
      </w:r>
    </w:p>
    <w:p w14:paraId="1FB47DFA" w14:textId="2BEC4F2B" w:rsidR="009D119E" w:rsidRDefault="007B7971" w:rsidP="000A3E17">
      <w:pPr>
        <w:pStyle w:val="Heading2"/>
        <w:numPr>
          <w:ilvl w:val="0"/>
          <w:numId w:val="0"/>
        </w:numPr>
        <w:ind w:left="720" w:hanging="720"/>
      </w:pPr>
      <w:bookmarkStart w:id="22" w:name="_Appendix_B:_Consultation"/>
      <w:bookmarkStart w:id="23" w:name="_Appendix_C:_Public"/>
      <w:bookmarkStart w:id="24" w:name="_Appendix_B:_Public"/>
      <w:bookmarkStart w:id="25" w:name="_Toc12958278"/>
      <w:bookmarkStart w:id="26" w:name="_Toc471375614"/>
      <w:bookmarkEnd w:id="21"/>
      <w:bookmarkEnd w:id="22"/>
      <w:bookmarkEnd w:id="23"/>
      <w:bookmarkEnd w:id="24"/>
      <w:r w:rsidRPr="009D119E">
        <w:lastRenderedPageBreak/>
        <w:t xml:space="preserve">Appendix </w:t>
      </w:r>
      <w:r w:rsidR="000A3E17">
        <w:t>B</w:t>
      </w:r>
      <w:r w:rsidRPr="009D119E">
        <w:t xml:space="preserve">: Public </w:t>
      </w:r>
      <w:r w:rsidR="002950A2">
        <w:t>c</w:t>
      </w:r>
      <w:r w:rsidRPr="009D119E">
        <w:t xml:space="preserve">onsultation </w:t>
      </w:r>
      <w:r w:rsidR="002950A2">
        <w:t>s</w:t>
      </w:r>
      <w:r w:rsidRPr="009D119E">
        <w:t>ummary</w:t>
      </w:r>
      <w:bookmarkEnd w:id="25"/>
    </w:p>
    <w:p w14:paraId="6A51A5F3" w14:textId="08F23939" w:rsidR="009D119E" w:rsidRDefault="007B7971" w:rsidP="009D119E">
      <w:pPr>
        <w:rPr>
          <w:lang w:eastAsia="ja-JP"/>
        </w:rPr>
      </w:pPr>
      <w:r>
        <w:rPr>
          <w:lang w:eastAsia="ja-JP"/>
        </w:rPr>
        <w:t xml:space="preserve">Public consultation on the </w:t>
      </w:r>
      <w:r w:rsidR="006602ED">
        <w:rPr>
          <w:lang w:eastAsia="ja-JP"/>
        </w:rPr>
        <w:t>department</w:t>
      </w:r>
      <w:r>
        <w:rPr>
          <w:lang w:eastAsia="ja-JP"/>
        </w:rPr>
        <w:t xml:space="preserve">’s initial assessment of the skills, capabilities and supporting resources required for the </w:t>
      </w:r>
      <w:r w:rsidR="001D095E">
        <w:rPr>
          <w:lang w:eastAsia="ja-JP"/>
        </w:rPr>
        <w:t>rollout</w:t>
      </w:r>
      <w:r>
        <w:rPr>
          <w:lang w:eastAsia="ja-JP"/>
        </w:rPr>
        <w:t xml:space="preserve"> of DEXA technology, opened on 13 March 2019 and closed on 28 March 2019. Public consultation was available through an online survey o</w:t>
      </w:r>
      <w:r w:rsidR="006B7CDA">
        <w:rPr>
          <w:lang w:eastAsia="ja-JP"/>
        </w:rPr>
        <w:t xml:space="preserve">n the Department of Agriculture’s </w:t>
      </w:r>
      <w:r>
        <w:rPr>
          <w:lang w:eastAsia="ja-JP"/>
        </w:rPr>
        <w:t>Have Your Say platform.</w:t>
      </w:r>
    </w:p>
    <w:p w14:paraId="59585C14" w14:textId="7556E39E" w:rsidR="001D095E" w:rsidRDefault="007B7971" w:rsidP="009D119E">
      <w:pPr>
        <w:rPr>
          <w:lang w:eastAsia="ja-JP"/>
        </w:rPr>
      </w:pPr>
      <w:r>
        <w:rPr>
          <w:lang w:eastAsia="ja-JP"/>
        </w:rPr>
        <w:t xml:space="preserve">The public survey asked participants whether they agreed with the </w:t>
      </w:r>
      <w:r w:rsidR="006602ED">
        <w:rPr>
          <w:lang w:eastAsia="ja-JP"/>
        </w:rPr>
        <w:t>department</w:t>
      </w:r>
      <w:r>
        <w:rPr>
          <w:lang w:eastAsia="ja-JP"/>
        </w:rPr>
        <w:t xml:space="preserve">’s definitions of the roles required for the </w:t>
      </w:r>
      <w:r w:rsidR="001D095E">
        <w:rPr>
          <w:lang w:eastAsia="ja-JP"/>
        </w:rPr>
        <w:t>rollout</w:t>
      </w:r>
      <w:r>
        <w:rPr>
          <w:lang w:eastAsia="ja-JP"/>
        </w:rPr>
        <w:t xml:space="preserve"> of DEXA technology and provided free text fields for participants to outline any gaps in the </w:t>
      </w:r>
      <w:r w:rsidR="006602ED">
        <w:rPr>
          <w:lang w:eastAsia="ja-JP"/>
        </w:rPr>
        <w:t>department</w:t>
      </w:r>
      <w:r>
        <w:rPr>
          <w:lang w:eastAsia="ja-JP"/>
        </w:rPr>
        <w:t>’s assessment.</w:t>
      </w:r>
    </w:p>
    <w:p w14:paraId="2DD14E52" w14:textId="0DBD30A5" w:rsidR="001D095E" w:rsidRDefault="007B7971" w:rsidP="009D119E">
      <w:pPr>
        <w:rPr>
          <w:lang w:eastAsia="ja-JP"/>
        </w:rPr>
      </w:pPr>
      <w:r>
        <w:rPr>
          <w:lang w:eastAsia="ja-JP"/>
        </w:rPr>
        <w:t xml:space="preserve">Survey responses assisted the </w:t>
      </w:r>
      <w:r w:rsidR="006602ED">
        <w:rPr>
          <w:lang w:eastAsia="ja-JP"/>
        </w:rPr>
        <w:t>department</w:t>
      </w:r>
      <w:r>
        <w:rPr>
          <w:lang w:eastAsia="ja-JP"/>
        </w:rPr>
        <w:t xml:space="preserve"> to compile a list of skills, capabilities and resources required for the successful implementation of DEXA technology across AUS-MEAT accredited processing facilities.</w:t>
      </w:r>
    </w:p>
    <w:p w14:paraId="51B67E93" w14:textId="77777777" w:rsidR="009D119E" w:rsidRDefault="007B7971" w:rsidP="009D119E">
      <w:pPr>
        <w:rPr>
          <w:lang w:eastAsia="ja-JP"/>
        </w:rPr>
      </w:pPr>
      <w:r>
        <w:rPr>
          <w:lang w:eastAsia="ja-JP"/>
        </w:rPr>
        <w:t>A total of seven stakeholders participated in the survey; five from the processing sector, one research body and one participant from the regulatory/auditing sector.</w:t>
      </w:r>
    </w:p>
    <w:p w14:paraId="61229E9F" w14:textId="2DFFD002" w:rsidR="009D119E" w:rsidRDefault="007B7971" w:rsidP="009D119E">
      <w:pPr>
        <w:rPr>
          <w:lang w:eastAsia="ja-JP"/>
        </w:rPr>
      </w:pPr>
      <w:r>
        <w:rPr>
          <w:lang w:eastAsia="ja-JP"/>
        </w:rPr>
        <w:t xml:space="preserve">The majority of survey participants agreed with the skills, capabilities and supporting resources proposed by the </w:t>
      </w:r>
      <w:r w:rsidR="006602ED">
        <w:rPr>
          <w:lang w:eastAsia="ja-JP"/>
        </w:rPr>
        <w:t>department</w:t>
      </w:r>
      <w:r>
        <w:rPr>
          <w:lang w:eastAsia="ja-JP"/>
        </w:rPr>
        <w:t xml:space="preserve">. Key insights provided by participants for the </w:t>
      </w:r>
      <w:r w:rsidR="001D095E">
        <w:rPr>
          <w:lang w:eastAsia="ja-JP"/>
        </w:rPr>
        <w:t>rollout</w:t>
      </w:r>
      <w:r>
        <w:rPr>
          <w:lang w:eastAsia="ja-JP"/>
        </w:rPr>
        <w:t xml:space="preserve"> of DEXA technology were:</w:t>
      </w:r>
    </w:p>
    <w:p w14:paraId="082C3612" w14:textId="77777777" w:rsidR="009D119E" w:rsidRPr="009D119E" w:rsidRDefault="007B7971" w:rsidP="000A3E17">
      <w:pPr>
        <w:pStyle w:val="Heading3"/>
        <w:numPr>
          <w:ilvl w:val="0"/>
          <w:numId w:val="0"/>
        </w:numPr>
        <w:ind w:left="964" w:hanging="964"/>
        <w:rPr>
          <w:lang w:eastAsia="ja-JP"/>
        </w:rPr>
      </w:pPr>
      <w:bookmarkStart w:id="27" w:name="_Toc12958279"/>
      <w:r w:rsidRPr="00027EE0">
        <w:rPr>
          <w:lang w:eastAsia="ja-JP"/>
        </w:rPr>
        <w:t>Operational insights</w:t>
      </w:r>
      <w:bookmarkEnd w:id="27"/>
    </w:p>
    <w:p w14:paraId="23231121" w14:textId="77777777" w:rsidR="009D119E" w:rsidRDefault="007B7971" w:rsidP="000A3E17">
      <w:pPr>
        <w:pStyle w:val="ListBullet"/>
        <w:rPr>
          <w:lang w:eastAsia="ja-JP"/>
        </w:rPr>
      </w:pPr>
      <w:r>
        <w:rPr>
          <w:lang w:eastAsia="ja-JP"/>
        </w:rPr>
        <w:t>Certification, inspection, auditing and training requirements should follow similar processes to objective carcase measurement technologies already utilised in the industry.</w:t>
      </w:r>
    </w:p>
    <w:p w14:paraId="1354E87F" w14:textId="48A341B9" w:rsidR="001D095E" w:rsidRDefault="007B7971" w:rsidP="000A3E17">
      <w:pPr>
        <w:pStyle w:val="ListBullet"/>
        <w:rPr>
          <w:lang w:eastAsia="ja-JP"/>
        </w:rPr>
      </w:pPr>
      <w:r>
        <w:rPr>
          <w:lang w:eastAsia="ja-JP"/>
        </w:rPr>
        <w:t xml:space="preserve">Initial calibration and operational calibration instructions would be the responsibility of the </w:t>
      </w:r>
      <w:r w:rsidR="00CE772C">
        <w:rPr>
          <w:lang w:eastAsia="ja-JP"/>
        </w:rPr>
        <w:t>commercial service provider</w:t>
      </w:r>
      <w:r>
        <w:rPr>
          <w:lang w:eastAsia="ja-JP"/>
        </w:rPr>
        <w:t xml:space="preserve">, not an </w:t>
      </w:r>
      <w:r w:rsidR="002950A2">
        <w:rPr>
          <w:lang w:eastAsia="ja-JP"/>
        </w:rPr>
        <w:t>o</w:t>
      </w:r>
      <w:r>
        <w:rPr>
          <w:lang w:eastAsia="ja-JP"/>
        </w:rPr>
        <w:t>verseer/</w:t>
      </w:r>
      <w:r w:rsidR="002950A2">
        <w:rPr>
          <w:lang w:eastAsia="ja-JP"/>
        </w:rPr>
        <w:t>p</w:t>
      </w:r>
      <w:r>
        <w:rPr>
          <w:lang w:eastAsia="ja-JP"/>
        </w:rPr>
        <w:t xml:space="preserve">rogram </w:t>
      </w:r>
      <w:r w:rsidR="002950A2">
        <w:rPr>
          <w:lang w:eastAsia="ja-JP"/>
        </w:rPr>
        <w:t>m</w:t>
      </w:r>
      <w:r>
        <w:rPr>
          <w:lang w:eastAsia="ja-JP"/>
        </w:rPr>
        <w:t>anager.</w:t>
      </w:r>
    </w:p>
    <w:p w14:paraId="3B680AE2" w14:textId="77777777" w:rsidR="009D119E" w:rsidRDefault="007B7971" w:rsidP="000A3E17">
      <w:pPr>
        <w:pStyle w:val="ListBullet"/>
        <w:rPr>
          <w:lang w:eastAsia="ja-JP"/>
        </w:rPr>
      </w:pPr>
      <w:r>
        <w:rPr>
          <w:lang w:eastAsia="ja-JP"/>
        </w:rPr>
        <w:t>A gold standard would need to be identified and agreed upon by industry to benchmark measurements that influence carcase value.</w:t>
      </w:r>
    </w:p>
    <w:p w14:paraId="2176432A" w14:textId="3A1D2508" w:rsidR="009D119E" w:rsidRDefault="007B7971" w:rsidP="000A3E17">
      <w:pPr>
        <w:pStyle w:val="ListBullet"/>
        <w:rPr>
          <w:lang w:eastAsia="ja-JP"/>
        </w:rPr>
      </w:pPr>
      <w:r>
        <w:rPr>
          <w:lang w:eastAsia="ja-JP"/>
        </w:rPr>
        <w:t xml:space="preserve">The DEXA unit would need to be installed in line with strict adherence to the design criteria. The responsibility would lie with the </w:t>
      </w:r>
      <w:r w:rsidR="00CE772C">
        <w:rPr>
          <w:lang w:eastAsia="ja-JP"/>
        </w:rPr>
        <w:t>commercial service provider</w:t>
      </w:r>
      <w:r>
        <w:rPr>
          <w:lang w:eastAsia="ja-JP"/>
        </w:rPr>
        <w:t>.</w:t>
      </w:r>
    </w:p>
    <w:p w14:paraId="50FB6B89" w14:textId="77777777" w:rsidR="009D119E" w:rsidRDefault="007B7971" w:rsidP="000A3E17">
      <w:pPr>
        <w:pStyle w:val="ListBullet"/>
        <w:rPr>
          <w:lang w:eastAsia="ja-JP"/>
        </w:rPr>
      </w:pPr>
      <w:r>
        <w:rPr>
          <w:lang w:eastAsia="ja-JP"/>
        </w:rPr>
        <w:t>System auditing processes would need to take into account impacts on the operational environment, such as plant efficiencies, interruptions and costs of production.</w:t>
      </w:r>
    </w:p>
    <w:p w14:paraId="58595955" w14:textId="77777777" w:rsidR="009D119E" w:rsidRDefault="007B7971" w:rsidP="000A3E17">
      <w:pPr>
        <w:pStyle w:val="ListBullet"/>
        <w:rPr>
          <w:lang w:eastAsia="ja-JP"/>
        </w:rPr>
      </w:pPr>
      <w:r>
        <w:rPr>
          <w:lang w:eastAsia="ja-JP"/>
        </w:rPr>
        <w:t>There should be a test using a calibration block of varying densities so that the full length of the DEXA image is tested.</w:t>
      </w:r>
    </w:p>
    <w:p w14:paraId="76C507AA" w14:textId="77777777" w:rsidR="009D119E" w:rsidRDefault="007B7971" w:rsidP="000A3E17">
      <w:pPr>
        <w:pStyle w:val="Heading3"/>
        <w:numPr>
          <w:ilvl w:val="0"/>
          <w:numId w:val="0"/>
        </w:numPr>
        <w:ind w:left="964" w:hanging="964"/>
        <w:rPr>
          <w:lang w:eastAsia="ja-JP"/>
        </w:rPr>
      </w:pPr>
      <w:bookmarkStart w:id="28" w:name="_Toc12958280"/>
      <w:r>
        <w:rPr>
          <w:lang w:eastAsia="ja-JP"/>
        </w:rPr>
        <w:t>Regulatory insights</w:t>
      </w:r>
      <w:bookmarkEnd w:id="28"/>
    </w:p>
    <w:p w14:paraId="7FC3F346" w14:textId="77777777" w:rsidR="009D119E" w:rsidRDefault="007B7971" w:rsidP="000A3E17">
      <w:pPr>
        <w:pStyle w:val="ListBullet"/>
        <w:rPr>
          <w:lang w:eastAsia="ja-JP"/>
        </w:rPr>
      </w:pPr>
      <w:r>
        <w:rPr>
          <w:lang w:eastAsia="ja-JP"/>
        </w:rPr>
        <w:t>DEXA system verification would need to be recorded on a central computer that controls the scanner and be available for audit.</w:t>
      </w:r>
    </w:p>
    <w:p w14:paraId="1B58C1A3" w14:textId="77777777" w:rsidR="009D119E" w:rsidRPr="009D119E" w:rsidRDefault="007B7971" w:rsidP="000A3E17">
      <w:pPr>
        <w:pStyle w:val="Heading3"/>
        <w:numPr>
          <w:ilvl w:val="0"/>
          <w:numId w:val="0"/>
        </w:numPr>
        <w:ind w:left="964" w:hanging="964"/>
        <w:rPr>
          <w:lang w:eastAsia="ja-JP"/>
        </w:rPr>
      </w:pPr>
      <w:bookmarkStart w:id="29" w:name="_Toc12958281"/>
      <w:r w:rsidRPr="00027EE0">
        <w:rPr>
          <w:lang w:eastAsia="ja-JP"/>
        </w:rPr>
        <w:lastRenderedPageBreak/>
        <w:t>Implementation insights</w:t>
      </w:r>
      <w:bookmarkEnd w:id="29"/>
    </w:p>
    <w:p w14:paraId="370951C6" w14:textId="49DB9AB1" w:rsidR="009D119E" w:rsidRDefault="007B7971" w:rsidP="000A3E17">
      <w:pPr>
        <w:pStyle w:val="ListBullet"/>
        <w:rPr>
          <w:lang w:eastAsia="ja-JP"/>
        </w:rPr>
      </w:pPr>
      <w:r>
        <w:rPr>
          <w:lang w:eastAsia="ja-JP"/>
        </w:rPr>
        <w:t xml:space="preserve">Participants commented on the similarities of skills between the roles proposed by the </w:t>
      </w:r>
      <w:r w:rsidR="006602ED">
        <w:rPr>
          <w:lang w:eastAsia="ja-JP"/>
        </w:rPr>
        <w:t>department</w:t>
      </w:r>
      <w:r>
        <w:rPr>
          <w:lang w:eastAsia="ja-JP"/>
        </w:rPr>
        <w:t>. It was recommended by some stakeholders that only two roles would be required not three. The two roles identified as being needed are:</w:t>
      </w:r>
    </w:p>
    <w:p w14:paraId="7B92DE4F" w14:textId="71431A21" w:rsidR="001D095E" w:rsidRPr="000D6FF2" w:rsidRDefault="006A1506" w:rsidP="000A3E17">
      <w:pPr>
        <w:pStyle w:val="ListBullet2"/>
        <w:rPr>
          <w:lang w:eastAsia="ja-JP"/>
        </w:rPr>
      </w:pPr>
      <w:r w:rsidRPr="000D6FF2">
        <w:rPr>
          <w:lang w:eastAsia="ja-JP"/>
        </w:rPr>
        <w:t>program implementer and customer manager</w:t>
      </w:r>
    </w:p>
    <w:p w14:paraId="4C67848B" w14:textId="729A01BD" w:rsidR="005572FF" w:rsidRPr="000D6FF2" w:rsidRDefault="006A1506" w:rsidP="000A3E17">
      <w:pPr>
        <w:pStyle w:val="ListBullet2"/>
        <w:rPr>
          <w:lang w:eastAsia="ja-JP"/>
        </w:rPr>
      </w:pPr>
      <w:proofErr w:type="gramStart"/>
      <w:r w:rsidRPr="000D6FF2">
        <w:rPr>
          <w:lang w:eastAsia="ja-JP"/>
        </w:rPr>
        <w:t>program</w:t>
      </w:r>
      <w:proofErr w:type="gramEnd"/>
      <w:r w:rsidRPr="000D6FF2">
        <w:rPr>
          <w:lang w:eastAsia="ja-JP"/>
        </w:rPr>
        <w:t xml:space="preserve"> standards officer</w:t>
      </w:r>
      <w:r w:rsidR="007B7971" w:rsidRPr="000D6FF2">
        <w:rPr>
          <w:lang w:eastAsia="ja-JP"/>
        </w:rPr>
        <w:t>.</w:t>
      </w:r>
    </w:p>
    <w:p w14:paraId="3A54AE79" w14:textId="77777777" w:rsidR="009D119E" w:rsidRPr="009D119E" w:rsidRDefault="007B7971" w:rsidP="000A3E17">
      <w:pPr>
        <w:pStyle w:val="Heading3"/>
        <w:numPr>
          <w:ilvl w:val="0"/>
          <w:numId w:val="0"/>
        </w:numPr>
      </w:pPr>
      <w:bookmarkStart w:id="30" w:name="_Toc12958282"/>
      <w:r w:rsidRPr="00027EE0">
        <w:t>Skills and capabilities insights</w:t>
      </w:r>
      <w:bookmarkEnd w:id="30"/>
    </w:p>
    <w:p w14:paraId="5DB639F6" w14:textId="08CA5A76" w:rsidR="009D119E" w:rsidRDefault="007B7971" w:rsidP="009D119E">
      <w:pPr>
        <w:rPr>
          <w:lang w:eastAsia="ja-JP"/>
        </w:rPr>
      </w:pPr>
      <w:r>
        <w:rPr>
          <w:lang w:eastAsia="ja-JP"/>
        </w:rPr>
        <w:t xml:space="preserve">In addition to the skills, capabilities and supporting resources identified by the </w:t>
      </w:r>
      <w:r w:rsidR="006602ED">
        <w:rPr>
          <w:lang w:eastAsia="ja-JP"/>
        </w:rPr>
        <w:t>department</w:t>
      </w:r>
      <w:r>
        <w:rPr>
          <w:lang w:eastAsia="ja-JP"/>
        </w:rPr>
        <w:t>, some participants believed the following additions would be required:</w:t>
      </w:r>
    </w:p>
    <w:p w14:paraId="32DA82B0" w14:textId="77777777" w:rsidR="001D095E" w:rsidRDefault="007B7971" w:rsidP="000A3E17">
      <w:pPr>
        <w:pStyle w:val="ListBullet"/>
        <w:rPr>
          <w:lang w:eastAsia="ja-JP"/>
        </w:rPr>
      </w:pPr>
      <w:r>
        <w:rPr>
          <w:lang w:eastAsia="ja-JP"/>
        </w:rPr>
        <w:t>general knowledge of beef processing practices</w:t>
      </w:r>
    </w:p>
    <w:p w14:paraId="03D45822" w14:textId="77777777" w:rsidR="001D095E" w:rsidRDefault="007B7971" w:rsidP="000A3E17">
      <w:pPr>
        <w:pStyle w:val="ListBullet"/>
        <w:rPr>
          <w:lang w:eastAsia="ja-JP"/>
        </w:rPr>
      </w:pPr>
      <w:r>
        <w:rPr>
          <w:lang w:eastAsia="ja-JP"/>
        </w:rPr>
        <w:t>in-depth knowledge of approved arrangement requirements</w:t>
      </w:r>
    </w:p>
    <w:p w14:paraId="0445BAB1" w14:textId="77777777" w:rsidR="009D119E" w:rsidRDefault="007B7971" w:rsidP="000A3E17">
      <w:pPr>
        <w:pStyle w:val="ListBullet"/>
        <w:rPr>
          <w:lang w:eastAsia="ja-JP"/>
        </w:rPr>
      </w:pPr>
      <w:r>
        <w:rPr>
          <w:lang w:eastAsia="ja-JP"/>
        </w:rPr>
        <w:t>general knowledge of work health and safety standards and requirements</w:t>
      </w:r>
    </w:p>
    <w:p w14:paraId="0217BD78" w14:textId="77777777" w:rsidR="009D119E" w:rsidRDefault="007B7971" w:rsidP="000A3E17">
      <w:pPr>
        <w:pStyle w:val="ListBullet"/>
        <w:rPr>
          <w:lang w:eastAsia="ja-JP"/>
        </w:rPr>
      </w:pPr>
      <w:r>
        <w:rPr>
          <w:lang w:eastAsia="ja-JP"/>
        </w:rPr>
        <w:t>well-developed interpersonal skills</w:t>
      </w:r>
    </w:p>
    <w:p w14:paraId="63CC5BAA" w14:textId="77777777" w:rsidR="009D119E" w:rsidRDefault="007B7971" w:rsidP="000A3E17">
      <w:pPr>
        <w:pStyle w:val="ListBullet"/>
        <w:rPr>
          <w:lang w:eastAsia="ja-JP"/>
        </w:rPr>
      </w:pPr>
      <w:r>
        <w:rPr>
          <w:lang w:eastAsia="ja-JP"/>
        </w:rPr>
        <w:t>the ability to train staff and communicate outcomes</w:t>
      </w:r>
    </w:p>
    <w:p w14:paraId="31E57602" w14:textId="77777777" w:rsidR="009D119E" w:rsidRDefault="007B7971" w:rsidP="000A3E17">
      <w:pPr>
        <w:pStyle w:val="ListBullet"/>
        <w:rPr>
          <w:lang w:eastAsia="ja-JP"/>
        </w:rPr>
      </w:pPr>
      <w:r>
        <w:rPr>
          <w:lang w:eastAsia="ja-JP"/>
        </w:rPr>
        <w:t>some authoritative people quickly revert to 'command and control' attitude without fully appreciating the people involved in the process</w:t>
      </w:r>
    </w:p>
    <w:p w14:paraId="4AECEEC3" w14:textId="77777777" w:rsidR="009D119E" w:rsidRPr="009D119E" w:rsidRDefault="007B7971" w:rsidP="000A3E17">
      <w:pPr>
        <w:pStyle w:val="ListBullet"/>
        <w:rPr>
          <w:lang w:eastAsia="ja-JP"/>
        </w:rPr>
      </w:pPr>
      <w:proofErr w:type="gramStart"/>
      <w:r>
        <w:rPr>
          <w:lang w:eastAsia="ja-JP"/>
        </w:rPr>
        <w:t>understanding</w:t>
      </w:r>
      <w:proofErr w:type="gramEnd"/>
      <w:r>
        <w:rPr>
          <w:lang w:eastAsia="ja-JP"/>
        </w:rPr>
        <w:t xml:space="preserve"> the background helps come to a solution.</w:t>
      </w:r>
    </w:p>
    <w:p w14:paraId="7E9085FA" w14:textId="77777777" w:rsidR="0056240A" w:rsidRPr="00F762B3" w:rsidRDefault="007B7971">
      <w:pPr>
        <w:pStyle w:val="Heading2"/>
        <w:numPr>
          <w:ilvl w:val="0"/>
          <w:numId w:val="0"/>
        </w:numPr>
        <w:ind w:left="709" w:hanging="709"/>
        <w:rPr>
          <w:color w:val="auto"/>
        </w:rPr>
      </w:pPr>
      <w:bookmarkStart w:id="31" w:name="_Toc430782161"/>
      <w:bookmarkStart w:id="32" w:name="_Toc12958283"/>
      <w:bookmarkEnd w:id="26"/>
      <w:r w:rsidRPr="00F762B3">
        <w:rPr>
          <w:color w:val="auto"/>
        </w:rPr>
        <w:lastRenderedPageBreak/>
        <w:t>Glossary</w:t>
      </w:r>
      <w:bookmarkEnd w:id="31"/>
      <w:bookmarkEnd w:id="32"/>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6804"/>
      </w:tblGrid>
      <w:tr w:rsidR="00157813" w14:paraId="127C4F72" w14:textId="77777777">
        <w:trPr>
          <w:cantSplit/>
          <w:tblHeader/>
        </w:trPr>
        <w:tc>
          <w:tcPr>
            <w:tcW w:w="1249" w:type="pct"/>
          </w:tcPr>
          <w:p w14:paraId="0970D18B" w14:textId="77777777" w:rsidR="0056240A" w:rsidRPr="00F762B3" w:rsidRDefault="007B7971">
            <w:pPr>
              <w:pStyle w:val="TableHeading"/>
            </w:pPr>
            <w:r w:rsidRPr="00F762B3">
              <w:t>Term</w:t>
            </w:r>
          </w:p>
        </w:tc>
        <w:tc>
          <w:tcPr>
            <w:tcW w:w="3751" w:type="pct"/>
          </w:tcPr>
          <w:p w14:paraId="48236F94" w14:textId="77777777" w:rsidR="0056240A" w:rsidRPr="00F762B3" w:rsidRDefault="007B7971">
            <w:pPr>
              <w:pStyle w:val="TableHeading"/>
            </w:pPr>
            <w:r w:rsidRPr="00F762B3">
              <w:t>Definition</w:t>
            </w:r>
          </w:p>
        </w:tc>
      </w:tr>
      <w:tr w:rsidR="002F1A0E" w14:paraId="6678600C" w14:textId="77777777">
        <w:tc>
          <w:tcPr>
            <w:tcW w:w="1249" w:type="pct"/>
          </w:tcPr>
          <w:p w14:paraId="26A038A4" w14:textId="33099D47" w:rsidR="002F1A0E" w:rsidRPr="00F762B3" w:rsidRDefault="002F1A0E">
            <w:pPr>
              <w:pStyle w:val="TableText"/>
            </w:pPr>
            <w:r>
              <w:t>Australian Competition and Consumer Commission (ACCC)</w:t>
            </w:r>
          </w:p>
        </w:tc>
        <w:tc>
          <w:tcPr>
            <w:tcW w:w="3751" w:type="pct"/>
          </w:tcPr>
          <w:p w14:paraId="6BA9A6FE" w14:textId="3CB419D6" w:rsidR="002F1A0E" w:rsidRPr="00F762B3" w:rsidRDefault="00CA034E">
            <w:pPr>
              <w:pStyle w:val="TableText"/>
            </w:pPr>
            <w:r>
              <w:t>The ACCC</w:t>
            </w:r>
            <w:r w:rsidR="006D4B7B">
              <w:t xml:space="preserve"> is an independent Commonwealth statutory authority whose role is to enforce the </w:t>
            </w:r>
            <w:r w:rsidR="006D4B7B" w:rsidRPr="007123FF">
              <w:rPr>
                <w:i/>
              </w:rPr>
              <w:t>Competition and Consumer Act 2010</w:t>
            </w:r>
            <w:r w:rsidR="006D4B7B">
              <w:t xml:space="preserve"> and a range of additional legislation, promoting competition, fair trading and regulating national infrastructure for the benefit of all Australians.</w:t>
            </w:r>
          </w:p>
        </w:tc>
      </w:tr>
      <w:tr w:rsidR="002F1A0E" w14:paraId="606D2567" w14:textId="77777777">
        <w:tc>
          <w:tcPr>
            <w:tcW w:w="1249" w:type="pct"/>
          </w:tcPr>
          <w:p w14:paraId="3E0E310C" w14:textId="22FCD4A6" w:rsidR="002F1A0E" w:rsidRPr="00F762B3" w:rsidRDefault="002F1A0E">
            <w:pPr>
              <w:pStyle w:val="TableText"/>
            </w:pPr>
            <w:r>
              <w:t>Advanced Measurement Technologies for Globally Competitive Australian Meat (</w:t>
            </w:r>
            <w:proofErr w:type="spellStart"/>
            <w:r>
              <w:t>ALMTech</w:t>
            </w:r>
            <w:proofErr w:type="spellEnd"/>
            <w:r>
              <w:t>)</w:t>
            </w:r>
          </w:p>
        </w:tc>
        <w:tc>
          <w:tcPr>
            <w:tcW w:w="3751" w:type="pct"/>
          </w:tcPr>
          <w:p w14:paraId="417C80FC" w14:textId="6A1A41CE" w:rsidR="002F1A0E" w:rsidRPr="00F762B3" w:rsidRDefault="006D4B7B" w:rsidP="00026420">
            <w:pPr>
              <w:pStyle w:val="TableText"/>
            </w:pPr>
            <w:proofErr w:type="spellStart"/>
            <w:r>
              <w:t>ALMTech</w:t>
            </w:r>
            <w:proofErr w:type="spellEnd"/>
            <w:r>
              <w:t xml:space="preserve"> is a </w:t>
            </w:r>
            <w:r w:rsidR="00026420">
              <w:t>technical</w:t>
            </w:r>
            <w:r>
              <w:t xml:space="preserve"> working group </w:t>
            </w:r>
            <w:r w:rsidR="00026420">
              <w:t>that operates a number of projects to develop</w:t>
            </w:r>
            <w:r>
              <w:t xml:space="preserve"> accurate descriptions of key attributes that influence the value of l</w:t>
            </w:r>
            <w:r w:rsidR="00026420">
              <w:t xml:space="preserve">ivestock. Specifically, </w:t>
            </w:r>
            <w:proofErr w:type="spellStart"/>
            <w:r w:rsidR="00026420">
              <w:t>ALMTech</w:t>
            </w:r>
            <w:proofErr w:type="spellEnd"/>
            <w:r w:rsidR="00026420">
              <w:t xml:space="preserve"> projects focus on carcase lean meat yield, eating quality and compliance to market specifications. </w:t>
            </w:r>
          </w:p>
        </w:tc>
      </w:tr>
      <w:tr w:rsidR="002F1A0E" w14:paraId="1687851A" w14:textId="77777777">
        <w:tc>
          <w:tcPr>
            <w:tcW w:w="1249" w:type="pct"/>
          </w:tcPr>
          <w:p w14:paraId="06B4D40F" w14:textId="6809F89B" w:rsidR="002F1A0E" w:rsidRPr="00F762B3" w:rsidRDefault="002F1A0E">
            <w:pPr>
              <w:pStyle w:val="TableText"/>
            </w:pPr>
            <w:r>
              <w:t>Australian Meat Industry Council (AMIC)</w:t>
            </w:r>
          </w:p>
        </w:tc>
        <w:tc>
          <w:tcPr>
            <w:tcW w:w="3751" w:type="pct"/>
          </w:tcPr>
          <w:p w14:paraId="6237ECE2" w14:textId="1382F133" w:rsidR="002F1A0E" w:rsidRPr="00F762B3" w:rsidRDefault="00026420" w:rsidP="00026420">
            <w:pPr>
              <w:pStyle w:val="TableText"/>
            </w:pPr>
            <w:r>
              <w:t xml:space="preserve">AMIC is the peak body representing meat retailers, processors and smallgoods manufacturers across Australia. </w:t>
            </w:r>
          </w:p>
        </w:tc>
      </w:tr>
      <w:tr w:rsidR="00157813" w14:paraId="0D914A44" w14:textId="77777777">
        <w:tc>
          <w:tcPr>
            <w:tcW w:w="1249" w:type="pct"/>
          </w:tcPr>
          <w:p w14:paraId="46007140" w14:textId="77777777" w:rsidR="0056240A" w:rsidRPr="00F762B3" w:rsidRDefault="007B7971">
            <w:pPr>
              <w:pStyle w:val="TableText"/>
            </w:pPr>
            <w:r w:rsidRPr="00F762B3">
              <w:t>Australian Meat Industry Language and Standards Committee (AMILSC)</w:t>
            </w:r>
          </w:p>
        </w:tc>
        <w:tc>
          <w:tcPr>
            <w:tcW w:w="3751" w:type="pct"/>
          </w:tcPr>
          <w:p w14:paraId="5FBA6A6A" w14:textId="7BE53296" w:rsidR="0056240A" w:rsidRPr="00F762B3" w:rsidRDefault="00CC6C73">
            <w:pPr>
              <w:pStyle w:val="TableText"/>
            </w:pPr>
            <w:r w:rsidRPr="00CC6C73">
              <w:t xml:space="preserve">AMILSC are custodians of the Australian Meat Industry Classification System (AUS-MEAT Language); National </w:t>
            </w:r>
            <w:proofErr w:type="spellStart"/>
            <w:r w:rsidRPr="00CC6C73">
              <w:t>National</w:t>
            </w:r>
            <w:proofErr w:type="spellEnd"/>
            <w:r w:rsidRPr="00CC6C73">
              <w:t xml:space="preserve"> Accreditation Standards and the Meat Standard Australia (MSA) Standards).</w:t>
            </w:r>
          </w:p>
        </w:tc>
      </w:tr>
      <w:tr w:rsidR="00157813" w14:paraId="2E79CB94" w14:textId="77777777">
        <w:tc>
          <w:tcPr>
            <w:tcW w:w="1249" w:type="pct"/>
          </w:tcPr>
          <w:p w14:paraId="19DAB972" w14:textId="77777777" w:rsidR="0056240A" w:rsidRPr="00F762B3" w:rsidRDefault="007B7971">
            <w:pPr>
              <w:pStyle w:val="TableText"/>
            </w:pPr>
            <w:r w:rsidRPr="00F762B3">
              <w:t>Australian Meat Processor Corporation (AMPC)</w:t>
            </w:r>
          </w:p>
        </w:tc>
        <w:tc>
          <w:tcPr>
            <w:tcW w:w="3751" w:type="pct"/>
          </w:tcPr>
          <w:p w14:paraId="7708FA5D" w14:textId="77777777" w:rsidR="0056240A" w:rsidRPr="00F762B3" w:rsidRDefault="007B7971" w:rsidP="00853DFA">
            <w:pPr>
              <w:pStyle w:val="TableText"/>
            </w:pPr>
            <w:r w:rsidRPr="00F762B3">
              <w:t>The AMPC is the Rural Research and Development Corporation that supports the red meat processing industry throughout Australia. AMPC's mandate is to provide research, development and extension (RD&amp;E) services that improve the sustainability and efficiency of the sector.</w:t>
            </w:r>
          </w:p>
        </w:tc>
      </w:tr>
      <w:tr w:rsidR="002F1A0E" w14:paraId="2DAB42C7" w14:textId="77777777">
        <w:tc>
          <w:tcPr>
            <w:tcW w:w="1249" w:type="pct"/>
          </w:tcPr>
          <w:p w14:paraId="4F060E27" w14:textId="4E213FE4" w:rsidR="002F1A0E" w:rsidRPr="00F762B3" w:rsidRDefault="002F1A0E">
            <w:pPr>
              <w:pStyle w:val="TableText"/>
            </w:pPr>
            <w:r>
              <w:t>Computer Tomography (CT) Scanner</w:t>
            </w:r>
          </w:p>
        </w:tc>
        <w:tc>
          <w:tcPr>
            <w:tcW w:w="3751" w:type="pct"/>
          </w:tcPr>
          <w:p w14:paraId="3659CA1B" w14:textId="26AEC58B" w:rsidR="002F1A0E" w:rsidRPr="00F762B3" w:rsidRDefault="000C7CD2">
            <w:pPr>
              <w:pStyle w:val="TableText"/>
            </w:pPr>
            <w:r>
              <w:t xml:space="preserve">A CT scanner is a medical imaging device that uses x-ray and digital computer technology to create a detailed two- or three-dimensional images of a body. Unlike other forms of medical imaging, a CT scanner can make an image of every type of body structure at once, including bone, blood vessels and soft tissue.  </w:t>
            </w:r>
          </w:p>
        </w:tc>
      </w:tr>
      <w:tr w:rsidR="00157813" w14:paraId="32113163" w14:textId="77777777">
        <w:tc>
          <w:tcPr>
            <w:tcW w:w="1249" w:type="pct"/>
          </w:tcPr>
          <w:p w14:paraId="1183C81B" w14:textId="77777777" w:rsidR="0056240A" w:rsidRPr="00F762B3" w:rsidRDefault="007B7971">
            <w:pPr>
              <w:pStyle w:val="TableText"/>
            </w:pPr>
            <w:r w:rsidRPr="00F762B3">
              <w:t>Duel Energy X-ray Absorptiometry (DEXA)</w:t>
            </w:r>
          </w:p>
        </w:tc>
        <w:tc>
          <w:tcPr>
            <w:tcW w:w="3751" w:type="pct"/>
          </w:tcPr>
          <w:p w14:paraId="07A07766" w14:textId="77777777" w:rsidR="0056240A" w:rsidRPr="00F762B3" w:rsidRDefault="007B7971">
            <w:pPr>
              <w:pStyle w:val="TableText"/>
            </w:pPr>
            <w:r w:rsidRPr="00F762B3">
              <w:t>DEXA was originally designed for the medical industry to measure bone density. DEXA Bone Densitometry is a quick, and non-invasive way to accurately and reliably measure bone mineral density. DEXA Body Composition allows the measurement of total body fat and total muscle mass.</w:t>
            </w:r>
          </w:p>
        </w:tc>
      </w:tr>
      <w:tr w:rsidR="00157813" w14:paraId="43356079" w14:textId="77777777">
        <w:tc>
          <w:tcPr>
            <w:tcW w:w="1249" w:type="pct"/>
          </w:tcPr>
          <w:p w14:paraId="58A078AE" w14:textId="77777777" w:rsidR="0056240A" w:rsidRPr="00F762B3" w:rsidRDefault="007B7971">
            <w:pPr>
              <w:pStyle w:val="TableText"/>
            </w:pPr>
            <w:r w:rsidRPr="00F762B3">
              <w:t>Industry Calibration Working Group (ICWG)</w:t>
            </w:r>
          </w:p>
        </w:tc>
        <w:tc>
          <w:tcPr>
            <w:tcW w:w="3751" w:type="pct"/>
          </w:tcPr>
          <w:p w14:paraId="1F42A39F" w14:textId="1E04E973" w:rsidR="00F762B3" w:rsidRDefault="007B7971">
            <w:pPr>
              <w:pStyle w:val="TableText"/>
            </w:pPr>
            <w:r w:rsidRPr="00F762B3">
              <w:t xml:space="preserve">The ICWG </w:t>
            </w:r>
            <w:r w:rsidR="00A24268">
              <w:t>is a</w:t>
            </w:r>
            <w:r w:rsidR="00EA32EE">
              <w:t>n</w:t>
            </w:r>
            <w:r w:rsidR="00A24268">
              <w:t xml:space="preserve"> </w:t>
            </w:r>
            <w:proofErr w:type="spellStart"/>
            <w:r w:rsidR="00A24268">
              <w:t>ALMTech</w:t>
            </w:r>
            <w:proofErr w:type="spellEnd"/>
            <w:r w:rsidR="00A24268">
              <w:t xml:space="preserve"> working group </w:t>
            </w:r>
            <w:r w:rsidR="00A24268" w:rsidRPr="00A24268">
              <w:t>working on a project targeted towards developing objective gold standard measurements for carcase attributes that influence the value of livestock</w:t>
            </w:r>
            <w:r w:rsidR="006A1506">
              <w:t>.</w:t>
            </w:r>
          </w:p>
          <w:p w14:paraId="5A8BE0A1" w14:textId="77777777" w:rsidR="0056240A" w:rsidRPr="00F762B3" w:rsidRDefault="007B7971">
            <w:pPr>
              <w:pStyle w:val="TableText"/>
            </w:pPr>
            <w:r>
              <w:t xml:space="preserve">The ICWG </w:t>
            </w:r>
            <w:r w:rsidR="00853DFA" w:rsidRPr="00F762B3">
              <w:t>includes representatives from AUS-MEAT, the Australian Meat Industry Council (AMIC), the National Measurement Institute, and the Australian Meat Processing Corporation (AMPC)</w:t>
            </w:r>
          </w:p>
        </w:tc>
      </w:tr>
      <w:tr w:rsidR="002F1A0E" w14:paraId="2BA4232E" w14:textId="77777777">
        <w:tc>
          <w:tcPr>
            <w:tcW w:w="1249" w:type="pct"/>
          </w:tcPr>
          <w:p w14:paraId="740D7E0A" w14:textId="52E661FE" w:rsidR="002F1A0E" w:rsidRPr="00F762B3" w:rsidRDefault="002F1A0E" w:rsidP="00BA209A">
            <w:pPr>
              <w:pStyle w:val="TableText"/>
            </w:pPr>
            <w:r>
              <w:t>Lean Meat Yield (LMY)</w:t>
            </w:r>
          </w:p>
        </w:tc>
        <w:tc>
          <w:tcPr>
            <w:tcW w:w="3751" w:type="pct"/>
          </w:tcPr>
          <w:p w14:paraId="44A93D5E" w14:textId="39315518" w:rsidR="002F1A0E" w:rsidRPr="00F762B3" w:rsidRDefault="000C7CD2" w:rsidP="00F762B3">
            <w:pPr>
              <w:pStyle w:val="TableText"/>
            </w:pPr>
            <w:r>
              <w:t xml:space="preserve">LMY refers to the amount of meat recovered from a carcase. LMY is expressed as a percentage so that it is independent of variation in carcase weight. </w:t>
            </w:r>
          </w:p>
        </w:tc>
      </w:tr>
      <w:tr w:rsidR="00157813" w14:paraId="46774FF1" w14:textId="77777777">
        <w:tc>
          <w:tcPr>
            <w:tcW w:w="1249" w:type="pct"/>
          </w:tcPr>
          <w:p w14:paraId="71C2CF94" w14:textId="3B19D4DE" w:rsidR="0056240A" w:rsidRPr="00F762B3" w:rsidRDefault="007B7971" w:rsidP="00BA209A">
            <w:pPr>
              <w:pStyle w:val="TableText"/>
            </w:pPr>
            <w:r w:rsidRPr="00F762B3">
              <w:t xml:space="preserve">Meat </w:t>
            </w:r>
            <w:r w:rsidR="00BA209A">
              <w:t>&amp;</w:t>
            </w:r>
            <w:r w:rsidR="00BA209A" w:rsidRPr="00F762B3">
              <w:t xml:space="preserve"> </w:t>
            </w:r>
            <w:r w:rsidRPr="00F762B3">
              <w:t>Livestock Australia (MLA)</w:t>
            </w:r>
          </w:p>
        </w:tc>
        <w:tc>
          <w:tcPr>
            <w:tcW w:w="3751" w:type="pct"/>
          </w:tcPr>
          <w:p w14:paraId="59A267DC" w14:textId="77777777" w:rsidR="0056240A" w:rsidRPr="00F762B3" w:rsidRDefault="007B7971" w:rsidP="00F762B3">
            <w:pPr>
              <w:pStyle w:val="TableText"/>
            </w:pPr>
            <w:r w:rsidRPr="00F762B3">
              <w:t xml:space="preserve">MLA </w:t>
            </w:r>
            <w:r w:rsidR="00F762B3" w:rsidRPr="00F762B3">
              <w:t xml:space="preserve">is the Rural Research and Development Corporation that supports the meat and livestock sector. MLA </w:t>
            </w:r>
            <w:r w:rsidRPr="00F762B3">
              <w:t>works in partnership with the red meat industry and the Australian Government to deliver marketing, research and development products and services to beef cattle, sheep and goat producers, with the core purpose of fostering the prosperity of the red meat industry.</w:t>
            </w:r>
          </w:p>
        </w:tc>
      </w:tr>
      <w:tr w:rsidR="00157813" w14:paraId="6302F751" w14:textId="77777777">
        <w:tc>
          <w:tcPr>
            <w:tcW w:w="1249" w:type="pct"/>
          </w:tcPr>
          <w:p w14:paraId="6A42B567" w14:textId="77777777" w:rsidR="0056240A" w:rsidRPr="00F762B3" w:rsidRDefault="007B7971">
            <w:pPr>
              <w:pStyle w:val="TableText"/>
            </w:pPr>
            <w:r w:rsidRPr="00F762B3">
              <w:t>National Accreditation Standards (NAS)</w:t>
            </w:r>
          </w:p>
        </w:tc>
        <w:tc>
          <w:tcPr>
            <w:tcW w:w="3751" w:type="pct"/>
          </w:tcPr>
          <w:p w14:paraId="1C361CFE" w14:textId="77777777" w:rsidR="0056240A" w:rsidRPr="00F762B3" w:rsidRDefault="007B7971" w:rsidP="00F762B3">
            <w:pPr>
              <w:pStyle w:val="TableText"/>
            </w:pPr>
            <w:r w:rsidRPr="00F762B3">
              <w:t>The</w:t>
            </w:r>
            <w:r w:rsidR="00F762B3" w:rsidRPr="00F762B3">
              <w:t xml:space="preserve"> NAS is the</w:t>
            </w:r>
            <w:r w:rsidRPr="00F762B3">
              <w:t xml:space="preserve"> Australian Meat Industry Standards for abattoirs, boning rooms, </w:t>
            </w:r>
            <w:r w:rsidR="00F762B3" w:rsidRPr="00F762B3">
              <w:t xml:space="preserve">non-packer </w:t>
            </w:r>
            <w:proofErr w:type="spellStart"/>
            <w:r w:rsidR="00F762B3" w:rsidRPr="00F762B3">
              <w:t>exporters</w:t>
            </w:r>
            <w:r w:rsidRPr="00F762B3">
              <w:t>’s</w:t>
            </w:r>
            <w:proofErr w:type="spellEnd"/>
            <w:r w:rsidR="00F762B3" w:rsidRPr="00F762B3">
              <w:t>,</w:t>
            </w:r>
            <w:r w:rsidRPr="00F762B3">
              <w:t xml:space="preserve"> </w:t>
            </w:r>
            <w:r w:rsidR="00F762B3" w:rsidRPr="00F762B3">
              <w:t>f</w:t>
            </w:r>
            <w:r w:rsidRPr="00F762B3">
              <w:t xml:space="preserve">urther </w:t>
            </w:r>
            <w:r w:rsidR="00F762B3" w:rsidRPr="00F762B3">
              <w:t>p</w:t>
            </w:r>
            <w:r w:rsidRPr="00F762B3">
              <w:t>rocessors and other accredited enterprises. These standards provide the minimum requirements for AUS-MEAT accreditation.</w:t>
            </w:r>
          </w:p>
        </w:tc>
      </w:tr>
      <w:tr w:rsidR="00157813" w14:paraId="78E58ED4" w14:textId="77777777">
        <w:tc>
          <w:tcPr>
            <w:tcW w:w="1249" w:type="pct"/>
          </w:tcPr>
          <w:p w14:paraId="03D6BD5D" w14:textId="77777777" w:rsidR="0056240A" w:rsidRPr="00F762B3" w:rsidRDefault="007B7971">
            <w:pPr>
              <w:pStyle w:val="TableText"/>
            </w:pPr>
            <w:r w:rsidRPr="00F762B3">
              <w:t>Objective Carcase Measurement (OCM)</w:t>
            </w:r>
          </w:p>
        </w:tc>
        <w:tc>
          <w:tcPr>
            <w:tcW w:w="3751" w:type="pct"/>
          </w:tcPr>
          <w:p w14:paraId="602B5194" w14:textId="77777777" w:rsidR="0056240A" w:rsidRPr="00F762B3" w:rsidRDefault="007B7971">
            <w:pPr>
              <w:pStyle w:val="TableText"/>
            </w:pPr>
            <w:r w:rsidRPr="00F762B3">
              <w:t>Objective carcase measurement refers to the processes and technologies that have the potential to be used to better measure carcase attributes to predict eating quality, disease or contamination, precise boning cutting lines, and lean meat yield.</w:t>
            </w:r>
          </w:p>
        </w:tc>
      </w:tr>
      <w:tr w:rsidR="00157813" w14:paraId="57D84198" w14:textId="77777777">
        <w:tc>
          <w:tcPr>
            <w:tcW w:w="1249" w:type="pct"/>
          </w:tcPr>
          <w:p w14:paraId="19A542B8" w14:textId="77777777" w:rsidR="0056240A" w:rsidRPr="00F762B3" w:rsidRDefault="007B7971">
            <w:pPr>
              <w:pStyle w:val="TableText"/>
            </w:pPr>
            <w:r w:rsidRPr="00F762B3">
              <w:t>Onsite Correlation and Practice Program (</w:t>
            </w:r>
            <w:proofErr w:type="spellStart"/>
            <w:r w:rsidRPr="00F762B3">
              <w:t>OsCAP</w:t>
            </w:r>
            <w:proofErr w:type="spellEnd"/>
            <w:r w:rsidRPr="00F762B3">
              <w:t>)</w:t>
            </w:r>
          </w:p>
        </w:tc>
        <w:tc>
          <w:tcPr>
            <w:tcW w:w="3751" w:type="pct"/>
          </w:tcPr>
          <w:p w14:paraId="73FD4F4D" w14:textId="77777777" w:rsidR="0056240A" w:rsidRPr="00F762B3" w:rsidRDefault="007B7971">
            <w:pPr>
              <w:pStyle w:val="TableText"/>
            </w:pPr>
            <w:proofErr w:type="spellStart"/>
            <w:r w:rsidRPr="00F762B3">
              <w:t>OsCap</w:t>
            </w:r>
            <w:proofErr w:type="spellEnd"/>
            <w:r w:rsidRPr="00F762B3">
              <w:t xml:space="preserve"> is a software based method of objectively calibrating graders. </w:t>
            </w:r>
            <w:proofErr w:type="spellStart"/>
            <w:r w:rsidRPr="00F762B3">
              <w:t>OsCap</w:t>
            </w:r>
            <w:proofErr w:type="spellEnd"/>
            <w:r w:rsidRPr="00F762B3">
              <w:t xml:space="preserve"> also provides tests for AUS-MEAT's Chiller Assessment Language and MSA's Grading System.</w:t>
            </w:r>
          </w:p>
        </w:tc>
      </w:tr>
      <w:tr w:rsidR="00157813" w14:paraId="5F964ED3" w14:textId="77777777">
        <w:tc>
          <w:tcPr>
            <w:tcW w:w="1249" w:type="pct"/>
          </w:tcPr>
          <w:p w14:paraId="1E59518B" w14:textId="77777777" w:rsidR="0056240A" w:rsidRPr="00F762B3" w:rsidRDefault="007B7971">
            <w:pPr>
              <w:pStyle w:val="TableText"/>
            </w:pPr>
            <w:r w:rsidRPr="00F762B3">
              <w:t>Red Meat Memorandum of Understanding (Red Meat MoU)</w:t>
            </w:r>
          </w:p>
        </w:tc>
        <w:tc>
          <w:tcPr>
            <w:tcW w:w="3751" w:type="pct"/>
          </w:tcPr>
          <w:p w14:paraId="6399F57F" w14:textId="77777777" w:rsidR="00F762B3" w:rsidRDefault="007B7971" w:rsidP="00F762B3">
            <w:pPr>
              <w:pStyle w:val="TableText"/>
            </w:pPr>
            <w:r>
              <w:t>The Red MOU describes the inter-relationships of all organisations within the red meat sector. The signatories to the MOU are:</w:t>
            </w:r>
          </w:p>
          <w:p w14:paraId="246BE53A" w14:textId="77777777" w:rsidR="00F762B3" w:rsidRDefault="007B7971" w:rsidP="00F762B3">
            <w:pPr>
              <w:pStyle w:val="TableText"/>
              <w:numPr>
                <w:ilvl w:val="0"/>
                <w:numId w:val="23"/>
              </w:numPr>
            </w:pPr>
            <w:r>
              <w:t>The Australian Government</w:t>
            </w:r>
          </w:p>
          <w:p w14:paraId="5A459E9C" w14:textId="77777777" w:rsidR="00F762B3" w:rsidRDefault="007B7971" w:rsidP="00F762B3">
            <w:pPr>
              <w:pStyle w:val="TableText"/>
              <w:numPr>
                <w:ilvl w:val="0"/>
                <w:numId w:val="23"/>
              </w:numPr>
            </w:pPr>
            <w:r>
              <w:t>Australian Meat Processor Corporation (AMPC)</w:t>
            </w:r>
          </w:p>
          <w:p w14:paraId="3BE2BDE2" w14:textId="77777777" w:rsidR="00F762B3" w:rsidRDefault="007B7971" w:rsidP="00F762B3">
            <w:pPr>
              <w:pStyle w:val="TableText"/>
              <w:numPr>
                <w:ilvl w:val="0"/>
                <w:numId w:val="23"/>
              </w:numPr>
            </w:pPr>
            <w:r>
              <w:lastRenderedPageBreak/>
              <w:t>Meat &amp; Livestock Australia Ltd (MLA)</w:t>
            </w:r>
          </w:p>
          <w:p w14:paraId="049B6092" w14:textId="77777777" w:rsidR="00F762B3" w:rsidRDefault="007B7971" w:rsidP="00F762B3">
            <w:pPr>
              <w:pStyle w:val="TableText"/>
              <w:numPr>
                <w:ilvl w:val="0"/>
                <w:numId w:val="23"/>
              </w:numPr>
            </w:pPr>
            <w:r>
              <w:t>Australian Livestock Export Corporation Ltd (</w:t>
            </w:r>
            <w:proofErr w:type="spellStart"/>
            <w:r>
              <w:t>LiveCorp</w:t>
            </w:r>
            <w:proofErr w:type="spellEnd"/>
            <w:r>
              <w:t>)</w:t>
            </w:r>
          </w:p>
          <w:p w14:paraId="57D46FDE" w14:textId="77777777" w:rsidR="00F762B3" w:rsidRDefault="007B7971" w:rsidP="00F762B3">
            <w:pPr>
              <w:pStyle w:val="TableText"/>
              <w:numPr>
                <w:ilvl w:val="0"/>
                <w:numId w:val="23"/>
              </w:numPr>
            </w:pPr>
            <w:r>
              <w:t>Australian Meat Industry Council (AMIC)</w:t>
            </w:r>
          </w:p>
          <w:p w14:paraId="0BD485A6" w14:textId="77777777" w:rsidR="00F762B3" w:rsidRDefault="007B7971" w:rsidP="00F762B3">
            <w:pPr>
              <w:pStyle w:val="TableText"/>
              <w:numPr>
                <w:ilvl w:val="0"/>
                <w:numId w:val="23"/>
              </w:numPr>
            </w:pPr>
            <w:r>
              <w:t>Cattle Council of Australia (CCA)</w:t>
            </w:r>
          </w:p>
          <w:p w14:paraId="7317D74A" w14:textId="77777777" w:rsidR="00F762B3" w:rsidRDefault="007B7971" w:rsidP="00F762B3">
            <w:pPr>
              <w:pStyle w:val="TableText"/>
              <w:numPr>
                <w:ilvl w:val="0"/>
                <w:numId w:val="23"/>
              </w:numPr>
            </w:pPr>
            <w:proofErr w:type="spellStart"/>
            <w:r>
              <w:t>Sheepmeat</w:t>
            </w:r>
            <w:proofErr w:type="spellEnd"/>
            <w:r>
              <w:t xml:space="preserve"> Council of Australia (SCA)</w:t>
            </w:r>
          </w:p>
          <w:p w14:paraId="74AB359B" w14:textId="77777777" w:rsidR="00F762B3" w:rsidRDefault="007B7971" w:rsidP="00F762B3">
            <w:pPr>
              <w:pStyle w:val="TableText"/>
              <w:numPr>
                <w:ilvl w:val="0"/>
                <w:numId w:val="23"/>
              </w:numPr>
            </w:pPr>
            <w:r>
              <w:t>Australian Lot Feeders’ Association (ALFA)</w:t>
            </w:r>
          </w:p>
          <w:p w14:paraId="673461BC" w14:textId="77777777" w:rsidR="0056240A" w:rsidRPr="00F762B3" w:rsidRDefault="007B7971" w:rsidP="00F762B3">
            <w:pPr>
              <w:pStyle w:val="TableText"/>
              <w:numPr>
                <w:ilvl w:val="0"/>
                <w:numId w:val="23"/>
              </w:numPr>
            </w:pPr>
            <w:r>
              <w:t>Australian Livestock Exporters Council (ALEC)</w:t>
            </w:r>
          </w:p>
        </w:tc>
      </w:tr>
      <w:tr w:rsidR="00EC75E9" w14:paraId="55F423BA" w14:textId="77777777">
        <w:tc>
          <w:tcPr>
            <w:tcW w:w="1249" w:type="pct"/>
          </w:tcPr>
          <w:p w14:paraId="7ACEB13E" w14:textId="120B7655" w:rsidR="00EC75E9" w:rsidRPr="00F762B3" w:rsidRDefault="00EC75E9">
            <w:pPr>
              <w:pStyle w:val="TableText"/>
            </w:pPr>
            <w:r>
              <w:lastRenderedPageBreak/>
              <w:t>Senate Standing Committees on Rural and Regional Affairs and Transport (RRA&amp;T Committee)</w:t>
            </w:r>
          </w:p>
        </w:tc>
        <w:tc>
          <w:tcPr>
            <w:tcW w:w="3751" w:type="pct"/>
          </w:tcPr>
          <w:p w14:paraId="66729CBE" w14:textId="705EF890" w:rsidR="00EC75E9" w:rsidRDefault="004842DB" w:rsidP="00F27EA6">
            <w:pPr>
              <w:pStyle w:val="TableText"/>
            </w:pPr>
            <w:r>
              <w:t xml:space="preserve">The RRA&amp;T Committee’s </w:t>
            </w:r>
            <w:r w:rsidR="000C7CD2">
              <w:t xml:space="preserve">covers the Agriculture, and Infrastructure and Regional Development portfolios.  </w:t>
            </w:r>
          </w:p>
        </w:tc>
      </w:tr>
      <w:tr w:rsidR="00EC75E9" w14:paraId="0E754AA6" w14:textId="77777777">
        <w:tc>
          <w:tcPr>
            <w:tcW w:w="1249" w:type="pct"/>
          </w:tcPr>
          <w:p w14:paraId="19A5E7EA" w14:textId="65DF01AD" w:rsidR="00EC75E9" w:rsidRPr="00F762B3" w:rsidRDefault="00EC75E9">
            <w:pPr>
              <w:pStyle w:val="TableText"/>
            </w:pPr>
            <w:r>
              <w:t>Terms of Reference (</w:t>
            </w:r>
            <w:proofErr w:type="spellStart"/>
            <w:r>
              <w:t>ToR</w:t>
            </w:r>
            <w:proofErr w:type="spellEnd"/>
            <w:r>
              <w:t>)</w:t>
            </w:r>
          </w:p>
        </w:tc>
        <w:tc>
          <w:tcPr>
            <w:tcW w:w="3751" w:type="pct"/>
          </w:tcPr>
          <w:p w14:paraId="0CBECAC3" w14:textId="38167EC8" w:rsidR="00EC75E9" w:rsidRDefault="004842DB" w:rsidP="004842DB">
            <w:pPr>
              <w:pStyle w:val="TableText"/>
            </w:pPr>
            <w:r>
              <w:t xml:space="preserve">The </w:t>
            </w:r>
            <w:proofErr w:type="spellStart"/>
            <w:r>
              <w:t>ToR</w:t>
            </w:r>
            <w:proofErr w:type="spellEnd"/>
            <w:r>
              <w:t xml:space="preserve"> was established by the RRA&amp;T Committee and provides a common understanding of the scope and limitations of the review.    </w:t>
            </w:r>
          </w:p>
        </w:tc>
      </w:tr>
    </w:tbl>
    <w:p w14:paraId="245AD337" w14:textId="77777777" w:rsidR="0056240A" w:rsidRPr="00A24268" w:rsidRDefault="007B7971">
      <w:pPr>
        <w:pStyle w:val="Heading2"/>
        <w:numPr>
          <w:ilvl w:val="0"/>
          <w:numId w:val="0"/>
        </w:numPr>
        <w:ind w:left="709" w:hanging="709"/>
        <w:rPr>
          <w:color w:val="auto"/>
        </w:rPr>
      </w:pPr>
      <w:bookmarkStart w:id="33" w:name="_Toc430782162"/>
      <w:bookmarkStart w:id="34" w:name="_Toc12958284"/>
      <w:r w:rsidRPr="00A24268">
        <w:rPr>
          <w:color w:val="auto"/>
        </w:rPr>
        <w:lastRenderedPageBreak/>
        <w:t>References</w:t>
      </w:r>
      <w:bookmarkEnd w:id="33"/>
      <w:bookmarkEnd w:id="34"/>
    </w:p>
    <w:p w14:paraId="4B65A14C" w14:textId="01F9ECAC" w:rsidR="00A24268" w:rsidRPr="00A24268" w:rsidRDefault="007B7971" w:rsidP="00A24268">
      <w:pPr>
        <w:pStyle w:val="FootnoteText"/>
        <w:spacing w:after="120"/>
        <w:rPr>
          <w:sz w:val="22"/>
          <w:szCs w:val="22"/>
        </w:rPr>
      </w:pPr>
      <w:r w:rsidRPr="00A24268">
        <w:rPr>
          <w:sz w:val="22"/>
          <w:szCs w:val="22"/>
        </w:rPr>
        <w:t xml:space="preserve">ACCC 2017, </w:t>
      </w:r>
      <w:hyperlink r:id="rId13" w:history="1">
        <w:r w:rsidRPr="00B27B77">
          <w:rPr>
            <w:rStyle w:val="Hyperlink"/>
            <w:sz w:val="22"/>
            <w:szCs w:val="22"/>
          </w:rPr>
          <w:t>Cattle and beef market study – Final report</w:t>
        </w:r>
      </w:hyperlink>
      <w:r w:rsidRPr="00A24268">
        <w:rPr>
          <w:sz w:val="22"/>
          <w:szCs w:val="22"/>
        </w:rPr>
        <w:t>, Australian Competition &amp; Consumer Commission, Canberra.</w:t>
      </w:r>
    </w:p>
    <w:p w14:paraId="14E9C2EB" w14:textId="150350E5" w:rsidR="00A24268" w:rsidRPr="00A24268" w:rsidRDefault="007B7971" w:rsidP="00A24268">
      <w:pPr>
        <w:spacing w:after="120"/>
        <w:rPr>
          <w:rFonts w:asciiTheme="majorHAnsi" w:hAnsiTheme="majorHAnsi"/>
        </w:rPr>
      </w:pPr>
      <w:proofErr w:type="spellStart"/>
      <w:r w:rsidRPr="00A24268">
        <w:rPr>
          <w:rFonts w:asciiTheme="majorHAnsi" w:hAnsiTheme="majorHAnsi"/>
        </w:rPr>
        <w:t>ALMTech</w:t>
      </w:r>
      <w:proofErr w:type="spellEnd"/>
      <w:r w:rsidRPr="00A24268">
        <w:rPr>
          <w:rFonts w:asciiTheme="majorHAnsi" w:hAnsiTheme="majorHAnsi"/>
        </w:rPr>
        <w:t xml:space="preserve"> 2017, </w:t>
      </w:r>
      <w:hyperlink r:id="rId14" w:history="1">
        <w:r w:rsidRPr="00B27B77">
          <w:rPr>
            <w:rStyle w:val="Hyperlink"/>
            <w:rFonts w:asciiTheme="majorHAnsi" w:hAnsiTheme="majorHAnsi"/>
          </w:rPr>
          <w:t xml:space="preserve">About </w:t>
        </w:r>
        <w:proofErr w:type="spellStart"/>
        <w:r w:rsidRPr="00B27B77">
          <w:rPr>
            <w:rStyle w:val="Hyperlink"/>
            <w:rFonts w:asciiTheme="majorHAnsi" w:hAnsiTheme="majorHAnsi"/>
          </w:rPr>
          <w:t>ALMTech</w:t>
        </w:r>
        <w:proofErr w:type="spellEnd"/>
      </w:hyperlink>
      <w:r w:rsidRPr="00A24268">
        <w:rPr>
          <w:rFonts w:asciiTheme="majorHAnsi" w:hAnsiTheme="majorHAnsi"/>
        </w:rPr>
        <w:t>, Advanced Measurement Technologies for Globally Competitive Australian Meat, accessed 25 March 2019.</w:t>
      </w:r>
    </w:p>
    <w:p w14:paraId="66E770D5" w14:textId="2684D505" w:rsidR="00A24268" w:rsidRPr="00A24268" w:rsidRDefault="007B7971" w:rsidP="00A24268">
      <w:pPr>
        <w:spacing w:after="120"/>
        <w:rPr>
          <w:lang w:eastAsia="ja-JP"/>
        </w:rPr>
      </w:pPr>
      <w:r w:rsidRPr="00A24268">
        <w:t xml:space="preserve">AUS-MEAT 2019, </w:t>
      </w:r>
      <w:hyperlink r:id="rId15" w:history="1">
        <w:r w:rsidRPr="00B27B77">
          <w:rPr>
            <w:rStyle w:val="Hyperlink"/>
          </w:rPr>
          <w:t>History</w:t>
        </w:r>
      </w:hyperlink>
      <w:r w:rsidRPr="00A24268">
        <w:t>, AUS-MEAT Limited, accessed 2 January 2019.</w:t>
      </w:r>
    </w:p>
    <w:p w14:paraId="57E095D0" w14:textId="4FBFA5C5" w:rsidR="00A24268" w:rsidRPr="00A24268" w:rsidRDefault="007B7971" w:rsidP="00A24268">
      <w:pPr>
        <w:pStyle w:val="FootnoteText"/>
        <w:spacing w:after="120"/>
        <w:rPr>
          <w:rFonts w:asciiTheme="majorHAnsi" w:hAnsiTheme="majorHAnsi"/>
          <w:sz w:val="22"/>
          <w:szCs w:val="22"/>
        </w:rPr>
      </w:pPr>
      <w:r w:rsidRPr="00A24268">
        <w:rPr>
          <w:rFonts w:asciiTheme="majorHAnsi" w:hAnsiTheme="majorHAnsi"/>
          <w:sz w:val="22"/>
          <w:szCs w:val="22"/>
        </w:rPr>
        <w:t xml:space="preserve">Australian Beef Sustainability Framework 2018, </w:t>
      </w:r>
      <w:hyperlink r:id="rId16" w:history="1">
        <w:r w:rsidRPr="00B27B77">
          <w:rPr>
            <w:rStyle w:val="Hyperlink"/>
            <w:rFonts w:asciiTheme="majorHAnsi" w:hAnsiTheme="majorHAnsi"/>
            <w:sz w:val="22"/>
            <w:szCs w:val="22"/>
          </w:rPr>
          <w:t>Australian Beef Sustainability Annual Update 2018</w:t>
        </w:r>
      </w:hyperlink>
      <w:r w:rsidRPr="00A24268">
        <w:rPr>
          <w:rFonts w:asciiTheme="majorHAnsi" w:hAnsiTheme="majorHAnsi"/>
          <w:sz w:val="22"/>
          <w:szCs w:val="22"/>
        </w:rPr>
        <w:t>, Australian Beef Sustainability Framework Steering Group.</w:t>
      </w:r>
    </w:p>
    <w:p w14:paraId="5DE01EC2" w14:textId="4F89FBB9" w:rsidR="00A24268" w:rsidRPr="00A24268" w:rsidRDefault="006B7CDA" w:rsidP="00A24268">
      <w:pPr>
        <w:spacing w:after="120"/>
      </w:pPr>
      <w:r>
        <w:t xml:space="preserve">Department of Agriculture </w:t>
      </w:r>
      <w:r w:rsidR="007B7971" w:rsidRPr="00A24268">
        <w:t xml:space="preserve">2018, </w:t>
      </w:r>
      <w:hyperlink r:id="rId17" w:history="1">
        <w:r w:rsidR="007B7971" w:rsidRPr="00B27B77">
          <w:rPr>
            <w:rStyle w:val="Hyperlink"/>
          </w:rPr>
          <w:t>Australian Government Response to the Senate Rural and Regional Affairs and Transport References Committee second interim and final reports: Effect of market consolidation on the red meat processing sector</w:t>
        </w:r>
      </w:hyperlink>
      <w:r w:rsidR="007B7971" w:rsidRPr="00A24268">
        <w:t>, Department of Agriculture, Canberra.</w:t>
      </w:r>
    </w:p>
    <w:p w14:paraId="7A08DC47" w14:textId="1C90274D" w:rsidR="00A24268" w:rsidRPr="00A24268" w:rsidRDefault="007B7971" w:rsidP="00A24268">
      <w:pPr>
        <w:pStyle w:val="Default"/>
        <w:spacing w:after="120"/>
        <w:rPr>
          <w:rFonts w:asciiTheme="majorHAnsi" w:hAnsiTheme="majorHAnsi"/>
          <w:sz w:val="22"/>
          <w:szCs w:val="22"/>
        </w:rPr>
      </w:pPr>
      <w:r w:rsidRPr="00A24268">
        <w:rPr>
          <w:rFonts w:asciiTheme="majorHAnsi" w:hAnsiTheme="majorHAnsi"/>
          <w:sz w:val="22"/>
          <w:szCs w:val="22"/>
        </w:rPr>
        <w:t xml:space="preserve">Ernst &amp; Young 2017, </w:t>
      </w:r>
      <w:hyperlink r:id="rId18" w:history="1">
        <w:r w:rsidRPr="00B27B77">
          <w:rPr>
            <w:rStyle w:val="Hyperlink"/>
            <w:rFonts w:asciiTheme="majorHAnsi" w:hAnsiTheme="majorHAnsi"/>
            <w:sz w:val="22"/>
            <w:szCs w:val="22"/>
          </w:rPr>
          <w:t>Independent Review of the proposed installation of DEXA in AUS-MEAT registered processing facilities, Australian Meat Processing Corporation</w:t>
        </w:r>
      </w:hyperlink>
      <w:r w:rsidRPr="00A24268">
        <w:rPr>
          <w:rFonts w:asciiTheme="majorHAnsi" w:hAnsiTheme="majorHAnsi"/>
          <w:sz w:val="22"/>
          <w:szCs w:val="22"/>
        </w:rPr>
        <w:t>, Brisbane, accessed 18 February 2019.</w:t>
      </w:r>
    </w:p>
    <w:p w14:paraId="40F78DE6" w14:textId="50E3E43B" w:rsidR="00A24268" w:rsidRPr="00A24268" w:rsidRDefault="007B7971" w:rsidP="00A24268">
      <w:pPr>
        <w:pStyle w:val="FootnoteText"/>
        <w:spacing w:after="120"/>
        <w:rPr>
          <w:rFonts w:asciiTheme="majorHAnsi" w:hAnsiTheme="majorHAnsi"/>
          <w:sz w:val="22"/>
          <w:szCs w:val="22"/>
        </w:rPr>
      </w:pPr>
      <w:r w:rsidRPr="00A24268">
        <w:rPr>
          <w:rFonts w:asciiTheme="majorHAnsi" w:hAnsiTheme="majorHAnsi"/>
          <w:sz w:val="22"/>
          <w:szCs w:val="22"/>
        </w:rPr>
        <w:t xml:space="preserve">Meat &amp; Livestock Australia 2016, </w:t>
      </w:r>
      <w:hyperlink r:id="rId19" w:history="1">
        <w:r w:rsidRPr="005A44A4">
          <w:rPr>
            <w:rStyle w:val="Hyperlink"/>
            <w:rFonts w:asciiTheme="majorHAnsi" w:hAnsiTheme="majorHAnsi"/>
            <w:sz w:val="22"/>
            <w:szCs w:val="22"/>
          </w:rPr>
          <w:t>MLA to install objective measurement across industry</w:t>
        </w:r>
      </w:hyperlink>
      <w:r w:rsidRPr="00A24268">
        <w:rPr>
          <w:rFonts w:asciiTheme="majorHAnsi" w:hAnsiTheme="majorHAnsi"/>
          <w:sz w:val="22"/>
          <w:szCs w:val="22"/>
        </w:rPr>
        <w:t>, media release, Meat &amp; Livestock Australia, 10 November, accessed 20 March 2019.</w:t>
      </w:r>
    </w:p>
    <w:p w14:paraId="740B7F00" w14:textId="52E463BD" w:rsidR="00A24268" w:rsidRPr="00A24268" w:rsidRDefault="007B7971" w:rsidP="00A24268">
      <w:pPr>
        <w:pStyle w:val="FootnoteText"/>
        <w:spacing w:after="120"/>
        <w:rPr>
          <w:sz w:val="22"/>
          <w:szCs w:val="22"/>
        </w:rPr>
      </w:pPr>
      <w:r w:rsidRPr="00A24268">
        <w:rPr>
          <w:sz w:val="22"/>
          <w:szCs w:val="22"/>
        </w:rPr>
        <w:t xml:space="preserve">Red Meat Advisory Council 2010, </w:t>
      </w:r>
      <w:hyperlink r:id="rId20" w:history="1">
        <w:r w:rsidRPr="005A44A4">
          <w:rPr>
            <w:rStyle w:val="Hyperlink"/>
            <w:sz w:val="22"/>
            <w:szCs w:val="22"/>
          </w:rPr>
          <w:t>Red Meat Memorandum of Understanding</w:t>
        </w:r>
      </w:hyperlink>
      <w:r w:rsidRPr="00A24268">
        <w:rPr>
          <w:sz w:val="22"/>
          <w:szCs w:val="22"/>
        </w:rPr>
        <w:t>, Red Meat Advisory Council, Brisbane.</w:t>
      </w:r>
    </w:p>
    <w:p w14:paraId="78142A05" w14:textId="7BB4854D" w:rsidR="00A24268" w:rsidRPr="00A24268" w:rsidRDefault="007B7971" w:rsidP="00A24268">
      <w:pPr>
        <w:spacing w:after="120"/>
      </w:pPr>
      <w:r w:rsidRPr="00A24268">
        <w:t xml:space="preserve">Red Meat MoU Review Taskforce 2019, </w:t>
      </w:r>
      <w:hyperlink r:id="rId21" w:history="1">
        <w:r w:rsidRPr="005A44A4">
          <w:rPr>
            <w:rStyle w:val="Hyperlink"/>
          </w:rPr>
          <w:t>Towards a Better Red Meat Future: A Green Paper for the Red Meat MoU</w:t>
        </w:r>
      </w:hyperlink>
      <w:r w:rsidRPr="00A24268">
        <w:t>, Red Meat Advisory Council.</w:t>
      </w:r>
    </w:p>
    <w:p w14:paraId="389CE7F2" w14:textId="77070356" w:rsidR="00A24268" w:rsidRPr="00A24268" w:rsidRDefault="007B7971" w:rsidP="00A24268">
      <w:pPr>
        <w:pStyle w:val="FootnoteText"/>
        <w:spacing w:after="120"/>
        <w:rPr>
          <w:sz w:val="22"/>
          <w:szCs w:val="22"/>
        </w:rPr>
      </w:pPr>
      <w:r w:rsidRPr="00A24268">
        <w:rPr>
          <w:sz w:val="22"/>
          <w:szCs w:val="22"/>
        </w:rPr>
        <w:t xml:space="preserve">Rural and Regional Affairs and Transport References Committee 2017, </w:t>
      </w:r>
      <w:hyperlink r:id="rId22" w:history="1">
        <w:r w:rsidRPr="005A44A4">
          <w:rPr>
            <w:rStyle w:val="Hyperlink"/>
            <w:sz w:val="22"/>
            <w:szCs w:val="22"/>
          </w:rPr>
          <w:t>Effect of market consolidation on the red meat processing sector</w:t>
        </w:r>
      </w:hyperlink>
      <w:r w:rsidRPr="00A24268">
        <w:rPr>
          <w:sz w:val="22"/>
          <w:szCs w:val="22"/>
        </w:rPr>
        <w:t>, Commonwealth of Australia, Canberra.</w:t>
      </w:r>
    </w:p>
    <w:p w14:paraId="669EC1B8" w14:textId="16D2E1DE" w:rsidR="00A24268" w:rsidRPr="00A24268" w:rsidRDefault="007B7971" w:rsidP="00A24268">
      <w:pPr>
        <w:pStyle w:val="FootnoteText"/>
        <w:spacing w:after="120"/>
        <w:rPr>
          <w:rFonts w:asciiTheme="majorHAnsi" w:hAnsiTheme="majorHAnsi"/>
          <w:sz w:val="22"/>
          <w:szCs w:val="22"/>
        </w:rPr>
      </w:pPr>
      <w:r w:rsidRPr="00A24268">
        <w:rPr>
          <w:rFonts w:asciiTheme="majorHAnsi" w:hAnsiTheme="majorHAnsi"/>
          <w:sz w:val="22"/>
          <w:szCs w:val="22"/>
        </w:rPr>
        <w:t xml:space="preserve">Scott Automation and Robotics 2017, </w:t>
      </w:r>
      <w:hyperlink r:id="rId23" w:history="1">
        <w:r w:rsidRPr="005A44A4">
          <w:rPr>
            <w:rStyle w:val="Hyperlink"/>
            <w:rFonts w:asciiTheme="majorHAnsi" w:hAnsiTheme="majorHAnsi"/>
            <w:sz w:val="22"/>
            <w:szCs w:val="22"/>
          </w:rPr>
          <w:t>DEXA beef carcase composition grading, Scott Automation and Robotics</w:t>
        </w:r>
      </w:hyperlink>
      <w:r w:rsidRPr="00A24268">
        <w:rPr>
          <w:rFonts w:asciiTheme="majorHAnsi" w:hAnsiTheme="majorHAnsi"/>
          <w:sz w:val="22"/>
          <w:szCs w:val="22"/>
        </w:rPr>
        <w:t>, New Zealand</w:t>
      </w:r>
      <w:r w:rsidR="00027EE0">
        <w:rPr>
          <w:rFonts w:asciiTheme="majorHAnsi" w:hAnsiTheme="majorHAnsi"/>
          <w:sz w:val="22"/>
          <w:szCs w:val="22"/>
        </w:rPr>
        <w:t>.</w:t>
      </w:r>
    </w:p>
    <w:sectPr w:rsidR="00A24268" w:rsidRPr="00A24268" w:rsidSect="00483C5F">
      <w:headerReference w:type="default" r:id="rId24"/>
      <w:footerReference w:type="default" r:id="rId25"/>
      <w:headerReference w:type="first" r:id="rId26"/>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CFA25" w14:textId="77777777" w:rsidR="00434D33" w:rsidRDefault="00434D33">
      <w:pPr>
        <w:spacing w:after="0" w:line="240" w:lineRule="auto"/>
      </w:pPr>
      <w:r>
        <w:separator/>
      </w:r>
    </w:p>
  </w:endnote>
  <w:endnote w:type="continuationSeparator" w:id="0">
    <w:p w14:paraId="46D0DB6A" w14:textId="77777777" w:rsidR="00434D33" w:rsidRDefault="0043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EYInterstate">
    <w:altName w:val="EY Interstat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59083" w14:textId="2D18C8FA" w:rsidR="00434D33" w:rsidRDefault="006B7CDA" w:rsidP="00CC6C73">
    <w:pPr>
      <w:pStyle w:val="Footer"/>
    </w:pPr>
    <w:r>
      <w:t>Department of Agriculture</w:t>
    </w:r>
  </w:p>
  <w:p w14:paraId="1590A0F0" w14:textId="0BA5A4C5" w:rsidR="00434D33" w:rsidRDefault="00434D33">
    <w:pPr>
      <w:pStyle w:val="Footer"/>
    </w:pPr>
    <w:r>
      <w:fldChar w:fldCharType="begin"/>
    </w:r>
    <w:r>
      <w:instrText xml:space="preserve"> PAGE   \* MERGEFORMAT </w:instrText>
    </w:r>
    <w:r>
      <w:fldChar w:fldCharType="separate"/>
    </w:r>
    <w:r w:rsidR="00BF54B3">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1F496" w14:textId="77777777" w:rsidR="00434D33" w:rsidRDefault="00434D33">
      <w:r>
        <w:separator/>
      </w:r>
    </w:p>
    <w:p w14:paraId="53E0E2AD" w14:textId="77777777" w:rsidR="00434D33" w:rsidRDefault="00434D33"/>
    <w:p w14:paraId="7564EBEC" w14:textId="77777777" w:rsidR="00434D33" w:rsidRDefault="00434D33"/>
  </w:footnote>
  <w:footnote w:type="continuationSeparator" w:id="0">
    <w:p w14:paraId="2C7CF2AA" w14:textId="77777777" w:rsidR="00434D33" w:rsidRDefault="00434D33">
      <w:r>
        <w:continuationSeparator/>
      </w:r>
    </w:p>
    <w:p w14:paraId="50761D74" w14:textId="77777777" w:rsidR="00434D33" w:rsidRDefault="00434D33"/>
    <w:p w14:paraId="5E54BFBC" w14:textId="77777777" w:rsidR="00434D33" w:rsidRDefault="00434D33"/>
  </w:footnote>
  <w:footnote w:type="continuationNotice" w:id="1">
    <w:p w14:paraId="32D4909A" w14:textId="77777777" w:rsidR="00434D33" w:rsidRDefault="00434D33">
      <w:pPr>
        <w:pStyle w:val="Footer"/>
      </w:pPr>
    </w:p>
    <w:p w14:paraId="1FBC3E63" w14:textId="77777777" w:rsidR="00434D33" w:rsidRDefault="00434D33"/>
    <w:p w14:paraId="13B218A9" w14:textId="77777777" w:rsidR="00434D33" w:rsidRDefault="00434D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D092" w14:textId="2EACCD80" w:rsidR="00434D33" w:rsidRDefault="00434D33" w:rsidP="00CC6C73">
    <w:pPr>
      <w:pStyle w:val="Header"/>
    </w:pPr>
    <w:r>
      <w:t>AUS-MEAT Capability Assessment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9CFC0" w14:textId="400D5723" w:rsidR="00434D33" w:rsidRDefault="00681542">
    <w:pPr>
      <w:pStyle w:val="Header"/>
      <w:jc w:val="left"/>
    </w:pPr>
    <w:r>
      <w:rPr>
        <w:noProof/>
        <w:lang w:eastAsia="en-AU"/>
      </w:rPr>
      <w:drawing>
        <wp:inline distT="0" distB="0" distL="0" distR="0" wp14:anchorId="5BD37C4A" wp14:editId="5B53FC92">
          <wp:extent cx="2255525" cy="527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A_In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25" cy="5273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315F"/>
    <w:multiLevelType w:val="hybridMultilevel"/>
    <w:tmpl w:val="A7A61A04"/>
    <w:lvl w:ilvl="0" w:tplc="ACD288B4">
      <w:start w:val="1"/>
      <w:numFmt w:val="bullet"/>
      <w:lvlText w:val=""/>
      <w:lvlJc w:val="left"/>
      <w:pPr>
        <w:ind w:left="720" w:hanging="360"/>
      </w:pPr>
      <w:rPr>
        <w:rFonts w:ascii="Symbol" w:hAnsi="Symbol" w:hint="default"/>
      </w:rPr>
    </w:lvl>
    <w:lvl w:ilvl="1" w:tplc="C6F09480" w:tentative="1">
      <w:start w:val="1"/>
      <w:numFmt w:val="bullet"/>
      <w:lvlText w:val="o"/>
      <w:lvlJc w:val="left"/>
      <w:pPr>
        <w:ind w:left="1440" w:hanging="360"/>
      </w:pPr>
      <w:rPr>
        <w:rFonts w:ascii="Courier New" w:hAnsi="Courier New" w:cs="Courier New" w:hint="default"/>
      </w:rPr>
    </w:lvl>
    <w:lvl w:ilvl="2" w:tplc="65549E8E" w:tentative="1">
      <w:start w:val="1"/>
      <w:numFmt w:val="bullet"/>
      <w:lvlText w:val=""/>
      <w:lvlJc w:val="left"/>
      <w:pPr>
        <w:ind w:left="2160" w:hanging="360"/>
      </w:pPr>
      <w:rPr>
        <w:rFonts w:ascii="Wingdings" w:hAnsi="Wingdings" w:hint="default"/>
      </w:rPr>
    </w:lvl>
    <w:lvl w:ilvl="3" w:tplc="4A1EF7D6" w:tentative="1">
      <w:start w:val="1"/>
      <w:numFmt w:val="bullet"/>
      <w:lvlText w:val=""/>
      <w:lvlJc w:val="left"/>
      <w:pPr>
        <w:ind w:left="2880" w:hanging="360"/>
      </w:pPr>
      <w:rPr>
        <w:rFonts w:ascii="Symbol" w:hAnsi="Symbol" w:hint="default"/>
      </w:rPr>
    </w:lvl>
    <w:lvl w:ilvl="4" w:tplc="6568D7AE" w:tentative="1">
      <w:start w:val="1"/>
      <w:numFmt w:val="bullet"/>
      <w:lvlText w:val="o"/>
      <w:lvlJc w:val="left"/>
      <w:pPr>
        <w:ind w:left="3600" w:hanging="360"/>
      </w:pPr>
      <w:rPr>
        <w:rFonts w:ascii="Courier New" w:hAnsi="Courier New" w:cs="Courier New" w:hint="default"/>
      </w:rPr>
    </w:lvl>
    <w:lvl w:ilvl="5" w:tplc="DA5EECAE" w:tentative="1">
      <w:start w:val="1"/>
      <w:numFmt w:val="bullet"/>
      <w:lvlText w:val=""/>
      <w:lvlJc w:val="left"/>
      <w:pPr>
        <w:ind w:left="4320" w:hanging="360"/>
      </w:pPr>
      <w:rPr>
        <w:rFonts w:ascii="Wingdings" w:hAnsi="Wingdings" w:hint="default"/>
      </w:rPr>
    </w:lvl>
    <w:lvl w:ilvl="6" w:tplc="645CA2A0" w:tentative="1">
      <w:start w:val="1"/>
      <w:numFmt w:val="bullet"/>
      <w:lvlText w:val=""/>
      <w:lvlJc w:val="left"/>
      <w:pPr>
        <w:ind w:left="5040" w:hanging="360"/>
      </w:pPr>
      <w:rPr>
        <w:rFonts w:ascii="Symbol" w:hAnsi="Symbol" w:hint="default"/>
      </w:rPr>
    </w:lvl>
    <w:lvl w:ilvl="7" w:tplc="73AE5FF2" w:tentative="1">
      <w:start w:val="1"/>
      <w:numFmt w:val="bullet"/>
      <w:lvlText w:val="o"/>
      <w:lvlJc w:val="left"/>
      <w:pPr>
        <w:ind w:left="5760" w:hanging="360"/>
      </w:pPr>
      <w:rPr>
        <w:rFonts w:ascii="Courier New" w:hAnsi="Courier New" w:cs="Courier New" w:hint="default"/>
      </w:rPr>
    </w:lvl>
    <w:lvl w:ilvl="8" w:tplc="206E9E76" w:tentative="1">
      <w:start w:val="1"/>
      <w:numFmt w:val="bullet"/>
      <w:lvlText w:val=""/>
      <w:lvlJc w:val="left"/>
      <w:pPr>
        <w:ind w:left="6480" w:hanging="360"/>
      </w:pPr>
      <w:rPr>
        <w:rFonts w:ascii="Wingdings" w:hAnsi="Wingdings" w:hint="default"/>
      </w:rPr>
    </w:lvl>
  </w:abstractNum>
  <w:abstractNum w:abstractNumId="1" w15:restartNumberingAfterBreak="0">
    <w:nsid w:val="03BA220B"/>
    <w:multiLevelType w:val="hybridMultilevel"/>
    <w:tmpl w:val="91865F18"/>
    <w:lvl w:ilvl="0" w:tplc="998E8244">
      <w:start w:val="1"/>
      <w:numFmt w:val="bullet"/>
      <w:lvlText w:val=""/>
      <w:lvlJc w:val="left"/>
      <w:pPr>
        <w:ind w:left="720" w:hanging="360"/>
      </w:pPr>
      <w:rPr>
        <w:rFonts w:ascii="Symbol" w:hAnsi="Symbol" w:hint="default"/>
      </w:rPr>
    </w:lvl>
    <w:lvl w:ilvl="1" w:tplc="CE425D6A">
      <w:start w:val="1"/>
      <w:numFmt w:val="bullet"/>
      <w:lvlText w:val="o"/>
      <w:lvlJc w:val="left"/>
      <w:pPr>
        <w:ind w:left="1440" w:hanging="360"/>
      </w:pPr>
      <w:rPr>
        <w:rFonts w:ascii="Courier New" w:hAnsi="Courier New" w:cs="Courier New" w:hint="default"/>
      </w:rPr>
    </w:lvl>
    <w:lvl w:ilvl="2" w:tplc="032C22B8" w:tentative="1">
      <w:start w:val="1"/>
      <w:numFmt w:val="bullet"/>
      <w:lvlText w:val=""/>
      <w:lvlJc w:val="left"/>
      <w:pPr>
        <w:ind w:left="2160" w:hanging="360"/>
      </w:pPr>
      <w:rPr>
        <w:rFonts w:ascii="Wingdings" w:hAnsi="Wingdings" w:hint="default"/>
      </w:rPr>
    </w:lvl>
    <w:lvl w:ilvl="3" w:tplc="343EA592" w:tentative="1">
      <w:start w:val="1"/>
      <w:numFmt w:val="bullet"/>
      <w:lvlText w:val=""/>
      <w:lvlJc w:val="left"/>
      <w:pPr>
        <w:ind w:left="2880" w:hanging="360"/>
      </w:pPr>
      <w:rPr>
        <w:rFonts w:ascii="Symbol" w:hAnsi="Symbol" w:hint="default"/>
      </w:rPr>
    </w:lvl>
    <w:lvl w:ilvl="4" w:tplc="78C475A0" w:tentative="1">
      <w:start w:val="1"/>
      <w:numFmt w:val="bullet"/>
      <w:lvlText w:val="o"/>
      <w:lvlJc w:val="left"/>
      <w:pPr>
        <w:ind w:left="3600" w:hanging="360"/>
      </w:pPr>
      <w:rPr>
        <w:rFonts w:ascii="Courier New" w:hAnsi="Courier New" w:cs="Courier New" w:hint="default"/>
      </w:rPr>
    </w:lvl>
    <w:lvl w:ilvl="5" w:tplc="D5A6CE14" w:tentative="1">
      <w:start w:val="1"/>
      <w:numFmt w:val="bullet"/>
      <w:lvlText w:val=""/>
      <w:lvlJc w:val="left"/>
      <w:pPr>
        <w:ind w:left="4320" w:hanging="360"/>
      </w:pPr>
      <w:rPr>
        <w:rFonts w:ascii="Wingdings" w:hAnsi="Wingdings" w:hint="default"/>
      </w:rPr>
    </w:lvl>
    <w:lvl w:ilvl="6" w:tplc="5DAC2140" w:tentative="1">
      <w:start w:val="1"/>
      <w:numFmt w:val="bullet"/>
      <w:lvlText w:val=""/>
      <w:lvlJc w:val="left"/>
      <w:pPr>
        <w:ind w:left="5040" w:hanging="360"/>
      </w:pPr>
      <w:rPr>
        <w:rFonts w:ascii="Symbol" w:hAnsi="Symbol" w:hint="default"/>
      </w:rPr>
    </w:lvl>
    <w:lvl w:ilvl="7" w:tplc="FF4A5EC0" w:tentative="1">
      <w:start w:val="1"/>
      <w:numFmt w:val="bullet"/>
      <w:lvlText w:val="o"/>
      <w:lvlJc w:val="left"/>
      <w:pPr>
        <w:ind w:left="5760" w:hanging="360"/>
      </w:pPr>
      <w:rPr>
        <w:rFonts w:ascii="Courier New" w:hAnsi="Courier New" w:cs="Courier New" w:hint="default"/>
      </w:rPr>
    </w:lvl>
    <w:lvl w:ilvl="8" w:tplc="70A00ABE"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C5CCCECC"/>
    <w:lvl w:ilvl="0" w:tplc="F078ED0E">
      <w:start w:val="1"/>
      <w:numFmt w:val="bullet"/>
      <w:pStyle w:val="TableBullet2"/>
      <w:lvlText w:val=""/>
      <w:lvlJc w:val="left"/>
      <w:pPr>
        <w:ind w:left="1004" w:hanging="360"/>
      </w:pPr>
      <w:rPr>
        <w:rFonts w:ascii="Symbol" w:hAnsi="Symbol" w:hint="default"/>
      </w:rPr>
    </w:lvl>
    <w:lvl w:ilvl="1" w:tplc="E946CDE8" w:tentative="1">
      <w:start w:val="1"/>
      <w:numFmt w:val="bullet"/>
      <w:lvlText w:val="o"/>
      <w:lvlJc w:val="left"/>
      <w:pPr>
        <w:ind w:left="1724" w:hanging="360"/>
      </w:pPr>
      <w:rPr>
        <w:rFonts w:ascii="Courier New" w:hAnsi="Courier New" w:cs="Courier New" w:hint="default"/>
      </w:rPr>
    </w:lvl>
    <w:lvl w:ilvl="2" w:tplc="DB1A17F6" w:tentative="1">
      <w:start w:val="1"/>
      <w:numFmt w:val="bullet"/>
      <w:lvlText w:val=""/>
      <w:lvlJc w:val="left"/>
      <w:pPr>
        <w:ind w:left="2444" w:hanging="360"/>
      </w:pPr>
      <w:rPr>
        <w:rFonts w:ascii="Wingdings" w:hAnsi="Wingdings" w:hint="default"/>
      </w:rPr>
    </w:lvl>
    <w:lvl w:ilvl="3" w:tplc="AEBAA9EA" w:tentative="1">
      <w:start w:val="1"/>
      <w:numFmt w:val="bullet"/>
      <w:lvlText w:val=""/>
      <w:lvlJc w:val="left"/>
      <w:pPr>
        <w:ind w:left="3164" w:hanging="360"/>
      </w:pPr>
      <w:rPr>
        <w:rFonts w:ascii="Symbol" w:hAnsi="Symbol" w:hint="default"/>
      </w:rPr>
    </w:lvl>
    <w:lvl w:ilvl="4" w:tplc="E0603C88" w:tentative="1">
      <w:start w:val="1"/>
      <w:numFmt w:val="bullet"/>
      <w:lvlText w:val="o"/>
      <w:lvlJc w:val="left"/>
      <w:pPr>
        <w:ind w:left="3884" w:hanging="360"/>
      </w:pPr>
      <w:rPr>
        <w:rFonts w:ascii="Courier New" w:hAnsi="Courier New" w:cs="Courier New" w:hint="default"/>
      </w:rPr>
    </w:lvl>
    <w:lvl w:ilvl="5" w:tplc="84D68CE6" w:tentative="1">
      <w:start w:val="1"/>
      <w:numFmt w:val="bullet"/>
      <w:lvlText w:val=""/>
      <w:lvlJc w:val="left"/>
      <w:pPr>
        <w:ind w:left="4604" w:hanging="360"/>
      </w:pPr>
      <w:rPr>
        <w:rFonts w:ascii="Wingdings" w:hAnsi="Wingdings" w:hint="default"/>
      </w:rPr>
    </w:lvl>
    <w:lvl w:ilvl="6" w:tplc="BEDA27B8" w:tentative="1">
      <w:start w:val="1"/>
      <w:numFmt w:val="bullet"/>
      <w:lvlText w:val=""/>
      <w:lvlJc w:val="left"/>
      <w:pPr>
        <w:ind w:left="5324" w:hanging="360"/>
      </w:pPr>
      <w:rPr>
        <w:rFonts w:ascii="Symbol" w:hAnsi="Symbol" w:hint="default"/>
      </w:rPr>
    </w:lvl>
    <w:lvl w:ilvl="7" w:tplc="22DCA4CC" w:tentative="1">
      <w:start w:val="1"/>
      <w:numFmt w:val="bullet"/>
      <w:lvlText w:val="o"/>
      <w:lvlJc w:val="left"/>
      <w:pPr>
        <w:ind w:left="6044" w:hanging="360"/>
      </w:pPr>
      <w:rPr>
        <w:rFonts w:ascii="Courier New" w:hAnsi="Courier New" w:cs="Courier New" w:hint="default"/>
      </w:rPr>
    </w:lvl>
    <w:lvl w:ilvl="8" w:tplc="9E76B6E2" w:tentative="1">
      <w:start w:val="1"/>
      <w:numFmt w:val="bullet"/>
      <w:lvlText w:val=""/>
      <w:lvlJc w:val="left"/>
      <w:pPr>
        <w:ind w:left="6764" w:hanging="360"/>
      </w:pPr>
      <w:rPr>
        <w:rFonts w:ascii="Wingdings" w:hAnsi="Wingdings" w:hint="default"/>
      </w:rPr>
    </w:lvl>
  </w:abstractNum>
  <w:abstractNum w:abstractNumId="3" w15:restartNumberingAfterBreak="0">
    <w:nsid w:val="14274538"/>
    <w:multiLevelType w:val="hybridMultilevel"/>
    <w:tmpl w:val="8F5C41CA"/>
    <w:lvl w:ilvl="0" w:tplc="13AC1F0A">
      <w:start w:val="1"/>
      <w:numFmt w:val="bullet"/>
      <w:lvlText w:val=""/>
      <w:lvlJc w:val="left"/>
      <w:pPr>
        <w:ind w:left="720" w:hanging="360"/>
      </w:pPr>
      <w:rPr>
        <w:rFonts w:ascii="Symbol" w:hAnsi="Symbol" w:hint="default"/>
      </w:rPr>
    </w:lvl>
    <w:lvl w:ilvl="1" w:tplc="1C48482A" w:tentative="1">
      <w:start w:val="1"/>
      <w:numFmt w:val="bullet"/>
      <w:lvlText w:val="o"/>
      <w:lvlJc w:val="left"/>
      <w:pPr>
        <w:ind w:left="1440" w:hanging="360"/>
      </w:pPr>
      <w:rPr>
        <w:rFonts w:ascii="Courier New" w:hAnsi="Courier New" w:cs="Courier New" w:hint="default"/>
      </w:rPr>
    </w:lvl>
    <w:lvl w:ilvl="2" w:tplc="05E8EA1E" w:tentative="1">
      <w:start w:val="1"/>
      <w:numFmt w:val="bullet"/>
      <w:lvlText w:val=""/>
      <w:lvlJc w:val="left"/>
      <w:pPr>
        <w:ind w:left="2160" w:hanging="360"/>
      </w:pPr>
      <w:rPr>
        <w:rFonts w:ascii="Wingdings" w:hAnsi="Wingdings" w:hint="default"/>
      </w:rPr>
    </w:lvl>
    <w:lvl w:ilvl="3" w:tplc="0616E16E" w:tentative="1">
      <w:start w:val="1"/>
      <w:numFmt w:val="bullet"/>
      <w:lvlText w:val=""/>
      <w:lvlJc w:val="left"/>
      <w:pPr>
        <w:ind w:left="2880" w:hanging="360"/>
      </w:pPr>
      <w:rPr>
        <w:rFonts w:ascii="Symbol" w:hAnsi="Symbol" w:hint="default"/>
      </w:rPr>
    </w:lvl>
    <w:lvl w:ilvl="4" w:tplc="D6086AFC" w:tentative="1">
      <w:start w:val="1"/>
      <w:numFmt w:val="bullet"/>
      <w:lvlText w:val="o"/>
      <w:lvlJc w:val="left"/>
      <w:pPr>
        <w:ind w:left="3600" w:hanging="360"/>
      </w:pPr>
      <w:rPr>
        <w:rFonts w:ascii="Courier New" w:hAnsi="Courier New" w:cs="Courier New" w:hint="default"/>
      </w:rPr>
    </w:lvl>
    <w:lvl w:ilvl="5" w:tplc="9CAC1A82" w:tentative="1">
      <w:start w:val="1"/>
      <w:numFmt w:val="bullet"/>
      <w:lvlText w:val=""/>
      <w:lvlJc w:val="left"/>
      <w:pPr>
        <w:ind w:left="4320" w:hanging="360"/>
      </w:pPr>
      <w:rPr>
        <w:rFonts w:ascii="Wingdings" w:hAnsi="Wingdings" w:hint="default"/>
      </w:rPr>
    </w:lvl>
    <w:lvl w:ilvl="6" w:tplc="37E2271E" w:tentative="1">
      <w:start w:val="1"/>
      <w:numFmt w:val="bullet"/>
      <w:lvlText w:val=""/>
      <w:lvlJc w:val="left"/>
      <w:pPr>
        <w:ind w:left="5040" w:hanging="360"/>
      </w:pPr>
      <w:rPr>
        <w:rFonts w:ascii="Symbol" w:hAnsi="Symbol" w:hint="default"/>
      </w:rPr>
    </w:lvl>
    <w:lvl w:ilvl="7" w:tplc="1818A9AC" w:tentative="1">
      <w:start w:val="1"/>
      <w:numFmt w:val="bullet"/>
      <w:lvlText w:val="o"/>
      <w:lvlJc w:val="left"/>
      <w:pPr>
        <w:ind w:left="5760" w:hanging="360"/>
      </w:pPr>
      <w:rPr>
        <w:rFonts w:ascii="Courier New" w:hAnsi="Courier New" w:cs="Courier New" w:hint="default"/>
      </w:rPr>
    </w:lvl>
    <w:lvl w:ilvl="8" w:tplc="95F092F2" w:tentative="1">
      <w:start w:val="1"/>
      <w:numFmt w:val="bullet"/>
      <w:lvlText w:val=""/>
      <w:lvlJc w:val="left"/>
      <w:pPr>
        <w:ind w:left="6480" w:hanging="360"/>
      </w:pPr>
      <w:rPr>
        <w:rFonts w:ascii="Wingdings" w:hAnsi="Wingdings" w:hint="default"/>
      </w:rPr>
    </w:lvl>
  </w:abstractNum>
  <w:abstractNum w:abstractNumId="4" w15:restartNumberingAfterBreak="0">
    <w:nsid w:val="16590463"/>
    <w:multiLevelType w:val="hybridMultilevel"/>
    <w:tmpl w:val="12F6AA8A"/>
    <w:lvl w:ilvl="0" w:tplc="B4CA328C">
      <w:start w:val="1"/>
      <w:numFmt w:val="bullet"/>
      <w:lvlText w:val=""/>
      <w:lvlJc w:val="left"/>
      <w:pPr>
        <w:ind w:left="720" w:hanging="360"/>
      </w:pPr>
      <w:rPr>
        <w:rFonts w:ascii="Symbol" w:hAnsi="Symbol" w:hint="default"/>
      </w:rPr>
    </w:lvl>
    <w:lvl w:ilvl="1" w:tplc="898C3B96" w:tentative="1">
      <w:start w:val="1"/>
      <w:numFmt w:val="bullet"/>
      <w:lvlText w:val="o"/>
      <w:lvlJc w:val="left"/>
      <w:pPr>
        <w:ind w:left="1440" w:hanging="360"/>
      </w:pPr>
      <w:rPr>
        <w:rFonts w:ascii="Courier New" w:hAnsi="Courier New" w:cs="Courier New" w:hint="default"/>
      </w:rPr>
    </w:lvl>
    <w:lvl w:ilvl="2" w:tplc="7A9C51E2" w:tentative="1">
      <w:start w:val="1"/>
      <w:numFmt w:val="bullet"/>
      <w:lvlText w:val=""/>
      <w:lvlJc w:val="left"/>
      <w:pPr>
        <w:ind w:left="2160" w:hanging="360"/>
      </w:pPr>
      <w:rPr>
        <w:rFonts w:ascii="Wingdings" w:hAnsi="Wingdings" w:hint="default"/>
      </w:rPr>
    </w:lvl>
    <w:lvl w:ilvl="3" w:tplc="A01CD51A" w:tentative="1">
      <w:start w:val="1"/>
      <w:numFmt w:val="bullet"/>
      <w:lvlText w:val=""/>
      <w:lvlJc w:val="left"/>
      <w:pPr>
        <w:ind w:left="2880" w:hanging="360"/>
      </w:pPr>
      <w:rPr>
        <w:rFonts w:ascii="Symbol" w:hAnsi="Symbol" w:hint="default"/>
      </w:rPr>
    </w:lvl>
    <w:lvl w:ilvl="4" w:tplc="F70E93D0" w:tentative="1">
      <w:start w:val="1"/>
      <w:numFmt w:val="bullet"/>
      <w:lvlText w:val="o"/>
      <w:lvlJc w:val="left"/>
      <w:pPr>
        <w:ind w:left="3600" w:hanging="360"/>
      </w:pPr>
      <w:rPr>
        <w:rFonts w:ascii="Courier New" w:hAnsi="Courier New" w:cs="Courier New" w:hint="default"/>
      </w:rPr>
    </w:lvl>
    <w:lvl w:ilvl="5" w:tplc="FD288AE0" w:tentative="1">
      <w:start w:val="1"/>
      <w:numFmt w:val="bullet"/>
      <w:lvlText w:val=""/>
      <w:lvlJc w:val="left"/>
      <w:pPr>
        <w:ind w:left="4320" w:hanging="360"/>
      </w:pPr>
      <w:rPr>
        <w:rFonts w:ascii="Wingdings" w:hAnsi="Wingdings" w:hint="default"/>
      </w:rPr>
    </w:lvl>
    <w:lvl w:ilvl="6" w:tplc="44FCDAB4" w:tentative="1">
      <w:start w:val="1"/>
      <w:numFmt w:val="bullet"/>
      <w:lvlText w:val=""/>
      <w:lvlJc w:val="left"/>
      <w:pPr>
        <w:ind w:left="5040" w:hanging="360"/>
      </w:pPr>
      <w:rPr>
        <w:rFonts w:ascii="Symbol" w:hAnsi="Symbol" w:hint="default"/>
      </w:rPr>
    </w:lvl>
    <w:lvl w:ilvl="7" w:tplc="D5CC8D70" w:tentative="1">
      <w:start w:val="1"/>
      <w:numFmt w:val="bullet"/>
      <w:lvlText w:val="o"/>
      <w:lvlJc w:val="left"/>
      <w:pPr>
        <w:ind w:left="5760" w:hanging="360"/>
      </w:pPr>
      <w:rPr>
        <w:rFonts w:ascii="Courier New" w:hAnsi="Courier New" w:cs="Courier New" w:hint="default"/>
      </w:rPr>
    </w:lvl>
    <w:lvl w:ilvl="8" w:tplc="6EBA71F4" w:tentative="1">
      <w:start w:val="1"/>
      <w:numFmt w:val="bullet"/>
      <w:lvlText w:val=""/>
      <w:lvlJc w:val="left"/>
      <w:pPr>
        <w:ind w:left="6480" w:hanging="360"/>
      </w:pPr>
      <w:rPr>
        <w:rFonts w:ascii="Wingdings" w:hAnsi="Wingdings" w:hint="default"/>
      </w:rPr>
    </w:lvl>
  </w:abstractNum>
  <w:abstractNum w:abstractNumId="5" w15:restartNumberingAfterBreak="0">
    <w:nsid w:val="17210960"/>
    <w:multiLevelType w:val="hybridMultilevel"/>
    <w:tmpl w:val="9D4CE156"/>
    <w:lvl w:ilvl="0" w:tplc="B5EE1FAA">
      <w:start w:val="1"/>
      <w:numFmt w:val="bullet"/>
      <w:lvlText w:val=""/>
      <w:lvlJc w:val="left"/>
      <w:pPr>
        <w:ind w:left="720" w:hanging="360"/>
      </w:pPr>
      <w:rPr>
        <w:rFonts w:ascii="Symbol" w:hAnsi="Symbol" w:hint="default"/>
      </w:rPr>
    </w:lvl>
    <w:lvl w:ilvl="1" w:tplc="043A72B4" w:tentative="1">
      <w:start w:val="1"/>
      <w:numFmt w:val="bullet"/>
      <w:lvlText w:val="o"/>
      <w:lvlJc w:val="left"/>
      <w:pPr>
        <w:ind w:left="1440" w:hanging="360"/>
      </w:pPr>
      <w:rPr>
        <w:rFonts w:ascii="Courier New" w:hAnsi="Courier New" w:cs="Courier New" w:hint="default"/>
      </w:rPr>
    </w:lvl>
    <w:lvl w:ilvl="2" w:tplc="CEE0DDD6" w:tentative="1">
      <w:start w:val="1"/>
      <w:numFmt w:val="bullet"/>
      <w:lvlText w:val=""/>
      <w:lvlJc w:val="left"/>
      <w:pPr>
        <w:ind w:left="2160" w:hanging="360"/>
      </w:pPr>
      <w:rPr>
        <w:rFonts w:ascii="Wingdings" w:hAnsi="Wingdings" w:hint="default"/>
      </w:rPr>
    </w:lvl>
    <w:lvl w:ilvl="3" w:tplc="19505EAE" w:tentative="1">
      <w:start w:val="1"/>
      <w:numFmt w:val="bullet"/>
      <w:lvlText w:val=""/>
      <w:lvlJc w:val="left"/>
      <w:pPr>
        <w:ind w:left="2880" w:hanging="360"/>
      </w:pPr>
      <w:rPr>
        <w:rFonts w:ascii="Symbol" w:hAnsi="Symbol" w:hint="default"/>
      </w:rPr>
    </w:lvl>
    <w:lvl w:ilvl="4" w:tplc="992CCADA" w:tentative="1">
      <w:start w:val="1"/>
      <w:numFmt w:val="bullet"/>
      <w:lvlText w:val="o"/>
      <w:lvlJc w:val="left"/>
      <w:pPr>
        <w:ind w:left="3600" w:hanging="360"/>
      </w:pPr>
      <w:rPr>
        <w:rFonts w:ascii="Courier New" w:hAnsi="Courier New" w:cs="Courier New" w:hint="default"/>
      </w:rPr>
    </w:lvl>
    <w:lvl w:ilvl="5" w:tplc="9198F1CA" w:tentative="1">
      <w:start w:val="1"/>
      <w:numFmt w:val="bullet"/>
      <w:lvlText w:val=""/>
      <w:lvlJc w:val="left"/>
      <w:pPr>
        <w:ind w:left="4320" w:hanging="360"/>
      </w:pPr>
      <w:rPr>
        <w:rFonts w:ascii="Wingdings" w:hAnsi="Wingdings" w:hint="default"/>
      </w:rPr>
    </w:lvl>
    <w:lvl w:ilvl="6" w:tplc="781A0F5C" w:tentative="1">
      <w:start w:val="1"/>
      <w:numFmt w:val="bullet"/>
      <w:lvlText w:val=""/>
      <w:lvlJc w:val="left"/>
      <w:pPr>
        <w:ind w:left="5040" w:hanging="360"/>
      </w:pPr>
      <w:rPr>
        <w:rFonts w:ascii="Symbol" w:hAnsi="Symbol" w:hint="default"/>
      </w:rPr>
    </w:lvl>
    <w:lvl w:ilvl="7" w:tplc="8F8442A6" w:tentative="1">
      <w:start w:val="1"/>
      <w:numFmt w:val="bullet"/>
      <w:lvlText w:val="o"/>
      <w:lvlJc w:val="left"/>
      <w:pPr>
        <w:ind w:left="5760" w:hanging="360"/>
      </w:pPr>
      <w:rPr>
        <w:rFonts w:ascii="Courier New" w:hAnsi="Courier New" w:cs="Courier New" w:hint="default"/>
      </w:rPr>
    </w:lvl>
    <w:lvl w:ilvl="8" w:tplc="6F0C9D7A" w:tentative="1">
      <w:start w:val="1"/>
      <w:numFmt w:val="bullet"/>
      <w:lvlText w:val=""/>
      <w:lvlJc w:val="left"/>
      <w:pPr>
        <w:ind w:left="6480" w:hanging="360"/>
      </w:pPr>
      <w:rPr>
        <w:rFonts w:ascii="Wingdings" w:hAnsi="Wingdings" w:hint="default"/>
      </w:rPr>
    </w:lvl>
  </w:abstractNum>
  <w:abstractNum w:abstractNumId="6" w15:restartNumberingAfterBreak="0">
    <w:nsid w:val="196B606F"/>
    <w:multiLevelType w:val="hybridMultilevel"/>
    <w:tmpl w:val="E0560262"/>
    <w:lvl w:ilvl="0" w:tplc="70E8D800">
      <w:start w:val="1"/>
      <w:numFmt w:val="bullet"/>
      <w:pStyle w:val="TableBullet1"/>
      <w:lvlText w:val=""/>
      <w:lvlJc w:val="left"/>
      <w:pPr>
        <w:ind w:left="720" w:hanging="360"/>
      </w:pPr>
      <w:rPr>
        <w:rFonts w:ascii="Symbol" w:hAnsi="Symbol" w:hint="default"/>
      </w:rPr>
    </w:lvl>
    <w:lvl w:ilvl="1" w:tplc="2878F506" w:tentative="1">
      <w:start w:val="1"/>
      <w:numFmt w:val="bullet"/>
      <w:lvlText w:val="o"/>
      <w:lvlJc w:val="left"/>
      <w:pPr>
        <w:ind w:left="1440" w:hanging="360"/>
      </w:pPr>
      <w:rPr>
        <w:rFonts w:ascii="Courier New" w:hAnsi="Courier New" w:cs="Courier New" w:hint="default"/>
      </w:rPr>
    </w:lvl>
    <w:lvl w:ilvl="2" w:tplc="9B06BDCE" w:tentative="1">
      <w:start w:val="1"/>
      <w:numFmt w:val="bullet"/>
      <w:lvlText w:val=""/>
      <w:lvlJc w:val="left"/>
      <w:pPr>
        <w:ind w:left="2160" w:hanging="360"/>
      </w:pPr>
      <w:rPr>
        <w:rFonts w:ascii="Wingdings" w:hAnsi="Wingdings" w:hint="default"/>
      </w:rPr>
    </w:lvl>
    <w:lvl w:ilvl="3" w:tplc="09B0EBEE" w:tentative="1">
      <w:start w:val="1"/>
      <w:numFmt w:val="bullet"/>
      <w:lvlText w:val=""/>
      <w:lvlJc w:val="left"/>
      <w:pPr>
        <w:ind w:left="2880" w:hanging="360"/>
      </w:pPr>
      <w:rPr>
        <w:rFonts w:ascii="Symbol" w:hAnsi="Symbol" w:hint="default"/>
      </w:rPr>
    </w:lvl>
    <w:lvl w:ilvl="4" w:tplc="BADC0BC4" w:tentative="1">
      <w:start w:val="1"/>
      <w:numFmt w:val="bullet"/>
      <w:lvlText w:val="o"/>
      <w:lvlJc w:val="left"/>
      <w:pPr>
        <w:ind w:left="3600" w:hanging="360"/>
      </w:pPr>
      <w:rPr>
        <w:rFonts w:ascii="Courier New" w:hAnsi="Courier New" w:cs="Courier New" w:hint="default"/>
      </w:rPr>
    </w:lvl>
    <w:lvl w:ilvl="5" w:tplc="C450DADE" w:tentative="1">
      <w:start w:val="1"/>
      <w:numFmt w:val="bullet"/>
      <w:lvlText w:val=""/>
      <w:lvlJc w:val="left"/>
      <w:pPr>
        <w:ind w:left="4320" w:hanging="360"/>
      </w:pPr>
      <w:rPr>
        <w:rFonts w:ascii="Wingdings" w:hAnsi="Wingdings" w:hint="default"/>
      </w:rPr>
    </w:lvl>
    <w:lvl w:ilvl="6" w:tplc="F150262E" w:tentative="1">
      <w:start w:val="1"/>
      <w:numFmt w:val="bullet"/>
      <w:lvlText w:val=""/>
      <w:lvlJc w:val="left"/>
      <w:pPr>
        <w:ind w:left="5040" w:hanging="360"/>
      </w:pPr>
      <w:rPr>
        <w:rFonts w:ascii="Symbol" w:hAnsi="Symbol" w:hint="default"/>
      </w:rPr>
    </w:lvl>
    <w:lvl w:ilvl="7" w:tplc="2AA2123C" w:tentative="1">
      <w:start w:val="1"/>
      <w:numFmt w:val="bullet"/>
      <w:lvlText w:val="o"/>
      <w:lvlJc w:val="left"/>
      <w:pPr>
        <w:ind w:left="5760" w:hanging="360"/>
      </w:pPr>
      <w:rPr>
        <w:rFonts w:ascii="Courier New" w:hAnsi="Courier New" w:cs="Courier New" w:hint="default"/>
      </w:rPr>
    </w:lvl>
    <w:lvl w:ilvl="8" w:tplc="F5CE7F0A"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D520336"/>
    <w:multiLevelType w:val="hybridMultilevel"/>
    <w:tmpl w:val="CD966D42"/>
    <w:lvl w:ilvl="0" w:tplc="2A50C192">
      <w:start w:val="1"/>
      <w:numFmt w:val="bullet"/>
      <w:lvlText w:val=""/>
      <w:lvlJc w:val="left"/>
      <w:pPr>
        <w:ind w:left="720" w:hanging="360"/>
      </w:pPr>
      <w:rPr>
        <w:rFonts w:ascii="Symbol" w:hAnsi="Symbol" w:hint="default"/>
      </w:rPr>
    </w:lvl>
    <w:lvl w:ilvl="1" w:tplc="B532E674">
      <w:start w:val="1"/>
      <w:numFmt w:val="bullet"/>
      <w:lvlText w:val="o"/>
      <w:lvlJc w:val="left"/>
      <w:pPr>
        <w:ind w:left="1440" w:hanging="360"/>
      </w:pPr>
      <w:rPr>
        <w:rFonts w:ascii="Courier New" w:hAnsi="Courier New" w:cs="Courier New" w:hint="default"/>
      </w:rPr>
    </w:lvl>
    <w:lvl w:ilvl="2" w:tplc="710AE606" w:tentative="1">
      <w:start w:val="1"/>
      <w:numFmt w:val="bullet"/>
      <w:lvlText w:val=""/>
      <w:lvlJc w:val="left"/>
      <w:pPr>
        <w:ind w:left="2160" w:hanging="360"/>
      </w:pPr>
      <w:rPr>
        <w:rFonts w:ascii="Wingdings" w:hAnsi="Wingdings" w:hint="default"/>
      </w:rPr>
    </w:lvl>
    <w:lvl w:ilvl="3" w:tplc="1E7E0B84" w:tentative="1">
      <w:start w:val="1"/>
      <w:numFmt w:val="bullet"/>
      <w:lvlText w:val=""/>
      <w:lvlJc w:val="left"/>
      <w:pPr>
        <w:ind w:left="2880" w:hanging="360"/>
      </w:pPr>
      <w:rPr>
        <w:rFonts w:ascii="Symbol" w:hAnsi="Symbol" w:hint="default"/>
      </w:rPr>
    </w:lvl>
    <w:lvl w:ilvl="4" w:tplc="1054C9FC" w:tentative="1">
      <w:start w:val="1"/>
      <w:numFmt w:val="bullet"/>
      <w:lvlText w:val="o"/>
      <w:lvlJc w:val="left"/>
      <w:pPr>
        <w:ind w:left="3600" w:hanging="360"/>
      </w:pPr>
      <w:rPr>
        <w:rFonts w:ascii="Courier New" w:hAnsi="Courier New" w:cs="Courier New" w:hint="default"/>
      </w:rPr>
    </w:lvl>
    <w:lvl w:ilvl="5" w:tplc="59B25B0C" w:tentative="1">
      <w:start w:val="1"/>
      <w:numFmt w:val="bullet"/>
      <w:lvlText w:val=""/>
      <w:lvlJc w:val="left"/>
      <w:pPr>
        <w:ind w:left="4320" w:hanging="360"/>
      </w:pPr>
      <w:rPr>
        <w:rFonts w:ascii="Wingdings" w:hAnsi="Wingdings" w:hint="default"/>
      </w:rPr>
    </w:lvl>
    <w:lvl w:ilvl="6" w:tplc="33942470" w:tentative="1">
      <w:start w:val="1"/>
      <w:numFmt w:val="bullet"/>
      <w:lvlText w:val=""/>
      <w:lvlJc w:val="left"/>
      <w:pPr>
        <w:ind w:left="5040" w:hanging="360"/>
      </w:pPr>
      <w:rPr>
        <w:rFonts w:ascii="Symbol" w:hAnsi="Symbol" w:hint="default"/>
      </w:rPr>
    </w:lvl>
    <w:lvl w:ilvl="7" w:tplc="61209DF0" w:tentative="1">
      <w:start w:val="1"/>
      <w:numFmt w:val="bullet"/>
      <w:lvlText w:val="o"/>
      <w:lvlJc w:val="left"/>
      <w:pPr>
        <w:ind w:left="5760" w:hanging="360"/>
      </w:pPr>
      <w:rPr>
        <w:rFonts w:ascii="Courier New" w:hAnsi="Courier New" w:cs="Courier New" w:hint="default"/>
      </w:rPr>
    </w:lvl>
    <w:lvl w:ilvl="8" w:tplc="72F8F3D6" w:tentative="1">
      <w:start w:val="1"/>
      <w:numFmt w:val="bullet"/>
      <w:lvlText w:val=""/>
      <w:lvlJc w:val="left"/>
      <w:pPr>
        <w:ind w:left="6480" w:hanging="360"/>
      </w:pPr>
      <w:rPr>
        <w:rFonts w:ascii="Wingdings" w:hAnsi="Wingdings" w:hint="default"/>
      </w:rPr>
    </w:lvl>
  </w:abstractNum>
  <w:abstractNum w:abstractNumId="9" w15:restartNumberingAfterBreak="0">
    <w:nsid w:val="2009216B"/>
    <w:multiLevelType w:val="hybridMultilevel"/>
    <w:tmpl w:val="6FB027E4"/>
    <w:lvl w:ilvl="0" w:tplc="E9E8FFCE">
      <w:start w:val="1"/>
      <w:numFmt w:val="bullet"/>
      <w:lvlText w:val=""/>
      <w:lvlJc w:val="left"/>
      <w:pPr>
        <w:ind w:left="720" w:hanging="360"/>
      </w:pPr>
      <w:rPr>
        <w:rFonts w:ascii="Symbol" w:hAnsi="Symbol" w:hint="default"/>
      </w:rPr>
    </w:lvl>
    <w:lvl w:ilvl="1" w:tplc="17847438" w:tentative="1">
      <w:start w:val="1"/>
      <w:numFmt w:val="bullet"/>
      <w:lvlText w:val="o"/>
      <w:lvlJc w:val="left"/>
      <w:pPr>
        <w:ind w:left="1440" w:hanging="360"/>
      </w:pPr>
      <w:rPr>
        <w:rFonts w:ascii="Courier New" w:hAnsi="Courier New" w:cs="Courier New" w:hint="default"/>
      </w:rPr>
    </w:lvl>
    <w:lvl w:ilvl="2" w:tplc="189C8C0E" w:tentative="1">
      <w:start w:val="1"/>
      <w:numFmt w:val="bullet"/>
      <w:lvlText w:val=""/>
      <w:lvlJc w:val="left"/>
      <w:pPr>
        <w:ind w:left="2160" w:hanging="360"/>
      </w:pPr>
      <w:rPr>
        <w:rFonts w:ascii="Wingdings" w:hAnsi="Wingdings" w:hint="default"/>
      </w:rPr>
    </w:lvl>
    <w:lvl w:ilvl="3" w:tplc="5CD8503C" w:tentative="1">
      <w:start w:val="1"/>
      <w:numFmt w:val="bullet"/>
      <w:lvlText w:val=""/>
      <w:lvlJc w:val="left"/>
      <w:pPr>
        <w:ind w:left="2880" w:hanging="360"/>
      </w:pPr>
      <w:rPr>
        <w:rFonts w:ascii="Symbol" w:hAnsi="Symbol" w:hint="default"/>
      </w:rPr>
    </w:lvl>
    <w:lvl w:ilvl="4" w:tplc="A5486054" w:tentative="1">
      <w:start w:val="1"/>
      <w:numFmt w:val="bullet"/>
      <w:lvlText w:val="o"/>
      <w:lvlJc w:val="left"/>
      <w:pPr>
        <w:ind w:left="3600" w:hanging="360"/>
      </w:pPr>
      <w:rPr>
        <w:rFonts w:ascii="Courier New" w:hAnsi="Courier New" w:cs="Courier New" w:hint="default"/>
      </w:rPr>
    </w:lvl>
    <w:lvl w:ilvl="5" w:tplc="09429CB6" w:tentative="1">
      <w:start w:val="1"/>
      <w:numFmt w:val="bullet"/>
      <w:lvlText w:val=""/>
      <w:lvlJc w:val="left"/>
      <w:pPr>
        <w:ind w:left="4320" w:hanging="360"/>
      </w:pPr>
      <w:rPr>
        <w:rFonts w:ascii="Wingdings" w:hAnsi="Wingdings" w:hint="default"/>
      </w:rPr>
    </w:lvl>
    <w:lvl w:ilvl="6" w:tplc="61AC5B98" w:tentative="1">
      <w:start w:val="1"/>
      <w:numFmt w:val="bullet"/>
      <w:lvlText w:val=""/>
      <w:lvlJc w:val="left"/>
      <w:pPr>
        <w:ind w:left="5040" w:hanging="360"/>
      </w:pPr>
      <w:rPr>
        <w:rFonts w:ascii="Symbol" w:hAnsi="Symbol" w:hint="default"/>
      </w:rPr>
    </w:lvl>
    <w:lvl w:ilvl="7" w:tplc="5948984C" w:tentative="1">
      <w:start w:val="1"/>
      <w:numFmt w:val="bullet"/>
      <w:lvlText w:val="o"/>
      <w:lvlJc w:val="left"/>
      <w:pPr>
        <w:ind w:left="5760" w:hanging="360"/>
      </w:pPr>
      <w:rPr>
        <w:rFonts w:ascii="Courier New" w:hAnsi="Courier New" w:cs="Courier New" w:hint="default"/>
      </w:rPr>
    </w:lvl>
    <w:lvl w:ilvl="8" w:tplc="2DC2DD22" w:tentative="1">
      <w:start w:val="1"/>
      <w:numFmt w:val="bullet"/>
      <w:lvlText w:val=""/>
      <w:lvlJc w:val="left"/>
      <w:pPr>
        <w:ind w:left="6480" w:hanging="360"/>
      </w:pPr>
      <w:rPr>
        <w:rFonts w:ascii="Wingdings" w:hAnsi="Wingdings" w:hint="default"/>
      </w:rPr>
    </w:lvl>
  </w:abstractNum>
  <w:abstractNum w:abstractNumId="10" w15:restartNumberingAfterBreak="0">
    <w:nsid w:val="21A328D5"/>
    <w:multiLevelType w:val="multilevel"/>
    <w:tmpl w:val="BE78A4F8"/>
    <w:numStyleLink w:val="Numberlist"/>
  </w:abstractNum>
  <w:abstractNum w:abstractNumId="11" w15:restartNumberingAfterBreak="0">
    <w:nsid w:val="21E20078"/>
    <w:multiLevelType w:val="multilevel"/>
    <w:tmpl w:val="F36C17E8"/>
    <w:styleLink w:val="Headinglist"/>
    <w:lvl w:ilvl="0">
      <w:start w:val="1"/>
      <w:numFmt w:val="decimal"/>
      <w:pStyle w:val="Heading2"/>
      <w:lvlText w:val="%1"/>
      <w:lvlJc w:val="left"/>
      <w:pPr>
        <w:ind w:left="5257"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8633F1"/>
    <w:multiLevelType w:val="hybridMultilevel"/>
    <w:tmpl w:val="B9B4ACB6"/>
    <w:lvl w:ilvl="0" w:tplc="55480B62">
      <w:start w:val="1"/>
      <w:numFmt w:val="bullet"/>
      <w:lvlText w:val=""/>
      <w:lvlJc w:val="left"/>
      <w:pPr>
        <w:ind w:left="720" w:hanging="360"/>
      </w:pPr>
      <w:rPr>
        <w:rFonts w:ascii="Symbol" w:hAnsi="Symbol" w:hint="default"/>
      </w:rPr>
    </w:lvl>
    <w:lvl w:ilvl="1" w:tplc="02A6ECF8" w:tentative="1">
      <w:start w:val="1"/>
      <w:numFmt w:val="bullet"/>
      <w:lvlText w:val="o"/>
      <w:lvlJc w:val="left"/>
      <w:pPr>
        <w:ind w:left="1440" w:hanging="360"/>
      </w:pPr>
      <w:rPr>
        <w:rFonts w:ascii="Courier New" w:hAnsi="Courier New" w:cs="Courier New" w:hint="default"/>
      </w:rPr>
    </w:lvl>
    <w:lvl w:ilvl="2" w:tplc="AA8406D0" w:tentative="1">
      <w:start w:val="1"/>
      <w:numFmt w:val="bullet"/>
      <w:lvlText w:val=""/>
      <w:lvlJc w:val="left"/>
      <w:pPr>
        <w:ind w:left="2160" w:hanging="360"/>
      </w:pPr>
      <w:rPr>
        <w:rFonts w:ascii="Wingdings" w:hAnsi="Wingdings" w:hint="default"/>
      </w:rPr>
    </w:lvl>
    <w:lvl w:ilvl="3" w:tplc="DB2E35C6" w:tentative="1">
      <w:start w:val="1"/>
      <w:numFmt w:val="bullet"/>
      <w:lvlText w:val=""/>
      <w:lvlJc w:val="left"/>
      <w:pPr>
        <w:ind w:left="2880" w:hanging="360"/>
      </w:pPr>
      <w:rPr>
        <w:rFonts w:ascii="Symbol" w:hAnsi="Symbol" w:hint="default"/>
      </w:rPr>
    </w:lvl>
    <w:lvl w:ilvl="4" w:tplc="65AAA684" w:tentative="1">
      <w:start w:val="1"/>
      <w:numFmt w:val="bullet"/>
      <w:lvlText w:val="o"/>
      <w:lvlJc w:val="left"/>
      <w:pPr>
        <w:ind w:left="3600" w:hanging="360"/>
      </w:pPr>
      <w:rPr>
        <w:rFonts w:ascii="Courier New" w:hAnsi="Courier New" w:cs="Courier New" w:hint="default"/>
      </w:rPr>
    </w:lvl>
    <w:lvl w:ilvl="5" w:tplc="C1903D58" w:tentative="1">
      <w:start w:val="1"/>
      <w:numFmt w:val="bullet"/>
      <w:lvlText w:val=""/>
      <w:lvlJc w:val="left"/>
      <w:pPr>
        <w:ind w:left="4320" w:hanging="360"/>
      </w:pPr>
      <w:rPr>
        <w:rFonts w:ascii="Wingdings" w:hAnsi="Wingdings" w:hint="default"/>
      </w:rPr>
    </w:lvl>
    <w:lvl w:ilvl="6" w:tplc="EDC06BF4" w:tentative="1">
      <w:start w:val="1"/>
      <w:numFmt w:val="bullet"/>
      <w:lvlText w:val=""/>
      <w:lvlJc w:val="left"/>
      <w:pPr>
        <w:ind w:left="5040" w:hanging="360"/>
      </w:pPr>
      <w:rPr>
        <w:rFonts w:ascii="Symbol" w:hAnsi="Symbol" w:hint="default"/>
      </w:rPr>
    </w:lvl>
    <w:lvl w:ilvl="7" w:tplc="0AB65F10" w:tentative="1">
      <w:start w:val="1"/>
      <w:numFmt w:val="bullet"/>
      <w:lvlText w:val="o"/>
      <w:lvlJc w:val="left"/>
      <w:pPr>
        <w:ind w:left="5760" w:hanging="360"/>
      </w:pPr>
      <w:rPr>
        <w:rFonts w:ascii="Courier New" w:hAnsi="Courier New" w:cs="Courier New" w:hint="default"/>
      </w:rPr>
    </w:lvl>
    <w:lvl w:ilvl="8" w:tplc="633E9958" w:tentative="1">
      <w:start w:val="1"/>
      <w:numFmt w:val="bullet"/>
      <w:lvlText w:val=""/>
      <w:lvlJc w:val="left"/>
      <w:pPr>
        <w:ind w:left="6480" w:hanging="360"/>
      </w:pPr>
      <w:rPr>
        <w:rFonts w:ascii="Wingdings" w:hAnsi="Wingdings" w:hint="default"/>
      </w:rPr>
    </w:lvl>
  </w:abstractNum>
  <w:abstractNum w:abstractNumId="13" w15:restartNumberingAfterBreak="0">
    <w:nsid w:val="27CB483E"/>
    <w:multiLevelType w:val="hybridMultilevel"/>
    <w:tmpl w:val="8FDA1AC2"/>
    <w:lvl w:ilvl="0" w:tplc="0624F472">
      <w:start w:val="1"/>
      <w:numFmt w:val="bullet"/>
      <w:lvlText w:val=""/>
      <w:lvlJc w:val="left"/>
      <w:pPr>
        <w:ind w:left="720" w:hanging="360"/>
      </w:pPr>
      <w:rPr>
        <w:rFonts w:ascii="Symbol" w:hAnsi="Symbol" w:hint="default"/>
      </w:rPr>
    </w:lvl>
    <w:lvl w:ilvl="1" w:tplc="3C1C6A2E" w:tentative="1">
      <w:start w:val="1"/>
      <w:numFmt w:val="bullet"/>
      <w:lvlText w:val="o"/>
      <w:lvlJc w:val="left"/>
      <w:pPr>
        <w:ind w:left="1440" w:hanging="360"/>
      </w:pPr>
      <w:rPr>
        <w:rFonts w:ascii="Courier New" w:hAnsi="Courier New" w:cs="Courier New" w:hint="default"/>
      </w:rPr>
    </w:lvl>
    <w:lvl w:ilvl="2" w:tplc="02FE35D0" w:tentative="1">
      <w:start w:val="1"/>
      <w:numFmt w:val="bullet"/>
      <w:lvlText w:val=""/>
      <w:lvlJc w:val="left"/>
      <w:pPr>
        <w:ind w:left="2160" w:hanging="360"/>
      </w:pPr>
      <w:rPr>
        <w:rFonts w:ascii="Wingdings" w:hAnsi="Wingdings" w:hint="default"/>
      </w:rPr>
    </w:lvl>
    <w:lvl w:ilvl="3" w:tplc="C87A95FA" w:tentative="1">
      <w:start w:val="1"/>
      <w:numFmt w:val="bullet"/>
      <w:lvlText w:val=""/>
      <w:lvlJc w:val="left"/>
      <w:pPr>
        <w:ind w:left="2880" w:hanging="360"/>
      </w:pPr>
      <w:rPr>
        <w:rFonts w:ascii="Symbol" w:hAnsi="Symbol" w:hint="default"/>
      </w:rPr>
    </w:lvl>
    <w:lvl w:ilvl="4" w:tplc="3D9C19FC" w:tentative="1">
      <w:start w:val="1"/>
      <w:numFmt w:val="bullet"/>
      <w:lvlText w:val="o"/>
      <w:lvlJc w:val="left"/>
      <w:pPr>
        <w:ind w:left="3600" w:hanging="360"/>
      </w:pPr>
      <w:rPr>
        <w:rFonts w:ascii="Courier New" w:hAnsi="Courier New" w:cs="Courier New" w:hint="default"/>
      </w:rPr>
    </w:lvl>
    <w:lvl w:ilvl="5" w:tplc="18945AE4" w:tentative="1">
      <w:start w:val="1"/>
      <w:numFmt w:val="bullet"/>
      <w:lvlText w:val=""/>
      <w:lvlJc w:val="left"/>
      <w:pPr>
        <w:ind w:left="4320" w:hanging="360"/>
      </w:pPr>
      <w:rPr>
        <w:rFonts w:ascii="Wingdings" w:hAnsi="Wingdings" w:hint="default"/>
      </w:rPr>
    </w:lvl>
    <w:lvl w:ilvl="6" w:tplc="3F6EA8D2" w:tentative="1">
      <w:start w:val="1"/>
      <w:numFmt w:val="bullet"/>
      <w:lvlText w:val=""/>
      <w:lvlJc w:val="left"/>
      <w:pPr>
        <w:ind w:left="5040" w:hanging="360"/>
      </w:pPr>
      <w:rPr>
        <w:rFonts w:ascii="Symbol" w:hAnsi="Symbol" w:hint="default"/>
      </w:rPr>
    </w:lvl>
    <w:lvl w:ilvl="7" w:tplc="F1C4810C" w:tentative="1">
      <w:start w:val="1"/>
      <w:numFmt w:val="bullet"/>
      <w:lvlText w:val="o"/>
      <w:lvlJc w:val="left"/>
      <w:pPr>
        <w:ind w:left="5760" w:hanging="360"/>
      </w:pPr>
      <w:rPr>
        <w:rFonts w:ascii="Courier New" w:hAnsi="Courier New" w:cs="Courier New" w:hint="default"/>
      </w:rPr>
    </w:lvl>
    <w:lvl w:ilvl="8" w:tplc="090EA9D6" w:tentative="1">
      <w:start w:val="1"/>
      <w:numFmt w:val="bullet"/>
      <w:lvlText w:val=""/>
      <w:lvlJc w:val="left"/>
      <w:pPr>
        <w:ind w:left="6480" w:hanging="360"/>
      </w:pPr>
      <w:rPr>
        <w:rFonts w:ascii="Wingdings" w:hAnsi="Wingdings" w:hint="default"/>
      </w:rPr>
    </w:lvl>
  </w:abstractNum>
  <w:abstractNum w:abstractNumId="14" w15:restartNumberingAfterBreak="0">
    <w:nsid w:val="27F34FA0"/>
    <w:multiLevelType w:val="hybridMultilevel"/>
    <w:tmpl w:val="E2AEF02E"/>
    <w:lvl w:ilvl="0" w:tplc="915A8B86">
      <w:start w:val="1"/>
      <w:numFmt w:val="bullet"/>
      <w:lvlText w:val=""/>
      <w:lvlJc w:val="left"/>
      <w:pPr>
        <w:ind w:left="720" w:hanging="360"/>
      </w:pPr>
      <w:rPr>
        <w:rFonts w:ascii="Symbol" w:hAnsi="Symbol" w:hint="default"/>
      </w:rPr>
    </w:lvl>
    <w:lvl w:ilvl="1" w:tplc="048486D4" w:tentative="1">
      <w:start w:val="1"/>
      <w:numFmt w:val="bullet"/>
      <w:lvlText w:val="o"/>
      <w:lvlJc w:val="left"/>
      <w:pPr>
        <w:ind w:left="1440" w:hanging="360"/>
      </w:pPr>
      <w:rPr>
        <w:rFonts w:ascii="Courier New" w:hAnsi="Courier New" w:cs="Courier New" w:hint="default"/>
      </w:rPr>
    </w:lvl>
    <w:lvl w:ilvl="2" w:tplc="D81E8D94" w:tentative="1">
      <w:start w:val="1"/>
      <w:numFmt w:val="bullet"/>
      <w:lvlText w:val=""/>
      <w:lvlJc w:val="left"/>
      <w:pPr>
        <w:ind w:left="2160" w:hanging="360"/>
      </w:pPr>
      <w:rPr>
        <w:rFonts w:ascii="Wingdings" w:hAnsi="Wingdings" w:hint="default"/>
      </w:rPr>
    </w:lvl>
    <w:lvl w:ilvl="3" w:tplc="F8544876" w:tentative="1">
      <w:start w:val="1"/>
      <w:numFmt w:val="bullet"/>
      <w:lvlText w:val=""/>
      <w:lvlJc w:val="left"/>
      <w:pPr>
        <w:ind w:left="2880" w:hanging="360"/>
      </w:pPr>
      <w:rPr>
        <w:rFonts w:ascii="Symbol" w:hAnsi="Symbol" w:hint="default"/>
      </w:rPr>
    </w:lvl>
    <w:lvl w:ilvl="4" w:tplc="6464D71A" w:tentative="1">
      <w:start w:val="1"/>
      <w:numFmt w:val="bullet"/>
      <w:lvlText w:val="o"/>
      <w:lvlJc w:val="left"/>
      <w:pPr>
        <w:ind w:left="3600" w:hanging="360"/>
      </w:pPr>
      <w:rPr>
        <w:rFonts w:ascii="Courier New" w:hAnsi="Courier New" w:cs="Courier New" w:hint="default"/>
      </w:rPr>
    </w:lvl>
    <w:lvl w:ilvl="5" w:tplc="A2C009B8" w:tentative="1">
      <w:start w:val="1"/>
      <w:numFmt w:val="bullet"/>
      <w:lvlText w:val=""/>
      <w:lvlJc w:val="left"/>
      <w:pPr>
        <w:ind w:left="4320" w:hanging="360"/>
      </w:pPr>
      <w:rPr>
        <w:rFonts w:ascii="Wingdings" w:hAnsi="Wingdings" w:hint="default"/>
      </w:rPr>
    </w:lvl>
    <w:lvl w:ilvl="6" w:tplc="40AC5694" w:tentative="1">
      <w:start w:val="1"/>
      <w:numFmt w:val="bullet"/>
      <w:lvlText w:val=""/>
      <w:lvlJc w:val="left"/>
      <w:pPr>
        <w:ind w:left="5040" w:hanging="360"/>
      </w:pPr>
      <w:rPr>
        <w:rFonts w:ascii="Symbol" w:hAnsi="Symbol" w:hint="default"/>
      </w:rPr>
    </w:lvl>
    <w:lvl w:ilvl="7" w:tplc="C96A5DCC" w:tentative="1">
      <w:start w:val="1"/>
      <w:numFmt w:val="bullet"/>
      <w:lvlText w:val="o"/>
      <w:lvlJc w:val="left"/>
      <w:pPr>
        <w:ind w:left="5760" w:hanging="360"/>
      </w:pPr>
      <w:rPr>
        <w:rFonts w:ascii="Courier New" w:hAnsi="Courier New" w:cs="Courier New" w:hint="default"/>
      </w:rPr>
    </w:lvl>
    <w:lvl w:ilvl="8" w:tplc="F55C8D18" w:tentative="1">
      <w:start w:val="1"/>
      <w:numFmt w:val="bullet"/>
      <w:lvlText w:val=""/>
      <w:lvlJc w:val="left"/>
      <w:pPr>
        <w:ind w:left="6480" w:hanging="360"/>
      </w:pPr>
      <w:rPr>
        <w:rFonts w:ascii="Wingdings" w:hAnsi="Wingdings" w:hint="default"/>
      </w:rPr>
    </w:lvl>
  </w:abstractNum>
  <w:abstractNum w:abstractNumId="15" w15:restartNumberingAfterBreak="0">
    <w:nsid w:val="2A913599"/>
    <w:multiLevelType w:val="multilevel"/>
    <w:tmpl w:val="02AA8FA0"/>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6" w15:restartNumberingAfterBreak="0">
    <w:nsid w:val="2E8E2B56"/>
    <w:multiLevelType w:val="hybridMultilevel"/>
    <w:tmpl w:val="837EF2A0"/>
    <w:lvl w:ilvl="0" w:tplc="3578ABB0">
      <w:start w:val="1"/>
      <w:numFmt w:val="bullet"/>
      <w:lvlText w:val=""/>
      <w:lvlJc w:val="left"/>
      <w:pPr>
        <w:ind w:left="720" w:hanging="360"/>
      </w:pPr>
      <w:rPr>
        <w:rFonts w:ascii="Symbol" w:hAnsi="Symbol" w:hint="default"/>
      </w:rPr>
    </w:lvl>
    <w:lvl w:ilvl="1" w:tplc="FDA8BCC6">
      <w:start w:val="1"/>
      <w:numFmt w:val="bullet"/>
      <w:lvlText w:val="o"/>
      <w:lvlJc w:val="left"/>
      <w:pPr>
        <w:ind w:left="1440" w:hanging="360"/>
      </w:pPr>
      <w:rPr>
        <w:rFonts w:ascii="Courier New" w:hAnsi="Courier New" w:cs="Courier New" w:hint="default"/>
      </w:rPr>
    </w:lvl>
    <w:lvl w:ilvl="2" w:tplc="B0A09EC4" w:tentative="1">
      <w:start w:val="1"/>
      <w:numFmt w:val="bullet"/>
      <w:lvlText w:val=""/>
      <w:lvlJc w:val="left"/>
      <w:pPr>
        <w:ind w:left="2160" w:hanging="360"/>
      </w:pPr>
      <w:rPr>
        <w:rFonts w:ascii="Wingdings" w:hAnsi="Wingdings" w:hint="default"/>
      </w:rPr>
    </w:lvl>
    <w:lvl w:ilvl="3" w:tplc="7090D2EE" w:tentative="1">
      <w:start w:val="1"/>
      <w:numFmt w:val="bullet"/>
      <w:lvlText w:val=""/>
      <w:lvlJc w:val="left"/>
      <w:pPr>
        <w:ind w:left="2880" w:hanging="360"/>
      </w:pPr>
      <w:rPr>
        <w:rFonts w:ascii="Symbol" w:hAnsi="Symbol" w:hint="default"/>
      </w:rPr>
    </w:lvl>
    <w:lvl w:ilvl="4" w:tplc="9690BDE4" w:tentative="1">
      <w:start w:val="1"/>
      <w:numFmt w:val="bullet"/>
      <w:lvlText w:val="o"/>
      <w:lvlJc w:val="left"/>
      <w:pPr>
        <w:ind w:left="3600" w:hanging="360"/>
      </w:pPr>
      <w:rPr>
        <w:rFonts w:ascii="Courier New" w:hAnsi="Courier New" w:cs="Courier New" w:hint="default"/>
      </w:rPr>
    </w:lvl>
    <w:lvl w:ilvl="5" w:tplc="4822C6C4" w:tentative="1">
      <w:start w:val="1"/>
      <w:numFmt w:val="bullet"/>
      <w:lvlText w:val=""/>
      <w:lvlJc w:val="left"/>
      <w:pPr>
        <w:ind w:left="4320" w:hanging="360"/>
      </w:pPr>
      <w:rPr>
        <w:rFonts w:ascii="Wingdings" w:hAnsi="Wingdings" w:hint="default"/>
      </w:rPr>
    </w:lvl>
    <w:lvl w:ilvl="6" w:tplc="DDEEAD4C" w:tentative="1">
      <w:start w:val="1"/>
      <w:numFmt w:val="bullet"/>
      <w:lvlText w:val=""/>
      <w:lvlJc w:val="left"/>
      <w:pPr>
        <w:ind w:left="5040" w:hanging="360"/>
      </w:pPr>
      <w:rPr>
        <w:rFonts w:ascii="Symbol" w:hAnsi="Symbol" w:hint="default"/>
      </w:rPr>
    </w:lvl>
    <w:lvl w:ilvl="7" w:tplc="EDBCDA5C" w:tentative="1">
      <w:start w:val="1"/>
      <w:numFmt w:val="bullet"/>
      <w:lvlText w:val="o"/>
      <w:lvlJc w:val="left"/>
      <w:pPr>
        <w:ind w:left="5760" w:hanging="360"/>
      </w:pPr>
      <w:rPr>
        <w:rFonts w:ascii="Courier New" w:hAnsi="Courier New" w:cs="Courier New" w:hint="default"/>
      </w:rPr>
    </w:lvl>
    <w:lvl w:ilvl="8" w:tplc="8FC26D18" w:tentative="1">
      <w:start w:val="1"/>
      <w:numFmt w:val="bullet"/>
      <w:lvlText w:val=""/>
      <w:lvlJc w:val="left"/>
      <w:pPr>
        <w:ind w:left="6480" w:hanging="360"/>
      </w:pPr>
      <w:rPr>
        <w:rFonts w:ascii="Wingdings" w:hAnsi="Wingdings" w:hint="default"/>
      </w:rPr>
    </w:lvl>
  </w:abstractNum>
  <w:abstractNum w:abstractNumId="17" w15:restartNumberingAfterBreak="0">
    <w:nsid w:val="30666301"/>
    <w:multiLevelType w:val="hybridMultilevel"/>
    <w:tmpl w:val="B73E5846"/>
    <w:lvl w:ilvl="0" w:tplc="AD76F38E">
      <w:start w:val="1"/>
      <w:numFmt w:val="bullet"/>
      <w:lvlText w:val=""/>
      <w:lvlJc w:val="left"/>
      <w:pPr>
        <w:ind w:left="720" w:hanging="360"/>
      </w:pPr>
      <w:rPr>
        <w:rFonts w:ascii="Symbol" w:hAnsi="Symbol" w:hint="default"/>
      </w:rPr>
    </w:lvl>
    <w:lvl w:ilvl="1" w:tplc="4B16E67E">
      <w:start w:val="1"/>
      <w:numFmt w:val="bullet"/>
      <w:lvlText w:val="o"/>
      <w:lvlJc w:val="left"/>
      <w:pPr>
        <w:ind w:left="1440" w:hanging="360"/>
      </w:pPr>
      <w:rPr>
        <w:rFonts w:ascii="Courier New" w:hAnsi="Courier New" w:cs="Courier New" w:hint="default"/>
      </w:rPr>
    </w:lvl>
    <w:lvl w:ilvl="2" w:tplc="2098C4A4" w:tentative="1">
      <w:start w:val="1"/>
      <w:numFmt w:val="bullet"/>
      <w:lvlText w:val=""/>
      <w:lvlJc w:val="left"/>
      <w:pPr>
        <w:ind w:left="2160" w:hanging="360"/>
      </w:pPr>
      <w:rPr>
        <w:rFonts w:ascii="Wingdings" w:hAnsi="Wingdings" w:hint="default"/>
      </w:rPr>
    </w:lvl>
    <w:lvl w:ilvl="3" w:tplc="6A92D10C" w:tentative="1">
      <w:start w:val="1"/>
      <w:numFmt w:val="bullet"/>
      <w:lvlText w:val=""/>
      <w:lvlJc w:val="left"/>
      <w:pPr>
        <w:ind w:left="2880" w:hanging="360"/>
      </w:pPr>
      <w:rPr>
        <w:rFonts w:ascii="Symbol" w:hAnsi="Symbol" w:hint="default"/>
      </w:rPr>
    </w:lvl>
    <w:lvl w:ilvl="4" w:tplc="66F0845E" w:tentative="1">
      <w:start w:val="1"/>
      <w:numFmt w:val="bullet"/>
      <w:lvlText w:val="o"/>
      <w:lvlJc w:val="left"/>
      <w:pPr>
        <w:ind w:left="3600" w:hanging="360"/>
      </w:pPr>
      <w:rPr>
        <w:rFonts w:ascii="Courier New" w:hAnsi="Courier New" w:cs="Courier New" w:hint="default"/>
      </w:rPr>
    </w:lvl>
    <w:lvl w:ilvl="5" w:tplc="9C1C8DF4" w:tentative="1">
      <w:start w:val="1"/>
      <w:numFmt w:val="bullet"/>
      <w:lvlText w:val=""/>
      <w:lvlJc w:val="left"/>
      <w:pPr>
        <w:ind w:left="4320" w:hanging="360"/>
      </w:pPr>
      <w:rPr>
        <w:rFonts w:ascii="Wingdings" w:hAnsi="Wingdings" w:hint="default"/>
      </w:rPr>
    </w:lvl>
    <w:lvl w:ilvl="6" w:tplc="5F745B20" w:tentative="1">
      <w:start w:val="1"/>
      <w:numFmt w:val="bullet"/>
      <w:lvlText w:val=""/>
      <w:lvlJc w:val="left"/>
      <w:pPr>
        <w:ind w:left="5040" w:hanging="360"/>
      </w:pPr>
      <w:rPr>
        <w:rFonts w:ascii="Symbol" w:hAnsi="Symbol" w:hint="default"/>
      </w:rPr>
    </w:lvl>
    <w:lvl w:ilvl="7" w:tplc="2E0AB7A8" w:tentative="1">
      <w:start w:val="1"/>
      <w:numFmt w:val="bullet"/>
      <w:lvlText w:val="o"/>
      <w:lvlJc w:val="left"/>
      <w:pPr>
        <w:ind w:left="5760" w:hanging="360"/>
      </w:pPr>
      <w:rPr>
        <w:rFonts w:ascii="Courier New" w:hAnsi="Courier New" w:cs="Courier New" w:hint="default"/>
      </w:rPr>
    </w:lvl>
    <w:lvl w:ilvl="8" w:tplc="322C319C" w:tentative="1">
      <w:start w:val="1"/>
      <w:numFmt w:val="bullet"/>
      <w:lvlText w:val=""/>
      <w:lvlJc w:val="left"/>
      <w:pPr>
        <w:ind w:left="6480" w:hanging="360"/>
      </w:pPr>
      <w:rPr>
        <w:rFonts w:ascii="Wingdings" w:hAnsi="Wingdings" w:hint="default"/>
      </w:rPr>
    </w:lvl>
  </w:abstractNum>
  <w:abstractNum w:abstractNumId="18" w15:restartNumberingAfterBreak="0">
    <w:nsid w:val="310676E9"/>
    <w:multiLevelType w:val="hybridMultilevel"/>
    <w:tmpl w:val="3B24566A"/>
    <w:lvl w:ilvl="0" w:tplc="A8123A44">
      <w:start w:val="1"/>
      <w:numFmt w:val="bullet"/>
      <w:lvlText w:val=""/>
      <w:lvlJc w:val="left"/>
      <w:pPr>
        <w:ind w:left="720" w:hanging="360"/>
      </w:pPr>
      <w:rPr>
        <w:rFonts w:ascii="Symbol" w:hAnsi="Symbol" w:hint="default"/>
      </w:rPr>
    </w:lvl>
    <w:lvl w:ilvl="1" w:tplc="B12439EE" w:tentative="1">
      <w:start w:val="1"/>
      <w:numFmt w:val="bullet"/>
      <w:lvlText w:val="o"/>
      <w:lvlJc w:val="left"/>
      <w:pPr>
        <w:ind w:left="1440" w:hanging="360"/>
      </w:pPr>
      <w:rPr>
        <w:rFonts w:ascii="Courier New" w:hAnsi="Courier New" w:cs="Courier New" w:hint="default"/>
      </w:rPr>
    </w:lvl>
    <w:lvl w:ilvl="2" w:tplc="CED4581A" w:tentative="1">
      <w:start w:val="1"/>
      <w:numFmt w:val="bullet"/>
      <w:lvlText w:val=""/>
      <w:lvlJc w:val="left"/>
      <w:pPr>
        <w:ind w:left="2160" w:hanging="360"/>
      </w:pPr>
      <w:rPr>
        <w:rFonts w:ascii="Wingdings" w:hAnsi="Wingdings" w:hint="default"/>
      </w:rPr>
    </w:lvl>
    <w:lvl w:ilvl="3" w:tplc="59048882" w:tentative="1">
      <w:start w:val="1"/>
      <w:numFmt w:val="bullet"/>
      <w:lvlText w:val=""/>
      <w:lvlJc w:val="left"/>
      <w:pPr>
        <w:ind w:left="2880" w:hanging="360"/>
      </w:pPr>
      <w:rPr>
        <w:rFonts w:ascii="Symbol" w:hAnsi="Symbol" w:hint="default"/>
      </w:rPr>
    </w:lvl>
    <w:lvl w:ilvl="4" w:tplc="87B6F9F2" w:tentative="1">
      <w:start w:val="1"/>
      <w:numFmt w:val="bullet"/>
      <w:lvlText w:val="o"/>
      <w:lvlJc w:val="left"/>
      <w:pPr>
        <w:ind w:left="3600" w:hanging="360"/>
      </w:pPr>
      <w:rPr>
        <w:rFonts w:ascii="Courier New" w:hAnsi="Courier New" w:cs="Courier New" w:hint="default"/>
      </w:rPr>
    </w:lvl>
    <w:lvl w:ilvl="5" w:tplc="7A92A150" w:tentative="1">
      <w:start w:val="1"/>
      <w:numFmt w:val="bullet"/>
      <w:lvlText w:val=""/>
      <w:lvlJc w:val="left"/>
      <w:pPr>
        <w:ind w:left="4320" w:hanging="360"/>
      </w:pPr>
      <w:rPr>
        <w:rFonts w:ascii="Wingdings" w:hAnsi="Wingdings" w:hint="default"/>
      </w:rPr>
    </w:lvl>
    <w:lvl w:ilvl="6" w:tplc="FE70DA0C" w:tentative="1">
      <w:start w:val="1"/>
      <w:numFmt w:val="bullet"/>
      <w:lvlText w:val=""/>
      <w:lvlJc w:val="left"/>
      <w:pPr>
        <w:ind w:left="5040" w:hanging="360"/>
      </w:pPr>
      <w:rPr>
        <w:rFonts w:ascii="Symbol" w:hAnsi="Symbol" w:hint="default"/>
      </w:rPr>
    </w:lvl>
    <w:lvl w:ilvl="7" w:tplc="8B62C5EA" w:tentative="1">
      <w:start w:val="1"/>
      <w:numFmt w:val="bullet"/>
      <w:lvlText w:val="o"/>
      <w:lvlJc w:val="left"/>
      <w:pPr>
        <w:ind w:left="5760" w:hanging="360"/>
      </w:pPr>
      <w:rPr>
        <w:rFonts w:ascii="Courier New" w:hAnsi="Courier New" w:cs="Courier New" w:hint="default"/>
      </w:rPr>
    </w:lvl>
    <w:lvl w:ilvl="8" w:tplc="3830F0C4" w:tentative="1">
      <w:start w:val="1"/>
      <w:numFmt w:val="bullet"/>
      <w:lvlText w:val=""/>
      <w:lvlJc w:val="left"/>
      <w:pPr>
        <w:ind w:left="6480" w:hanging="360"/>
      </w:pPr>
      <w:rPr>
        <w:rFonts w:ascii="Wingdings" w:hAnsi="Wingdings" w:hint="default"/>
      </w:rPr>
    </w:lvl>
  </w:abstractNum>
  <w:abstractNum w:abstractNumId="19" w15:restartNumberingAfterBreak="0">
    <w:nsid w:val="394A15FE"/>
    <w:multiLevelType w:val="multilevel"/>
    <w:tmpl w:val="F36C17E8"/>
    <w:numStyleLink w:val="Headinglist"/>
  </w:abstractNum>
  <w:abstractNum w:abstractNumId="20" w15:restartNumberingAfterBreak="0">
    <w:nsid w:val="424D42CA"/>
    <w:multiLevelType w:val="hybridMultilevel"/>
    <w:tmpl w:val="89C00852"/>
    <w:lvl w:ilvl="0" w:tplc="3B860D0E">
      <w:start w:val="1"/>
      <w:numFmt w:val="bullet"/>
      <w:lvlText w:val=""/>
      <w:lvlJc w:val="left"/>
      <w:pPr>
        <w:ind w:left="720" w:hanging="360"/>
      </w:pPr>
      <w:rPr>
        <w:rFonts w:ascii="Symbol" w:hAnsi="Symbol" w:hint="default"/>
      </w:rPr>
    </w:lvl>
    <w:lvl w:ilvl="1" w:tplc="1298AD44">
      <w:start w:val="1"/>
      <w:numFmt w:val="bullet"/>
      <w:lvlText w:val="o"/>
      <w:lvlJc w:val="left"/>
      <w:pPr>
        <w:ind w:left="1440" w:hanging="360"/>
      </w:pPr>
      <w:rPr>
        <w:rFonts w:ascii="Courier New" w:hAnsi="Courier New" w:cs="Courier New" w:hint="default"/>
      </w:rPr>
    </w:lvl>
    <w:lvl w:ilvl="2" w:tplc="81A89DE4" w:tentative="1">
      <w:start w:val="1"/>
      <w:numFmt w:val="bullet"/>
      <w:lvlText w:val=""/>
      <w:lvlJc w:val="left"/>
      <w:pPr>
        <w:ind w:left="2160" w:hanging="360"/>
      </w:pPr>
      <w:rPr>
        <w:rFonts w:ascii="Wingdings" w:hAnsi="Wingdings" w:hint="default"/>
      </w:rPr>
    </w:lvl>
    <w:lvl w:ilvl="3" w:tplc="B3E4CA10" w:tentative="1">
      <w:start w:val="1"/>
      <w:numFmt w:val="bullet"/>
      <w:lvlText w:val=""/>
      <w:lvlJc w:val="left"/>
      <w:pPr>
        <w:ind w:left="2880" w:hanging="360"/>
      </w:pPr>
      <w:rPr>
        <w:rFonts w:ascii="Symbol" w:hAnsi="Symbol" w:hint="default"/>
      </w:rPr>
    </w:lvl>
    <w:lvl w:ilvl="4" w:tplc="4D226294" w:tentative="1">
      <w:start w:val="1"/>
      <w:numFmt w:val="bullet"/>
      <w:lvlText w:val="o"/>
      <w:lvlJc w:val="left"/>
      <w:pPr>
        <w:ind w:left="3600" w:hanging="360"/>
      </w:pPr>
      <w:rPr>
        <w:rFonts w:ascii="Courier New" w:hAnsi="Courier New" w:cs="Courier New" w:hint="default"/>
      </w:rPr>
    </w:lvl>
    <w:lvl w:ilvl="5" w:tplc="3A183560" w:tentative="1">
      <w:start w:val="1"/>
      <w:numFmt w:val="bullet"/>
      <w:lvlText w:val=""/>
      <w:lvlJc w:val="left"/>
      <w:pPr>
        <w:ind w:left="4320" w:hanging="360"/>
      </w:pPr>
      <w:rPr>
        <w:rFonts w:ascii="Wingdings" w:hAnsi="Wingdings" w:hint="default"/>
      </w:rPr>
    </w:lvl>
    <w:lvl w:ilvl="6" w:tplc="31445678" w:tentative="1">
      <w:start w:val="1"/>
      <w:numFmt w:val="bullet"/>
      <w:lvlText w:val=""/>
      <w:lvlJc w:val="left"/>
      <w:pPr>
        <w:ind w:left="5040" w:hanging="360"/>
      </w:pPr>
      <w:rPr>
        <w:rFonts w:ascii="Symbol" w:hAnsi="Symbol" w:hint="default"/>
      </w:rPr>
    </w:lvl>
    <w:lvl w:ilvl="7" w:tplc="C8DC3ECC" w:tentative="1">
      <w:start w:val="1"/>
      <w:numFmt w:val="bullet"/>
      <w:lvlText w:val="o"/>
      <w:lvlJc w:val="left"/>
      <w:pPr>
        <w:ind w:left="5760" w:hanging="360"/>
      </w:pPr>
      <w:rPr>
        <w:rFonts w:ascii="Courier New" w:hAnsi="Courier New" w:cs="Courier New" w:hint="default"/>
      </w:rPr>
    </w:lvl>
    <w:lvl w:ilvl="8" w:tplc="A2506536" w:tentative="1">
      <w:start w:val="1"/>
      <w:numFmt w:val="bullet"/>
      <w:lvlText w:val=""/>
      <w:lvlJc w:val="left"/>
      <w:pPr>
        <w:ind w:left="6480" w:hanging="360"/>
      </w:pPr>
      <w:rPr>
        <w:rFonts w:ascii="Wingdings" w:hAnsi="Wingdings" w:hint="default"/>
      </w:rPr>
    </w:lvl>
  </w:abstractNum>
  <w:abstractNum w:abstractNumId="21" w15:restartNumberingAfterBreak="0">
    <w:nsid w:val="45673985"/>
    <w:multiLevelType w:val="hybridMultilevel"/>
    <w:tmpl w:val="EA80B80A"/>
    <w:lvl w:ilvl="0" w:tplc="F9FA774E">
      <w:start w:val="1"/>
      <w:numFmt w:val="bullet"/>
      <w:lvlText w:val=""/>
      <w:lvlJc w:val="left"/>
      <w:pPr>
        <w:ind w:left="720" w:hanging="360"/>
      </w:pPr>
      <w:rPr>
        <w:rFonts w:ascii="Symbol" w:hAnsi="Symbol" w:hint="default"/>
      </w:rPr>
    </w:lvl>
    <w:lvl w:ilvl="1" w:tplc="467A095A">
      <w:start w:val="1"/>
      <w:numFmt w:val="bullet"/>
      <w:lvlText w:val="o"/>
      <w:lvlJc w:val="left"/>
      <w:pPr>
        <w:ind w:left="1440" w:hanging="360"/>
      </w:pPr>
      <w:rPr>
        <w:rFonts w:ascii="Courier New" w:hAnsi="Courier New" w:cs="Courier New" w:hint="default"/>
      </w:rPr>
    </w:lvl>
    <w:lvl w:ilvl="2" w:tplc="1F8EE5B8" w:tentative="1">
      <w:start w:val="1"/>
      <w:numFmt w:val="bullet"/>
      <w:lvlText w:val=""/>
      <w:lvlJc w:val="left"/>
      <w:pPr>
        <w:ind w:left="2160" w:hanging="360"/>
      </w:pPr>
      <w:rPr>
        <w:rFonts w:ascii="Wingdings" w:hAnsi="Wingdings" w:hint="default"/>
      </w:rPr>
    </w:lvl>
    <w:lvl w:ilvl="3" w:tplc="6862E9F8" w:tentative="1">
      <w:start w:val="1"/>
      <w:numFmt w:val="bullet"/>
      <w:lvlText w:val=""/>
      <w:lvlJc w:val="left"/>
      <w:pPr>
        <w:ind w:left="2880" w:hanging="360"/>
      </w:pPr>
      <w:rPr>
        <w:rFonts w:ascii="Symbol" w:hAnsi="Symbol" w:hint="default"/>
      </w:rPr>
    </w:lvl>
    <w:lvl w:ilvl="4" w:tplc="7EFC0FD6" w:tentative="1">
      <w:start w:val="1"/>
      <w:numFmt w:val="bullet"/>
      <w:lvlText w:val="o"/>
      <w:lvlJc w:val="left"/>
      <w:pPr>
        <w:ind w:left="3600" w:hanging="360"/>
      </w:pPr>
      <w:rPr>
        <w:rFonts w:ascii="Courier New" w:hAnsi="Courier New" w:cs="Courier New" w:hint="default"/>
      </w:rPr>
    </w:lvl>
    <w:lvl w:ilvl="5" w:tplc="D908A31A" w:tentative="1">
      <w:start w:val="1"/>
      <w:numFmt w:val="bullet"/>
      <w:lvlText w:val=""/>
      <w:lvlJc w:val="left"/>
      <w:pPr>
        <w:ind w:left="4320" w:hanging="360"/>
      </w:pPr>
      <w:rPr>
        <w:rFonts w:ascii="Wingdings" w:hAnsi="Wingdings" w:hint="default"/>
      </w:rPr>
    </w:lvl>
    <w:lvl w:ilvl="6" w:tplc="899C94EE" w:tentative="1">
      <w:start w:val="1"/>
      <w:numFmt w:val="bullet"/>
      <w:lvlText w:val=""/>
      <w:lvlJc w:val="left"/>
      <w:pPr>
        <w:ind w:left="5040" w:hanging="360"/>
      </w:pPr>
      <w:rPr>
        <w:rFonts w:ascii="Symbol" w:hAnsi="Symbol" w:hint="default"/>
      </w:rPr>
    </w:lvl>
    <w:lvl w:ilvl="7" w:tplc="DF045BF6" w:tentative="1">
      <w:start w:val="1"/>
      <w:numFmt w:val="bullet"/>
      <w:lvlText w:val="o"/>
      <w:lvlJc w:val="left"/>
      <w:pPr>
        <w:ind w:left="5760" w:hanging="360"/>
      </w:pPr>
      <w:rPr>
        <w:rFonts w:ascii="Courier New" w:hAnsi="Courier New" w:cs="Courier New" w:hint="default"/>
      </w:rPr>
    </w:lvl>
    <w:lvl w:ilvl="8" w:tplc="5268B112" w:tentative="1">
      <w:start w:val="1"/>
      <w:numFmt w:val="bullet"/>
      <w:lvlText w:val=""/>
      <w:lvlJc w:val="left"/>
      <w:pPr>
        <w:ind w:left="6480" w:hanging="360"/>
      </w:pPr>
      <w:rPr>
        <w:rFonts w:ascii="Wingdings" w:hAnsi="Wingdings" w:hint="default"/>
      </w:rPr>
    </w:lvl>
  </w:abstractNum>
  <w:abstractNum w:abstractNumId="22" w15:restartNumberingAfterBreak="0">
    <w:nsid w:val="47553878"/>
    <w:multiLevelType w:val="hybridMultilevel"/>
    <w:tmpl w:val="09F672EA"/>
    <w:lvl w:ilvl="0" w:tplc="B52A93DE">
      <w:start w:val="1"/>
      <w:numFmt w:val="decimal"/>
      <w:lvlText w:val="%1."/>
      <w:lvlJc w:val="left"/>
      <w:pPr>
        <w:ind w:left="720" w:hanging="360"/>
      </w:pPr>
    </w:lvl>
    <w:lvl w:ilvl="1" w:tplc="417C9A04" w:tentative="1">
      <w:start w:val="1"/>
      <w:numFmt w:val="lowerLetter"/>
      <w:lvlText w:val="%2."/>
      <w:lvlJc w:val="left"/>
      <w:pPr>
        <w:ind w:left="1440" w:hanging="360"/>
      </w:pPr>
    </w:lvl>
    <w:lvl w:ilvl="2" w:tplc="22F0B8B2" w:tentative="1">
      <w:start w:val="1"/>
      <w:numFmt w:val="lowerRoman"/>
      <w:lvlText w:val="%3."/>
      <w:lvlJc w:val="right"/>
      <w:pPr>
        <w:ind w:left="2160" w:hanging="180"/>
      </w:pPr>
    </w:lvl>
    <w:lvl w:ilvl="3" w:tplc="FB908FD4" w:tentative="1">
      <w:start w:val="1"/>
      <w:numFmt w:val="decimal"/>
      <w:lvlText w:val="%4."/>
      <w:lvlJc w:val="left"/>
      <w:pPr>
        <w:ind w:left="2880" w:hanging="360"/>
      </w:pPr>
    </w:lvl>
    <w:lvl w:ilvl="4" w:tplc="5D46DE52" w:tentative="1">
      <w:start w:val="1"/>
      <w:numFmt w:val="lowerLetter"/>
      <w:lvlText w:val="%5."/>
      <w:lvlJc w:val="left"/>
      <w:pPr>
        <w:ind w:left="3600" w:hanging="360"/>
      </w:pPr>
    </w:lvl>
    <w:lvl w:ilvl="5" w:tplc="82127964" w:tentative="1">
      <w:start w:val="1"/>
      <w:numFmt w:val="lowerRoman"/>
      <w:lvlText w:val="%6."/>
      <w:lvlJc w:val="right"/>
      <w:pPr>
        <w:ind w:left="4320" w:hanging="180"/>
      </w:pPr>
    </w:lvl>
    <w:lvl w:ilvl="6" w:tplc="58C01E26" w:tentative="1">
      <w:start w:val="1"/>
      <w:numFmt w:val="decimal"/>
      <w:lvlText w:val="%7."/>
      <w:lvlJc w:val="left"/>
      <w:pPr>
        <w:ind w:left="5040" w:hanging="360"/>
      </w:pPr>
    </w:lvl>
    <w:lvl w:ilvl="7" w:tplc="FA3C6BB2" w:tentative="1">
      <w:start w:val="1"/>
      <w:numFmt w:val="lowerLetter"/>
      <w:lvlText w:val="%8."/>
      <w:lvlJc w:val="left"/>
      <w:pPr>
        <w:ind w:left="5760" w:hanging="360"/>
      </w:pPr>
    </w:lvl>
    <w:lvl w:ilvl="8" w:tplc="06D8DCAA" w:tentative="1">
      <w:start w:val="1"/>
      <w:numFmt w:val="lowerRoman"/>
      <w:lvlText w:val="%9."/>
      <w:lvlJc w:val="right"/>
      <w:pPr>
        <w:ind w:left="6480" w:hanging="180"/>
      </w:pPr>
    </w:lvl>
  </w:abstractNum>
  <w:abstractNum w:abstractNumId="23" w15:restartNumberingAfterBreak="0">
    <w:nsid w:val="47A37DC2"/>
    <w:multiLevelType w:val="hybridMultilevel"/>
    <w:tmpl w:val="AF304224"/>
    <w:lvl w:ilvl="0" w:tplc="C1289522">
      <w:start w:val="1"/>
      <w:numFmt w:val="bullet"/>
      <w:lvlText w:val=""/>
      <w:lvlJc w:val="left"/>
      <w:pPr>
        <w:ind w:left="720" w:hanging="360"/>
      </w:pPr>
      <w:rPr>
        <w:rFonts w:ascii="Symbol" w:hAnsi="Symbol" w:hint="default"/>
      </w:rPr>
    </w:lvl>
    <w:lvl w:ilvl="1" w:tplc="A7DEA1F6" w:tentative="1">
      <w:start w:val="1"/>
      <w:numFmt w:val="bullet"/>
      <w:lvlText w:val="o"/>
      <w:lvlJc w:val="left"/>
      <w:pPr>
        <w:ind w:left="1440" w:hanging="360"/>
      </w:pPr>
      <w:rPr>
        <w:rFonts w:ascii="Courier New" w:hAnsi="Courier New" w:cs="Courier New" w:hint="default"/>
      </w:rPr>
    </w:lvl>
    <w:lvl w:ilvl="2" w:tplc="FC5CE870" w:tentative="1">
      <w:start w:val="1"/>
      <w:numFmt w:val="bullet"/>
      <w:lvlText w:val=""/>
      <w:lvlJc w:val="left"/>
      <w:pPr>
        <w:ind w:left="2160" w:hanging="360"/>
      </w:pPr>
      <w:rPr>
        <w:rFonts w:ascii="Wingdings" w:hAnsi="Wingdings" w:hint="default"/>
      </w:rPr>
    </w:lvl>
    <w:lvl w:ilvl="3" w:tplc="A8C65EBC" w:tentative="1">
      <w:start w:val="1"/>
      <w:numFmt w:val="bullet"/>
      <w:lvlText w:val=""/>
      <w:lvlJc w:val="left"/>
      <w:pPr>
        <w:ind w:left="2880" w:hanging="360"/>
      </w:pPr>
      <w:rPr>
        <w:rFonts w:ascii="Symbol" w:hAnsi="Symbol" w:hint="default"/>
      </w:rPr>
    </w:lvl>
    <w:lvl w:ilvl="4" w:tplc="D94CB1D4" w:tentative="1">
      <w:start w:val="1"/>
      <w:numFmt w:val="bullet"/>
      <w:lvlText w:val="o"/>
      <w:lvlJc w:val="left"/>
      <w:pPr>
        <w:ind w:left="3600" w:hanging="360"/>
      </w:pPr>
      <w:rPr>
        <w:rFonts w:ascii="Courier New" w:hAnsi="Courier New" w:cs="Courier New" w:hint="default"/>
      </w:rPr>
    </w:lvl>
    <w:lvl w:ilvl="5" w:tplc="9864DFEA" w:tentative="1">
      <w:start w:val="1"/>
      <w:numFmt w:val="bullet"/>
      <w:lvlText w:val=""/>
      <w:lvlJc w:val="left"/>
      <w:pPr>
        <w:ind w:left="4320" w:hanging="360"/>
      </w:pPr>
      <w:rPr>
        <w:rFonts w:ascii="Wingdings" w:hAnsi="Wingdings" w:hint="default"/>
      </w:rPr>
    </w:lvl>
    <w:lvl w:ilvl="6" w:tplc="C63C7C44" w:tentative="1">
      <w:start w:val="1"/>
      <w:numFmt w:val="bullet"/>
      <w:lvlText w:val=""/>
      <w:lvlJc w:val="left"/>
      <w:pPr>
        <w:ind w:left="5040" w:hanging="360"/>
      </w:pPr>
      <w:rPr>
        <w:rFonts w:ascii="Symbol" w:hAnsi="Symbol" w:hint="default"/>
      </w:rPr>
    </w:lvl>
    <w:lvl w:ilvl="7" w:tplc="BCF6A132" w:tentative="1">
      <w:start w:val="1"/>
      <w:numFmt w:val="bullet"/>
      <w:lvlText w:val="o"/>
      <w:lvlJc w:val="left"/>
      <w:pPr>
        <w:ind w:left="5760" w:hanging="360"/>
      </w:pPr>
      <w:rPr>
        <w:rFonts w:ascii="Courier New" w:hAnsi="Courier New" w:cs="Courier New" w:hint="default"/>
      </w:rPr>
    </w:lvl>
    <w:lvl w:ilvl="8" w:tplc="868C36DC" w:tentative="1">
      <w:start w:val="1"/>
      <w:numFmt w:val="bullet"/>
      <w:lvlText w:val=""/>
      <w:lvlJc w:val="left"/>
      <w:pPr>
        <w:ind w:left="6480" w:hanging="360"/>
      </w:pPr>
      <w:rPr>
        <w:rFonts w:ascii="Wingdings" w:hAnsi="Wingdings" w:hint="default"/>
      </w:rPr>
    </w:lvl>
  </w:abstractNum>
  <w:abstractNum w:abstractNumId="24" w15:restartNumberingAfterBreak="0">
    <w:nsid w:val="48DE2E4A"/>
    <w:multiLevelType w:val="hybridMultilevel"/>
    <w:tmpl w:val="B7086130"/>
    <w:lvl w:ilvl="0" w:tplc="1430B478">
      <w:start w:val="1"/>
      <w:numFmt w:val="bullet"/>
      <w:pStyle w:val="BoxTextBullet"/>
      <w:lvlText w:val=""/>
      <w:lvlJc w:val="left"/>
      <w:pPr>
        <w:ind w:left="720" w:hanging="360"/>
      </w:pPr>
      <w:rPr>
        <w:rFonts w:ascii="Symbol" w:hAnsi="Symbol" w:hint="default"/>
      </w:rPr>
    </w:lvl>
    <w:lvl w:ilvl="1" w:tplc="0A0EF59A" w:tentative="1">
      <w:start w:val="1"/>
      <w:numFmt w:val="bullet"/>
      <w:lvlText w:val="o"/>
      <w:lvlJc w:val="left"/>
      <w:pPr>
        <w:ind w:left="1440" w:hanging="360"/>
      </w:pPr>
      <w:rPr>
        <w:rFonts w:ascii="Courier New" w:hAnsi="Courier New" w:cs="Courier New" w:hint="default"/>
      </w:rPr>
    </w:lvl>
    <w:lvl w:ilvl="2" w:tplc="C12089AE" w:tentative="1">
      <w:start w:val="1"/>
      <w:numFmt w:val="bullet"/>
      <w:lvlText w:val=""/>
      <w:lvlJc w:val="left"/>
      <w:pPr>
        <w:ind w:left="2160" w:hanging="360"/>
      </w:pPr>
      <w:rPr>
        <w:rFonts w:ascii="Wingdings" w:hAnsi="Wingdings" w:hint="default"/>
      </w:rPr>
    </w:lvl>
    <w:lvl w:ilvl="3" w:tplc="6F464458" w:tentative="1">
      <w:start w:val="1"/>
      <w:numFmt w:val="bullet"/>
      <w:lvlText w:val=""/>
      <w:lvlJc w:val="left"/>
      <w:pPr>
        <w:ind w:left="2880" w:hanging="360"/>
      </w:pPr>
      <w:rPr>
        <w:rFonts w:ascii="Symbol" w:hAnsi="Symbol" w:hint="default"/>
      </w:rPr>
    </w:lvl>
    <w:lvl w:ilvl="4" w:tplc="55180CA8" w:tentative="1">
      <w:start w:val="1"/>
      <w:numFmt w:val="bullet"/>
      <w:lvlText w:val="o"/>
      <w:lvlJc w:val="left"/>
      <w:pPr>
        <w:ind w:left="3600" w:hanging="360"/>
      </w:pPr>
      <w:rPr>
        <w:rFonts w:ascii="Courier New" w:hAnsi="Courier New" w:cs="Courier New" w:hint="default"/>
      </w:rPr>
    </w:lvl>
    <w:lvl w:ilvl="5" w:tplc="D2AED9F2" w:tentative="1">
      <w:start w:val="1"/>
      <w:numFmt w:val="bullet"/>
      <w:lvlText w:val=""/>
      <w:lvlJc w:val="left"/>
      <w:pPr>
        <w:ind w:left="4320" w:hanging="360"/>
      </w:pPr>
      <w:rPr>
        <w:rFonts w:ascii="Wingdings" w:hAnsi="Wingdings" w:hint="default"/>
      </w:rPr>
    </w:lvl>
    <w:lvl w:ilvl="6" w:tplc="988EEE0E" w:tentative="1">
      <w:start w:val="1"/>
      <w:numFmt w:val="bullet"/>
      <w:lvlText w:val=""/>
      <w:lvlJc w:val="left"/>
      <w:pPr>
        <w:ind w:left="5040" w:hanging="360"/>
      </w:pPr>
      <w:rPr>
        <w:rFonts w:ascii="Symbol" w:hAnsi="Symbol" w:hint="default"/>
      </w:rPr>
    </w:lvl>
    <w:lvl w:ilvl="7" w:tplc="45CC0C1C" w:tentative="1">
      <w:start w:val="1"/>
      <w:numFmt w:val="bullet"/>
      <w:lvlText w:val="o"/>
      <w:lvlJc w:val="left"/>
      <w:pPr>
        <w:ind w:left="5760" w:hanging="360"/>
      </w:pPr>
      <w:rPr>
        <w:rFonts w:ascii="Courier New" w:hAnsi="Courier New" w:cs="Courier New" w:hint="default"/>
      </w:rPr>
    </w:lvl>
    <w:lvl w:ilvl="8" w:tplc="FE74736A" w:tentative="1">
      <w:start w:val="1"/>
      <w:numFmt w:val="bullet"/>
      <w:lvlText w:val=""/>
      <w:lvlJc w:val="left"/>
      <w:pPr>
        <w:ind w:left="6480" w:hanging="360"/>
      </w:pPr>
      <w:rPr>
        <w:rFonts w:ascii="Wingdings" w:hAnsi="Wingdings" w:hint="default"/>
      </w:rPr>
    </w:lvl>
  </w:abstractNum>
  <w:abstractNum w:abstractNumId="2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CE638D"/>
    <w:multiLevelType w:val="hybridMultilevel"/>
    <w:tmpl w:val="E6500794"/>
    <w:lvl w:ilvl="0" w:tplc="E5DCDCB8">
      <w:start w:val="1"/>
      <w:numFmt w:val="bullet"/>
      <w:lvlText w:val=""/>
      <w:lvlJc w:val="left"/>
      <w:pPr>
        <w:ind w:left="720" w:hanging="360"/>
      </w:pPr>
      <w:rPr>
        <w:rFonts w:ascii="Symbol" w:hAnsi="Symbol" w:hint="default"/>
      </w:rPr>
    </w:lvl>
    <w:lvl w:ilvl="1" w:tplc="159C7334">
      <w:start w:val="1"/>
      <w:numFmt w:val="bullet"/>
      <w:lvlText w:val="o"/>
      <w:lvlJc w:val="left"/>
      <w:pPr>
        <w:ind w:left="1440" w:hanging="360"/>
      </w:pPr>
      <w:rPr>
        <w:rFonts w:ascii="Courier New" w:hAnsi="Courier New" w:cs="Courier New" w:hint="default"/>
      </w:rPr>
    </w:lvl>
    <w:lvl w:ilvl="2" w:tplc="F11EB83C" w:tentative="1">
      <w:start w:val="1"/>
      <w:numFmt w:val="bullet"/>
      <w:lvlText w:val=""/>
      <w:lvlJc w:val="left"/>
      <w:pPr>
        <w:ind w:left="2160" w:hanging="360"/>
      </w:pPr>
      <w:rPr>
        <w:rFonts w:ascii="Wingdings" w:hAnsi="Wingdings" w:hint="default"/>
      </w:rPr>
    </w:lvl>
    <w:lvl w:ilvl="3" w:tplc="7A44125A" w:tentative="1">
      <w:start w:val="1"/>
      <w:numFmt w:val="bullet"/>
      <w:lvlText w:val=""/>
      <w:lvlJc w:val="left"/>
      <w:pPr>
        <w:ind w:left="2880" w:hanging="360"/>
      </w:pPr>
      <w:rPr>
        <w:rFonts w:ascii="Symbol" w:hAnsi="Symbol" w:hint="default"/>
      </w:rPr>
    </w:lvl>
    <w:lvl w:ilvl="4" w:tplc="4D1A756A" w:tentative="1">
      <w:start w:val="1"/>
      <w:numFmt w:val="bullet"/>
      <w:lvlText w:val="o"/>
      <w:lvlJc w:val="left"/>
      <w:pPr>
        <w:ind w:left="3600" w:hanging="360"/>
      </w:pPr>
      <w:rPr>
        <w:rFonts w:ascii="Courier New" w:hAnsi="Courier New" w:cs="Courier New" w:hint="default"/>
      </w:rPr>
    </w:lvl>
    <w:lvl w:ilvl="5" w:tplc="D58E66BA" w:tentative="1">
      <w:start w:val="1"/>
      <w:numFmt w:val="bullet"/>
      <w:lvlText w:val=""/>
      <w:lvlJc w:val="left"/>
      <w:pPr>
        <w:ind w:left="4320" w:hanging="360"/>
      </w:pPr>
      <w:rPr>
        <w:rFonts w:ascii="Wingdings" w:hAnsi="Wingdings" w:hint="default"/>
      </w:rPr>
    </w:lvl>
    <w:lvl w:ilvl="6" w:tplc="82D6AF26" w:tentative="1">
      <w:start w:val="1"/>
      <w:numFmt w:val="bullet"/>
      <w:lvlText w:val=""/>
      <w:lvlJc w:val="left"/>
      <w:pPr>
        <w:ind w:left="5040" w:hanging="360"/>
      </w:pPr>
      <w:rPr>
        <w:rFonts w:ascii="Symbol" w:hAnsi="Symbol" w:hint="default"/>
      </w:rPr>
    </w:lvl>
    <w:lvl w:ilvl="7" w:tplc="DA64B470" w:tentative="1">
      <w:start w:val="1"/>
      <w:numFmt w:val="bullet"/>
      <w:lvlText w:val="o"/>
      <w:lvlJc w:val="left"/>
      <w:pPr>
        <w:ind w:left="5760" w:hanging="360"/>
      </w:pPr>
      <w:rPr>
        <w:rFonts w:ascii="Courier New" w:hAnsi="Courier New" w:cs="Courier New" w:hint="default"/>
      </w:rPr>
    </w:lvl>
    <w:lvl w:ilvl="8" w:tplc="D1E279B2" w:tentative="1">
      <w:start w:val="1"/>
      <w:numFmt w:val="bullet"/>
      <w:lvlText w:val=""/>
      <w:lvlJc w:val="left"/>
      <w:pPr>
        <w:ind w:left="6480" w:hanging="360"/>
      </w:pPr>
      <w:rPr>
        <w:rFonts w:ascii="Wingdings" w:hAnsi="Wingdings" w:hint="default"/>
      </w:rPr>
    </w:lvl>
  </w:abstractNum>
  <w:abstractNum w:abstractNumId="27" w15:restartNumberingAfterBreak="0">
    <w:nsid w:val="4FF355D2"/>
    <w:multiLevelType w:val="hybridMultilevel"/>
    <w:tmpl w:val="1F3E199A"/>
    <w:lvl w:ilvl="0" w:tplc="C1A44FBE">
      <w:start w:val="1"/>
      <w:numFmt w:val="bullet"/>
      <w:lvlText w:val=""/>
      <w:lvlJc w:val="left"/>
      <w:pPr>
        <w:ind w:left="720" w:hanging="360"/>
      </w:pPr>
      <w:rPr>
        <w:rFonts w:ascii="Symbol" w:hAnsi="Symbol" w:hint="default"/>
      </w:rPr>
    </w:lvl>
    <w:lvl w:ilvl="1" w:tplc="A14A3D96">
      <w:start w:val="1"/>
      <w:numFmt w:val="bullet"/>
      <w:lvlText w:val="o"/>
      <w:lvlJc w:val="left"/>
      <w:pPr>
        <w:ind w:left="1440" w:hanging="360"/>
      </w:pPr>
      <w:rPr>
        <w:rFonts w:ascii="Courier New" w:hAnsi="Courier New" w:cs="Courier New" w:hint="default"/>
      </w:rPr>
    </w:lvl>
    <w:lvl w:ilvl="2" w:tplc="FD46102E" w:tentative="1">
      <w:start w:val="1"/>
      <w:numFmt w:val="bullet"/>
      <w:lvlText w:val=""/>
      <w:lvlJc w:val="left"/>
      <w:pPr>
        <w:ind w:left="2160" w:hanging="360"/>
      </w:pPr>
      <w:rPr>
        <w:rFonts w:ascii="Wingdings" w:hAnsi="Wingdings" w:hint="default"/>
      </w:rPr>
    </w:lvl>
    <w:lvl w:ilvl="3" w:tplc="FF306A22" w:tentative="1">
      <w:start w:val="1"/>
      <w:numFmt w:val="bullet"/>
      <w:lvlText w:val=""/>
      <w:lvlJc w:val="left"/>
      <w:pPr>
        <w:ind w:left="2880" w:hanging="360"/>
      </w:pPr>
      <w:rPr>
        <w:rFonts w:ascii="Symbol" w:hAnsi="Symbol" w:hint="default"/>
      </w:rPr>
    </w:lvl>
    <w:lvl w:ilvl="4" w:tplc="FBEAE7CC" w:tentative="1">
      <w:start w:val="1"/>
      <w:numFmt w:val="bullet"/>
      <w:lvlText w:val="o"/>
      <w:lvlJc w:val="left"/>
      <w:pPr>
        <w:ind w:left="3600" w:hanging="360"/>
      </w:pPr>
      <w:rPr>
        <w:rFonts w:ascii="Courier New" w:hAnsi="Courier New" w:cs="Courier New" w:hint="default"/>
      </w:rPr>
    </w:lvl>
    <w:lvl w:ilvl="5" w:tplc="1A4637A6" w:tentative="1">
      <w:start w:val="1"/>
      <w:numFmt w:val="bullet"/>
      <w:lvlText w:val=""/>
      <w:lvlJc w:val="left"/>
      <w:pPr>
        <w:ind w:left="4320" w:hanging="360"/>
      </w:pPr>
      <w:rPr>
        <w:rFonts w:ascii="Wingdings" w:hAnsi="Wingdings" w:hint="default"/>
      </w:rPr>
    </w:lvl>
    <w:lvl w:ilvl="6" w:tplc="2E34D448" w:tentative="1">
      <w:start w:val="1"/>
      <w:numFmt w:val="bullet"/>
      <w:lvlText w:val=""/>
      <w:lvlJc w:val="left"/>
      <w:pPr>
        <w:ind w:left="5040" w:hanging="360"/>
      </w:pPr>
      <w:rPr>
        <w:rFonts w:ascii="Symbol" w:hAnsi="Symbol" w:hint="default"/>
      </w:rPr>
    </w:lvl>
    <w:lvl w:ilvl="7" w:tplc="7BF26F20" w:tentative="1">
      <w:start w:val="1"/>
      <w:numFmt w:val="bullet"/>
      <w:lvlText w:val="o"/>
      <w:lvlJc w:val="left"/>
      <w:pPr>
        <w:ind w:left="5760" w:hanging="360"/>
      </w:pPr>
      <w:rPr>
        <w:rFonts w:ascii="Courier New" w:hAnsi="Courier New" w:cs="Courier New" w:hint="default"/>
      </w:rPr>
    </w:lvl>
    <w:lvl w:ilvl="8" w:tplc="ADE6D546" w:tentative="1">
      <w:start w:val="1"/>
      <w:numFmt w:val="bullet"/>
      <w:lvlText w:val=""/>
      <w:lvlJc w:val="left"/>
      <w:pPr>
        <w:ind w:left="6480" w:hanging="360"/>
      </w:pPr>
      <w:rPr>
        <w:rFonts w:ascii="Wingdings" w:hAnsi="Wingdings" w:hint="default"/>
      </w:rPr>
    </w:lvl>
  </w:abstractNum>
  <w:abstractNum w:abstractNumId="28" w15:restartNumberingAfterBreak="0">
    <w:nsid w:val="551F41E8"/>
    <w:multiLevelType w:val="hybridMultilevel"/>
    <w:tmpl w:val="50F89A1C"/>
    <w:lvl w:ilvl="0" w:tplc="0344A95A">
      <w:start w:val="1"/>
      <w:numFmt w:val="bullet"/>
      <w:lvlText w:val=""/>
      <w:lvlJc w:val="left"/>
      <w:pPr>
        <w:ind w:left="720" w:hanging="360"/>
      </w:pPr>
      <w:rPr>
        <w:rFonts w:ascii="Symbol" w:hAnsi="Symbol" w:hint="default"/>
      </w:rPr>
    </w:lvl>
    <w:lvl w:ilvl="1" w:tplc="4CD854C0">
      <w:start w:val="1"/>
      <w:numFmt w:val="bullet"/>
      <w:lvlText w:val="o"/>
      <w:lvlJc w:val="left"/>
      <w:pPr>
        <w:ind w:left="1440" w:hanging="360"/>
      </w:pPr>
      <w:rPr>
        <w:rFonts w:ascii="Courier New" w:hAnsi="Courier New" w:cs="Courier New" w:hint="default"/>
      </w:rPr>
    </w:lvl>
    <w:lvl w:ilvl="2" w:tplc="B65A517C" w:tentative="1">
      <w:start w:val="1"/>
      <w:numFmt w:val="bullet"/>
      <w:lvlText w:val=""/>
      <w:lvlJc w:val="left"/>
      <w:pPr>
        <w:ind w:left="2160" w:hanging="360"/>
      </w:pPr>
      <w:rPr>
        <w:rFonts w:ascii="Wingdings" w:hAnsi="Wingdings" w:hint="default"/>
      </w:rPr>
    </w:lvl>
    <w:lvl w:ilvl="3" w:tplc="6BE6D7BE" w:tentative="1">
      <w:start w:val="1"/>
      <w:numFmt w:val="bullet"/>
      <w:lvlText w:val=""/>
      <w:lvlJc w:val="left"/>
      <w:pPr>
        <w:ind w:left="2880" w:hanging="360"/>
      </w:pPr>
      <w:rPr>
        <w:rFonts w:ascii="Symbol" w:hAnsi="Symbol" w:hint="default"/>
      </w:rPr>
    </w:lvl>
    <w:lvl w:ilvl="4" w:tplc="24B4893E" w:tentative="1">
      <w:start w:val="1"/>
      <w:numFmt w:val="bullet"/>
      <w:lvlText w:val="o"/>
      <w:lvlJc w:val="left"/>
      <w:pPr>
        <w:ind w:left="3600" w:hanging="360"/>
      </w:pPr>
      <w:rPr>
        <w:rFonts w:ascii="Courier New" w:hAnsi="Courier New" w:cs="Courier New" w:hint="default"/>
      </w:rPr>
    </w:lvl>
    <w:lvl w:ilvl="5" w:tplc="872AD568" w:tentative="1">
      <w:start w:val="1"/>
      <w:numFmt w:val="bullet"/>
      <w:lvlText w:val=""/>
      <w:lvlJc w:val="left"/>
      <w:pPr>
        <w:ind w:left="4320" w:hanging="360"/>
      </w:pPr>
      <w:rPr>
        <w:rFonts w:ascii="Wingdings" w:hAnsi="Wingdings" w:hint="default"/>
      </w:rPr>
    </w:lvl>
    <w:lvl w:ilvl="6" w:tplc="B0D2DEB8" w:tentative="1">
      <w:start w:val="1"/>
      <w:numFmt w:val="bullet"/>
      <w:lvlText w:val=""/>
      <w:lvlJc w:val="left"/>
      <w:pPr>
        <w:ind w:left="5040" w:hanging="360"/>
      </w:pPr>
      <w:rPr>
        <w:rFonts w:ascii="Symbol" w:hAnsi="Symbol" w:hint="default"/>
      </w:rPr>
    </w:lvl>
    <w:lvl w:ilvl="7" w:tplc="DCC87E38" w:tentative="1">
      <w:start w:val="1"/>
      <w:numFmt w:val="bullet"/>
      <w:lvlText w:val="o"/>
      <w:lvlJc w:val="left"/>
      <w:pPr>
        <w:ind w:left="5760" w:hanging="360"/>
      </w:pPr>
      <w:rPr>
        <w:rFonts w:ascii="Courier New" w:hAnsi="Courier New" w:cs="Courier New" w:hint="default"/>
      </w:rPr>
    </w:lvl>
    <w:lvl w:ilvl="8" w:tplc="BF04994C" w:tentative="1">
      <w:start w:val="1"/>
      <w:numFmt w:val="bullet"/>
      <w:lvlText w:val=""/>
      <w:lvlJc w:val="left"/>
      <w:pPr>
        <w:ind w:left="6480" w:hanging="360"/>
      </w:pPr>
      <w:rPr>
        <w:rFonts w:ascii="Wingdings" w:hAnsi="Wingdings" w:hint="default"/>
      </w:rPr>
    </w:lvl>
  </w:abstractNum>
  <w:abstractNum w:abstractNumId="29" w15:restartNumberingAfterBreak="0">
    <w:nsid w:val="552A79CE"/>
    <w:multiLevelType w:val="hybridMultilevel"/>
    <w:tmpl w:val="30FEF3B0"/>
    <w:lvl w:ilvl="0" w:tplc="5BB6C848">
      <w:start w:val="1"/>
      <w:numFmt w:val="bullet"/>
      <w:lvlText w:val=""/>
      <w:lvlJc w:val="left"/>
      <w:pPr>
        <w:ind w:left="720" w:hanging="360"/>
      </w:pPr>
      <w:rPr>
        <w:rFonts w:ascii="Symbol" w:hAnsi="Symbol" w:hint="default"/>
      </w:rPr>
    </w:lvl>
    <w:lvl w:ilvl="1" w:tplc="3064FC42" w:tentative="1">
      <w:start w:val="1"/>
      <w:numFmt w:val="bullet"/>
      <w:lvlText w:val="o"/>
      <w:lvlJc w:val="left"/>
      <w:pPr>
        <w:ind w:left="1440" w:hanging="360"/>
      </w:pPr>
      <w:rPr>
        <w:rFonts w:ascii="Courier New" w:hAnsi="Courier New" w:cs="Courier New" w:hint="default"/>
      </w:rPr>
    </w:lvl>
    <w:lvl w:ilvl="2" w:tplc="2C3A2474" w:tentative="1">
      <w:start w:val="1"/>
      <w:numFmt w:val="bullet"/>
      <w:lvlText w:val=""/>
      <w:lvlJc w:val="left"/>
      <w:pPr>
        <w:ind w:left="2160" w:hanging="360"/>
      </w:pPr>
      <w:rPr>
        <w:rFonts w:ascii="Wingdings" w:hAnsi="Wingdings" w:hint="default"/>
      </w:rPr>
    </w:lvl>
    <w:lvl w:ilvl="3" w:tplc="CF0C7B80" w:tentative="1">
      <w:start w:val="1"/>
      <w:numFmt w:val="bullet"/>
      <w:lvlText w:val=""/>
      <w:lvlJc w:val="left"/>
      <w:pPr>
        <w:ind w:left="2880" w:hanging="360"/>
      </w:pPr>
      <w:rPr>
        <w:rFonts w:ascii="Symbol" w:hAnsi="Symbol" w:hint="default"/>
      </w:rPr>
    </w:lvl>
    <w:lvl w:ilvl="4" w:tplc="550C241A" w:tentative="1">
      <w:start w:val="1"/>
      <w:numFmt w:val="bullet"/>
      <w:lvlText w:val="o"/>
      <w:lvlJc w:val="left"/>
      <w:pPr>
        <w:ind w:left="3600" w:hanging="360"/>
      </w:pPr>
      <w:rPr>
        <w:rFonts w:ascii="Courier New" w:hAnsi="Courier New" w:cs="Courier New" w:hint="default"/>
      </w:rPr>
    </w:lvl>
    <w:lvl w:ilvl="5" w:tplc="4C002588" w:tentative="1">
      <w:start w:val="1"/>
      <w:numFmt w:val="bullet"/>
      <w:lvlText w:val=""/>
      <w:lvlJc w:val="left"/>
      <w:pPr>
        <w:ind w:left="4320" w:hanging="360"/>
      </w:pPr>
      <w:rPr>
        <w:rFonts w:ascii="Wingdings" w:hAnsi="Wingdings" w:hint="default"/>
      </w:rPr>
    </w:lvl>
    <w:lvl w:ilvl="6" w:tplc="1E74C848" w:tentative="1">
      <w:start w:val="1"/>
      <w:numFmt w:val="bullet"/>
      <w:lvlText w:val=""/>
      <w:lvlJc w:val="left"/>
      <w:pPr>
        <w:ind w:left="5040" w:hanging="360"/>
      </w:pPr>
      <w:rPr>
        <w:rFonts w:ascii="Symbol" w:hAnsi="Symbol" w:hint="default"/>
      </w:rPr>
    </w:lvl>
    <w:lvl w:ilvl="7" w:tplc="F5148CD4" w:tentative="1">
      <w:start w:val="1"/>
      <w:numFmt w:val="bullet"/>
      <w:lvlText w:val="o"/>
      <w:lvlJc w:val="left"/>
      <w:pPr>
        <w:ind w:left="5760" w:hanging="360"/>
      </w:pPr>
      <w:rPr>
        <w:rFonts w:ascii="Courier New" w:hAnsi="Courier New" w:cs="Courier New" w:hint="default"/>
      </w:rPr>
    </w:lvl>
    <w:lvl w:ilvl="8" w:tplc="2A0A1700" w:tentative="1">
      <w:start w:val="1"/>
      <w:numFmt w:val="bullet"/>
      <w:lvlText w:val=""/>
      <w:lvlJc w:val="left"/>
      <w:pPr>
        <w:ind w:left="6480" w:hanging="360"/>
      </w:pPr>
      <w:rPr>
        <w:rFonts w:ascii="Wingdings" w:hAnsi="Wingdings" w:hint="default"/>
      </w:rPr>
    </w:lvl>
  </w:abstractNum>
  <w:abstractNum w:abstractNumId="30"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1" w15:restartNumberingAfterBreak="0">
    <w:nsid w:val="59EA1CB3"/>
    <w:multiLevelType w:val="hybridMultilevel"/>
    <w:tmpl w:val="7C28A836"/>
    <w:lvl w:ilvl="0" w:tplc="EE9C6590">
      <w:start w:val="1"/>
      <w:numFmt w:val="bullet"/>
      <w:lvlText w:val=""/>
      <w:lvlJc w:val="left"/>
      <w:pPr>
        <w:ind w:left="720" w:hanging="360"/>
      </w:pPr>
      <w:rPr>
        <w:rFonts w:ascii="Symbol" w:hAnsi="Symbol" w:hint="default"/>
      </w:rPr>
    </w:lvl>
    <w:lvl w:ilvl="1" w:tplc="E2905F9C">
      <w:start w:val="1"/>
      <w:numFmt w:val="bullet"/>
      <w:lvlText w:val="o"/>
      <w:lvlJc w:val="left"/>
      <w:pPr>
        <w:ind w:left="1440" w:hanging="360"/>
      </w:pPr>
      <w:rPr>
        <w:rFonts w:ascii="Courier New" w:hAnsi="Courier New" w:cs="Courier New" w:hint="default"/>
      </w:rPr>
    </w:lvl>
    <w:lvl w:ilvl="2" w:tplc="7B9C7142" w:tentative="1">
      <w:start w:val="1"/>
      <w:numFmt w:val="bullet"/>
      <w:lvlText w:val=""/>
      <w:lvlJc w:val="left"/>
      <w:pPr>
        <w:ind w:left="2160" w:hanging="360"/>
      </w:pPr>
      <w:rPr>
        <w:rFonts w:ascii="Wingdings" w:hAnsi="Wingdings" w:hint="default"/>
      </w:rPr>
    </w:lvl>
    <w:lvl w:ilvl="3" w:tplc="4D122DD6" w:tentative="1">
      <w:start w:val="1"/>
      <w:numFmt w:val="bullet"/>
      <w:lvlText w:val=""/>
      <w:lvlJc w:val="left"/>
      <w:pPr>
        <w:ind w:left="2880" w:hanging="360"/>
      </w:pPr>
      <w:rPr>
        <w:rFonts w:ascii="Symbol" w:hAnsi="Symbol" w:hint="default"/>
      </w:rPr>
    </w:lvl>
    <w:lvl w:ilvl="4" w:tplc="D17072FC" w:tentative="1">
      <w:start w:val="1"/>
      <w:numFmt w:val="bullet"/>
      <w:lvlText w:val="o"/>
      <w:lvlJc w:val="left"/>
      <w:pPr>
        <w:ind w:left="3600" w:hanging="360"/>
      </w:pPr>
      <w:rPr>
        <w:rFonts w:ascii="Courier New" w:hAnsi="Courier New" w:cs="Courier New" w:hint="default"/>
      </w:rPr>
    </w:lvl>
    <w:lvl w:ilvl="5" w:tplc="A7341508" w:tentative="1">
      <w:start w:val="1"/>
      <w:numFmt w:val="bullet"/>
      <w:lvlText w:val=""/>
      <w:lvlJc w:val="left"/>
      <w:pPr>
        <w:ind w:left="4320" w:hanging="360"/>
      </w:pPr>
      <w:rPr>
        <w:rFonts w:ascii="Wingdings" w:hAnsi="Wingdings" w:hint="default"/>
      </w:rPr>
    </w:lvl>
    <w:lvl w:ilvl="6" w:tplc="227079DE" w:tentative="1">
      <w:start w:val="1"/>
      <w:numFmt w:val="bullet"/>
      <w:lvlText w:val=""/>
      <w:lvlJc w:val="left"/>
      <w:pPr>
        <w:ind w:left="5040" w:hanging="360"/>
      </w:pPr>
      <w:rPr>
        <w:rFonts w:ascii="Symbol" w:hAnsi="Symbol" w:hint="default"/>
      </w:rPr>
    </w:lvl>
    <w:lvl w:ilvl="7" w:tplc="CA603B08" w:tentative="1">
      <w:start w:val="1"/>
      <w:numFmt w:val="bullet"/>
      <w:lvlText w:val="o"/>
      <w:lvlJc w:val="left"/>
      <w:pPr>
        <w:ind w:left="5760" w:hanging="360"/>
      </w:pPr>
      <w:rPr>
        <w:rFonts w:ascii="Courier New" w:hAnsi="Courier New" w:cs="Courier New" w:hint="default"/>
      </w:rPr>
    </w:lvl>
    <w:lvl w:ilvl="8" w:tplc="1B3ADF9A" w:tentative="1">
      <w:start w:val="1"/>
      <w:numFmt w:val="bullet"/>
      <w:lvlText w:val=""/>
      <w:lvlJc w:val="left"/>
      <w:pPr>
        <w:ind w:left="6480" w:hanging="360"/>
      </w:pPr>
      <w:rPr>
        <w:rFonts w:ascii="Wingdings" w:hAnsi="Wingdings" w:hint="default"/>
      </w:rPr>
    </w:lvl>
  </w:abstractNum>
  <w:abstractNum w:abstractNumId="3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65EA0807"/>
    <w:multiLevelType w:val="hybridMultilevel"/>
    <w:tmpl w:val="386604F8"/>
    <w:lvl w:ilvl="0" w:tplc="2108B530">
      <w:start w:val="1"/>
      <w:numFmt w:val="bullet"/>
      <w:lvlText w:val=""/>
      <w:lvlJc w:val="left"/>
      <w:pPr>
        <w:ind w:left="720" w:hanging="360"/>
      </w:pPr>
      <w:rPr>
        <w:rFonts w:ascii="Symbol" w:hAnsi="Symbol" w:hint="default"/>
      </w:rPr>
    </w:lvl>
    <w:lvl w:ilvl="1" w:tplc="9934CED2" w:tentative="1">
      <w:start w:val="1"/>
      <w:numFmt w:val="bullet"/>
      <w:lvlText w:val="o"/>
      <w:lvlJc w:val="left"/>
      <w:pPr>
        <w:ind w:left="1440" w:hanging="360"/>
      </w:pPr>
      <w:rPr>
        <w:rFonts w:ascii="Courier New" w:hAnsi="Courier New" w:cs="Courier New" w:hint="default"/>
      </w:rPr>
    </w:lvl>
    <w:lvl w:ilvl="2" w:tplc="F7EA751C" w:tentative="1">
      <w:start w:val="1"/>
      <w:numFmt w:val="bullet"/>
      <w:lvlText w:val=""/>
      <w:lvlJc w:val="left"/>
      <w:pPr>
        <w:ind w:left="2160" w:hanging="360"/>
      </w:pPr>
      <w:rPr>
        <w:rFonts w:ascii="Wingdings" w:hAnsi="Wingdings" w:hint="default"/>
      </w:rPr>
    </w:lvl>
    <w:lvl w:ilvl="3" w:tplc="47DE8F5A" w:tentative="1">
      <w:start w:val="1"/>
      <w:numFmt w:val="bullet"/>
      <w:lvlText w:val=""/>
      <w:lvlJc w:val="left"/>
      <w:pPr>
        <w:ind w:left="2880" w:hanging="360"/>
      </w:pPr>
      <w:rPr>
        <w:rFonts w:ascii="Symbol" w:hAnsi="Symbol" w:hint="default"/>
      </w:rPr>
    </w:lvl>
    <w:lvl w:ilvl="4" w:tplc="D444E4D2" w:tentative="1">
      <w:start w:val="1"/>
      <w:numFmt w:val="bullet"/>
      <w:lvlText w:val="o"/>
      <w:lvlJc w:val="left"/>
      <w:pPr>
        <w:ind w:left="3600" w:hanging="360"/>
      </w:pPr>
      <w:rPr>
        <w:rFonts w:ascii="Courier New" w:hAnsi="Courier New" w:cs="Courier New" w:hint="default"/>
      </w:rPr>
    </w:lvl>
    <w:lvl w:ilvl="5" w:tplc="EDA09474" w:tentative="1">
      <w:start w:val="1"/>
      <w:numFmt w:val="bullet"/>
      <w:lvlText w:val=""/>
      <w:lvlJc w:val="left"/>
      <w:pPr>
        <w:ind w:left="4320" w:hanging="360"/>
      </w:pPr>
      <w:rPr>
        <w:rFonts w:ascii="Wingdings" w:hAnsi="Wingdings" w:hint="default"/>
      </w:rPr>
    </w:lvl>
    <w:lvl w:ilvl="6" w:tplc="C85639FC" w:tentative="1">
      <w:start w:val="1"/>
      <w:numFmt w:val="bullet"/>
      <w:lvlText w:val=""/>
      <w:lvlJc w:val="left"/>
      <w:pPr>
        <w:ind w:left="5040" w:hanging="360"/>
      </w:pPr>
      <w:rPr>
        <w:rFonts w:ascii="Symbol" w:hAnsi="Symbol" w:hint="default"/>
      </w:rPr>
    </w:lvl>
    <w:lvl w:ilvl="7" w:tplc="D722B6BC" w:tentative="1">
      <w:start w:val="1"/>
      <w:numFmt w:val="bullet"/>
      <w:lvlText w:val="o"/>
      <w:lvlJc w:val="left"/>
      <w:pPr>
        <w:ind w:left="5760" w:hanging="360"/>
      </w:pPr>
      <w:rPr>
        <w:rFonts w:ascii="Courier New" w:hAnsi="Courier New" w:cs="Courier New" w:hint="default"/>
      </w:rPr>
    </w:lvl>
    <w:lvl w:ilvl="8" w:tplc="CE6216D4" w:tentative="1">
      <w:start w:val="1"/>
      <w:numFmt w:val="bullet"/>
      <w:lvlText w:val=""/>
      <w:lvlJc w:val="left"/>
      <w:pPr>
        <w:ind w:left="6480" w:hanging="360"/>
      </w:pPr>
      <w:rPr>
        <w:rFonts w:ascii="Wingdings" w:hAnsi="Wingdings" w:hint="default"/>
      </w:rPr>
    </w:lvl>
  </w:abstractNum>
  <w:abstractNum w:abstractNumId="35" w15:restartNumberingAfterBreak="0">
    <w:nsid w:val="67FC032A"/>
    <w:multiLevelType w:val="hybridMultilevel"/>
    <w:tmpl w:val="3C944D7A"/>
    <w:lvl w:ilvl="0" w:tplc="46F81E82">
      <w:start w:val="1"/>
      <w:numFmt w:val="bullet"/>
      <w:lvlText w:val=""/>
      <w:lvlJc w:val="left"/>
      <w:pPr>
        <w:ind w:left="785" w:hanging="360"/>
      </w:pPr>
      <w:rPr>
        <w:rFonts w:ascii="Symbol" w:hAnsi="Symbol" w:hint="default"/>
      </w:rPr>
    </w:lvl>
    <w:lvl w:ilvl="1" w:tplc="BE14B8BC">
      <w:start w:val="1"/>
      <w:numFmt w:val="bullet"/>
      <w:lvlText w:val="o"/>
      <w:lvlJc w:val="left"/>
      <w:pPr>
        <w:ind w:left="1505" w:hanging="360"/>
      </w:pPr>
      <w:rPr>
        <w:rFonts w:ascii="Courier New" w:hAnsi="Courier New" w:cs="Courier New" w:hint="default"/>
      </w:rPr>
    </w:lvl>
    <w:lvl w:ilvl="2" w:tplc="8F3A4FC0" w:tentative="1">
      <w:start w:val="1"/>
      <w:numFmt w:val="bullet"/>
      <w:lvlText w:val=""/>
      <w:lvlJc w:val="left"/>
      <w:pPr>
        <w:ind w:left="2225" w:hanging="360"/>
      </w:pPr>
      <w:rPr>
        <w:rFonts w:ascii="Wingdings" w:hAnsi="Wingdings" w:hint="default"/>
      </w:rPr>
    </w:lvl>
    <w:lvl w:ilvl="3" w:tplc="041016EE" w:tentative="1">
      <w:start w:val="1"/>
      <w:numFmt w:val="bullet"/>
      <w:lvlText w:val=""/>
      <w:lvlJc w:val="left"/>
      <w:pPr>
        <w:ind w:left="2945" w:hanging="360"/>
      </w:pPr>
      <w:rPr>
        <w:rFonts w:ascii="Symbol" w:hAnsi="Symbol" w:hint="default"/>
      </w:rPr>
    </w:lvl>
    <w:lvl w:ilvl="4" w:tplc="19F2C556" w:tentative="1">
      <w:start w:val="1"/>
      <w:numFmt w:val="bullet"/>
      <w:lvlText w:val="o"/>
      <w:lvlJc w:val="left"/>
      <w:pPr>
        <w:ind w:left="3665" w:hanging="360"/>
      </w:pPr>
      <w:rPr>
        <w:rFonts w:ascii="Courier New" w:hAnsi="Courier New" w:cs="Courier New" w:hint="default"/>
      </w:rPr>
    </w:lvl>
    <w:lvl w:ilvl="5" w:tplc="2C04DE0A" w:tentative="1">
      <w:start w:val="1"/>
      <w:numFmt w:val="bullet"/>
      <w:lvlText w:val=""/>
      <w:lvlJc w:val="left"/>
      <w:pPr>
        <w:ind w:left="4385" w:hanging="360"/>
      </w:pPr>
      <w:rPr>
        <w:rFonts w:ascii="Wingdings" w:hAnsi="Wingdings" w:hint="default"/>
      </w:rPr>
    </w:lvl>
    <w:lvl w:ilvl="6" w:tplc="AE92CD34" w:tentative="1">
      <w:start w:val="1"/>
      <w:numFmt w:val="bullet"/>
      <w:lvlText w:val=""/>
      <w:lvlJc w:val="left"/>
      <w:pPr>
        <w:ind w:left="5105" w:hanging="360"/>
      </w:pPr>
      <w:rPr>
        <w:rFonts w:ascii="Symbol" w:hAnsi="Symbol" w:hint="default"/>
      </w:rPr>
    </w:lvl>
    <w:lvl w:ilvl="7" w:tplc="008C4990" w:tentative="1">
      <w:start w:val="1"/>
      <w:numFmt w:val="bullet"/>
      <w:lvlText w:val="o"/>
      <w:lvlJc w:val="left"/>
      <w:pPr>
        <w:ind w:left="5825" w:hanging="360"/>
      </w:pPr>
      <w:rPr>
        <w:rFonts w:ascii="Courier New" w:hAnsi="Courier New" w:cs="Courier New" w:hint="default"/>
      </w:rPr>
    </w:lvl>
    <w:lvl w:ilvl="8" w:tplc="A51A819C" w:tentative="1">
      <w:start w:val="1"/>
      <w:numFmt w:val="bullet"/>
      <w:lvlText w:val=""/>
      <w:lvlJc w:val="left"/>
      <w:pPr>
        <w:ind w:left="6545" w:hanging="360"/>
      </w:pPr>
      <w:rPr>
        <w:rFonts w:ascii="Wingdings" w:hAnsi="Wingdings" w:hint="default"/>
      </w:rPr>
    </w:lvl>
  </w:abstractNum>
  <w:abstractNum w:abstractNumId="36" w15:restartNumberingAfterBreak="0">
    <w:nsid w:val="680D14C2"/>
    <w:multiLevelType w:val="hybridMultilevel"/>
    <w:tmpl w:val="220232FE"/>
    <w:lvl w:ilvl="0" w:tplc="346A16A6">
      <w:start w:val="1"/>
      <w:numFmt w:val="bullet"/>
      <w:lvlText w:val=""/>
      <w:lvlJc w:val="left"/>
      <w:pPr>
        <w:ind w:left="720" w:hanging="360"/>
      </w:pPr>
      <w:rPr>
        <w:rFonts w:ascii="Symbol" w:hAnsi="Symbol" w:hint="default"/>
      </w:rPr>
    </w:lvl>
    <w:lvl w:ilvl="1" w:tplc="38DEE9C6">
      <w:start w:val="1"/>
      <w:numFmt w:val="bullet"/>
      <w:lvlText w:val="o"/>
      <w:lvlJc w:val="left"/>
      <w:pPr>
        <w:ind w:left="1440" w:hanging="360"/>
      </w:pPr>
      <w:rPr>
        <w:rFonts w:ascii="Courier New" w:hAnsi="Courier New" w:cs="Courier New" w:hint="default"/>
      </w:rPr>
    </w:lvl>
    <w:lvl w:ilvl="2" w:tplc="0D442652" w:tentative="1">
      <w:start w:val="1"/>
      <w:numFmt w:val="bullet"/>
      <w:lvlText w:val=""/>
      <w:lvlJc w:val="left"/>
      <w:pPr>
        <w:ind w:left="2160" w:hanging="360"/>
      </w:pPr>
      <w:rPr>
        <w:rFonts w:ascii="Wingdings" w:hAnsi="Wingdings" w:hint="default"/>
      </w:rPr>
    </w:lvl>
    <w:lvl w:ilvl="3" w:tplc="9DB22C04" w:tentative="1">
      <w:start w:val="1"/>
      <w:numFmt w:val="bullet"/>
      <w:lvlText w:val=""/>
      <w:lvlJc w:val="left"/>
      <w:pPr>
        <w:ind w:left="2880" w:hanging="360"/>
      </w:pPr>
      <w:rPr>
        <w:rFonts w:ascii="Symbol" w:hAnsi="Symbol" w:hint="default"/>
      </w:rPr>
    </w:lvl>
    <w:lvl w:ilvl="4" w:tplc="DEC02F6E" w:tentative="1">
      <w:start w:val="1"/>
      <w:numFmt w:val="bullet"/>
      <w:lvlText w:val="o"/>
      <w:lvlJc w:val="left"/>
      <w:pPr>
        <w:ind w:left="3600" w:hanging="360"/>
      </w:pPr>
      <w:rPr>
        <w:rFonts w:ascii="Courier New" w:hAnsi="Courier New" w:cs="Courier New" w:hint="default"/>
      </w:rPr>
    </w:lvl>
    <w:lvl w:ilvl="5" w:tplc="EDE86FFE" w:tentative="1">
      <w:start w:val="1"/>
      <w:numFmt w:val="bullet"/>
      <w:lvlText w:val=""/>
      <w:lvlJc w:val="left"/>
      <w:pPr>
        <w:ind w:left="4320" w:hanging="360"/>
      </w:pPr>
      <w:rPr>
        <w:rFonts w:ascii="Wingdings" w:hAnsi="Wingdings" w:hint="default"/>
      </w:rPr>
    </w:lvl>
    <w:lvl w:ilvl="6" w:tplc="C1BA7658" w:tentative="1">
      <w:start w:val="1"/>
      <w:numFmt w:val="bullet"/>
      <w:lvlText w:val=""/>
      <w:lvlJc w:val="left"/>
      <w:pPr>
        <w:ind w:left="5040" w:hanging="360"/>
      </w:pPr>
      <w:rPr>
        <w:rFonts w:ascii="Symbol" w:hAnsi="Symbol" w:hint="default"/>
      </w:rPr>
    </w:lvl>
    <w:lvl w:ilvl="7" w:tplc="A9B064F0" w:tentative="1">
      <w:start w:val="1"/>
      <w:numFmt w:val="bullet"/>
      <w:lvlText w:val="o"/>
      <w:lvlJc w:val="left"/>
      <w:pPr>
        <w:ind w:left="5760" w:hanging="360"/>
      </w:pPr>
      <w:rPr>
        <w:rFonts w:ascii="Courier New" w:hAnsi="Courier New" w:cs="Courier New" w:hint="default"/>
      </w:rPr>
    </w:lvl>
    <w:lvl w:ilvl="8" w:tplc="CAE4335C" w:tentative="1">
      <w:start w:val="1"/>
      <w:numFmt w:val="bullet"/>
      <w:lvlText w:val=""/>
      <w:lvlJc w:val="left"/>
      <w:pPr>
        <w:ind w:left="6480" w:hanging="360"/>
      </w:pPr>
      <w:rPr>
        <w:rFonts w:ascii="Wingdings" w:hAnsi="Wingdings" w:hint="default"/>
      </w:rPr>
    </w:lvl>
  </w:abstractNum>
  <w:abstractNum w:abstractNumId="37" w15:restartNumberingAfterBreak="0">
    <w:nsid w:val="70FC44C4"/>
    <w:multiLevelType w:val="hybridMultilevel"/>
    <w:tmpl w:val="A5309042"/>
    <w:lvl w:ilvl="0" w:tplc="CCAC797E">
      <w:start w:val="1"/>
      <w:numFmt w:val="bullet"/>
      <w:lvlText w:val=""/>
      <w:lvlJc w:val="left"/>
      <w:pPr>
        <w:ind w:left="720" w:hanging="360"/>
      </w:pPr>
      <w:rPr>
        <w:rFonts w:ascii="Symbol" w:hAnsi="Symbol" w:hint="default"/>
      </w:rPr>
    </w:lvl>
    <w:lvl w:ilvl="1" w:tplc="7004B9FC" w:tentative="1">
      <w:start w:val="1"/>
      <w:numFmt w:val="bullet"/>
      <w:lvlText w:val="o"/>
      <w:lvlJc w:val="left"/>
      <w:pPr>
        <w:ind w:left="1440" w:hanging="360"/>
      </w:pPr>
      <w:rPr>
        <w:rFonts w:ascii="Courier New" w:hAnsi="Courier New" w:cs="Courier New" w:hint="default"/>
      </w:rPr>
    </w:lvl>
    <w:lvl w:ilvl="2" w:tplc="883CFC0E" w:tentative="1">
      <w:start w:val="1"/>
      <w:numFmt w:val="bullet"/>
      <w:lvlText w:val=""/>
      <w:lvlJc w:val="left"/>
      <w:pPr>
        <w:ind w:left="2160" w:hanging="360"/>
      </w:pPr>
      <w:rPr>
        <w:rFonts w:ascii="Wingdings" w:hAnsi="Wingdings" w:hint="default"/>
      </w:rPr>
    </w:lvl>
    <w:lvl w:ilvl="3" w:tplc="71A8ADB4" w:tentative="1">
      <w:start w:val="1"/>
      <w:numFmt w:val="bullet"/>
      <w:lvlText w:val=""/>
      <w:lvlJc w:val="left"/>
      <w:pPr>
        <w:ind w:left="2880" w:hanging="360"/>
      </w:pPr>
      <w:rPr>
        <w:rFonts w:ascii="Symbol" w:hAnsi="Symbol" w:hint="default"/>
      </w:rPr>
    </w:lvl>
    <w:lvl w:ilvl="4" w:tplc="4680F132" w:tentative="1">
      <w:start w:val="1"/>
      <w:numFmt w:val="bullet"/>
      <w:lvlText w:val="o"/>
      <w:lvlJc w:val="left"/>
      <w:pPr>
        <w:ind w:left="3600" w:hanging="360"/>
      </w:pPr>
      <w:rPr>
        <w:rFonts w:ascii="Courier New" w:hAnsi="Courier New" w:cs="Courier New" w:hint="default"/>
      </w:rPr>
    </w:lvl>
    <w:lvl w:ilvl="5" w:tplc="93B643EA" w:tentative="1">
      <w:start w:val="1"/>
      <w:numFmt w:val="bullet"/>
      <w:lvlText w:val=""/>
      <w:lvlJc w:val="left"/>
      <w:pPr>
        <w:ind w:left="4320" w:hanging="360"/>
      </w:pPr>
      <w:rPr>
        <w:rFonts w:ascii="Wingdings" w:hAnsi="Wingdings" w:hint="default"/>
      </w:rPr>
    </w:lvl>
    <w:lvl w:ilvl="6" w:tplc="F5263672" w:tentative="1">
      <w:start w:val="1"/>
      <w:numFmt w:val="bullet"/>
      <w:lvlText w:val=""/>
      <w:lvlJc w:val="left"/>
      <w:pPr>
        <w:ind w:left="5040" w:hanging="360"/>
      </w:pPr>
      <w:rPr>
        <w:rFonts w:ascii="Symbol" w:hAnsi="Symbol" w:hint="default"/>
      </w:rPr>
    </w:lvl>
    <w:lvl w:ilvl="7" w:tplc="4404C2BE" w:tentative="1">
      <w:start w:val="1"/>
      <w:numFmt w:val="bullet"/>
      <w:lvlText w:val="o"/>
      <w:lvlJc w:val="left"/>
      <w:pPr>
        <w:ind w:left="5760" w:hanging="360"/>
      </w:pPr>
      <w:rPr>
        <w:rFonts w:ascii="Courier New" w:hAnsi="Courier New" w:cs="Courier New" w:hint="default"/>
      </w:rPr>
    </w:lvl>
    <w:lvl w:ilvl="8" w:tplc="9D16DA0A" w:tentative="1">
      <w:start w:val="1"/>
      <w:numFmt w:val="bullet"/>
      <w:lvlText w:val=""/>
      <w:lvlJc w:val="left"/>
      <w:pPr>
        <w:ind w:left="6480" w:hanging="360"/>
      </w:pPr>
      <w:rPr>
        <w:rFonts w:ascii="Wingdings" w:hAnsi="Wingdings" w:hint="default"/>
      </w:rPr>
    </w:lvl>
  </w:abstractNum>
  <w:abstractNum w:abstractNumId="38" w15:restartNumberingAfterBreak="0">
    <w:nsid w:val="713A209A"/>
    <w:multiLevelType w:val="hybridMultilevel"/>
    <w:tmpl w:val="E884A1FC"/>
    <w:lvl w:ilvl="0" w:tplc="CEA41BEE">
      <w:start w:val="1"/>
      <w:numFmt w:val="bullet"/>
      <w:lvlText w:val=""/>
      <w:lvlJc w:val="left"/>
      <w:pPr>
        <w:ind w:left="720" w:hanging="360"/>
      </w:pPr>
      <w:rPr>
        <w:rFonts w:ascii="Symbol" w:hAnsi="Symbol" w:hint="default"/>
      </w:rPr>
    </w:lvl>
    <w:lvl w:ilvl="1" w:tplc="BD003208" w:tentative="1">
      <w:start w:val="1"/>
      <w:numFmt w:val="bullet"/>
      <w:lvlText w:val="o"/>
      <w:lvlJc w:val="left"/>
      <w:pPr>
        <w:ind w:left="1440" w:hanging="360"/>
      </w:pPr>
      <w:rPr>
        <w:rFonts w:ascii="Courier New" w:hAnsi="Courier New" w:cs="Courier New" w:hint="default"/>
      </w:rPr>
    </w:lvl>
    <w:lvl w:ilvl="2" w:tplc="C5AA7CEC" w:tentative="1">
      <w:start w:val="1"/>
      <w:numFmt w:val="bullet"/>
      <w:lvlText w:val=""/>
      <w:lvlJc w:val="left"/>
      <w:pPr>
        <w:ind w:left="2160" w:hanging="360"/>
      </w:pPr>
      <w:rPr>
        <w:rFonts w:ascii="Wingdings" w:hAnsi="Wingdings" w:hint="default"/>
      </w:rPr>
    </w:lvl>
    <w:lvl w:ilvl="3" w:tplc="02444310" w:tentative="1">
      <w:start w:val="1"/>
      <w:numFmt w:val="bullet"/>
      <w:lvlText w:val=""/>
      <w:lvlJc w:val="left"/>
      <w:pPr>
        <w:ind w:left="2880" w:hanging="360"/>
      </w:pPr>
      <w:rPr>
        <w:rFonts w:ascii="Symbol" w:hAnsi="Symbol" w:hint="default"/>
      </w:rPr>
    </w:lvl>
    <w:lvl w:ilvl="4" w:tplc="4B4E42F8" w:tentative="1">
      <w:start w:val="1"/>
      <w:numFmt w:val="bullet"/>
      <w:lvlText w:val="o"/>
      <w:lvlJc w:val="left"/>
      <w:pPr>
        <w:ind w:left="3600" w:hanging="360"/>
      </w:pPr>
      <w:rPr>
        <w:rFonts w:ascii="Courier New" w:hAnsi="Courier New" w:cs="Courier New" w:hint="default"/>
      </w:rPr>
    </w:lvl>
    <w:lvl w:ilvl="5" w:tplc="A3A44E3A" w:tentative="1">
      <w:start w:val="1"/>
      <w:numFmt w:val="bullet"/>
      <w:lvlText w:val=""/>
      <w:lvlJc w:val="left"/>
      <w:pPr>
        <w:ind w:left="4320" w:hanging="360"/>
      </w:pPr>
      <w:rPr>
        <w:rFonts w:ascii="Wingdings" w:hAnsi="Wingdings" w:hint="default"/>
      </w:rPr>
    </w:lvl>
    <w:lvl w:ilvl="6" w:tplc="6186DE54" w:tentative="1">
      <w:start w:val="1"/>
      <w:numFmt w:val="bullet"/>
      <w:lvlText w:val=""/>
      <w:lvlJc w:val="left"/>
      <w:pPr>
        <w:ind w:left="5040" w:hanging="360"/>
      </w:pPr>
      <w:rPr>
        <w:rFonts w:ascii="Symbol" w:hAnsi="Symbol" w:hint="default"/>
      </w:rPr>
    </w:lvl>
    <w:lvl w:ilvl="7" w:tplc="BE287AE0" w:tentative="1">
      <w:start w:val="1"/>
      <w:numFmt w:val="bullet"/>
      <w:lvlText w:val="o"/>
      <w:lvlJc w:val="left"/>
      <w:pPr>
        <w:ind w:left="5760" w:hanging="360"/>
      </w:pPr>
      <w:rPr>
        <w:rFonts w:ascii="Courier New" w:hAnsi="Courier New" w:cs="Courier New" w:hint="default"/>
      </w:rPr>
    </w:lvl>
    <w:lvl w:ilvl="8" w:tplc="4AECA702" w:tentative="1">
      <w:start w:val="1"/>
      <w:numFmt w:val="bullet"/>
      <w:lvlText w:val=""/>
      <w:lvlJc w:val="left"/>
      <w:pPr>
        <w:ind w:left="6480" w:hanging="360"/>
      </w:pPr>
      <w:rPr>
        <w:rFonts w:ascii="Wingdings" w:hAnsi="Wingdings" w:hint="default"/>
      </w:rPr>
    </w:lvl>
  </w:abstractNum>
  <w:abstractNum w:abstractNumId="39" w15:restartNumberingAfterBreak="0">
    <w:nsid w:val="7D126501"/>
    <w:multiLevelType w:val="hybridMultilevel"/>
    <w:tmpl w:val="320A0424"/>
    <w:lvl w:ilvl="0" w:tplc="1AF20FD0">
      <w:start w:val="1"/>
      <w:numFmt w:val="bullet"/>
      <w:lvlText w:val=""/>
      <w:lvlJc w:val="left"/>
      <w:pPr>
        <w:ind w:left="720" w:hanging="360"/>
      </w:pPr>
      <w:rPr>
        <w:rFonts w:ascii="Symbol" w:hAnsi="Symbol" w:hint="default"/>
      </w:rPr>
    </w:lvl>
    <w:lvl w:ilvl="1" w:tplc="FC166B56" w:tentative="1">
      <w:start w:val="1"/>
      <w:numFmt w:val="bullet"/>
      <w:lvlText w:val="o"/>
      <w:lvlJc w:val="left"/>
      <w:pPr>
        <w:ind w:left="1440" w:hanging="360"/>
      </w:pPr>
      <w:rPr>
        <w:rFonts w:ascii="Courier New" w:hAnsi="Courier New" w:cs="Courier New" w:hint="default"/>
      </w:rPr>
    </w:lvl>
    <w:lvl w:ilvl="2" w:tplc="3342B6D6" w:tentative="1">
      <w:start w:val="1"/>
      <w:numFmt w:val="bullet"/>
      <w:lvlText w:val=""/>
      <w:lvlJc w:val="left"/>
      <w:pPr>
        <w:ind w:left="2160" w:hanging="360"/>
      </w:pPr>
      <w:rPr>
        <w:rFonts w:ascii="Wingdings" w:hAnsi="Wingdings" w:hint="default"/>
      </w:rPr>
    </w:lvl>
    <w:lvl w:ilvl="3" w:tplc="E3DADF06" w:tentative="1">
      <w:start w:val="1"/>
      <w:numFmt w:val="bullet"/>
      <w:lvlText w:val=""/>
      <w:lvlJc w:val="left"/>
      <w:pPr>
        <w:ind w:left="2880" w:hanging="360"/>
      </w:pPr>
      <w:rPr>
        <w:rFonts w:ascii="Symbol" w:hAnsi="Symbol" w:hint="default"/>
      </w:rPr>
    </w:lvl>
    <w:lvl w:ilvl="4" w:tplc="6C46268E" w:tentative="1">
      <w:start w:val="1"/>
      <w:numFmt w:val="bullet"/>
      <w:lvlText w:val="o"/>
      <w:lvlJc w:val="left"/>
      <w:pPr>
        <w:ind w:left="3600" w:hanging="360"/>
      </w:pPr>
      <w:rPr>
        <w:rFonts w:ascii="Courier New" w:hAnsi="Courier New" w:cs="Courier New" w:hint="default"/>
      </w:rPr>
    </w:lvl>
    <w:lvl w:ilvl="5" w:tplc="5A609F28" w:tentative="1">
      <w:start w:val="1"/>
      <w:numFmt w:val="bullet"/>
      <w:lvlText w:val=""/>
      <w:lvlJc w:val="left"/>
      <w:pPr>
        <w:ind w:left="4320" w:hanging="360"/>
      </w:pPr>
      <w:rPr>
        <w:rFonts w:ascii="Wingdings" w:hAnsi="Wingdings" w:hint="default"/>
      </w:rPr>
    </w:lvl>
    <w:lvl w:ilvl="6" w:tplc="68A055EE" w:tentative="1">
      <w:start w:val="1"/>
      <w:numFmt w:val="bullet"/>
      <w:lvlText w:val=""/>
      <w:lvlJc w:val="left"/>
      <w:pPr>
        <w:ind w:left="5040" w:hanging="360"/>
      </w:pPr>
      <w:rPr>
        <w:rFonts w:ascii="Symbol" w:hAnsi="Symbol" w:hint="default"/>
      </w:rPr>
    </w:lvl>
    <w:lvl w:ilvl="7" w:tplc="FFACF61A" w:tentative="1">
      <w:start w:val="1"/>
      <w:numFmt w:val="bullet"/>
      <w:lvlText w:val="o"/>
      <w:lvlJc w:val="left"/>
      <w:pPr>
        <w:ind w:left="5760" w:hanging="360"/>
      </w:pPr>
      <w:rPr>
        <w:rFonts w:ascii="Courier New" w:hAnsi="Courier New" w:cs="Courier New" w:hint="default"/>
      </w:rPr>
    </w:lvl>
    <w:lvl w:ilvl="8" w:tplc="D0248A88"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32"/>
  </w:num>
  <w:num w:numId="4">
    <w:abstractNumId w:val="33"/>
  </w:num>
  <w:num w:numId="5">
    <w:abstractNumId w:val="11"/>
  </w:num>
  <w:num w:numId="6">
    <w:abstractNumId w:val="19"/>
  </w:num>
  <w:num w:numId="7">
    <w:abstractNumId w:val="30"/>
  </w:num>
  <w:num w:numId="8">
    <w:abstractNumId w:val="10"/>
  </w:num>
  <w:num w:numId="9">
    <w:abstractNumId w:val="25"/>
  </w:num>
  <w:num w:numId="10">
    <w:abstractNumId w:val="2"/>
  </w:num>
  <w:num w:numId="11">
    <w:abstractNumId w:val="22"/>
  </w:num>
  <w:num w:numId="12">
    <w:abstractNumId w:val="9"/>
  </w:num>
  <w:num w:numId="13">
    <w:abstractNumId w:val="12"/>
  </w:num>
  <w:num w:numId="14">
    <w:abstractNumId w:val="13"/>
  </w:num>
  <w:num w:numId="15">
    <w:abstractNumId w:val="39"/>
  </w:num>
  <w:num w:numId="16">
    <w:abstractNumId w:val="18"/>
  </w:num>
  <w:num w:numId="17">
    <w:abstractNumId w:val="5"/>
  </w:num>
  <w:num w:numId="18">
    <w:abstractNumId w:val="3"/>
  </w:num>
  <w:num w:numId="19">
    <w:abstractNumId w:val="34"/>
  </w:num>
  <w:num w:numId="20">
    <w:abstractNumId w:val="20"/>
  </w:num>
  <w:num w:numId="21">
    <w:abstractNumId w:val="29"/>
  </w:num>
  <w:num w:numId="22">
    <w:abstractNumId w:val="7"/>
  </w:num>
  <w:num w:numId="23">
    <w:abstractNumId w:val="37"/>
  </w:num>
  <w:num w:numId="24">
    <w:abstractNumId w:val="14"/>
  </w:num>
  <w:num w:numId="25">
    <w:abstractNumId w:val="16"/>
  </w:num>
  <w:num w:numId="26">
    <w:abstractNumId w:val="23"/>
  </w:num>
  <w:num w:numId="27">
    <w:abstractNumId w:val="1"/>
  </w:num>
  <w:num w:numId="28">
    <w:abstractNumId w:val="8"/>
  </w:num>
  <w:num w:numId="29">
    <w:abstractNumId w:val="0"/>
  </w:num>
  <w:num w:numId="30">
    <w:abstractNumId w:val="35"/>
  </w:num>
  <w:num w:numId="31">
    <w:abstractNumId w:val="21"/>
  </w:num>
  <w:num w:numId="32">
    <w:abstractNumId w:val="31"/>
  </w:num>
  <w:num w:numId="33">
    <w:abstractNumId w:val="4"/>
  </w:num>
  <w:num w:numId="34">
    <w:abstractNumId w:val="17"/>
  </w:num>
  <w:num w:numId="35">
    <w:abstractNumId w:val="36"/>
  </w:num>
  <w:num w:numId="36">
    <w:abstractNumId w:val="27"/>
  </w:num>
  <w:num w:numId="37">
    <w:abstractNumId w:val="38"/>
  </w:num>
  <w:num w:numId="38">
    <w:abstractNumId w:val="26"/>
  </w:num>
  <w:num w:numId="39">
    <w:abstractNumId w:val="28"/>
  </w:num>
  <w:num w:numId="40">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0A"/>
    <w:rsid w:val="000167EB"/>
    <w:rsid w:val="00026420"/>
    <w:rsid w:val="00027EE0"/>
    <w:rsid w:val="00071B00"/>
    <w:rsid w:val="000832BC"/>
    <w:rsid w:val="000A0894"/>
    <w:rsid w:val="000A3E17"/>
    <w:rsid w:val="000C7CD2"/>
    <w:rsid w:val="000D6FF2"/>
    <w:rsid w:val="00116172"/>
    <w:rsid w:val="0014517E"/>
    <w:rsid w:val="00157813"/>
    <w:rsid w:val="001647DD"/>
    <w:rsid w:val="00173FE3"/>
    <w:rsid w:val="00182E4A"/>
    <w:rsid w:val="001D095E"/>
    <w:rsid w:val="00241827"/>
    <w:rsid w:val="002746D6"/>
    <w:rsid w:val="002950A2"/>
    <w:rsid w:val="002E7877"/>
    <w:rsid w:val="002F1717"/>
    <w:rsid w:val="002F1A0E"/>
    <w:rsid w:val="002F24B4"/>
    <w:rsid w:val="00303553"/>
    <w:rsid w:val="00333A61"/>
    <w:rsid w:val="003451C6"/>
    <w:rsid w:val="003537B6"/>
    <w:rsid w:val="00384A2C"/>
    <w:rsid w:val="003E2E66"/>
    <w:rsid w:val="00404DB8"/>
    <w:rsid w:val="00434D33"/>
    <w:rsid w:val="00466A3A"/>
    <w:rsid w:val="00483C5F"/>
    <w:rsid w:val="004842DB"/>
    <w:rsid w:val="004F25B2"/>
    <w:rsid w:val="00532FA1"/>
    <w:rsid w:val="005572FF"/>
    <w:rsid w:val="0056240A"/>
    <w:rsid w:val="005A44A4"/>
    <w:rsid w:val="005C4295"/>
    <w:rsid w:val="00601F95"/>
    <w:rsid w:val="0065774F"/>
    <w:rsid w:val="006602ED"/>
    <w:rsid w:val="00681542"/>
    <w:rsid w:val="006A1506"/>
    <w:rsid w:val="006A7988"/>
    <w:rsid w:val="006B7CDA"/>
    <w:rsid w:val="006D4B7B"/>
    <w:rsid w:val="007123FF"/>
    <w:rsid w:val="007143D0"/>
    <w:rsid w:val="00784642"/>
    <w:rsid w:val="007B7971"/>
    <w:rsid w:val="00804904"/>
    <w:rsid w:val="00853DFA"/>
    <w:rsid w:val="008602F5"/>
    <w:rsid w:val="008821C5"/>
    <w:rsid w:val="00893C3F"/>
    <w:rsid w:val="008958F4"/>
    <w:rsid w:val="008C4DD5"/>
    <w:rsid w:val="008D144C"/>
    <w:rsid w:val="008F20DE"/>
    <w:rsid w:val="00921622"/>
    <w:rsid w:val="00953CA1"/>
    <w:rsid w:val="00960E14"/>
    <w:rsid w:val="00972168"/>
    <w:rsid w:val="009832D5"/>
    <w:rsid w:val="00992BB1"/>
    <w:rsid w:val="00995F6E"/>
    <w:rsid w:val="009A5258"/>
    <w:rsid w:val="009D119E"/>
    <w:rsid w:val="009D3991"/>
    <w:rsid w:val="00A140AA"/>
    <w:rsid w:val="00A24268"/>
    <w:rsid w:val="00A40874"/>
    <w:rsid w:val="00A47BF7"/>
    <w:rsid w:val="00A566E2"/>
    <w:rsid w:val="00A65AAB"/>
    <w:rsid w:val="00AA7262"/>
    <w:rsid w:val="00AB19F3"/>
    <w:rsid w:val="00B1154A"/>
    <w:rsid w:val="00B27B77"/>
    <w:rsid w:val="00BA209A"/>
    <w:rsid w:val="00BA43FD"/>
    <w:rsid w:val="00BF54B3"/>
    <w:rsid w:val="00C45A27"/>
    <w:rsid w:val="00C64F47"/>
    <w:rsid w:val="00CA034E"/>
    <w:rsid w:val="00CB67DC"/>
    <w:rsid w:val="00CC6C73"/>
    <w:rsid w:val="00CE772C"/>
    <w:rsid w:val="00D07C45"/>
    <w:rsid w:val="00D13BCA"/>
    <w:rsid w:val="00D301CF"/>
    <w:rsid w:val="00D32908"/>
    <w:rsid w:val="00D85041"/>
    <w:rsid w:val="00DA5598"/>
    <w:rsid w:val="00DB4B03"/>
    <w:rsid w:val="00DD50B6"/>
    <w:rsid w:val="00E01DD4"/>
    <w:rsid w:val="00E27A53"/>
    <w:rsid w:val="00E525A4"/>
    <w:rsid w:val="00E735EB"/>
    <w:rsid w:val="00EA0385"/>
    <w:rsid w:val="00EA32EE"/>
    <w:rsid w:val="00EB1FB3"/>
    <w:rsid w:val="00EC75E9"/>
    <w:rsid w:val="00F27EA6"/>
    <w:rsid w:val="00F4762A"/>
    <w:rsid w:val="00F762B3"/>
    <w:rsid w:val="00F84D66"/>
    <w:rsid w:val="00F95E9F"/>
    <w:rsid w:val="00FC4A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1376D38"/>
  <w15:docId w15:val="{FA3EAC4F-E184-4D40-BF44-78414F3E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numPr>
        <w:numId w:val="6"/>
      </w:numPr>
      <w:spacing w:after="240" w:line="240" w:lineRule="auto"/>
      <w:ind w:left="720"/>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numPr>
        <w:ilvl w:val="1"/>
        <w:numId w:val="6"/>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numPr>
        <w:ilvl w:val="2"/>
        <w:numId w:val="6"/>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8"/>
      </w:numPr>
      <w:tabs>
        <w:tab w:val="left" w:pos="142"/>
      </w:tabs>
      <w:spacing w:before="120" w:after="120"/>
    </w:pPr>
  </w:style>
  <w:style w:type="paragraph" w:styleId="ListNumber2">
    <w:name w:val="List Number 2"/>
    <w:uiPriority w:val="10"/>
    <w:qFormat/>
    <w:pPr>
      <w:numPr>
        <w:ilvl w:val="1"/>
        <w:numId w:val="8"/>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10"/>
      </w:numPr>
      <w:tabs>
        <w:tab w:val="num" w:pos="284"/>
      </w:tabs>
      <w:ind w:left="568" w:hanging="284"/>
    </w:pPr>
  </w:style>
  <w:style w:type="numbering" w:customStyle="1" w:styleId="TableBulletlist">
    <w:name w:val="Table Bullet list"/>
    <w:uiPriority w:val="99"/>
    <w:pPr>
      <w:numPr>
        <w:numId w:val="9"/>
      </w:numPr>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E525A4"/>
    <w:pPr>
      <w:ind w:left="720"/>
      <w:contextualSpacing/>
    </w:pPr>
  </w:style>
  <w:style w:type="numbering" w:customStyle="1" w:styleId="ListBullets">
    <w:name w:val="ListBullets"/>
    <w:uiPriority w:val="99"/>
    <w:rsid w:val="00853DFA"/>
    <w:pPr>
      <w:numPr>
        <w:numId w:val="22"/>
      </w:numPr>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rsid w:val="00853DFA"/>
    <w:rPr>
      <w:rFonts w:eastAsiaTheme="minorHAnsi" w:cstheme="minorBidi"/>
      <w:sz w:val="22"/>
      <w:szCs w:val="22"/>
      <w:lang w:eastAsia="en-US"/>
    </w:rPr>
  </w:style>
  <w:style w:type="paragraph" w:customStyle="1" w:styleId="Default">
    <w:name w:val="Default"/>
    <w:rsid w:val="00A24268"/>
    <w:pPr>
      <w:autoSpaceDE w:val="0"/>
      <w:autoSpaceDN w:val="0"/>
      <w:adjustRightInd w:val="0"/>
    </w:pPr>
    <w:rPr>
      <w:rFonts w:ascii="EYInterstate" w:eastAsia="Calibri" w:hAnsi="EYInterstate" w:cs="EYInterstat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c.gov.au/focus-areas/market-studies/cattle-and-beef-market-study" TargetMode="External"/><Relationship Id="rId18" Type="http://schemas.openxmlformats.org/officeDocument/2006/relationships/hyperlink" Target="https://www.ampc.com.au/projects/final-report-of-independent-review"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rmac.com.au/mo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griculture.gov.au/about/reporting/obligations/government-responses/market-consolidation-red-meat-processing-secto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tainableaustralianbeef.com.au/annual-update" TargetMode="External"/><Relationship Id="rId20" Type="http://schemas.openxmlformats.org/officeDocument/2006/relationships/hyperlink" Target="http://rmac.com.au/wp-content/uploads/2016/12/Red-Meat-MO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usmeat.com.au/about-us/history/" TargetMode="External"/><Relationship Id="rId23" Type="http://schemas.openxmlformats.org/officeDocument/2006/relationships/hyperlink" Target="https://www.scottautomation.com/products/dex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la.com.au/news-and-events/industry-news/mla-to-install-objective-measurement-across-indus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mtechau.com/about" TargetMode="External"/><Relationship Id="rId22" Type="http://schemas.openxmlformats.org/officeDocument/2006/relationships/hyperlink" Target="https://www.aph.gov.au/Parliamentary_Business/Committees/Senate/Rural_and_Regional_Affairs_and_Transport/Red_meat_processin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7cf0e0db-f490-4122-abae-21917392c748">Style guides and writing</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openxmlformats.org/package/2006/metadata/core-properties"/>
    <ds:schemaRef ds:uri="http://schemas.microsoft.com/office/2006/documentManagement/types"/>
    <ds:schemaRef ds:uri="http://schemas.microsoft.com/office/infopath/2007/PartnerControls"/>
    <ds:schemaRef ds:uri="7cf0e0db-f490-4122-abae-21917392c748"/>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E669B487-A0C9-454B-9C55-CA6D2878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23</Pages>
  <Words>7442</Words>
  <Characters>42424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AUS-MEAT Capability Assessment Review</vt:lpstr>
    </vt:vector>
  </TitlesOfParts>
  <Company/>
  <LinksUpToDate>false</LinksUpToDate>
  <CharactersWithSpaces>49767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AUS-MEAT Capability Assessment Review</dc:title>
  <dc:creator>Department of Agriculture and Water Resources</dc:creator>
  <cp:lastModifiedBy>Mohan, Candice</cp:lastModifiedBy>
  <cp:revision>10</cp:revision>
  <cp:lastPrinted>2019-11-08T02:21:00Z</cp:lastPrinted>
  <dcterms:created xsi:type="dcterms:W3CDTF">2019-05-09T03:23:00Z</dcterms:created>
  <dcterms:modified xsi:type="dcterms:W3CDTF">2019-11-08T02:21:00Z</dcterms:modified>
</cp:coreProperties>
</file>