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E2" w:rsidRDefault="0051350F" w:rsidP="00D332F4">
      <w:pPr>
        <w:ind w:left="-1134"/>
        <w:rPr>
          <w:rFonts w:ascii="Arial" w:hAnsi="Arial" w:cs="Arial"/>
          <w:b/>
          <w:sz w:val="22"/>
          <w:szCs w:val="22"/>
        </w:rPr>
        <w:sectPr w:rsidR="006C67E2" w:rsidSect="008F28EA">
          <w:pgSz w:w="11907" w:h="16840" w:code="9"/>
          <w:pgMar w:top="284" w:right="1134" w:bottom="142" w:left="1418" w:header="284" w:footer="590" w:gutter="0"/>
          <w:pgNumType w:start="1"/>
          <w:cols w:space="720"/>
        </w:sectPr>
      </w:pPr>
      <w:r w:rsidRPr="0051350F">
        <w:rPr>
          <w:noProof/>
          <w:lang w:eastAsia="en-AU"/>
        </w:rPr>
        <w:pict>
          <v:shapetype id="_x0000_t202" coordsize="21600,21600" o:spt="202" path="m,l,21600r21600,l21600,xe">
            <v:stroke joinstyle="miter"/>
            <v:path gradientshapeok="t" o:connecttype="rect"/>
          </v:shapetype>
          <v:shape id="Text Box 3" o:spid="_x0000_s1026" type="#_x0000_t202" style="position:absolute;left:0;text-align:left;margin-left:-22.55pt;margin-top:256.6pt;width:494.3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" filled="f" stroked="f">
            <v:textbox>
              <w:txbxContent>
                <w:p w:rsidR="00442CB5" w:rsidRDefault="00442CB5" w:rsidP="00EA5B6A">
                  <w:pPr>
                    <w:rPr>
                      <w:rFonts w:ascii="Arial" w:hAnsi="Arial" w:cs="Arial"/>
                      <w:sz w:val="28"/>
                      <w:szCs w:val="28"/>
                    </w:rPr>
                  </w:pPr>
                </w:p>
                <w:p w:rsidR="00442CB5" w:rsidRPr="008F28EA" w:rsidRDefault="00442CB5" w:rsidP="00EA5B6A">
                  <w:pPr>
                    <w:rPr>
                      <w:rFonts w:ascii="Arial" w:hAnsi="Arial" w:cs="Arial"/>
                      <w:sz w:val="28"/>
                      <w:szCs w:val="28"/>
                    </w:rPr>
                  </w:pPr>
                  <w:r w:rsidRPr="008F28EA">
                    <w:rPr>
                      <w:rFonts w:ascii="Arial" w:hAnsi="Arial" w:cs="Arial"/>
                      <w:sz w:val="28"/>
                      <w:szCs w:val="28"/>
                    </w:rPr>
                    <w:t>Prepared for</w:t>
                  </w:r>
                </w:p>
                <w:p w:rsidR="00442CB5" w:rsidRPr="002357CA" w:rsidRDefault="00442CB5" w:rsidP="00EA5B6A">
                  <w:pPr>
                    <w:rPr>
                      <w:rFonts w:ascii="Arial" w:hAnsi="Arial" w:cs="Arial"/>
                      <w:color w:val="CC3300"/>
                      <w:sz w:val="40"/>
                      <w:szCs w:val="40"/>
                    </w:rPr>
                  </w:pPr>
                  <w:r>
                    <w:rPr>
                      <w:rFonts w:ascii="Arial" w:hAnsi="Arial" w:cs="Arial"/>
                      <w:color w:val="CC3300"/>
                      <w:sz w:val="40"/>
                      <w:szCs w:val="40"/>
                    </w:rPr>
                    <w:t>Department of the Environment</w:t>
                  </w:r>
                </w:p>
                <w:p w:rsidR="00442CB5" w:rsidRDefault="00442CB5" w:rsidP="00EA5B6A">
                  <w:pPr>
                    <w:rPr>
                      <w:rFonts w:ascii="Arial" w:hAnsi="Arial" w:cs="Arial"/>
                      <w:color w:val="800000"/>
                      <w:sz w:val="28"/>
                      <w:szCs w:val="28"/>
                    </w:rPr>
                  </w:pPr>
                </w:p>
                <w:p w:rsidR="00442CB5" w:rsidRPr="002357CA" w:rsidRDefault="00442CB5" w:rsidP="00EA5B6A">
                  <w:pPr>
                    <w:rPr>
                      <w:rFonts w:ascii="Arial" w:hAnsi="Arial" w:cs="Arial"/>
                      <w:sz w:val="28"/>
                      <w:szCs w:val="28"/>
                    </w:rPr>
                  </w:pPr>
                  <w:r w:rsidRPr="002357CA">
                    <w:rPr>
                      <w:rFonts w:ascii="Arial" w:hAnsi="Arial" w:cs="Arial"/>
                      <w:sz w:val="28"/>
                      <w:szCs w:val="28"/>
                    </w:rPr>
                    <w:t>Subject</w:t>
                  </w:r>
                </w:p>
                <w:p w:rsidR="00442CB5" w:rsidRPr="008A7B81" w:rsidRDefault="00442CB5" w:rsidP="00EA5B6A">
                  <w:pPr>
                    <w:rPr>
                      <w:rFonts w:ascii="Arial" w:hAnsi="Arial" w:cs="Arial"/>
                      <w:color w:val="CC3300"/>
                      <w:sz w:val="40"/>
                      <w:szCs w:val="40"/>
                    </w:rPr>
                  </w:pPr>
                  <w:r>
                    <w:rPr>
                      <w:rFonts w:ascii="Arial" w:hAnsi="Arial" w:cs="Arial"/>
                      <w:color w:val="CC3300"/>
                      <w:sz w:val="40"/>
                      <w:szCs w:val="40"/>
                    </w:rPr>
                    <w:t>Australian Motor Vehicle Emission Inventory for the National Pollutant Inventory (NPI)</w:t>
                  </w:r>
                </w:p>
                <w:p w:rsidR="00442CB5" w:rsidRDefault="00442CB5" w:rsidP="00EA5B6A">
                  <w:pPr>
                    <w:rPr>
                      <w:rFonts w:ascii="Arial" w:hAnsi="Arial" w:cs="Arial"/>
                      <w:color w:val="800000"/>
                      <w:sz w:val="28"/>
                      <w:szCs w:val="28"/>
                    </w:rPr>
                  </w:pPr>
                </w:p>
                <w:p w:rsidR="00442CB5" w:rsidRDefault="00442CB5" w:rsidP="00EA5B6A">
                  <w:pPr>
                    <w:rPr>
                      <w:rFonts w:ascii="Arial" w:hAnsi="Arial" w:cs="Arial"/>
                      <w:color w:val="800000"/>
                      <w:sz w:val="28"/>
                      <w:szCs w:val="28"/>
                    </w:rPr>
                  </w:pPr>
                </w:p>
                <w:p w:rsidR="00442CB5" w:rsidRPr="002357CA" w:rsidRDefault="00442CB5" w:rsidP="00EA5B6A">
                  <w:pPr>
                    <w:rPr>
                      <w:rFonts w:ascii="Arial" w:hAnsi="Arial" w:cs="Arial"/>
                      <w:sz w:val="28"/>
                      <w:szCs w:val="28"/>
                    </w:rPr>
                  </w:pPr>
                  <w:r w:rsidRPr="002357CA">
                    <w:rPr>
                      <w:rFonts w:ascii="Arial" w:hAnsi="Arial" w:cs="Arial"/>
                      <w:sz w:val="28"/>
                      <w:szCs w:val="28"/>
                    </w:rPr>
                    <w:t>Author</w:t>
                  </w:r>
                </w:p>
                <w:p w:rsidR="00442CB5" w:rsidRPr="002357CA" w:rsidRDefault="00442CB5" w:rsidP="00EA5B6A">
                  <w:pPr>
                    <w:rPr>
                      <w:rFonts w:ascii="Arial" w:hAnsi="Arial" w:cs="Arial"/>
                      <w:color w:val="CC3300"/>
                      <w:sz w:val="40"/>
                      <w:szCs w:val="40"/>
                    </w:rPr>
                  </w:pPr>
                  <w:r>
                    <w:rPr>
                      <w:rFonts w:ascii="Arial" w:hAnsi="Arial" w:cs="Arial"/>
                      <w:color w:val="CC3300"/>
                      <w:sz w:val="40"/>
                      <w:szCs w:val="40"/>
                    </w:rPr>
                    <w:t>Dr Robin Smit</w:t>
                  </w:r>
                </w:p>
                <w:p w:rsidR="00442CB5" w:rsidRPr="006F7AD2" w:rsidRDefault="00442CB5" w:rsidP="00EA5B6A">
                  <w:pPr>
                    <w:rPr>
                      <w:rFonts w:ascii="Arial" w:hAnsi="Arial" w:cs="Arial"/>
                      <w:sz w:val="28"/>
                      <w:szCs w:val="28"/>
                    </w:rPr>
                  </w:pPr>
                </w:p>
                <w:p w:rsidR="00442CB5" w:rsidRDefault="00442CB5" w:rsidP="00EA5B6A">
                  <w:pPr>
                    <w:rPr>
                      <w:rFonts w:ascii="Arial" w:hAnsi="Arial" w:cs="Arial"/>
                      <w:sz w:val="28"/>
                      <w:szCs w:val="28"/>
                    </w:rPr>
                  </w:pPr>
                  <w:r>
                    <w:rPr>
                      <w:rFonts w:ascii="Arial" w:hAnsi="Arial" w:cs="Arial"/>
                      <w:sz w:val="28"/>
                      <w:szCs w:val="28"/>
                    </w:rPr>
                    <w:t>2 August 2014</w:t>
                  </w:r>
                </w:p>
                <w:p w:rsidR="00442CB5" w:rsidRPr="006F7AD2" w:rsidRDefault="00442CB5" w:rsidP="00EA5B6A">
                  <w:pPr>
                    <w:rPr>
                      <w:rFonts w:ascii="Arial" w:hAnsi="Arial" w:cs="Arial"/>
                      <w:sz w:val="28"/>
                      <w:szCs w:val="28"/>
                    </w:rPr>
                  </w:pPr>
                </w:p>
                <w:p w:rsidR="00442CB5" w:rsidRPr="006F7AD2" w:rsidRDefault="00442CB5" w:rsidP="00EA5B6A">
                  <w:pPr>
                    <w:rPr>
                      <w:rFonts w:ascii="Arial" w:hAnsi="Arial" w:cs="Arial"/>
                      <w:sz w:val="28"/>
                      <w:szCs w:val="28"/>
                    </w:rPr>
                  </w:pPr>
                  <w:proofErr w:type="spellStart"/>
                  <w:r w:rsidRPr="006F7AD2">
                    <w:rPr>
                      <w:rFonts w:ascii="Arial" w:hAnsi="Arial" w:cs="Arial"/>
                      <w:sz w:val="28"/>
                      <w:szCs w:val="28"/>
                    </w:rPr>
                    <w:t>UniQuest</w:t>
                  </w:r>
                  <w:proofErr w:type="spellEnd"/>
                  <w:r w:rsidRPr="006F7AD2">
                    <w:rPr>
                      <w:rFonts w:ascii="Arial" w:hAnsi="Arial" w:cs="Arial"/>
                      <w:sz w:val="28"/>
                      <w:szCs w:val="28"/>
                    </w:rPr>
                    <w:t xml:space="preserve"> Project No: </w:t>
                  </w:r>
                  <w:r>
                    <w:rPr>
                      <w:rFonts w:ascii="Arial" w:hAnsi="Arial" w:cs="Arial"/>
                      <w:sz w:val="28"/>
                      <w:szCs w:val="28"/>
                    </w:rPr>
                    <w:t>C01772</w:t>
                  </w:r>
                </w:p>
              </w:txbxContent>
            </v:textbox>
          </v:shape>
        </w:pict>
      </w:r>
      <w:r w:rsidR="006C67E2">
        <w:rPr>
          <w:noProof/>
          <w:lang w:eastAsia="en-AU"/>
        </w:rPr>
        <w:drawing>
          <wp:anchor distT="0" distB="0" distL="114300" distR="114300" simplePos="0" relativeHeight="251661312" behindDoc="0" locked="0" layoutInCell="1" allowOverlap="1">
            <wp:simplePos x="0" y="0"/>
            <wp:positionH relativeFrom="column">
              <wp:posOffset>-846455</wp:posOffset>
            </wp:positionH>
            <wp:positionV relativeFrom="paragraph">
              <wp:posOffset>-72390</wp:posOffset>
            </wp:positionV>
            <wp:extent cx="7367905" cy="10426700"/>
            <wp:effectExtent l="0" t="0" r="4445" b="0"/>
            <wp:wrapSquare wrapText="bothSides"/>
            <wp:docPr id="4" name="Picture 4" descr="T:\ExCom Research\1 Client Template Documents\Report Cover Pag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Com Research\1 Client Template Documents\Report Cover Page_201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67905" cy="10426700"/>
                    </a:xfrm>
                    <a:prstGeom prst="rect">
                      <a:avLst/>
                    </a:prstGeom>
                    <a:noFill/>
                    <a:ln>
                      <a:noFill/>
                    </a:ln>
                  </pic:spPr>
                </pic:pic>
              </a:graphicData>
            </a:graphic>
          </wp:anchor>
        </w:drawing>
      </w:r>
    </w:p>
    <w:p w:rsidR="00974A30" w:rsidRDefault="00974A30" w:rsidP="008F28EA">
      <w:pPr>
        <w:ind w:left="-1134"/>
        <w:rPr>
          <w:rFonts w:ascii="Arial" w:hAnsi="Arial" w:cs="Arial"/>
          <w:b/>
          <w:sz w:val="22"/>
          <w:szCs w:val="22"/>
        </w:rPr>
      </w:pPr>
    </w:p>
    <w:p w:rsidR="00974A30" w:rsidRDefault="00974A30" w:rsidP="008F28EA">
      <w:pPr>
        <w:tabs>
          <w:tab w:val="left" w:pos="2595"/>
        </w:tabs>
        <w:ind w:left="-1134"/>
        <w:rPr>
          <w:rFonts w:ascii="Arial" w:hAnsi="Arial" w:cs="Arial"/>
          <w:sz w:val="22"/>
          <w:szCs w:val="22"/>
        </w:rPr>
      </w:pPr>
      <w:r>
        <w:rPr>
          <w:rFonts w:ascii="Arial" w:hAnsi="Arial" w:cs="Arial"/>
          <w:sz w:val="22"/>
          <w:szCs w:val="22"/>
        </w:rPr>
        <w:tab/>
      </w:r>
    </w:p>
    <w:p w:rsidR="00974A30" w:rsidRDefault="00974A30" w:rsidP="008F28EA">
      <w:pPr>
        <w:tabs>
          <w:tab w:val="left" w:pos="2595"/>
        </w:tabs>
        <w:ind w:left="-1134"/>
        <w:rPr>
          <w:rFonts w:ascii="Arial" w:hAnsi="Arial" w:cs="Arial"/>
          <w:sz w:val="22"/>
          <w:szCs w:val="22"/>
        </w:rPr>
      </w:pPr>
    </w:p>
    <w:p w:rsidR="00974A30" w:rsidRDefault="00974A30" w:rsidP="00522EA6">
      <w:pPr>
        <w:jc w:val="center"/>
        <w:rPr>
          <w:rFonts w:ascii="Arial" w:hAnsi="Arial" w:cs="Arial"/>
          <w:b/>
          <w:sz w:val="26"/>
          <w:szCs w:val="26"/>
        </w:rPr>
      </w:pPr>
    </w:p>
    <w:p w:rsidR="007A72DB" w:rsidRDefault="007A72DB" w:rsidP="00522EA6">
      <w:pPr>
        <w:jc w:val="center"/>
        <w:rPr>
          <w:rFonts w:ascii="Arial" w:hAnsi="Arial" w:cs="Arial"/>
          <w:b/>
          <w:sz w:val="26"/>
          <w:szCs w:val="26"/>
        </w:rPr>
      </w:pPr>
    </w:p>
    <w:p w:rsidR="007A72DB" w:rsidRDefault="007A72DB" w:rsidP="00522EA6">
      <w:pPr>
        <w:jc w:val="center"/>
        <w:rPr>
          <w:rFonts w:ascii="Arial" w:hAnsi="Arial" w:cs="Arial"/>
          <w:b/>
          <w:sz w:val="26"/>
          <w:szCs w:val="26"/>
        </w:rPr>
      </w:pPr>
    </w:p>
    <w:p w:rsidR="007A72DB" w:rsidRDefault="007A72DB" w:rsidP="00522EA6">
      <w:pPr>
        <w:jc w:val="center"/>
        <w:rPr>
          <w:rFonts w:ascii="Arial" w:hAnsi="Arial" w:cs="Arial"/>
          <w:b/>
          <w:sz w:val="26"/>
          <w:szCs w:val="26"/>
        </w:rPr>
      </w:pPr>
    </w:p>
    <w:p w:rsidR="007A72DB" w:rsidRDefault="007A72DB" w:rsidP="00522EA6">
      <w:pPr>
        <w:jc w:val="center"/>
        <w:rPr>
          <w:rFonts w:ascii="Arial" w:hAnsi="Arial" w:cs="Arial"/>
          <w:b/>
          <w:sz w:val="26"/>
          <w:szCs w:val="26"/>
        </w:rPr>
      </w:pPr>
    </w:p>
    <w:p w:rsidR="00974A30" w:rsidRDefault="00974A30" w:rsidP="00522EA6">
      <w:pPr>
        <w:jc w:val="center"/>
        <w:rPr>
          <w:rFonts w:ascii="Arial" w:hAnsi="Arial" w:cs="Arial"/>
          <w:b/>
          <w:sz w:val="26"/>
          <w:szCs w:val="26"/>
        </w:rPr>
      </w:pPr>
      <w:r>
        <w:rPr>
          <w:rFonts w:ascii="Arial" w:hAnsi="Arial" w:cs="Arial"/>
          <w:b/>
          <w:sz w:val="26"/>
          <w:szCs w:val="26"/>
        </w:rPr>
        <w:t>Title</w:t>
      </w:r>
    </w:p>
    <w:p w:rsidR="00B7764C" w:rsidRDefault="00B7764C" w:rsidP="00522EA6">
      <w:pPr>
        <w:jc w:val="center"/>
        <w:rPr>
          <w:rFonts w:ascii="Arial" w:hAnsi="Arial" w:cs="Arial"/>
          <w:sz w:val="26"/>
          <w:szCs w:val="26"/>
        </w:rPr>
      </w:pPr>
      <w:r>
        <w:rPr>
          <w:rFonts w:ascii="Arial" w:hAnsi="Arial" w:cs="Arial"/>
          <w:sz w:val="26"/>
          <w:szCs w:val="26"/>
        </w:rPr>
        <w:t xml:space="preserve">Australian Motor Vehicle Emission Inventory for the </w:t>
      </w:r>
    </w:p>
    <w:p w:rsidR="00974A30" w:rsidRPr="00650500" w:rsidRDefault="00B7764C" w:rsidP="00522EA6">
      <w:pPr>
        <w:jc w:val="center"/>
        <w:rPr>
          <w:rFonts w:ascii="Arial" w:hAnsi="Arial" w:cs="Arial"/>
          <w:sz w:val="26"/>
          <w:szCs w:val="26"/>
        </w:rPr>
      </w:pPr>
      <w:r>
        <w:rPr>
          <w:rFonts w:ascii="Arial" w:hAnsi="Arial" w:cs="Arial"/>
          <w:sz w:val="26"/>
          <w:szCs w:val="26"/>
        </w:rPr>
        <w:t>National Pollutant Inventory (NPI)</w:t>
      </w:r>
    </w:p>
    <w:p w:rsidR="00974A30" w:rsidRDefault="00974A30" w:rsidP="00522EA6">
      <w:pPr>
        <w:jc w:val="center"/>
        <w:rPr>
          <w:rFonts w:ascii="Arial" w:hAnsi="Arial" w:cs="Arial"/>
          <w:b/>
          <w:sz w:val="26"/>
          <w:szCs w:val="26"/>
        </w:rPr>
      </w:pPr>
    </w:p>
    <w:p w:rsidR="00CD78DB" w:rsidRDefault="00CD78DB" w:rsidP="00522EA6">
      <w:pPr>
        <w:jc w:val="center"/>
        <w:rPr>
          <w:rFonts w:ascii="Arial" w:hAnsi="Arial" w:cs="Arial"/>
          <w:b/>
          <w:sz w:val="26"/>
          <w:szCs w:val="26"/>
        </w:rPr>
      </w:pPr>
    </w:p>
    <w:p w:rsidR="00974A30" w:rsidRPr="000C3EAE" w:rsidRDefault="00974A30" w:rsidP="00522EA6">
      <w:pPr>
        <w:jc w:val="center"/>
        <w:rPr>
          <w:rFonts w:ascii="Arial" w:hAnsi="Arial" w:cs="Arial"/>
          <w:b/>
          <w:sz w:val="26"/>
          <w:szCs w:val="26"/>
        </w:rPr>
      </w:pPr>
      <w:r w:rsidRPr="000C3EAE">
        <w:rPr>
          <w:rFonts w:ascii="Arial" w:hAnsi="Arial" w:cs="Arial"/>
          <w:b/>
          <w:sz w:val="26"/>
          <w:szCs w:val="26"/>
        </w:rPr>
        <w:t>D</w:t>
      </w:r>
      <w:r w:rsidR="00CB2500">
        <w:rPr>
          <w:rFonts w:ascii="Arial" w:hAnsi="Arial" w:cs="Arial"/>
          <w:b/>
          <w:sz w:val="26"/>
          <w:szCs w:val="26"/>
        </w:rPr>
        <w:t>isclaimer</w:t>
      </w:r>
    </w:p>
    <w:p w:rsidR="00CB2500" w:rsidRPr="003D0FA7" w:rsidRDefault="00CB2500" w:rsidP="00CB2500">
      <w:pPr>
        <w:jc w:val="both"/>
        <w:rPr>
          <w:rFonts w:ascii="Arial" w:hAnsi="Arial" w:cs="Arial"/>
          <w:sz w:val="22"/>
          <w:szCs w:val="22"/>
        </w:rPr>
      </w:pPr>
      <w:r w:rsidRPr="003D0FA7">
        <w:rPr>
          <w:rFonts w:ascii="Arial" w:hAnsi="Arial" w:cs="Arial"/>
          <w:sz w:val="22"/>
          <w:szCs w:val="22"/>
        </w:rPr>
        <w:t xml:space="preserve">This report and the data on which it is based are prepared solely for the use of the person or corporation to whom it is addressed.  It may not be used or relied upon by any other person or entity.  No warranty is given to any other person as to the accuracy of any of the information, data or opinions expressed herein.  The author expressly disclaims all liability and responsibility whatsoever to the maximum extent possible by law in relation to any unauthorised use of this report. </w:t>
      </w:r>
    </w:p>
    <w:p w:rsidR="00974A30" w:rsidRPr="003D0FA7" w:rsidRDefault="00974A30" w:rsidP="00CB2500">
      <w:pPr>
        <w:jc w:val="both"/>
        <w:rPr>
          <w:rFonts w:ascii="Arial" w:hAnsi="Arial" w:cs="Arial"/>
          <w:sz w:val="22"/>
          <w:szCs w:val="22"/>
        </w:rPr>
      </w:pPr>
    </w:p>
    <w:p w:rsidR="00974A30" w:rsidRPr="003D0FA7" w:rsidRDefault="00974A30" w:rsidP="00522EA6">
      <w:pPr>
        <w:rPr>
          <w:rFonts w:ascii="Arial" w:hAnsi="Arial" w:cs="Arial"/>
          <w:sz w:val="22"/>
          <w:szCs w:val="22"/>
        </w:rPr>
      </w:pPr>
      <w:r w:rsidRPr="003D0FA7">
        <w:rPr>
          <w:rFonts w:ascii="Arial" w:hAnsi="Arial" w:cs="Arial"/>
          <w:sz w:val="22"/>
          <w:szCs w:val="22"/>
        </w:rPr>
        <w:t>The work and opinions expressed in this report are those of the Author.</w:t>
      </w:r>
    </w:p>
    <w:p w:rsidR="00974A30" w:rsidRPr="00650500" w:rsidRDefault="00974A30" w:rsidP="00522EA6">
      <w:pPr>
        <w:rPr>
          <w:rFonts w:ascii="Arial" w:hAnsi="Arial" w:cs="Arial"/>
          <w:b/>
          <w:sz w:val="22"/>
          <w:szCs w:val="22"/>
        </w:rPr>
        <w:sectPr w:rsidR="00974A30" w:rsidRPr="00650500" w:rsidSect="008F28EA">
          <w:pgSz w:w="11907" w:h="16840" w:code="9"/>
          <w:pgMar w:top="284" w:right="1134" w:bottom="142" w:left="1418" w:header="284" w:footer="590" w:gutter="0"/>
          <w:pgNumType w:start="1"/>
          <w:cols w:space="720"/>
        </w:sectPr>
      </w:pPr>
    </w:p>
    <w:p w:rsidR="00974A30" w:rsidRPr="00842183" w:rsidRDefault="00974A30" w:rsidP="007A72DB">
      <w:pPr>
        <w:jc w:val="center"/>
        <w:rPr>
          <w:rFonts w:ascii="Arial" w:hAnsi="Arial" w:cs="Arial"/>
          <w:b/>
          <w:bCs/>
          <w:sz w:val="22"/>
          <w:szCs w:val="22"/>
        </w:rPr>
      </w:pPr>
      <w:r w:rsidRPr="00842183">
        <w:rPr>
          <w:rFonts w:ascii="Arial" w:hAnsi="Arial" w:cs="Arial"/>
          <w:b/>
          <w:bCs/>
          <w:sz w:val="22"/>
          <w:szCs w:val="22"/>
        </w:rPr>
        <w:lastRenderedPageBreak/>
        <w:t>TABLE OF CONTENTS</w:t>
      </w:r>
    </w:p>
    <w:p w:rsidR="00974A30" w:rsidRPr="00842183" w:rsidRDefault="00974A30" w:rsidP="00F67558">
      <w:pPr>
        <w:pStyle w:val="Heading1"/>
        <w:numPr>
          <w:ilvl w:val="0"/>
          <w:numId w:val="0"/>
        </w:numPr>
        <w:spacing w:line="360" w:lineRule="auto"/>
        <w:rPr>
          <w:rFonts w:ascii="Arial" w:hAnsi="Arial" w:cs="Arial"/>
          <w:bCs/>
          <w:sz w:val="22"/>
          <w:szCs w:val="22"/>
        </w:rPr>
      </w:pPr>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r w:rsidRPr="0051350F">
        <w:rPr>
          <w:rFonts w:ascii="Arial" w:hAnsi="Arial" w:cs="Arial"/>
          <w:b w:val="0"/>
          <w:sz w:val="22"/>
          <w:szCs w:val="22"/>
        </w:rPr>
        <w:fldChar w:fldCharType="begin"/>
      </w:r>
      <w:r w:rsidR="00974A30" w:rsidRPr="009616BA">
        <w:rPr>
          <w:rFonts w:ascii="Arial" w:hAnsi="Arial" w:cs="Arial"/>
          <w:b w:val="0"/>
          <w:sz w:val="22"/>
          <w:szCs w:val="22"/>
        </w:rPr>
        <w:instrText xml:space="preserve"> TOC \o "1-3" \h \z \u </w:instrText>
      </w:r>
      <w:r w:rsidRPr="0051350F">
        <w:rPr>
          <w:rFonts w:ascii="Arial" w:hAnsi="Arial" w:cs="Arial"/>
          <w:b w:val="0"/>
          <w:sz w:val="22"/>
          <w:szCs w:val="22"/>
        </w:rPr>
        <w:fldChar w:fldCharType="separate"/>
      </w:r>
      <w:hyperlink w:anchor="_Toc394993185" w:history="1">
        <w:r w:rsidR="009616BA" w:rsidRPr="009616BA">
          <w:rPr>
            <w:rStyle w:val="Hyperlink"/>
            <w:rFonts w:ascii="Arial" w:hAnsi="Arial" w:cs="Arial"/>
            <w:b w:val="0"/>
            <w:noProof/>
            <w:sz w:val="22"/>
            <w:szCs w:val="22"/>
            <w:u w:val="none"/>
          </w:rPr>
          <w:t>GLOSSARY</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_Toc394993185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2</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86" w:history="1">
        <w:r w:rsidR="009616BA" w:rsidRPr="009616BA">
          <w:rPr>
            <w:rStyle w:val="Hyperlink"/>
            <w:rFonts w:ascii="Arial" w:hAnsi="Arial" w:cs="Arial"/>
            <w:b w:val="0"/>
            <w:noProof/>
            <w:sz w:val="22"/>
            <w:szCs w:val="22"/>
            <w:u w:val="none"/>
          </w:rPr>
          <w:t>EXECUTIVE SUMMARY</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_Toc394993186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3</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87" w:history="1">
        <w:r w:rsidR="009616BA" w:rsidRPr="009616BA">
          <w:rPr>
            <w:rStyle w:val="Hyperlink"/>
            <w:rFonts w:ascii="Arial" w:hAnsi="Arial" w:cs="Arial"/>
            <w:b w:val="0"/>
            <w:noProof/>
            <w:sz w:val="22"/>
            <w:szCs w:val="22"/>
            <w:u w:val="none"/>
          </w:rPr>
          <w:t>1.</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INTRODUCTION</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_Toc394993187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5</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88" w:history="1">
        <w:r w:rsidR="009616BA" w:rsidRPr="009616BA">
          <w:rPr>
            <w:rStyle w:val="Hyperlink"/>
            <w:rFonts w:ascii="Arial" w:hAnsi="Arial" w:cs="Arial"/>
            <w:b w:val="0"/>
            <w:noProof/>
            <w:sz w:val="22"/>
            <w:szCs w:val="22"/>
            <w:u w:val="none"/>
          </w:rPr>
          <w:t>2.</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COPERT</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_Toc394993188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6</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89" w:history="1">
        <w:r w:rsidR="009616BA" w:rsidRPr="009616BA">
          <w:rPr>
            <w:rStyle w:val="Hyperlink"/>
            <w:rFonts w:ascii="Arial" w:hAnsi="Arial" w:cs="Arial"/>
            <w:b w:val="0"/>
            <w:noProof/>
            <w:sz w:val="22"/>
            <w:szCs w:val="22"/>
            <w:u w:val="none"/>
          </w:rPr>
          <w:t>3.</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TECHNICAL BACKGROUND</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_Toc394993189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7</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90" w:history="1">
        <w:r w:rsidR="009616BA" w:rsidRPr="009616BA">
          <w:rPr>
            <w:rStyle w:val="Hyperlink"/>
            <w:rFonts w:ascii="Arial" w:hAnsi="Arial" w:cs="Arial"/>
            <w:b w:val="0"/>
            <w:noProof/>
            <w:sz w:val="22"/>
            <w:szCs w:val="22"/>
            <w:u w:val="none"/>
          </w:rPr>
          <w:t>4.</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METHOD</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_Toc394993190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8</w:t>
        </w:r>
        <w:r w:rsidRPr="009616BA">
          <w:rPr>
            <w:rFonts w:ascii="Arial" w:hAnsi="Arial" w:cs="Arial"/>
            <w:b w:val="0"/>
            <w:noProof/>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1" w:history="1">
        <w:r w:rsidRPr="009616BA">
          <w:rPr>
            <w:rStyle w:val="Hyperlink"/>
            <w:rFonts w:ascii="Arial" w:hAnsi="Arial" w:cs="Arial"/>
            <w:b w:val="0"/>
            <w:sz w:val="22"/>
            <w:szCs w:val="22"/>
            <w:u w:val="none"/>
          </w:rPr>
          <w:t>4.1</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Input data overview</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_Toc394993191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8</w:t>
        </w:r>
        <w:r w:rsidR="0051350F" w:rsidRPr="009616BA">
          <w:rPr>
            <w:rFonts w:ascii="Arial" w:hAnsi="Arial" w:cs="Arial"/>
            <w:b w:val="0"/>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2" w:history="1">
        <w:r w:rsidRPr="009616BA">
          <w:rPr>
            <w:rStyle w:val="Hyperlink"/>
            <w:rFonts w:ascii="Arial" w:hAnsi="Arial" w:cs="Arial"/>
            <w:b w:val="0"/>
            <w:sz w:val="22"/>
            <w:szCs w:val="22"/>
            <w:u w:val="none"/>
          </w:rPr>
          <w:t>4.2</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Base year</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_Toc394993192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9</w:t>
        </w:r>
        <w:r w:rsidR="0051350F" w:rsidRPr="009616BA">
          <w:rPr>
            <w:rFonts w:ascii="Arial" w:hAnsi="Arial" w:cs="Arial"/>
            <w:b w:val="0"/>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3" w:history="1">
        <w:r w:rsidRPr="009616BA">
          <w:rPr>
            <w:rStyle w:val="Hyperlink"/>
            <w:rFonts w:ascii="Arial" w:hAnsi="Arial" w:cs="Arial"/>
            <w:b w:val="0"/>
            <w:sz w:val="22"/>
            <w:szCs w:val="22"/>
            <w:u w:val="none"/>
          </w:rPr>
          <w:t>4.3</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Vehicle population, annual travel and total fuel use</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_Toc394993193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9</w:t>
        </w:r>
        <w:r w:rsidR="0051350F" w:rsidRPr="009616BA">
          <w:rPr>
            <w:rFonts w:ascii="Arial" w:hAnsi="Arial" w:cs="Arial"/>
            <w:b w:val="0"/>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4" w:history="1">
        <w:r w:rsidRPr="009616BA">
          <w:rPr>
            <w:rStyle w:val="Hyperlink"/>
            <w:rFonts w:ascii="Arial" w:hAnsi="Arial" w:cs="Arial"/>
            <w:b w:val="0"/>
            <w:sz w:val="22"/>
            <w:szCs w:val="22"/>
            <w:u w:val="none"/>
          </w:rPr>
          <w:t>4.4</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Fuel parameters</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_Toc394993194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17</w:t>
        </w:r>
        <w:r w:rsidR="0051350F" w:rsidRPr="009616BA">
          <w:rPr>
            <w:rFonts w:ascii="Arial" w:hAnsi="Arial" w:cs="Arial"/>
            <w:b w:val="0"/>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5" w:history="1">
        <w:r w:rsidRPr="009616BA">
          <w:rPr>
            <w:rStyle w:val="Hyperlink"/>
            <w:rFonts w:ascii="Arial" w:hAnsi="Arial" w:cs="Arial"/>
            <w:b w:val="0"/>
            <w:sz w:val="22"/>
            <w:szCs w:val="22"/>
            <w:u w:val="none"/>
          </w:rPr>
          <w:t>4.5</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Meteorology and climate</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_Toc394993195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20</w:t>
        </w:r>
        <w:r w:rsidR="0051350F" w:rsidRPr="009616BA">
          <w:rPr>
            <w:rFonts w:ascii="Arial" w:hAnsi="Arial" w:cs="Arial"/>
            <w:b w:val="0"/>
            <w:webHidden/>
            <w:sz w:val="22"/>
            <w:szCs w:val="22"/>
          </w:rPr>
          <w:fldChar w:fldCharType="end"/>
        </w:r>
      </w:hyperlink>
    </w:p>
    <w:p w:rsidR="009616BA" w:rsidRPr="009616BA" w:rsidRDefault="009616BA" w:rsidP="009616BA">
      <w:pPr>
        <w:pStyle w:val="TOC2"/>
        <w:spacing w:before="120" w:line="360" w:lineRule="auto"/>
        <w:rPr>
          <w:rFonts w:ascii="Arial" w:eastAsiaTheme="minorEastAsia" w:hAnsi="Arial" w:cs="Arial"/>
          <w:b w:val="0"/>
          <w:iCs w:val="0"/>
          <w:sz w:val="22"/>
          <w:szCs w:val="22"/>
          <w:lang w:eastAsia="en-AU"/>
        </w:rPr>
      </w:pPr>
      <w:r w:rsidRPr="009616BA">
        <w:rPr>
          <w:rStyle w:val="Hyperlink"/>
          <w:rFonts w:ascii="Arial" w:hAnsi="Arial" w:cs="Arial"/>
          <w:b w:val="0"/>
          <w:sz w:val="22"/>
          <w:szCs w:val="22"/>
          <w:u w:val="none"/>
        </w:rPr>
        <w:tab/>
      </w:r>
      <w:hyperlink w:anchor="_Toc394993196" w:history="1">
        <w:r w:rsidRPr="009616BA">
          <w:rPr>
            <w:rStyle w:val="Hyperlink"/>
            <w:rFonts w:ascii="Arial" w:hAnsi="Arial" w:cs="Arial"/>
            <w:b w:val="0"/>
            <w:sz w:val="22"/>
            <w:szCs w:val="22"/>
            <w:u w:val="none"/>
          </w:rPr>
          <w:t>4.6</w:t>
        </w:r>
        <w:r w:rsidRPr="009616BA">
          <w:rPr>
            <w:rFonts w:ascii="Arial" w:eastAsiaTheme="minorEastAsia" w:hAnsi="Arial" w:cs="Arial"/>
            <w:b w:val="0"/>
            <w:iCs w:val="0"/>
            <w:sz w:val="22"/>
            <w:szCs w:val="22"/>
            <w:lang w:eastAsia="en-AU"/>
          </w:rPr>
          <w:t xml:space="preserve"> </w:t>
        </w:r>
        <w:r w:rsidRPr="009616BA">
          <w:rPr>
            <w:rStyle w:val="Hyperlink"/>
            <w:rFonts w:ascii="Arial" w:hAnsi="Arial" w:cs="Arial"/>
            <w:b w:val="0"/>
            <w:sz w:val="22"/>
            <w:szCs w:val="22"/>
            <w:u w:val="none"/>
          </w:rPr>
          <w:t>Driving and traffic conditions</w:t>
        </w:r>
        <w:r w:rsidRPr="009616BA">
          <w:rPr>
            <w:rFonts w:ascii="Arial" w:hAnsi="Arial" w:cs="Arial"/>
            <w:b w:val="0"/>
            <w:webHidden/>
            <w:sz w:val="22"/>
            <w:szCs w:val="22"/>
          </w:rPr>
          <w:tab/>
        </w:r>
        <w:r w:rsidR="0051350F" w:rsidRPr="009616BA">
          <w:rPr>
            <w:rFonts w:ascii="Arial" w:hAnsi="Arial" w:cs="Arial"/>
            <w:b w:val="0"/>
            <w:webHidden/>
            <w:sz w:val="22"/>
            <w:szCs w:val="22"/>
          </w:rPr>
          <w:fldChar w:fldCharType="begin"/>
        </w:r>
        <w:r w:rsidRPr="009616BA">
          <w:rPr>
            <w:rFonts w:ascii="Arial" w:hAnsi="Arial" w:cs="Arial"/>
            <w:b w:val="0"/>
            <w:webHidden/>
            <w:sz w:val="22"/>
            <w:szCs w:val="22"/>
          </w:rPr>
          <w:instrText xml:space="preserve"> PAGEREF _Toc394993196 \h </w:instrText>
        </w:r>
        <w:r w:rsidR="0051350F" w:rsidRPr="009616BA">
          <w:rPr>
            <w:rFonts w:ascii="Arial" w:hAnsi="Arial" w:cs="Arial"/>
            <w:b w:val="0"/>
            <w:webHidden/>
            <w:sz w:val="22"/>
            <w:szCs w:val="22"/>
          </w:rPr>
        </w:r>
        <w:r w:rsidR="0051350F" w:rsidRPr="009616BA">
          <w:rPr>
            <w:rFonts w:ascii="Arial" w:hAnsi="Arial" w:cs="Arial"/>
            <w:b w:val="0"/>
            <w:webHidden/>
            <w:sz w:val="22"/>
            <w:szCs w:val="22"/>
          </w:rPr>
          <w:fldChar w:fldCharType="separate"/>
        </w:r>
        <w:r w:rsidR="00BB2481">
          <w:rPr>
            <w:rFonts w:ascii="Arial" w:hAnsi="Arial" w:cs="Arial"/>
            <w:b w:val="0"/>
            <w:webHidden/>
            <w:sz w:val="22"/>
            <w:szCs w:val="22"/>
          </w:rPr>
          <w:t>23</w:t>
        </w:r>
        <w:r w:rsidR="0051350F" w:rsidRPr="009616BA">
          <w:rPr>
            <w:rFonts w:ascii="Arial" w:hAnsi="Arial" w:cs="Arial"/>
            <w:b w:val="0"/>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197" w:history="1">
        <w:r w:rsidR="009616BA" w:rsidRPr="009616BA">
          <w:rPr>
            <w:rStyle w:val="Hyperlink"/>
            <w:rFonts w:ascii="Arial" w:hAnsi="Arial" w:cs="Arial"/>
            <w:b w:val="0"/>
            <w:noProof/>
            <w:sz w:val="22"/>
            <w:szCs w:val="22"/>
            <w:u w:val="none"/>
          </w:rPr>
          <w:t>5.</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RESULTS</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_Toc394993197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27</w:t>
        </w:r>
        <w:r w:rsidRPr="009616BA">
          <w:rPr>
            <w:rFonts w:ascii="Arial" w:hAnsi="Arial" w:cs="Arial"/>
            <w:b w:val="0"/>
            <w:noProof/>
            <w:webHidden/>
            <w:sz w:val="22"/>
            <w:szCs w:val="22"/>
          </w:rPr>
          <w:fldChar w:fldCharType="end"/>
        </w:r>
      </w:hyperlink>
    </w:p>
    <w:p w:rsidR="009616BA" w:rsidRPr="009616BA" w:rsidRDefault="0051350F" w:rsidP="009616BA">
      <w:pPr>
        <w:pStyle w:val="TOC2"/>
        <w:spacing w:before="120" w:line="360" w:lineRule="auto"/>
        <w:rPr>
          <w:rFonts w:ascii="Arial" w:eastAsiaTheme="minorEastAsia" w:hAnsi="Arial" w:cs="Arial"/>
          <w:b w:val="0"/>
          <w:iCs w:val="0"/>
          <w:sz w:val="22"/>
          <w:szCs w:val="22"/>
          <w:lang w:eastAsia="en-AU"/>
        </w:rPr>
      </w:pPr>
      <w:hyperlink w:anchor="_Toc394993198" w:history="1">
        <w:r w:rsidR="009616BA" w:rsidRPr="009616BA">
          <w:rPr>
            <w:rStyle w:val="Hyperlink"/>
            <w:rFonts w:ascii="Arial" w:hAnsi="Arial" w:cs="Arial"/>
            <w:b w:val="0"/>
            <w:sz w:val="22"/>
            <w:szCs w:val="22"/>
            <w:u w:val="none"/>
          </w:rPr>
          <w:t>5.1</w:t>
        </w:r>
        <w:r w:rsidR="009616BA" w:rsidRPr="009616BA">
          <w:rPr>
            <w:rFonts w:ascii="Arial" w:eastAsiaTheme="minorEastAsia" w:hAnsi="Arial" w:cs="Arial"/>
            <w:b w:val="0"/>
            <w:iCs w:val="0"/>
            <w:sz w:val="22"/>
            <w:szCs w:val="22"/>
            <w:lang w:eastAsia="en-AU"/>
          </w:rPr>
          <w:tab/>
          <w:t xml:space="preserve"> </w:t>
        </w:r>
        <w:r w:rsidR="009616BA" w:rsidRPr="009616BA">
          <w:rPr>
            <w:rStyle w:val="Hyperlink"/>
            <w:rFonts w:ascii="Arial" w:hAnsi="Arial" w:cs="Arial"/>
            <w:b w:val="0"/>
            <w:sz w:val="22"/>
            <w:szCs w:val="22"/>
            <w:u w:val="none"/>
          </w:rPr>
          <w:t>Total annual emissions – industry versus motor vehicles</w:t>
        </w:r>
        <w:r w:rsidR="009616BA" w:rsidRPr="009616BA">
          <w:rPr>
            <w:rFonts w:ascii="Arial" w:hAnsi="Arial" w:cs="Arial"/>
            <w:b w:val="0"/>
            <w:webHidden/>
            <w:sz w:val="22"/>
            <w:szCs w:val="22"/>
          </w:rPr>
          <w:tab/>
        </w:r>
        <w:r w:rsidRPr="009616BA">
          <w:rPr>
            <w:rFonts w:ascii="Arial" w:hAnsi="Arial" w:cs="Arial"/>
            <w:b w:val="0"/>
            <w:webHidden/>
            <w:sz w:val="22"/>
            <w:szCs w:val="22"/>
          </w:rPr>
          <w:fldChar w:fldCharType="begin"/>
        </w:r>
        <w:r w:rsidR="009616BA" w:rsidRPr="009616BA">
          <w:rPr>
            <w:rFonts w:ascii="Arial" w:hAnsi="Arial" w:cs="Arial"/>
            <w:b w:val="0"/>
            <w:webHidden/>
            <w:sz w:val="22"/>
            <w:szCs w:val="22"/>
          </w:rPr>
          <w:instrText xml:space="preserve"> PAGEREF _Toc394993198 \h </w:instrText>
        </w:r>
        <w:r w:rsidRPr="009616BA">
          <w:rPr>
            <w:rFonts w:ascii="Arial" w:hAnsi="Arial" w:cs="Arial"/>
            <w:b w:val="0"/>
            <w:webHidden/>
            <w:sz w:val="22"/>
            <w:szCs w:val="22"/>
          </w:rPr>
        </w:r>
        <w:r w:rsidRPr="009616BA">
          <w:rPr>
            <w:rFonts w:ascii="Arial" w:hAnsi="Arial" w:cs="Arial"/>
            <w:b w:val="0"/>
            <w:webHidden/>
            <w:sz w:val="22"/>
            <w:szCs w:val="22"/>
          </w:rPr>
          <w:fldChar w:fldCharType="separate"/>
        </w:r>
        <w:r w:rsidR="00BB2481">
          <w:rPr>
            <w:rFonts w:ascii="Arial" w:hAnsi="Arial" w:cs="Arial"/>
            <w:b w:val="0"/>
            <w:webHidden/>
            <w:sz w:val="22"/>
            <w:szCs w:val="22"/>
          </w:rPr>
          <w:t>28</w:t>
        </w:r>
        <w:r w:rsidRPr="009616BA">
          <w:rPr>
            <w:rFonts w:ascii="Arial" w:hAnsi="Arial" w:cs="Arial"/>
            <w:b w:val="0"/>
            <w:webHidden/>
            <w:sz w:val="22"/>
            <w:szCs w:val="22"/>
          </w:rPr>
          <w:fldChar w:fldCharType="end"/>
        </w:r>
      </w:hyperlink>
    </w:p>
    <w:p w:rsidR="009616BA" w:rsidRPr="009616BA" w:rsidRDefault="0051350F" w:rsidP="009616BA">
      <w:pPr>
        <w:pStyle w:val="TOC2"/>
        <w:spacing w:before="120" w:line="360" w:lineRule="auto"/>
        <w:rPr>
          <w:rFonts w:ascii="Arial" w:eastAsiaTheme="minorEastAsia" w:hAnsi="Arial" w:cs="Arial"/>
          <w:b w:val="0"/>
          <w:iCs w:val="0"/>
          <w:sz w:val="22"/>
          <w:szCs w:val="22"/>
          <w:lang w:eastAsia="en-AU"/>
        </w:rPr>
      </w:pPr>
      <w:hyperlink w:anchor="_Toc394993199" w:history="1">
        <w:r w:rsidR="009616BA" w:rsidRPr="009616BA">
          <w:rPr>
            <w:rStyle w:val="Hyperlink"/>
            <w:rFonts w:ascii="Arial" w:hAnsi="Arial" w:cs="Arial"/>
            <w:b w:val="0"/>
            <w:sz w:val="22"/>
            <w:szCs w:val="22"/>
            <w:u w:val="none"/>
          </w:rPr>
          <w:t>5.2</w:t>
        </w:r>
        <w:r w:rsidR="009616BA" w:rsidRPr="009616BA">
          <w:rPr>
            <w:rFonts w:ascii="Arial" w:eastAsiaTheme="minorEastAsia" w:hAnsi="Arial" w:cs="Arial"/>
            <w:b w:val="0"/>
            <w:iCs w:val="0"/>
            <w:sz w:val="22"/>
            <w:szCs w:val="22"/>
            <w:lang w:eastAsia="en-AU"/>
          </w:rPr>
          <w:tab/>
          <w:t xml:space="preserve"> </w:t>
        </w:r>
        <w:r w:rsidR="009616BA" w:rsidRPr="009616BA">
          <w:rPr>
            <w:rStyle w:val="Hyperlink"/>
            <w:rFonts w:ascii="Arial" w:hAnsi="Arial" w:cs="Arial"/>
            <w:b w:val="0"/>
            <w:sz w:val="22"/>
            <w:szCs w:val="22"/>
            <w:u w:val="none"/>
          </w:rPr>
          <w:t>Further analysis of sixteen air pollutants</w:t>
        </w:r>
        <w:r w:rsidR="009616BA" w:rsidRPr="009616BA">
          <w:rPr>
            <w:rFonts w:ascii="Arial" w:hAnsi="Arial" w:cs="Arial"/>
            <w:b w:val="0"/>
            <w:webHidden/>
            <w:sz w:val="22"/>
            <w:szCs w:val="22"/>
          </w:rPr>
          <w:tab/>
        </w:r>
        <w:r w:rsidRPr="009616BA">
          <w:rPr>
            <w:rFonts w:ascii="Arial" w:hAnsi="Arial" w:cs="Arial"/>
            <w:b w:val="0"/>
            <w:webHidden/>
            <w:sz w:val="22"/>
            <w:szCs w:val="22"/>
          </w:rPr>
          <w:fldChar w:fldCharType="begin"/>
        </w:r>
        <w:r w:rsidR="009616BA" w:rsidRPr="009616BA">
          <w:rPr>
            <w:rFonts w:ascii="Arial" w:hAnsi="Arial" w:cs="Arial"/>
            <w:b w:val="0"/>
            <w:webHidden/>
            <w:sz w:val="22"/>
            <w:szCs w:val="22"/>
          </w:rPr>
          <w:instrText xml:space="preserve"> PAGEREF _Toc394993199 \h </w:instrText>
        </w:r>
        <w:r w:rsidRPr="009616BA">
          <w:rPr>
            <w:rFonts w:ascii="Arial" w:hAnsi="Arial" w:cs="Arial"/>
            <w:b w:val="0"/>
            <w:webHidden/>
            <w:sz w:val="22"/>
            <w:szCs w:val="22"/>
          </w:rPr>
        </w:r>
        <w:r w:rsidRPr="009616BA">
          <w:rPr>
            <w:rFonts w:ascii="Arial" w:hAnsi="Arial" w:cs="Arial"/>
            <w:b w:val="0"/>
            <w:webHidden/>
            <w:sz w:val="22"/>
            <w:szCs w:val="22"/>
          </w:rPr>
          <w:fldChar w:fldCharType="separate"/>
        </w:r>
        <w:r w:rsidR="00BB2481">
          <w:rPr>
            <w:rFonts w:ascii="Arial" w:hAnsi="Arial" w:cs="Arial"/>
            <w:b w:val="0"/>
            <w:webHidden/>
            <w:sz w:val="22"/>
            <w:szCs w:val="22"/>
          </w:rPr>
          <w:t>29</w:t>
        </w:r>
        <w:r w:rsidRPr="009616BA">
          <w:rPr>
            <w:rFonts w:ascii="Arial" w:hAnsi="Arial" w:cs="Arial"/>
            <w:b w:val="0"/>
            <w:webHidden/>
            <w:sz w:val="22"/>
            <w:szCs w:val="22"/>
          </w:rPr>
          <w:fldChar w:fldCharType="end"/>
        </w:r>
      </w:hyperlink>
    </w:p>
    <w:p w:rsidR="009616BA" w:rsidRPr="009616BA" w:rsidRDefault="0051350F" w:rsidP="009616BA">
      <w:pPr>
        <w:pStyle w:val="TOC2"/>
        <w:spacing w:before="120" w:line="360" w:lineRule="auto"/>
        <w:rPr>
          <w:rFonts w:ascii="Arial" w:eastAsiaTheme="minorEastAsia" w:hAnsi="Arial" w:cs="Arial"/>
          <w:b w:val="0"/>
          <w:iCs w:val="0"/>
          <w:sz w:val="22"/>
          <w:szCs w:val="22"/>
          <w:lang w:eastAsia="en-AU"/>
        </w:rPr>
      </w:pPr>
      <w:hyperlink w:anchor="_Toc394993200" w:history="1">
        <w:r w:rsidR="009616BA" w:rsidRPr="009616BA">
          <w:rPr>
            <w:rStyle w:val="Hyperlink"/>
            <w:rFonts w:ascii="Arial" w:hAnsi="Arial" w:cs="Arial"/>
            <w:b w:val="0"/>
            <w:sz w:val="22"/>
            <w:szCs w:val="22"/>
            <w:u w:val="none"/>
          </w:rPr>
          <w:t>5.3</w:t>
        </w:r>
        <w:r w:rsidR="009616BA" w:rsidRPr="009616BA">
          <w:rPr>
            <w:rFonts w:ascii="Arial" w:eastAsiaTheme="minorEastAsia" w:hAnsi="Arial" w:cs="Arial"/>
            <w:b w:val="0"/>
            <w:iCs w:val="0"/>
            <w:sz w:val="22"/>
            <w:szCs w:val="22"/>
            <w:lang w:eastAsia="en-AU"/>
          </w:rPr>
          <w:tab/>
          <w:t xml:space="preserve"> </w:t>
        </w:r>
        <w:r w:rsidR="009616BA" w:rsidRPr="009616BA">
          <w:rPr>
            <w:rStyle w:val="Hyperlink"/>
            <w:rFonts w:ascii="Arial" w:hAnsi="Arial" w:cs="Arial"/>
            <w:b w:val="0"/>
            <w:sz w:val="22"/>
            <w:szCs w:val="22"/>
            <w:u w:val="none"/>
          </w:rPr>
          <w:t>Greenhouse gas emissions</w:t>
        </w:r>
        <w:r w:rsidR="009616BA" w:rsidRPr="009616BA">
          <w:rPr>
            <w:rFonts w:ascii="Arial" w:hAnsi="Arial" w:cs="Arial"/>
            <w:b w:val="0"/>
            <w:webHidden/>
            <w:sz w:val="22"/>
            <w:szCs w:val="22"/>
          </w:rPr>
          <w:tab/>
        </w:r>
        <w:r w:rsidRPr="009616BA">
          <w:rPr>
            <w:rFonts w:ascii="Arial" w:hAnsi="Arial" w:cs="Arial"/>
            <w:b w:val="0"/>
            <w:webHidden/>
            <w:sz w:val="22"/>
            <w:szCs w:val="22"/>
          </w:rPr>
          <w:fldChar w:fldCharType="begin"/>
        </w:r>
        <w:r w:rsidR="009616BA" w:rsidRPr="009616BA">
          <w:rPr>
            <w:rFonts w:ascii="Arial" w:hAnsi="Arial" w:cs="Arial"/>
            <w:b w:val="0"/>
            <w:webHidden/>
            <w:sz w:val="22"/>
            <w:szCs w:val="22"/>
          </w:rPr>
          <w:instrText xml:space="preserve"> PAGEREF _Toc394993200 \h </w:instrText>
        </w:r>
        <w:r w:rsidRPr="009616BA">
          <w:rPr>
            <w:rFonts w:ascii="Arial" w:hAnsi="Arial" w:cs="Arial"/>
            <w:b w:val="0"/>
            <w:webHidden/>
            <w:sz w:val="22"/>
            <w:szCs w:val="22"/>
          </w:rPr>
        </w:r>
        <w:r w:rsidRPr="009616BA">
          <w:rPr>
            <w:rFonts w:ascii="Arial" w:hAnsi="Arial" w:cs="Arial"/>
            <w:b w:val="0"/>
            <w:webHidden/>
            <w:sz w:val="22"/>
            <w:szCs w:val="22"/>
          </w:rPr>
          <w:fldChar w:fldCharType="separate"/>
        </w:r>
        <w:r w:rsidR="00BB2481">
          <w:rPr>
            <w:rFonts w:ascii="Arial" w:hAnsi="Arial" w:cs="Arial"/>
            <w:b w:val="0"/>
            <w:webHidden/>
            <w:sz w:val="22"/>
            <w:szCs w:val="22"/>
          </w:rPr>
          <w:t>35</w:t>
        </w:r>
        <w:r w:rsidRPr="009616BA">
          <w:rPr>
            <w:rFonts w:ascii="Arial" w:hAnsi="Arial" w:cs="Arial"/>
            <w:b w:val="0"/>
            <w:webHidden/>
            <w:sz w:val="22"/>
            <w:szCs w:val="22"/>
          </w:rPr>
          <w:fldChar w:fldCharType="end"/>
        </w:r>
      </w:hyperlink>
    </w:p>
    <w:p w:rsidR="009616BA" w:rsidRPr="009616BA" w:rsidRDefault="0051350F" w:rsidP="009616BA">
      <w:pPr>
        <w:pStyle w:val="TOC2"/>
        <w:spacing w:before="120" w:line="360" w:lineRule="auto"/>
        <w:rPr>
          <w:rFonts w:ascii="Arial" w:eastAsiaTheme="minorEastAsia" w:hAnsi="Arial" w:cs="Arial"/>
          <w:b w:val="0"/>
          <w:iCs w:val="0"/>
          <w:sz w:val="22"/>
          <w:szCs w:val="22"/>
          <w:lang w:eastAsia="en-AU"/>
        </w:rPr>
      </w:pPr>
      <w:hyperlink w:anchor="_Toc394993201" w:history="1">
        <w:r w:rsidR="009616BA" w:rsidRPr="009616BA">
          <w:rPr>
            <w:rStyle w:val="Hyperlink"/>
            <w:rFonts w:ascii="Arial" w:hAnsi="Arial" w:cs="Arial"/>
            <w:b w:val="0"/>
            <w:sz w:val="22"/>
            <w:szCs w:val="22"/>
            <w:u w:val="none"/>
          </w:rPr>
          <w:t>5.4</w:t>
        </w:r>
        <w:r w:rsidR="009616BA" w:rsidRPr="009616BA">
          <w:rPr>
            <w:rFonts w:ascii="Arial" w:eastAsiaTheme="minorEastAsia" w:hAnsi="Arial" w:cs="Arial"/>
            <w:b w:val="0"/>
            <w:iCs w:val="0"/>
            <w:sz w:val="22"/>
            <w:szCs w:val="22"/>
            <w:lang w:eastAsia="en-AU"/>
          </w:rPr>
          <w:tab/>
          <w:t xml:space="preserve"> </w:t>
        </w:r>
        <w:r w:rsidR="009616BA" w:rsidRPr="009616BA">
          <w:rPr>
            <w:rStyle w:val="Hyperlink"/>
            <w:rFonts w:ascii="Arial" w:hAnsi="Arial" w:cs="Arial"/>
            <w:b w:val="0"/>
            <w:sz w:val="22"/>
            <w:szCs w:val="22"/>
            <w:u w:val="none"/>
          </w:rPr>
          <w:t>NPI emissions and population exposure</w:t>
        </w:r>
        <w:r w:rsidR="009616BA" w:rsidRPr="009616BA">
          <w:rPr>
            <w:rFonts w:ascii="Arial" w:hAnsi="Arial" w:cs="Arial"/>
            <w:b w:val="0"/>
            <w:webHidden/>
            <w:sz w:val="22"/>
            <w:szCs w:val="22"/>
          </w:rPr>
          <w:tab/>
        </w:r>
        <w:r w:rsidRPr="009616BA">
          <w:rPr>
            <w:rFonts w:ascii="Arial" w:hAnsi="Arial" w:cs="Arial"/>
            <w:b w:val="0"/>
            <w:webHidden/>
            <w:sz w:val="22"/>
            <w:szCs w:val="22"/>
          </w:rPr>
          <w:fldChar w:fldCharType="begin"/>
        </w:r>
        <w:r w:rsidR="009616BA" w:rsidRPr="009616BA">
          <w:rPr>
            <w:rFonts w:ascii="Arial" w:hAnsi="Arial" w:cs="Arial"/>
            <w:b w:val="0"/>
            <w:webHidden/>
            <w:sz w:val="22"/>
            <w:szCs w:val="22"/>
          </w:rPr>
          <w:instrText xml:space="preserve"> PAGEREF _Toc394993201 \h </w:instrText>
        </w:r>
        <w:r w:rsidRPr="009616BA">
          <w:rPr>
            <w:rFonts w:ascii="Arial" w:hAnsi="Arial" w:cs="Arial"/>
            <w:b w:val="0"/>
            <w:webHidden/>
            <w:sz w:val="22"/>
            <w:szCs w:val="22"/>
          </w:rPr>
        </w:r>
        <w:r w:rsidRPr="009616BA">
          <w:rPr>
            <w:rFonts w:ascii="Arial" w:hAnsi="Arial" w:cs="Arial"/>
            <w:b w:val="0"/>
            <w:webHidden/>
            <w:sz w:val="22"/>
            <w:szCs w:val="22"/>
          </w:rPr>
          <w:fldChar w:fldCharType="separate"/>
        </w:r>
        <w:r w:rsidR="00BB2481">
          <w:rPr>
            <w:rFonts w:ascii="Arial" w:hAnsi="Arial" w:cs="Arial"/>
            <w:b w:val="0"/>
            <w:webHidden/>
            <w:sz w:val="22"/>
            <w:szCs w:val="22"/>
          </w:rPr>
          <w:t>36</w:t>
        </w:r>
        <w:r w:rsidRPr="009616BA">
          <w:rPr>
            <w:rFonts w:ascii="Arial" w:hAnsi="Arial" w:cs="Arial"/>
            <w:b w:val="0"/>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202" w:history="1">
        <w:r w:rsidR="009616BA" w:rsidRPr="009616BA">
          <w:rPr>
            <w:rStyle w:val="Hyperlink"/>
            <w:rFonts w:ascii="Arial" w:hAnsi="Arial" w:cs="Arial"/>
            <w:b w:val="0"/>
            <w:noProof/>
            <w:sz w:val="22"/>
            <w:szCs w:val="22"/>
            <w:u w:val="none"/>
          </w:rPr>
          <w:t>6.</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DISCUSSIONS AND CONCLUSIONS</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_Toc394993202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38</w:t>
        </w:r>
        <w:r w:rsidRPr="009616BA">
          <w:rPr>
            <w:rFonts w:ascii="Arial" w:hAnsi="Arial" w:cs="Arial"/>
            <w:b w:val="0"/>
            <w:noProof/>
            <w:webHidden/>
            <w:sz w:val="22"/>
            <w:szCs w:val="22"/>
          </w:rPr>
          <w:fldChar w:fldCharType="end"/>
        </w:r>
      </w:hyperlink>
    </w:p>
    <w:p w:rsidR="009616BA" w:rsidRPr="009616BA" w:rsidRDefault="0051350F" w:rsidP="009616BA">
      <w:pPr>
        <w:pStyle w:val="TOC1"/>
        <w:spacing w:before="120" w:line="360" w:lineRule="auto"/>
        <w:rPr>
          <w:rFonts w:ascii="Arial" w:eastAsiaTheme="minorEastAsia" w:hAnsi="Arial" w:cs="Arial"/>
          <w:b w:val="0"/>
          <w:bCs w:val="0"/>
          <w:noProof/>
          <w:sz w:val="22"/>
          <w:szCs w:val="22"/>
          <w:lang w:eastAsia="en-AU"/>
        </w:rPr>
      </w:pPr>
      <w:hyperlink w:anchor="_Toc394993203" w:history="1">
        <w:r w:rsidR="009616BA" w:rsidRPr="009616BA">
          <w:rPr>
            <w:rStyle w:val="Hyperlink"/>
            <w:rFonts w:ascii="Arial" w:hAnsi="Arial" w:cs="Arial"/>
            <w:b w:val="0"/>
            <w:noProof/>
            <w:sz w:val="22"/>
            <w:szCs w:val="22"/>
            <w:u w:val="none"/>
          </w:rPr>
          <w:t>7.</w:t>
        </w:r>
        <w:r w:rsidR="009616BA" w:rsidRPr="009616BA">
          <w:rPr>
            <w:rFonts w:ascii="Arial" w:eastAsiaTheme="minorEastAsia" w:hAnsi="Arial" w:cs="Arial"/>
            <w:b w:val="0"/>
            <w:bCs w:val="0"/>
            <w:noProof/>
            <w:sz w:val="22"/>
            <w:szCs w:val="22"/>
            <w:lang w:eastAsia="en-AU"/>
          </w:rPr>
          <w:tab/>
        </w:r>
        <w:r w:rsidR="009616BA" w:rsidRPr="009616BA">
          <w:rPr>
            <w:rStyle w:val="Hyperlink"/>
            <w:rFonts w:ascii="Arial" w:hAnsi="Arial" w:cs="Arial"/>
            <w:b w:val="0"/>
            <w:noProof/>
            <w:sz w:val="22"/>
            <w:szCs w:val="22"/>
            <w:u w:val="none"/>
          </w:rPr>
          <w:t>REFERENCES</w:t>
        </w:r>
        <w:r w:rsidR="009616BA" w:rsidRPr="009616BA">
          <w:rPr>
            <w:rFonts w:ascii="Arial" w:hAnsi="Arial" w:cs="Arial"/>
            <w:b w:val="0"/>
            <w:noProof/>
            <w:webHidden/>
            <w:sz w:val="22"/>
            <w:szCs w:val="22"/>
          </w:rPr>
          <w:tab/>
        </w:r>
        <w:r w:rsidRPr="009616BA">
          <w:rPr>
            <w:rFonts w:ascii="Arial" w:hAnsi="Arial" w:cs="Arial"/>
            <w:b w:val="0"/>
            <w:noProof/>
            <w:webHidden/>
            <w:sz w:val="22"/>
            <w:szCs w:val="22"/>
          </w:rPr>
          <w:fldChar w:fldCharType="begin"/>
        </w:r>
        <w:r w:rsidR="009616BA" w:rsidRPr="009616BA">
          <w:rPr>
            <w:rFonts w:ascii="Arial" w:hAnsi="Arial" w:cs="Arial"/>
            <w:b w:val="0"/>
            <w:noProof/>
            <w:webHidden/>
            <w:sz w:val="22"/>
            <w:szCs w:val="22"/>
          </w:rPr>
          <w:instrText xml:space="preserve"> PAGEREF _Toc394993203 \h </w:instrText>
        </w:r>
        <w:r w:rsidRPr="009616BA">
          <w:rPr>
            <w:rFonts w:ascii="Arial" w:hAnsi="Arial" w:cs="Arial"/>
            <w:b w:val="0"/>
            <w:noProof/>
            <w:webHidden/>
            <w:sz w:val="22"/>
            <w:szCs w:val="22"/>
          </w:rPr>
        </w:r>
        <w:r w:rsidRPr="009616BA">
          <w:rPr>
            <w:rFonts w:ascii="Arial" w:hAnsi="Arial" w:cs="Arial"/>
            <w:b w:val="0"/>
            <w:noProof/>
            <w:webHidden/>
            <w:sz w:val="22"/>
            <w:szCs w:val="22"/>
          </w:rPr>
          <w:fldChar w:fldCharType="separate"/>
        </w:r>
        <w:r w:rsidR="00BB2481">
          <w:rPr>
            <w:rFonts w:ascii="Arial" w:hAnsi="Arial" w:cs="Arial"/>
            <w:b w:val="0"/>
            <w:noProof/>
            <w:webHidden/>
            <w:sz w:val="22"/>
            <w:szCs w:val="22"/>
          </w:rPr>
          <w:t>40</w:t>
        </w:r>
        <w:r w:rsidRPr="009616BA">
          <w:rPr>
            <w:rFonts w:ascii="Arial" w:hAnsi="Arial" w:cs="Arial"/>
            <w:b w:val="0"/>
            <w:noProof/>
            <w:webHidden/>
            <w:sz w:val="22"/>
            <w:szCs w:val="22"/>
          </w:rPr>
          <w:fldChar w:fldCharType="end"/>
        </w:r>
      </w:hyperlink>
    </w:p>
    <w:p w:rsidR="00A66CE9" w:rsidRPr="00E83DB8" w:rsidRDefault="0051350F" w:rsidP="009616BA">
      <w:pPr>
        <w:spacing w:before="120" w:after="120" w:line="360" w:lineRule="auto"/>
        <w:rPr>
          <w:rFonts w:ascii="Arial" w:hAnsi="Arial" w:cs="Arial"/>
          <w:sz w:val="22"/>
          <w:szCs w:val="22"/>
        </w:rPr>
        <w:sectPr w:rsidR="00A66CE9" w:rsidRPr="00E83DB8" w:rsidSect="007A72DB">
          <w:headerReference w:type="default" r:id="rId14"/>
          <w:footerReference w:type="default" r:id="rId15"/>
          <w:pgSz w:w="11907" w:h="16840" w:code="9"/>
          <w:pgMar w:top="1701" w:right="1275" w:bottom="1134" w:left="1418" w:header="284" w:footer="567" w:gutter="0"/>
          <w:pgNumType w:start="1"/>
          <w:cols w:space="720"/>
          <w:docGrid w:linePitch="360"/>
        </w:sectPr>
      </w:pPr>
      <w:r w:rsidRPr="009616BA">
        <w:rPr>
          <w:rFonts w:ascii="Arial" w:hAnsi="Arial" w:cs="Arial"/>
          <w:sz w:val="22"/>
          <w:szCs w:val="22"/>
        </w:rPr>
        <w:fldChar w:fldCharType="end"/>
      </w:r>
    </w:p>
    <w:p w:rsidR="009F230E" w:rsidRPr="009F230E" w:rsidRDefault="009F230E" w:rsidP="009F230E">
      <w:pPr>
        <w:pStyle w:val="Heading1"/>
        <w:numPr>
          <w:ilvl w:val="0"/>
          <w:numId w:val="0"/>
        </w:numPr>
        <w:spacing w:line="360" w:lineRule="auto"/>
        <w:ind w:left="720" w:hanging="720"/>
        <w:rPr>
          <w:rFonts w:ascii="Arial" w:hAnsi="Arial" w:cs="Arial"/>
          <w:sz w:val="22"/>
          <w:szCs w:val="22"/>
        </w:rPr>
      </w:pPr>
      <w:bookmarkStart w:id="0" w:name="_Toc394993185"/>
      <w:bookmarkStart w:id="1" w:name="_Toc122314680"/>
      <w:bookmarkStart w:id="2" w:name="_Toc122314721"/>
      <w:bookmarkStart w:id="3" w:name="_Toc122147904"/>
      <w:bookmarkStart w:id="4" w:name="_Toc122228079"/>
      <w:bookmarkStart w:id="5" w:name="_Toc122228165"/>
      <w:r w:rsidRPr="009F230E">
        <w:rPr>
          <w:rFonts w:ascii="Arial" w:hAnsi="Arial" w:cs="Arial"/>
          <w:sz w:val="22"/>
          <w:szCs w:val="22"/>
        </w:rPr>
        <w:lastRenderedPageBreak/>
        <w:t>GLOSSARY</w:t>
      </w:r>
      <w:bookmarkEnd w:id="0"/>
    </w:p>
    <w:p w:rsidR="009F230E" w:rsidRPr="009F230E" w:rsidRDefault="009F230E" w:rsidP="009F230E">
      <w:pPr>
        <w:spacing w:line="360" w:lineRule="auto"/>
        <w:jc w:val="both"/>
        <w:rPr>
          <w:rFonts w:ascii="Arial" w:hAnsi="Arial" w:cs="Arial"/>
          <w:sz w:val="22"/>
          <w:szCs w:val="22"/>
        </w:rPr>
      </w:pPr>
    </w:p>
    <w:p w:rsidR="00635972" w:rsidRDefault="00635972" w:rsidP="009F230E">
      <w:pPr>
        <w:spacing w:line="360" w:lineRule="auto"/>
        <w:jc w:val="both"/>
        <w:rPr>
          <w:rFonts w:ascii="Arial" w:hAnsi="Arial" w:cs="Arial"/>
          <w:sz w:val="22"/>
          <w:szCs w:val="22"/>
        </w:rPr>
      </w:pPr>
      <w:r>
        <w:rPr>
          <w:rFonts w:ascii="Arial" w:hAnsi="Arial" w:cs="Arial"/>
          <w:sz w:val="22"/>
          <w:szCs w:val="22"/>
        </w:rPr>
        <w:t>ABS</w:t>
      </w:r>
      <w:r>
        <w:rPr>
          <w:rFonts w:ascii="Arial" w:hAnsi="Arial" w:cs="Arial"/>
          <w:sz w:val="22"/>
          <w:szCs w:val="22"/>
        </w:rPr>
        <w:tab/>
      </w:r>
      <w:r>
        <w:rPr>
          <w:rFonts w:ascii="Arial" w:hAnsi="Arial" w:cs="Arial"/>
          <w:sz w:val="22"/>
          <w:szCs w:val="22"/>
        </w:rPr>
        <w:tab/>
      </w:r>
      <w:r>
        <w:rPr>
          <w:rFonts w:ascii="Arial" w:hAnsi="Arial" w:cs="Arial"/>
          <w:sz w:val="22"/>
          <w:szCs w:val="22"/>
        </w:rPr>
        <w:tab/>
        <w:t>Australian Bureau of Statistics</w:t>
      </w:r>
    </w:p>
    <w:p w:rsidR="00A606B8" w:rsidRDefault="00635972" w:rsidP="009F230E">
      <w:pPr>
        <w:spacing w:line="360" w:lineRule="auto"/>
        <w:jc w:val="both"/>
        <w:rPr>
          <w:rFonts w:ascii="Arial" w:hAnsi="Arial" w:cs="Arial"/>
          <w:sz w:val="22"/>
          <w:szCs w:val="22"/>
        </w:rPr>
      </w:pPr>
      <w:r>
        <w:rPr>
          <w:rFonts w:ascii="Arial" w:hAnsi="Arial" w:cs="Arial"/>
          <w:sz w:val="22"/>
          <w:szCs w:val="22"/>
        </w:rPr>
        <w:t>ACT</w:t>
      </w:r>
      <w:r>
        <w:rPr>
          <w:rFonts w:ascii="Arial" w:hAnsi="Arial" w:cs="Arial"/>
          <w:sz w:val="22"/>
          <w:szCs w:val="22"/>
        </w:rPr>
        <w:tab/>
      </w:r>
      <w:r>
        <w:rPr>
          <w:rFonts w:ascii="Arial" w:hAnsi="Arial" w:cs="Arial"/>
          <w:sz w:val="22"/>
          <w:szCs w:val="22"/>
        </w:rPr>
        <w:tab/>
      </w:r>
      <w:r>
        <w:rPr>
          <w:rFonts w:ascii="Arial" w:hAnsi="Arial" w:cs="Arial"/>
          <w:sz w:val="22"/>
          <w:szCs w:val="22"/>
        </w:rPr>
        <w:tab/>
        <w:t>Australian Capital Territory</w:t>
      </w:r>
    </w:p>
    <w:p w:rsidR="00635972" w:rsidRDefault="00635972" w:rsidP="009F230E">
      <w:pPr>
        <w:spacing w:line="360" w:lineRule="auto"/>
        <w:jc w:val="both"/>
        <w:rPr>
          <w:rFonts w:ascii="Arial" w:hAnsi="Arial" w:cs="Arial"/>
          <w:sz w:val="22"/>
          <w:szCs w:val="22"/>
        </w:rPr>
      </w:pPr>
      <w:r>
        <w:rPr>
          <w:rFonts w:ascii="Arial" w:hAnsi="Arial" w:cs="Arial"/>
          <w:sz w:val="22"/>
          <w:szCs w:val="22"/>
        </w:rPr>
        <w:t>AUS</w:t>
      </w:r>
      <w:r>
        <w:rPr>
          <w:rFonts w:ascii="Arial" w:hAnsi="Arial" w:cs="Arial"/>
          <w:sz w:val="22"/>
          <w:szCs w:val="22"/>
        </w:rPr>
        <w:tab/>
      </w:r>
      <w:r>
        <w:rPr>
          <w:rFonts w:ascii="Arial" w:hAnsi="Arial" w:cs="Arial"/>
          <w:sz w:val="22"/>
          <w:szCs w:val="22"/>
        </w:rPr>
        <w:tab/>
      </w:r>
      <w:r>
        <w:rPr>
          <w:rFonts w:ascii="Arial" w:hAnsi="Arial" w:cs="Arial"/>
          <w:sz w:val="22"/>
          <w:szCs w:val="22"/>
        </w:rPr>
        <w:tab/>
        <w:t>Australia</w:t>
      </w:r>
    </w:p>
    <w:p w:rsidR="003832B5" w:rsidRDefault="003832B5" w:rsidP="009F230E">
      <w:pPr>
        <w:spacing w:line="360" w:lineRule="auto"/>
        <w:jc w:val="both"/>
        <w:rPr>
          <w:rFonts w:ascii="Arial" w:hAnsi="Arial" w:cs="Arial"/>
          <w:sz w:val="22"/>
          <w:szCs w:val="22"/>
        </w:rPr>
      </w:pPr>
      <w:proofErr w:type="spellStart"/>
      <w:r>
        <w:rPr>
          <w:rFonts w:ascii="Arial" w:hAnsi="Arial" w:cs="Arial"/>
          <w:sz w:val="22"/>
          <w:szCs w:val="22"/>
        </w:rPr>
        <w:t>BoM</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Bureau of Meteorology</w:t>
      </w:r>
    </w:p>
    <w:p w:rsidR="003832B5" w:rsidRDefault="003832B5" w:rsidP="009F230E">
      <w:pPr>
        <w:spacing w:line="360" w:lineRule="auto"/>
        <w:jc w:val="both"/>
        <w:rPr>
          <w:rFonts w:ascii="Arial" w:hAnsi="Arial" w:cs="Arial"/>
          <w:sz w:val="22"/>
          <w:szCs w:val="22"/>
        </w:rPr>
      </w:pPr>
      <w:r>
        <w:rPr>
          <w:rFonts w:ascii="Arial" w:hAnsi="Arial" w:cs="Arial"/>
          <w:sz w:val="22"/>
          <w:szCs w:val="22"/>
        </w:rPr>
        <w:t>CNG</w:t>
      </w:r>
      <w:r>
        <w:rPr>
          <w:rFonts w:ascii="Arial" w:hAnsi="Arial" w:cs="Arial"/>
          <w:sz w:val="22"/>
          <w:szCs w:val="22"/>
        </w:rPr>
        <w:tab/>
      </w:r>
      <w:r>
        <w:rPr>
          <w:rFonts w:ascii="Arial" w:hAnsi="Arial" w:cs="Arial"/>
          <w:sz w:val="22"/>
          <w:szCs w:val="22"/>
        </w:rPr>
        <w:tab/>
      </w:r>
      <w:r>
        <w:rPr>
          <w:rFonts w:ascii="Arial" w:hAnsi="Arial" w:cs="Arial"/>
          <w:sz w:val="22"/>
          <w:szCs w:val="22"/>
        </w:rPr>
        <w:tab/>
        <w:t>Compressed natural gas</w:t>
      </w: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COPERT </w:t>
      </w:r>
      <w:r w:rsidRPr="009F230E">
        <w:rPr>
          <w:rFonts w:ascii="Arial" w:hAnsi="Arial" w:cs="Arial"/>
          <w:sz w:val="22"/>
          <w:szCs w:val="22"/>
        </w:rPr>
        <w:tab/>
      </w:r>
      <w:r w:rsidRPr="009F230E">
        <w:rPr>
          <w:rFonts w:ascii="Arial" w:hAnsi="Arial" w:cs="Arial"/>
          <w:sz w:val="22"/>
          <w:szCs w:val="22"/>
        </w:rPr>
        <w:tab/>
        <w:t>Computer Programme to calculate Emissions from Road Transport</w:t>
      </w:r>
    </w:p>
    <w:p w:rsidR="00635972" w:rsidRDefault="00635972" w:rsidP="009F230E">
      <w:pPr>
        <w:spacing w:line="360" w:lineRule="auto"/>
        <w:jc w:val="both"/>
        <w:rPr>
          <w:rFonts w:ascii="Arial" w:hAnsi="Arial" w:cs="Arial"/>
          <w:sz w:val="22"/>
          <w:szCs w:val="22"/>
        </w:rPr>
      </w:pPr>
      <w:r>
        <w:rPr>
          <w:rFonts w:ascii="Arial" w:hAnsi="Arial" w:cs="Arial"/>
          <w:sz w:val="22"/>
          <w:szCs w:val="22"/>
        </w:rPr>
        <w:t>E10</w:t>
      </w:r>
      <w:r>
        <w:rPr>
          <w:rFonts w:ascii="Arial" w:hAnsi="Arial" w:cs="Arial"/>
          <w:sz w:val="22"/>
          <w:szCs w:val="22"/>
        </w:rPr>
        <w:tab/>
      </w:r>
      <w:r>
        <w:rPr>
          <w:rFonts w:ascii="Arial" w:hAnsi="Arial" w:cs="Arial"/>
          <w:sz w:val="22"/>
          <w:szCs w:val="22"/>
        </w:rPr>
        <w:tab/>
      </w:r>
      <w:r>
        <w:rPr>
          <w:rFonts w:ascii="Arial" w:hAnsi="Arial" w:cs="Arial"/>
          <w:sz w:val="22"/>
          <w:szCs w:val="22"/>
        </w:rPr>
        <w:tab/>
        <w:t>Petrol-ethanol fuel blend</w:t>
      </w:r>
      <w:r w:rsidR="003832B5">
        <w:rPr>
          <w:rFonts w:ascii="Arial" w:hAnsi="Arial" w:cs="Arial"/>
          <w:sz w:val="22"/>
          <w:szCs w:val="22"/>
        </w:rPr>
        <w:t xml:space="preserve"> (10 vol% ethanol)</w:t>
      </w:r>
    </w:p>
    <w:p w:rsidR="00B95E07" w:rsidRDefault="00B95E07" w:rsidP="009F230E">
      <w:pPr>
        <w:spacing w:line="360" w:lineRule="auto"/>
        <w:jc w:val="both"/>
        <w:rPr>
          <w:rFonts w:ascii="Arial" w:hAnsi="Arial" w:cs="Arial"/>
          <w:sz w:val="22"/>
          <w:szCs w:val="22"/>
        </w:rPr>
      </w:pPr>
      <w:r>
        <w:rPr>
          <w:rFonts w:ascii="Arial" w:hAnsi="Arial" w:cs="Arial"/>
          <w:sz w:val="22"/>
          <w:szCs w:val="22"/>
        </w:rPr>
        <w:t>GHG</w:t>
      </w:r>
      <w:r>
        <w:rPr>
          <w:rFonts w:ascii="Arial" w:hAnsi="Arial" w:cs="Arial"/>
          <w:sz w:val="22"/>
          <w:szCs w:val="22"/>
        </w:rPr>
        <w:tab/>
      </w:r>
      <w:r>
        <w:rPr>
          <w:rFonts w:ascii="Arial" w:hAnsi="Arial" w:cs="Arial"/>
          <w:sz w:val="22"/>
          <w:szCs w:val="22"/>
        </w:rPr>
        <w:tab/>
      </w:r>
      <w:r>
        <w:rPr>
          <w:rFonts w:ascii="Arial" w:hAnsi="Arial" w:cs="Arial"/>
          <w:sz w:val="22"/>
          <w:szCs w:val="22"/>
        </w:rPr>
        <w:tab/>
        <w:t>Greenhouse gas</w:t>
      </w:r>
    </w:p>
    <w:p w:rsidR="003832B5" w:rsidRDefault="003832B5" w:rsidP="009F230E">
      <w:pPr>
        <w:spacing w:line="360" w:lineRule="auto"/>
        <w:jc w:val="both"/>
        <w:rPr>
          <w:rFonts w:ascii="Arial" w:hAnsi="Arial" w:cs="Arial"/>
          <w:sz w:val="22"/>
          <w:szCs w:val="22"/>
        </w:rPr>
      </w:pPr>
      <w:r>
        <w:rPr>
          <w:rFonts w:ascii="Arial" w:hAnsi="Arial" w:cs="Arial"/>
          <w:sz w:val="22"/>
          <w:szCs w:val="22"/>
        </w:rPr>
        <w:t>GMA</w:t>
      </w:r>
      <w:r>
        <w:rPr>
          <w:rFonts w:ascii="Arial" w:hAnsi="Arial" w:cs="Arial"/>
          <w:sz w:val="22"/>
          <w:szCs w:val="22"/>
        </w:rPr>
        <w:tab/>
      </w:r>
      <w:r>
        <w:rPr>
          <w:rFonts w:ascii="Arial" w:hAnsi="Arial" w:cs="Arial"/>
          <w:sz w:val="22"/>
          <w:szCs w:val="22"/>
        </w:rPr>
        <w:tab/>
      </w:r>
      <w:r>
        <w:rPr>
          <w:rFonts w:ascii="Arial" w:hAnsi="Arial" w:cs="Arial"/>
          <w:sz w:val="22"/>
          <w:szCs w:val="22"/>
        </w:rPr>
        <w:tab/>
        <w:t>Greater Metropolitan Area (NSW)</w:t>
      </w:r>
    </w:p>
    <w:p w:rsidR="004A418D" w:rsidRDefault="004A418D" w:rsidP="009F230E">
      <w:pPr>
        <w:spacing w:line="360" w:lineRule="auto"/>
        <w:jc w:val="both"/>
        <w:rPr>
          <w:rFonts w:ascii="Arial" w:hAnsi="Arial" w:cs="Arial"/>
          <w:sz w:val="22"/>
          <w:szCs w:val="22"/>
        </w:rPr>
      </w:pPr>
      <w:r>
        <w:rPr>
          <w:rFonts w:ascii="Arial" w:hAnsi="Arial" w:cs="Arial"/>
          <w:sz w:val="22"/>
          <w:szCs w:val="22"/>
        </w:rPr>
        <w:t>LCV</w:t>
      </w:r>
      <w:r>
        <w:rPr>
          <w:rFonts w:ascii="Arial" w:hAnsi="Arial" w:cs="Arial"/>
          <w:sz w:val="22"/>
          <w:szCs w:val="22"/>
        </w:rPr>
        <w:tab/>
      </w:r>
      <w:r>
        <w:rPr>
          <w:rFonts w:ascii="Arial" w:hAnsi="Arial" w:cs="Arial"/>
          <w:sz w:val="22"/>
          <w:szCs w:val="22"/>
        </w:rPr>
        <w:tab/>
      </w:r>
      <w:r>
        <w:rPr>
          <w:rFonts w:ascii="Arial" w:hAnsi="Arial" w:cs="Arial"/>
          <w:sz w:val="22"/>
          <w:szCs w:val="22"/>
        </w:rPr>
        <w:tab/>
        <w:t>Light commercial vehicle</w:t>
      </w:r>
    </w:p>
    <w:p w:rsidR="00A606B8" w:rsidRDefault="00A606B8" w:rsidP="009F230E">
      <w:pPr>
        <w:spacing w:line="360" w:lineRule="auto"/>
        <w:jc w:val="both"/>
        <w:rPr>
          <w:rFonts w:ascii="Arial" w:hAnsi="Arial" w:cs="Arial"/>
          <w:sz w:val="22"/>
          <w:szCs w:val="22"/>
        </w:rPr>
      </w:pPr>
      <w:r>
        <w:rPr>
          <w:rFonts w:ascii="Arial" w:hAnsi="Arial" w:cs="Arial"/>
          <w:sz w:val="22"/>
          <w:szCs w:val="22"/>
        </w:rPr>
        <w:t>LDDV</w:t>
      </w:r>
      <w:r>
        <w:rPr>
          <w:rFonts w:ascii="Arial" w:hAnsi="Arial" w:cs="Arial"/>
          <w:sz w:val="22"/>
          <w:szCs w:val="22"/>
        </w:rPr>
        <w:tab/>
      </w:r>
      <w:r>
        <w:rPr>
          <w:rFonts w:ascii="Arial" w:hAnsi="Arial" w:cs="Arial"/>
          <w:sz w:val="22"/>
          <w:szCs w:val="22"/>
        </w:rPr>
        <w:tab/>
      </w:r>
      <w:r>
        <w:rPr>
          <w:rFonts w:ascii="Arial" w:hAnsi="Arial" w:cs="Arial"/>
          <w:sz w:val="22"/>
          <w:szCs w:val="22"/>
        </w:rPr>
        <w:tab/>
        <w:t>Light-duty diesel vehicle</w:t>
      </w:r>
    </w:p>
    <w:p w:rsidR="000C0081" w:rsidRDefault="000C0081" w:rsidP="009F230E">
      <w:pPr>
        <w:spacing w:line="360" w:lineRule="auto"/>
        <w:jc w:val="both"/>
        <w:rPr>
          <w:rFonts w:ascii="Arial" w:hAnsi="Arial" w:cs="Arial"/>
          <w:sz w:val="22"/>
          <w:szCs w:val="22"/>
        </w:rPr>
      </w:pPr>
      <w:r>
        <w:rPr>
          <w:rFonts w:ascii="Arial" w:hAnsi="Arial" w:cs="Arial"/>
          <w:sz w:val="22"/>
          <w:szCs w:val="22"/>
        </w:rPr>
        <w:t>LDV</w:t>
      </w:r>
      <w:r>
        <w:rPr>
          <w:rFonts w:ascii="Arial" w:hAnsi="Arial" w:cs="Arial"/>
          <w:sz w:val="22"/>
          <w:szCs w:val="22"/>
        </w:rPr>
        <w:tab/>
      </w:r>
      <w:r>
        <w:rPr>
          <w:rFonts w:ascii="Arial" w:hAnsi="Arial" w:cs="Arial"/>
          <w:sz w:val="22"/>
          <w:szCs w:val="22"/>
        </w:rPr>
        <w:tab/>
      </w:r>
      <w:r>
        <w:rPr>
          <w:rFonts w:ascii="Arial" w:hAnsi="Arial" w:cs="Arial"/>
          <w:sz w:val="22"/>
          <w:szCs w:val="22"/>
        </w:rPr>
        <w:tab/>
        <w:t>Light-duty vehicle</w:t>
      </w:r>
    </w:p>
    <w:p w:rsidR="00635972" w:rsidRDefault="00635972" w:rsidP="009F230E">
      <w:pPr>
        <w:spacing w:line="360" w:lineRule="auto"/>
        <w:jc w:val="both"/>
        <w:rPr>
          <w:rFonts w:ascii="Arial" w:hAnsi="Arial" w:cs="Arial"/>
          <w:sz w:val="22"/>
          <w:szCs w:val="22"/>
        </w:rPr>
      </w:pPr>
      <w:r>
        <w:rPr>
          <w:rFonts w:ascii="Arial" w:hAnsi="Arial" w:cs="Arial"/>
          <w:sz w:val="22"/>
          <w:szCs w:val="22"/>
        </w:rPr>
        <w:t>LPG</w:t>
      </w:r>
      <w:r>
        <w:rPr>
          <w:rFonts w:ascii="Arial" w:hAnsi="Arial" w:cs="Arial"/>
          <w:sz w:val="22"/>
          <w:szCs w:val="22"/>
        </w:rPr>
        <w:tab/>
      </w:r>
      <w:r>
        <w:rPr>
          <w:rFonts w:ascii="Arial" w:hAnsi="Arial" w:cs="Arial"/>
          <w:sz w:val="22"/>
          <w:szCs w:val="22"/>
        </w:rPr>
        <w:tab/>
      </w:r>
      <w:r>
        <w:rPr>
          <w:rFonts w:ascii="Arial" w:hAnsi="Arial" w:cs="Arial"/>
          <w:sz w:val="22"/>
          <w:szCs w:val="22"/>
        </w:rPr>
        <w:tab/>
        <w:t>Liquefied Petroleum Gas</w:t>
      </w:r>
    </w:p>
    <w:p w:rsidR="003832B5" w:rsidRDefault="003832B5" w:rsidP="009F230E">
      <w:pPr>
        <w:spacing w:line="360" w:lineRule="auto"/>
        <w:jc w:val="both"/>
        <w:rPr>
          <w:rFonts w:ascii="Arial" w:hAnsi="Arial" w:cs="Arial"/>
          <w:sz w:val="22"/>
          <w:szCs w:val="22"/>
        </w:rPr>
      </w:pPr>
      <w:r>
        <w:rPr>
          <w:rFonts w:ascii="Arial" w:hAnsi="Arial" w:cs="Arial"/>
          <w:sz w:val="22"/>
          <w:szCs w:val="22"/>
        </w:rPr>
        <w:t>HCV</w:t>
      </w:r>
      <w:r>
        <w:rPr>
          <w:rFonts w:ascii="Arial" w:hAnsi="Arial" w:cs="Arial"/>
          <w:sz w:val="22"/>
          <w:szCs w:val="22"/>
        </w:rPr>
        <w:tab/>
      </w:r>
      <w:r>
        <w:rPr>
          <w:rFonts w:ascii="Arial" w:hAnsi="Arial" w:cs="Arial"/>
          <w:sz w:val="22"/>
          <w:szCs w:val="22"/>
        </w:rPr>
        <w:tab/>
      </w:r>
      <w:r>
        <w:rPr>
          <w:rFonts w:ascii="Arial" w:hAnsi="Arial" w:cs="Arial"/>
          <w:sz w:val="22"/>
          <w:szCs w:val="22"/>
        </w:rPr>
        <w:tab/>
        <w:t>Heavy commercial vehicle (rigid)</w:t>
      </w:r>
    </w:p>
    <w:p w:rsidR="00A606B8" w:rsidRPr="009F230E" w:rsidRDefault="00A606B8" w:rsidP="009F230E">
      <w:pPr>
        <w:spacing w:line="360" w:lineRule="auto"/>
        <w:jc w:val="both"/>
        <w:rPr>
          <w:rFonts w:ascii="Arial" w:hAnsi="Arial" w:cs="Arial"/>
          <w:sz w:val="22"/>
          <w:szCs w:val="22"/>
        </w:rPr>
      </w:pPr>
      <w:r>
        <w:rPr>
          <w:rFonts w:ascii="Arial" w:hAnsi="Arial" w:cs="Arial"/>
          <w:sz w:val="22"/>
          <w:szCs w:val="22"/>
        </w:rPr>
        <w:t>HDDV</w:t>
      </w:r>
      <w:r>
        <w:rPr>
          <w:rFonts w:ascii="Arial" w:hAnsi="Arial" w:cs="Arial"/>
          <w:sz w:val="22"/>
          <w:szCs w:val="22"/>
        </w:rPr>
        <w:tab/>
      </w:r>
      <w:r>
        <w:rPr>
          <w:rFonts w:ascii="Arial" w:hAnsi="Arial" w:cs="Arial"/>
          <w:sz w:val="22"/>
          <w:szCs w:val="22"/>
        </w:rPr>
        <w:tab/>
      </w:r>
      <w:r>
        <w:rPr>
          <w:rFonts w:ascii="Arial" w:hAnsi="Arial" w:cs="Arial"/>
          <w:sz w:val="22"/>
          <w:szCs w:val="22"/>
        </w:rPr>
        <w:tab/>
        <w:t>Heavy-duty diesel vehicle</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HHV</w:t>
      </w:r>
      <w:r w:rsidRPr="009F230E">
        <w:rPr>
          <w:rFonts w:ascii="Arial" w:hAnsi="Arial" w:cs="Arial"/>
          <w:sz w:val="22"/>
          <w:szCs w:val="22"/>
        </w:rPr>
        <w:tab/>
      </w:r>
      <w:r w:rsidRPr="009F230E">
        <w:rPr>
          <w:rFonts w:ascii="Arial" w:hAnsi="Arial" w:cs="Arial"/>
          <w:sz w:val="22"/>
          <w:szCs w:val="22"/>
        </w:rPr>
        <w:tab/>
      </w:r>
      <w:r w:rsidRPr="009F230E">
        <w:rPr>
          <w:rFonts w:ascii="Arial" w:hAnsi="Arial" w:cs="Arial"/>
          <w:sz w:val="22"/>
          <w:szCs w:val="22"/>
        </w:rPr>
        <w:tab/>
        <w:t>Higher Heating Value</w:t>
      </w: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LHV</w:t>
      </w:r>
      <w:r w:rsidRPr="009F230E">
        <w:rPr>
          <w:rFonts w:ascii="Arial" w:hAnsi="Arial" w:cs="Arial"/>
          <w:sz w:val="22"/>
          <w:szCs w:val="22"/>
        </w:rPr>
        <w:tab/>
      </w:r>
      <w:r w:rsidRPr="009F230E">
        <w:rPr>
          <w:rFonts w:ascii="Arial" w:hAnsi="Arial" w:cs="Arial"/>
          <w:sz w:val="22"/>
          <w:szCs w:val="22"/>
        </w:rPr>
        <w:tab/>
      </w:r>
      <w:r w:rsidRPr="009F230E">
        <w:rPr>
          <w:rFonts w:ascii="Arial" w:hAnsi="Arial" w:cs="Arial"/>
          <w:sz w:val="22"/>
          <w:szCs w:val="22"/>
        </w:rPr>
        <w:tab/>
        <w:t>Lower Heating Value</w:t>
      </w:r>
    </w:p>
    <w:p w:rsidR="003832B5" w:rsidRDefault="003832B5" w:rsidP="009F230E">
      <w:pPr>
        <w:spacing w:line="360" w:lineRule="auto"/>
        <w:jc w:val="both"/>
        <w:rPr>
          <w:rFonts w:ascii="Arial" w:hAnsi="Arial" w:cs="Arial"/>
          <w:sz w:val="22"/>
          <w:szCs w:val="22"/>
        </w:rPr>
      </w:pPr>
      <w:r>
        <w:rPr>
          <w:rFonts w:ascii="Arial" w:hAnsi="Arial" w:cs="Arial"/>
          <w:sz w:val="22"/>
          <w:szCs w:val="22"/>
        </w:rPr>
        <w:t>MCV</w:t>
      </w:r>
      <w:r>
        <w:rPr>
          <w:rFonts w:ascii="Arial" w:hAnsi="Arial" w:cs="Arial"/>
          <w:sz w:val="22"/>
          <w:szCs w:val="22"/>
        </w:rPr>
        <w:tab/>
      </w:r>
      <w:r>
        <w:rPr>
          <w:rFonts w:ascii="Arial" w:hAnsi="Arial" w:cs="Arial"/>
          <w:sz w:val="22"/>
          <w:szCs w:val="22"/>
        </w:rPr>
        <w:tab/>
      </w:r>
      <w:r>
        <w:rPr>
          <w:rFonts w:ascii="Arial" w:hAnsi="Arial" w:cs="Arial"/>
          <w:sz w:val="22"/>
          <w:szCs w:val="22"/>
        </w:rPr>
        <w:tab/>
        <w:t>Medium commercial vehicle (rigid)</w:t>
      </w:r>
    </w:p>
    <w:p w:rsidR="003832B5" w:rsidRPr="009F230E" w:rsidRDefault="003832B5" w:rsidP="009F230E">
      <w:pPr>
        <w:spacing w:line="360" w:lineRule="auto"/>
        <w:jc w:val="both"/>
        <w:rPr>
          <w:rFonts w:ascii="Arial" w:hAnsi="Arial" w:cs="Arial"/>
          <w:sz w:val="22"/>
          <w:szCs w:val="22"/>
        </w:rPr>
      </w:pPr>
      <w:r>
        <w:rPr>
          <w:rFonts w:ascii="Arial" w:hAnsi="Arial" w:cs="Arial"/>
          <w:sz w:val="22"/>
          <w:szCs w:val="22"/>
        </w:rPr>
        <w:t>MVC</w:t>
      </w:r>
      <w:r>
        <w:rPr>
          <w:rFonts w:ascii="Arial" w:hAnsi="Arial" w:cs="Arial"/>
          <w:sz w:val="22"/>
          <w:szCs w:val="22"/>
        </w:rPr>
        <w:tab/>
      </w:r>
      <w:r>
        <w:rPr>
          <w:rFonts w:ascii="Arial" w:hAnsi="Arial" w:cs="Arial"/>
          <w:sz w:val="22"/>
          <w:szCs w:val="22"/>
        </w:rPr>
        <w:tab/>
      </w:r>
      <w:r>
        <w:rPr>
          <w:rFonts w:ascii="Arial" w:hAnsi="Arial" w:cs="Arial"/>
          <w:sz w:val="22"/>
          <w:szCs w:val="22"/>
        </w:rPr>
        <w:tab/>
        <w:t>Motor Vehicle Census</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MVEI</w:t>
      </w:r>
      <w:r w:rsidRPr="009F230E">
        <w:rPr>
          <w:rFonts w:ascii="Arial" w:hAnsi="Arial" w:cs="Arial"/>
          <w:sz w:val="22"/>
          <w:szCs w:val="22"/>
        </w:rPr>
        <w:tab/>
      </w:r>
      <w:r w:rsidRPr="009F230E">
        <w:rPr>
          <w:rFonts w:ascii="Arial" w:hAnsi="Arial" w:cs="Arial"/>
          <w:sz w:val="22"/>
          <w:szCs w:val="22"/>
        </w:rPr>
        <w:tab/>
      </w:r>
      <w:r w:rsidRPr="009F230E">
        <w:rPr>
          <w:rFonts w:ascii="Arial" w:hAnsi="Arial" w:cs="Arial"/>
          <w:sz w:val="22"/>
          <w:szCs w:val="22"/>
        </w:rPr>
        <w:tab/>
        <w:t>Motor Vehicle Emission Inventory</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NMVEI</w:t>
      </w:r>
      <w:r w:rsidRPr="009F230E">
        <w:rPr>
          <w:rFonts w:ascii="Arial" w:hAnsi="Arial" w:cs="Arial"/>
          <w:sz w:val="22"/>
          <w:szCs w:val="22"/>
        </w:rPr>
        <w:tab/>
      </w:r>
      <w:r w:rsidRPr="009F230E">
        <w:rPr>
          <w:rFonts w:ascii="Arial" w:hAnsi="Arial" w:cs="Arial"/>
          <w:sz w:val="22"/>
          <w:szCs w:val="22"/>
        </w:rPr>
        <w:tab/>
      </w:r>
      <w:r w:rsidRPr="009F230E">
        <w:rPr>
          <w:rFonts w:ascii="Arial" w:hAnsi="Arial" w:cs="Arial"/>
          <w:sz w:val="22"/>
          <w:szCs w:val="22"/>
        </w:rPr>
        <w:tab/>
        <w:t>National Motor Vehicle Emission Inventory</w:t>
      </w: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NPI</w:t>
      </w:r>
      <w:r w:rsidRPr="009F230E">
        <w:rPr>
          <w:rFonts w:ascii="Arial" w:hAnsi="Arial" w:cs="Arial"/>
          <w:sz w:val="22"/>
          <w:szCs w:val="22"/>
        </w:rPr>
        <w:tab/>
      </w:r>
      <w:r w:rsidRPr="009F230E">
        <w:rPr>
          <w:rFonts w:ascii="Arial" w:hAnsi="Arial" w:cs="Arial"/>
          <w:sz w:val="22"/>
          <w:szCs w:val="22"/>
        </w:rPr>
        <w:tab/>
      </w:r>
      <w:r w:rsidRPr="009F230E">
        <w:rPr>
          <w:rFonts w:ascii="Arial" w:hAnsi="Arial" w:cs="Arial"/>
          <w:sz w:val="22"/>
          <w:szCs w:val="22"/>
        </w:rPr>
        <w:tab/>
        <w:t>National Pollutant Inventory</w:t>
      </w:r>
    </w:p>
    <w:p w:rsidR="00635972" w:rsidRDefault="00635972" w:rsidP="009F230E">
      <w:pPr>
        <w:spacing w:line="360" w:lineRule="auto"/>
        <w:jc w:val="both"/>
        <w:rPr>
          <w:rFonts w:ascii="Arial" w:hAnsi="Arial" w:cs="Arial"/>
          <w:sz w:val="22"/>
          <w:szCs w:val="22"/>
        </w:rPr>
      </w:pPr>
      <w:r>
        <w:rPr>
          <w:rFonts w:ascii="Arial" w:hAnsi="Arial" w:cs="Arial"/>
          <w:sz w:val="22"/>
          <w:szCs w:val="22"/>
        </w:rPr>
        <w:t>NSW</w:t>
      </w:r>
      <w:r>
        <w:rPr>
          <w:rFonts w:ascii="Arial" w:hAnsi="Arial" w:cs="Arial"/>
          <w:sz w:val="22"/>
          <w:szCs w:val="22"/>
        </w:rPr>
        <w:tab/>
      </w:r>
      <w:r>
        <w:rPr>
          <w:rFonts w:ascii="Arial" w:hAnsi="Arial" w:cs="Arial"/>
          <w:sz w:val="22"/>
          <w:szCs w:val="22"/>
        </w:rPr>
        <w:tab/>
      </w:r>
      <w:r>
        <w:rPr>
          <w:rFonts w:ascii="Arial" w:hAnsi="Arial" w:cs="Arial"/>
          <w:sz w:val="22"/>
          <w:szCs w:val="22"/>
        </w:rPr>
        <w:tab/>
        <w:t>New South Wales</w:t>
      </w:r>
    </w:p>
    <w:p w:rsidR="00635972" w:rsidRDefault="00635972" w:rsidP="009F230E">
      <w:pPr>
        <w:spacing w:line="360" w:lineRule="auto"/>
        <w:jc w:val="both"/>
        <w:rPr>
          <w:rFonts w:ascii="Arial" w:hAnsi="Arial" w:cs="Arial"/>
          <w:sz w:val="22"/>
          <w:szCs w:val="22"/>
        </w:rPr>
      </w:pPr>
      <w:r>
        <w:rPr>
          <w:rFonts w:ascii="Arial" w:hAnsi="Arial" w:cs="Arial"/>
          <w:sz w:val="22"/>
          <w:szCs w:val="22"/>
        </w:rPr>
        <w:t>NT</w:t>
      </w:r>
      <w:r>
        <w:rPr>
          <w:rFonts w:ascii="Arial" w:hAnsi="Arial" w:cs="Arial"/>
          <w:sz w:val="22"/>
          <w:szCs w:val="22"/>
        </w:rPr>
        <w:tab/>
      </w:r>
      <w:r>
        <w:rPr>
          <w:rFonts w:ascii="Arial" w:hAnsi="Arial" w:cs="Arial"/>
          <w:sz w:val="22"/>
          <w:szCs w:val="22"/>
        </w:rPr>
        <w:tab/>
      </w:r>
      <w:r>
        <w:rPr>
          <w:rFonts w:ascii="Arial" w:hAnsi="Arial" w:cs="Arial"/>
          <w:sz w:val="22"/>
          <w:szCs w:val="22"/>
        </w:rPr>
        <w:tab/>
        <w:t>Northern Territory</w:t>
      </w:r>
    </w:p>
    <w:p w:rsidR="004A418D" w:rsidRDefault="004A418D" w:rsidP="009F230E">
      <w:pPr>
        <w:spacing w:line="360" w:lineRule="auto"/>
        <w:jc w:val="both"/>
        <w:rPr>
          <w:rFonts w:ascii="Arial" w:hAnsi="Arial" w:cs="Arial"/>
          <w:sz w:val="22"/>
          <w:szCs w:val="22"/>
        </w:rPr>
      </w:pPr>
      <w:r>
        <w:rPr>
          <w:rFonts w:ascii="Arial" w:hAnsi="Arial" w:cs="Arial"/>
          <w:sz w:val="22"/>
          <w:szCs w:val="22"/>
        </w:rPr>
        <w:t>PC</w:t>
      </w:r>
      <w:r>
        <w:rPr>
          <w:rFonts w:ascii="Arial" w:hAnsi="Arial" w:cs="Arial"/>
          <w:sz w:val="22"/>
          <w:szCs w:val="22"/>
        </w:rPr>
        <w:tab/>
      </w:r>
      <w:r>
        <w:rPr>
          <w:rFonts w:ascii="Arial" w:hAnsi="Arial" w:cs="Arial"/>
          <w:sz w:val="22"/>
          <w:szCs w:val="22"/>
        </w:rPr>
        <w:tab/>
      </w:r>
      <w:r>
        <w:rPr>
          <w:rFonts w:ascii="Arial" w:hAnsi="Arial" w:cs="Arial"/>
          <w:sz w:val="22"/>
          <w:szCs w:val="22"/>
        </w:rPr>
        <w:tab/>
        <w:t>Passenger car</w:t>
      </w:r>
    </w:p>
    <w:p w:rsidR="00A606B8" w:rsidRDefault="00A606B8" w:rsidP="009F230E">
      <w:pPr>
        <w:spacing w:line="360" w:lineRule="auto"/>
        <w:jc w:val="both"/>
        <w:rPr>
          <w:rFonts w:ascii="Arial" w:hAnsi="Arial" w:cs="Arial"/>
          <w:sz w:val="22"/>
          <w:szCs w:val="22"/>
        </w:rPr>
      </w:pP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Particulate matter</w:t>
      </w:r>
    </w:p>
    <w:p w:rsidR="003832B5" w:rsidRDefault="003832B5" w:rsidP="009F230E">
      <w:pPr>
        <w:spacing w:line="360" w:lineRule="auto"/>
        <w:jc w:val="both"/>
        <w:rPr>
          <w:rFonts w:ascii="Arial" w:hAnsi="Arial" w:cs="Arial"/>
          <w:sz w:val="22"/>
          <w:szCs w:val="22"/>
        </w:rPr>
      </w:pPr>
      <w:r>
        <w:rPr>
          <w:rFonts w:ascii="Arial" w:hAnsi="Arial" w:cs="Arial"/>
          <w:sz w:val="22"/>
          <w:szCs w:val="22"/>
        </w:rPr>
        <w:t>PJ</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Peta</w:t>
      </w:r>
      <w:proofErr w:type="spellEnd"/>
      <w:r>
        <w:rPr>
          <w:rFonts w:ascii="Arial" w:hAnsi="Arial" w:cs="Arial"/>
          <w:sz w:val="22"/>
          <w:szCs w:val="22"/>
        </w:rPr>
        <w:t xml:space="preserve"> joule</w:t>
      </w:r>
    </w:p>
    <w:p w:rsidR="003832B5" w:rsidRDefault="003832B5" w:rsidP="009F230E">
      <w:pPr>
        <w:spacing w:line="360" w:lineRule="auto"/>
        <w:jc w:val="both"/>
        <w:rPr>
          <w:rFonts w:ascii="Arial" w:hAnsi="Arial" w:cs="Arial"/>
          <w:sz w:val="22"/>
          <w:szCs w:val="22"/>
        </w:rPr>
      </w:pPr>
      <w:r>
        <w:rPr>
          <w:rFonts w:ascii="Arial" w:hAnsi="Arial" w:cs="Arial"/>
          <w:sz w:val="22"/>
          <w:szCs w:val="22"/>
        </w:rPr>
        <w:t>PULP</w:t>
      </w:r>
      <w:r>
        <w:rPr>
          <w:rFonts w:ascii="Arial" w:hAnsi="Arial" w:cs="Arial"/>
          <w:sz w:val="22"/>
          <w:szCs w:val="22"/>
        </w:rPr>
        <w:tab/>
      </w:r>
      <w:r>
        <w:rPr>
          <w:rFonts w:ascii="Arial" w:hAnsi="Arial" w:cs="Arial"/>
          <w:sz w:val="22"/>
          <w:szCs w:val="22"/>
        </w:rPr>
        <w:tab/>
      </w:r>
      <w:r>
        <w:rPr>
          <w:rFonts w:ascii="Arial" w:hAnsi="Arial" w:cs="Arial"/>
          <w:sz w:val="22"/>
          <w:szCs w:val="22"/>
        </w:rPr>
        <w:tab/>
        <w:t>Premium unleaded petrol</w:t>
      </w:r>
    </w:p>
    <w:p w:rsidR="003832B5" w:rsidRDefault="003832B5" w:rsidP="009F230E">
      <w:pPr>
        <w:spacing w:line="360" w:lineRule="auto"/>
        <w:jc w:val="both"/>
        <w:rPr>
          <w:rFonts w:ascii="Arial" w:hAnsi="Arial" w:cs="Arial"/>
          <w:sz w:val="22"/>
          <w:szCs w:val="22"/>
        </w:rPr>
      </w:pPr>
      <w:r>
        <w:rPr>
          <w:rFonts w:ascii="Arial" w:hAnsi="Arial" w:cs="Arial"/>
          <w:sz w:val="22"/>
          <w:szCs w:val="22"/>
        </w:rPr>
        <w:t>RVP</w:t>
      </w:r>
      <w:r>
        <w:rPr>
          <w:rFonts w:ascii="Arial" w:hAnsi="Arial" w:cs="Arial"/>
          <w:sz w:val="22"/>
          <w:szCs w:val="22"/>
        </w:rPr>
        <w:tab/>
      </w:r>
      <w:r>
        <w:rPr>
          <w:rFonts w:ascii="Arial" w:hAnsi="Arial" w:cs="Arial"/>
          <w:sz w:val="22"/>
          <w:szCs w:val="22"/>
        </w:rPr>
        <w:tab/>
      </w:r>
      <w:r>
        <w:rPr>
          <w:rFonts w:ascii="Arial" w:hAnsi="Arial" w:cs="Arial"/>
          <w:sz w:val="22"/>
          <w:szCs w:val="22"/>
        </w:rPr>
        <w:tab/>
        <w:t>Reid Vapour Pressure</w:t>
      </w:r>
    </w:p>
    <w:p w:rsidR="00635972" w:rsidRDefault="00635972" w:rsidP="009F230E">
      <w:pPr>
        <w:spacing w:line="360" w:lineRule="auto"/>
        <w:jc w:val="both"/>
        <w:rPr>
          <w:rFonts w:ascii="Arial" w:hAnsi="Arial" w:cs="Arial"/>
          <w:sz w:val="22"/>
          <w:szCs w:val="22"/>
        </w:rPr>
      </w:pPr>
      <w:r>
        <w:rPr>
          <w:rFonts w:ascii="Arial" w:hAnsi="Arial" w:cs="Arial"/>
          <w:sz w:val="22"/>
          <w:szCs w:val="22"/>
        </w:rPr>
        <w:t>QLD</w:t>
      </w:r>
      <w:r>
        <w:rPr>
          <w:rFonts w:ascii="Arial" w:hAnsi="Arial" w:cs="Arial"/>
          <w:sz w:val="22"/>
          <w:szCs w:val="22"/>
        </w:rPr>
        <w:tab/>
      </w:r>
      <w:r>
        <w:rPr>
          <w:rFonts w:ascii="Arial" w:hAnsi="Arial" w:cs="Arial"/>
          <w:sz w:val="22"/>
          <w:szCs w:val="22"/>
        </w:rPr>
        <w:tab/>
      </w:r>
      <w:r>
        <w:rPr>
          <w:rFonts w:ascii="Arial" w:hAnsi="Arial" w:cs="Arial"/>
          <w:sz w:val="22"/>
          <w:szCs w:val="22"/>
        </w:rPr>
        <w:tab/>
        <w:t>Queensland</w:t>
      </w:r>
    </w:p>
    <w:p w:rsidR="00635972" w:rsidRDefault="00635972" w:rsidP="009F230E">
      <w:pPr>
        <w:spacing w:line="360" w:lineRule="auto"/>
        <w:jc w:val="both"/>
        <w:rPr>
          <w:rFonts w:ascii="Arial" w:hAnsi="Arial" w:cs="Arial"/>
          <w:sz w:val="22"/>
          <w:szCs w:val="22"/>
        </w:rPr>
      </w:pPr>
      <w:r>
        <w:rPr>
          <w:rFonts w:ascii="Arial" w:hAnsi="Arial" w:cs="Arial"/>
          <w:sz w:val="22"/>
          <w:szCs w:val="22"/>
        </w:rPr>
        <w:t>SMVU</w:t>
      </w:r>
      <w:r>
        <w:rPr>
          <w:rFonts w:ascii="Arial" w:hAnsi="Arial" w:cs="Arial"/>
          <w:sz w:val="22"/>
          <w:szCs w:val="22"/>
        </w:rPr>
        <w:tab/>
      </w:r>
      <w:r>
        <w:rPr>
          <w:rFonts w:ascii="Arial" w:hAnsi="Arial" w:cs="Arial"/>
          <w:sz w:val="22"/>
          <w:szCs w:val="22"/>
        </w:rPr>
        <w:tab/>
      </w:r>
      <w:r>
        <w:rPr>
          <w:rFonts w:ascii="Arial" w:hAnsi="Arial" w:cs="Arial"/>
          <w:sz w:val="22"/>
          <w:szCs w:val="22"/>
        </w:rPr>
        <w:tab/>
        <w:t>Survey of Motor Vehicle Use</w:t>
      </w:r>
    </w:p>
    <w:p w:rsidR="00A606B8" w:rsidRDefault="00635972" w:rsidP="009F230E">
      <w:pPr>
        <w:spacing w:line="360" w:lineRule="auto"/>
        <w:jc w:val="both"/>
        <w:rPr>
          <w:rFonts w:ascii="Arial" w:hAnsi="Arial" w:cs="Arial"/>
          <w:sz w:val="22"/>
          <w:szCs w:val="22"/>
        </w:rPr>
      </w:pPr>
      <w:r>
        <w:rPr>
          <w:rFonts w:ascii="Arial" w:hAnsi="Arial" w:cs="Arial"/>
          <w:sz w:val="22"/>
          <w:szCs w:val="22"/>
        </w:rPr>
        <w:t>SA</w:t>
      </w:r>
      <w:r>
        <w:rPr>
          <w:rFonts w:ascii="Arial" w:hAnsi="Arial" w:cs="Arial"/>
          <w:sz w:val="22"/>
          <w:szCs w:val="22"/>
        </w:rPr>
        <w:tab/>
      </w:r>
      <w:r>
        <w:rPr>
          <w:rFonts w:ascii="Arial" w:hAnsi="Arial" w:cs="Arial"/>
          <w:sz w:val="22"/>
          <w:szCs w:val="22"/>
        </w:rPr>
        <w:tab/>
      </w:r>
      <w:r>
        <w:rPr>
          <w:rFonts w:ascii="Arial" w:hAnsi="Arial" w:cs="Arial"/>
          <w:sz w:val="22"/>
          <w:szCs w:val="22"/>
        </w:rPr>
        <w:tab/>
        <w:t>South Australia</w:t>
      </w:r>
    </w:p>
    <w:p w:rsidR="004A418D" w:rsidRDefault="004A418D" w:rsidP="009F230E">
      <w:pPr>
        <w:spacing w:line="360" w:lineRule="auto"/>
        <w:jc w:val="both"/>
        <w:rPr>
          <w:rFonts w:ascii="Arial" w:hAnsi="Arial" w:cs="Arial"/>
          <w:sz w:val="22"/>
          <w:szCs w:val="22"/>
        </w:rPr>
      </w:pPr>
      <w:r>
        <w:rPr>
          <w:rFonts w:ascii="Arial" w:hAnsi="Arial" w:cs="Arial"/>
          <w:sz w:val="22"/>
          <w:szCs w:val="22"/>
        </w:rPr>
        <w:t>SUV</w:t>
      </w:r>
      <w:r>
        <w:rPr>
          <w:rFonts w:ascii="Arial" w:hAnsi="Arial" w:cs="Arial"/>
          <w:sz w:val="22"/>
          <w:szCs w:val="22"/>
        </w:rPr>
        <w:tab/>
      </w:r>
      <w:r>
        <w:rPr>
          <w:rFonts w:ascii="Arial" w:hAnsi="Arial" w:cs="Arial"/>
          <w:sz w:val="22"/>
          <w:szCs w:val="22"/>
        </w:rPr>
        <w:tab/>
      </w:r>
      <w:r>
        <w:rPr>
          <w:rFonts w:ascii="Arial" w:hAnsi="Arial" w:cs="Arial"/>
          <w:sz w:val="22"/>
          <w:szCs w:val="22"/>
        </w:rPr>
        <w:tab/>
        <w:t>Sport utility vehicle</w:t>
      </w:r>
    </w:p>
    <w:p w:rsidR="00635972" w:rsidRDefault="00635972" w:rsidP="009F230E">
      <w:pPr>
        <w:spacing w:line="360" w:lineRule="auto"/>
        <w:jc w:val="both"/>
        <w:rPr>
          <w:rFonts w:ascii="Arial" w:hAnsi="Arial" w:cs="Arial"/>
          <w:sz w:val="22"/>
          <w:szCs w:val="22"/>
        </w:rPr>
      </w:pPr>
      <w:r>
        <w:rPr>
          <w:rFonts w:ascii="Arial" w:hAnsi="Arial" w:cs="Arial"/>
          <w:sz w:val="22"/>
          <w:szCs w:val="22"/>
        </w:rPr>
        <w:t>VIC</w:t>
      </w:r>
      <w:r>
        <w:rPr>
          <w:rFonts w:ascii="Arial" w:hAnsi="Arial" w:cs="Arial"/>
          <w:sz w:val="22"/>
          <w:szCs w:val="22"/>
        </w:rPr>
        <w:tab/>
      </w:r>
      <w:r>
        <w:rPr>
          <w:rFonts w:ascii="Arial" w:hAnsi="Arial" w:cs="Arial"/>
          <w:sz w:val="22"/>
          <w:szCs w:val="22"/>
        </w:rPr>
        <w:tab/>
      </w:r>
      <w:r>
        <w:rPr>
          <w:rFonts w:ascii="Arial" w:hAnsi="Arial" w:cs="Arial"/>
          <w:sz w:val="22"/>
          <w:szCs w:val="22"/>
        </w:rPr>
        <w:tab/>
        <w:t>Victoria</w:t>
      </w:r>
    </w:p>
    <w:p w:rsidR="00143600" w:rsidRDefault="00143600" w:rsidP="009F230E">
      <w:pPr>
        <w:spacing w:line="360" w:lineRule="auto"/>
        <w:jc w:val="both"/>
        <w:rPr>
          <w:rFonts w:ascii="Arial" w:hAnsi="Arial" w:cs="Arial"/>
          <w:sz w:val="22"/>
          <w:szCs w:val="22"/>
        </w:rPr>
      </w:pPr>
      <w:r>
        <w:rPr>
          <w:rFonts w:ascii="Arial" w:hAnsi="Arial" w:cs="Arial"/>
          <w:sz w:val="22"/>
          <w:szCs w:val="22"/>
        </w:rPr>
        <w:t>VOC</w:t>
      </w:r>
      <w:r>
        <w:rPr>
          <w:rFonts w:ascii="Arial" w:hAnsi="Arial" w:cs="Arial"/>
          <w:sz w:val="22"/>
          <w:szCs w:val="22"/>
        </w:rPr>
        <w:tab/>
      </w:r>
      <w:r>
        <w:rPr>
          <w:rFonts w:ascii="Arial" w:hAnsi="Arial" w:cs="Arial"/>
          <w:sz w:val="22"/>
          <w:szCs w:val="22"/>
        </w:rPr>
        <w:tab/>
      </w:r>
      <w:r>
        <w:rPr>
          <w:rFonts w:ascii="Arial" w:hAnsi="Arial" w:cs="Arial"/>
          <w:sz w:val="22"/>
          <w:szCs w:val="22"/>
        </w:rPr>
        <w:tab/>
      </w:r>
      <w:r w:rsidRPr="00143600">
        <w:rPr>
          <w:rFonts w:ascii="Arial" w:hAnsi="Arial" w:cs="Arial"/>
          <w:sz w:val="22"/>
          <w:szCs w:val="22"/>
        </w:rPr>
        <w:t>Volatile organic compound</w:t>
      </w:r>
    </w:p>
    <w:p w:rsidR="00635972" w:rsidRDefault="00635972" w:rsidP="009F230E">
      <w:pPr>
        <w:spacing w:line="360" w:lineRule="auto"/>
        <w:jc w:val="both"/>
        <w:rPr>
          <w:rFonts w:ascii="Arial" w:hAnsi="Arial" w:cs="Arial"/>
          <w:sz w:val="22"/>
          <w:szCs w:val="22"/>
        </w:rPr>
      </w:pPr>
      <w:r>
        <w:rPr>
          <w:rFonts w:ascii="Arial" w:hAnsi="Arial" w:cs="Arial"/>
          <w:sz w:val="22"/>
          <w:szCs w:val="22"/>
        </w:rPr>
        <w:t>VKT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Vehicle </w:t>
      </w:r>
      <w:r w:rsidR="00143600">
        <w:rPr>
          <w:rFonts w:ascii="Arial" w:hAnsi="Arial" w:cs="Arial"/>
          <w:sz w:val="22"/>
          <w:szCs w:val="22"/>
        </w:rPr>
        <w:t>Kilometres</w:t>
      </w:r>
      <w:r>
        <w:rPr>
          <w:rFonts w:ascii="Arial" w:hAnsi="Arial" w:cs="Arial"/>
          <w:sz w:val="22"/>
          <w:szCs w:val="22"/>
        </w:rPr>
        <w:t xml:space="preserve"> Travelled</w:t>
      </w:r>
    </w:p>
    <w:p w:rsidR="00635972" w:rsidRDefault="00635972" w:rsidP="009F230E">
      <w:pPr>
        <w:spacing w:line="360" w:lineRule="auto"/>
        <w:jc w:val="both"/>
        <w:rPr>
          <w:rFonts w:ascii="Arial" w:hAnsi="Arial" w:cs="Arial"/>
          <w:sz w:val="22"/>
          <w:szCs w:val="22"/>
        </w:rPr>
      </w:pPr>
      <w:r>
        <w:rPr>
          <w:rFonts w:ascii="Arial" w:hAnsi="Arial" w:cs="Arial"/>
          <w:sz w:val="22"/>
          <w:szCs w:val="22"/>
        </w:rPr>
        <w:lastRenderedPageBreak/>
        <w:t>TAS</w:t>
      </w:r>
      <w:r>
        <w:rPr>
          <w:rFonts w:ascii="Arial" w:hAnsi="Arial" w:cs="Arial"/>
          <w:sz w:val="22"/>
          <w:szCs w:val="22"/>
        </w:rPr>
        <w:tab/>
      </w:r>
      <w:r>
        <w:rPr>
          <w:rFonts w:ascii="Arial" w:hAnsi="Arial" w:cs="Arial"/>
          <w:sz w:val="22"/>
          <w:szCs w:val="22"/>
        </w:rPr>
        <w:tab/>
      </w:r>
      <w:r>
        <w:rPr>
          <w:rFonts w:ascii="Arial" w:hAnsi="Arial" w:cs="Arial"/>
          <w:sz w:val="22"/>
          <w:szCs w:val="22"/>
        </w:rPr>
        <w:tab/>
        <w:t>Tasmania</w:t>
      </w:r>
    </w:p>
    <w:p w:rsidR="003832B5" w:rsidRDefault="003832B5" w:rsidP="009F230E">
      <w:pPr>
        <w:spacing w:line="360" w:lineRule="auto"/>
        <w:jc w:val="both"/>
        <w:rPr>
          <w:rFonts w:ascii="Arial" w:hAnsi="Arial" w:cs="Arial"/>
          <w:sz w:val="22"/>
          <w:szCs w:val="22"/>
        </w:rPr>
      </w:pPr>
      <w:r>
        <w:rPr>
          <w:rFonts w:ascii="Arial" w:hAnsi="Arial" w:cs="Arial"/>
          <w:sz w:val="22"/>
          <w:szCs w:val="22"/>
        </w:rPr>
        <w:t>ULP</w:t>
      </w:r>
      <w:r>
        <w:rPr>
          <w:rFonts w:ascii="Arial" w:hAnsi="Arial" w:cs="Arial"/>
          <w:sz w:val="22"/>
          <w:szCs w:val="22"/>
        </w:rPr>
        <w:tab/>
      </w:r>
      <w:r>
        <w:rPr>
          <w:rFonts w:ascii="Arial" w:hAnsi="Arial" w:cs="Arial"/>
          <w:sz w:val="22"/>
          <w:szCs w:val="22"/>
        </w:rPr>
        <w:tab/>
      </w:r>
      <w:r>
        <w:rPr>
          <w:rFonts w:ascii="Arial" w:hAnsi="Arial" w:cs="Arial"/>
          <w:sz w:val="22"/>
          <w:szCs w:val="22"/>
        </w:rPr>
        <w:tab/>
        <w:t>Unleaded petrol</w:t>
      </w:r>
    </w:p>
    <w:p w:rsidR="00FF2889" w:rsidRDefault="00635972" w:rsidP="00143600">
      <w:pPr>
        <w:spacing w:line="360" w:lineRule="auto"/>
        <w:jc w:val="both"/>
        <w:rPr>
          <w:rFonts w:ascii="Arial" w:hAnsi="Arial" w:cs="Arial"/>
          <w:sz w:val="22"/>
          <w:szCs w:val="22"/>
        </w:rPr>
      </w:pPr>
      <w:r>
        <w:rPr>
          <w:rFonts w:ascii="Arial" w:hAnsi="Arial" w:cs="Arial"/>
          <w:sz w:val="22"/>
          <w:szCs w:val="22"/>
        </w:rPr>
        <w:t>WA</w:t>
      </w:r>
      <w:r>
        <w:rPr>
          <w:rFonts w:ascii="Arial" w:hAnsi="Arial" w:cs="Arial"/>
          <w:sz w:val="22"/>
          <w:szCs w:val="22"/>
        </w:rPr>
        <w:tab/>
      </w:r>
      <w:r>
        <w:rPr>
          <w:rFonts w:ascii="Arial" w:hAnsi="Arial" w:cs="Arial"/>
          <w:sz w:val="22"/>
          <w:szCs w:val="22"/>
        </w:rPr>
        <w:tab/>
      </w:r>
      <w:r>
        <w:rPr>
          <w:rFonts w:ascii="Arial" w:hAnsi="Arial" w:cs="Arial"/>
          <w:sz w:val="22"/>
          <w:szCs w:val="22"/>
        </w:rPr>
        <w:tab/>
        <w:t>Western Australia</w:t>
      </w:r>
    </w:p>
    <w:p w:rsidR="009F230E" w:rsidRDefault="009F230E" w:rsidP="00143600">
      <w:pPr>
        <w:spacing w:line="360" w:lineRule="auto"/>
        <w:jc w:val="both"/>
      </w:pPr>
      <w:bookmarkStart w:id="6" w:name="_GoBack"/>
      <w:bookmarkEnd w:id="6"/>
      <w:r>
        <w:br w:type="page"/>
      </w:r>
    </w:p>
    <w:p w:rsidR="00974A30" w:rsidRPr="00842183" w:rsidRDefault="009F230E" w:rsidP="009F230E">
      <w:pPr>
        <w:pStyle w:val="Heading1"/>
        <w:numPr>
          <w:ilvl w:val="0"/>
          <w:numId w:val="0"/>
        </w:numPr>
        <w:spacing w:line="360" w:lineRule="auto"/>
        <w:ind w:left="720" w:hanging="720"/>
        <w:rPr>
          <w:rFonts w:ascii="Arial" w:hAnsi="Arial" w:cs="Arial"/>
          <w:sz w:val="22"/>
          <w:szCs w:val="22"/>
        </w:rPr>
      </w:pPr>
      <w:bookmarkStart w:id="7" w:name="_Toc394993186"/>
      <w:bookmarkEnd w:id="1"/>
      <w:bookmarkEnd w:id="2"/>
      <w:r>
        <w:rPr>
          <w:rFonts w:ascii="Arial" w:hAnsi="Arial" w:cs="Arial"/>
          <w:sz w:val="22"/>
          <w:szCs w:val="22"/>
        </w:rPr>
        <w:lastRenderedPageBreak/>
        <w:t>EXECUTIVE SUMMARY</w:t>
      </w:r>
      <w:bookmarkEnd w:id="7"/>
    </w:p>
    <w:p w:rsidR="00974A30" w:rsidRPr="00842183" w:rsidRDefault="00974A30" w:rsidP="007B27C3">
      <w:pPr>
        <w:spacing w:line="360" w:lineRule="auto"/>
        <w:jc w:val="both"/>
        <w:rPr>
          <w:rFonts w:ascii="Arial" w:hAnsi="Arial" w:cs="Arial"/>
          <w:sz w:val="22"/>
          <w:szCs w:val="22"/>
        </w:rPr>
      </w:pPr>
    </w:p>
    <w:p w:rsidR="009F230E" w:rsidRDefault="009F230E" w:rsidP="009F230E">
      <w:pPr>
        <w:spacing w:line="360" w:lineRule="auto"/>
        <w:jc w:val="both"/>
        <w:rPr>
          <w:rFonts w:ascii="Arial" w:hAnsi="Arial" w:cs="Arial"/>
          <w:sz w:val="22"/>
          <w:szCs w:val="22"/>
        </w:rPr>
      </w:pPr>
      <w:bookmarkStart w:id="8" w:name="_Toc122314681"/>
      <w:bookmarkStart w:id="9" w:name="_Toc122314722"/>
      <w:r w:rsidRPr="009F230E">
        <w:rPr>
          <w:rFonts w:ascii="Arial" w:hAnsi="Arial" w:cs="Arial"/>
          <w:sz w:val="22"/>
          <w:szCs w:val="22"/>
        </w:rPr>
        <w:t xml:space="preserve">This study developed a national motor vehicle emission inventory using the </w:t>
      </w:r>
      <w:r w:rsidR="00215E87" w:rsidRPr="009F230E">
        <w:rPr>
          <w:rFonts w:ascii="Arial" w:hAnsi="Arial" w:cs="Arial"/>
          <w:sz w:val="22"/>
          <w:szCs w:val="22"/>
        </w:rPr>
        <w:t>C</w:t>
      </w:r>
      <w:r w:rsidR="00215E87">
        <w:rPr>
          <w:rFonts w:ascii="Arial" w:hAnsi="Arial" w:cs="Arial"/>
          <w:sz w:val="22"/>
          <w:szCs w:val="22"/>
        </w:rPr>
        <w:t>o</w:t>
      </w:r>
      <w:r w:rsidR="00215E87" w:rsidRPr="009F230E">
        <w:rPr>
          <w:rFonts w:ascii="Arial" w:hAnsi="Arial" w:cs="Arial"/>
          <w:sz w:val="22"/>
          <w:szCs w:val="22"/>
        </w:rPr>
        <w:t xml:space="preserve">mputer Programme to calculate Emissions from Road Transport </w:t>
      </w:r>
      <w:r w:rsidR="00215E87">
        <w:rPr>
          <w:rFonts w:ascii="Arial" w:hAnsi="Arial" w:cs="Arial"/>
          <w:sz w:val="22"/>
          <w:szCs w:val="22"/>
        </w:rPr>
        <w:t>(</w:t>
      </w:r>
      <w:r w:rsidRPr="009F230E">
        <w:rPr>
          <w:rFonts w:ascii="Arial" w:hAnsi="Arial" w:cs="Arial"/>
          <w:sz w:val="22"/>
          <w:szCs w:val="22"/>
        </w:rPr>
        <w:t>COPERT</w:t>
      </w:r>
      <w:r w:rsidR="00215E87">
        <w:rPr>
          <w:rFonts w:ascii="Arial" w:hAnsi="Arial" w:cs="Arial"/>
          <w:sz w:val="22"/>
          <w:szCs w:val="22"/>
        </w:rPr>
        <w:t>)</w:t>
      </w:r>
      <w:r w:rsidRPr="009F230E">
        <w:rPr>
          <w:rFonts w:ascii="Arial" w:hAnsi="Arial" w:cs="Arial"/>
          <w:sz w:val="22"/>
          <w:szCs w:val="22"/>
        </w:rPr>
        <w:t xml:space="preserve"> Australia software. A whole-of-Australia study ensures consistency in input data preparation and emission estimation methods. To account for differences in vehicle fleet mix, climate and fuel quality </w:t>
      </w:r>
      <w:r w:rsidR="00DC5AD0">
        <w:rPr>
          <w:rFonts w:ascii="Arial" w:hAnsi="Arial" w:cs="Arial"/>
          <w:sz w:val="22"/>
          <w:szCs w:val="22"/>
        </w:rPr>
        <w:t>Motor Vehicle Emissions Inventory (</w:t>
      </w:r>
      <w:r w:rsidRPr="009F230E">
        <w:rPr>
          <w:rFonts w:ascii="Arial" w:hAnsi="Arial" w:cs="Arial"/>
          <w:sz w:val="22"/>
          <w:szCs w:val="22"/>
        </w:rPr>
        <w:t>MVEIs</w:t>
      </w:r>
      <w:r w:rsidR="00DC5AD0">
        <w:rPr>
          <w:rFonts w:ascii="Arial" w:hAnsi="Arial" w:cs="Arial"/>
          <w:sz w:val="22"/>
          <w:szCs w:val="22"/>
        </w:rPr>
        <w:t>)</w:t>
      </w:r>
      <w:r w:rsidRPr="009F230E">
        <w:rPr>
          <w:rFonts w:ascii="Arial" w:hAnsi="Arial" w:cs="Arial"/>
          <w:sz w:val="22"/>
          <w:szCs w:val="22"/>
        </w:rPr>
        <w:t xml:space="preserve"> were developed for each state/territory individually, and then aggregated to estimate total national emissions. </w:t>
      </w:r>
    </w:p>
    <w:p w:rsidR="009F230E" w:rsidRPr="009F230E" w:rsidRDefault="009F230E" w:rsidP="009F230E">
      <w:pPr>
        <w:spacing w:line="360" w:lineRule="auto"/>
        <w:jc w:val="both"/>
        <w:rPr>
          <w:rFonts w:ascii="Arial" w:hAnsi="Arial" w:cs="Arial"/>
          <w:sz w:val="22"/>
          <w:szCs w:val="22"/>
        </w:rPr>
      </w:pP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COPERT Australia generates comprehensive vehicle emissions data. For example it estimates emissions for 226 vehicle classes, 116 pollutants and different types of emissions (hot running, cold start, evaporative, non-exhaust).  A major part of the work focussed on generating the detailed input data that are required for the emission simulations. </w:t>
      </w:r>
    </w:p>
    <w:p w:rsidR="009F230E" w:rsidRPr="009F230E" w:rsidRDefault="009F230E" w:rsidP="009F230E">
      <w:pPr>
        <w:spacing w:line="360" w:lineRule="auto"/>
        <w:jc w:val="both"/>
        <w:rPr>
          <w:rFonts w:ascii="Arial" w:hAnsi="Arial" w:cs="Arial"/>
          <w:sz w:val="22"/>
          <w:szCs w:val="22"/>
        </w:rPr>
      </w:pP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COPERT input data was calibrated through an iterative process to ensure that predicted fuel consumption by fuel type is equivalent to reported fuel use by credible independent sources. This calibration step is essential to the development of a robust </w:t>
      </w:r>
      <w:r w:rsidR="00143600" w:rsidRPr="009F230E">
        <w:rPr>
          <w:rFonts w:ascii="Arial" w:hAnsi="Arial" w:cs="Arial"/>
          <w:sz w:val="22"/>
          <w:szCs w:val="22"/>
        </w:rPr>
        <w:t>National Motor Vehicle Emission Inventory</w:t>
      </w:r>
      <w:r w:rsidR="00DC5AD0" w:rsidRPr="00DC5AD0">
        <w:rPr>
          <w:rFonts w:ascii="Arial" w:hAnsi="Arial" w:cs="Arial"/>
          <w:sz w:val="22"/>
          <w:szCs w:val="22"/>
        </w:rPr>
        <w:t xml:space="preserve"> </w:t>
      </w:r>
      <w:r w:rsidR="00DC5AD0">
        <w:rPr>
          <w:rFonts w:ascii="Arial" w:hAnsi="Arial" w:cs="Arial"/>
          <w:sz w:val="22"/>
          <w:szCs w:val="22"/>
        </w:rPr>
        <w:t>(</w:t>
      </w:r>
      <w:r w:rsidR="00DC5AD0" w:rsidRPr="009F230E">
        <w:rPr>
          <w:rFonts w:ascii="Arial" w:hAnsi="Arial" w:cs="Arial"/>
          <w:sz w:val="22"/>
          <w:szCs w:val="22"/>
        </w:rPr>
        <w:t>NMVEI</w:t>
      </w:r>
      <w:r w:rsidR="00DC5AD0">
        <w:rPr>
          <w:rFonts w:ascii="Arial" w:hAnsi="Arial" w:cs="Arial"/>
          <w:sz w:val="22"/>
          <w:szCs w:val="22"/>
        </w:rPr>
        <w:t>).</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The NMVEI shows that the relative contributions of industry and motor vehicle emissions are highly variable, and are dependent on the pollutant. Motor vehicles emissions in relation to industry emissions vary from dominant (</w:t>
      </w:r>
      <w:proofErr w:type="spellStart"/>
      <w:r w:rsidRPr="009F230E">
        <w:rPr>
          <w:rFonts w:ascii="Arial" w:hAnsi="Arial" w:cs="Arial"/>
          <w:sz w:val="22"/>
          <w:szCs w:val="22"/>
        </w:rPr>
        <w:t>acrolein</w:t>
      </w:r>
      <w:proofErr w:type="spellEnd"/>
      <w:r w:rsidRPr="009F230E">
        <w:rPr>
          <w:rFonts w:ascii="Arial" w:hAnsi="Arial" w:cs="Arial"/>
          <w:sz w:val="22"/>
          <w:szCs w:val="22"/>
        </w:rPr>
        <w:t xml:space="preserve">, benzene, etc.) to important (VOCs, </w:t>
      </w:r>
      <w:proofErr w:type="spellStart"/>
      <w:r w:rsidRPr="009F230E">
        <w:rPr>
          <w:rFonts w:ascii="Arial" w:hAnsi="Arial" w:cs="Arial"/>
          <w:sz w:val="22"/>
          <w:szCs w:val="22"/>
        </w:rPr>
        <w:t>NO</w:t>
      </w:r>
      <w:r w:rsidRPr="009F230E">
        <w:rPr>
          <w:rFonts w:ascii="Arial" w:hAnsi="Arial" w:cs="Arial"/>
          <w:sz w:val="22"/>
          <w:szCs w:val="22"/>
          <w:vertAlign w:val="subscript"/>
        </w:rPr>
        <w:t>x</w:t>
      </w:r>
      <w:proofErr w:type="spellEnd"/>
      <w:r w:rsidRPr="009F230E">
        <w:rPr>
          <w:rFonts w:ascii="Arial" w:hAnsi="Arial" w:cs="Arial"/>
          <w:sz w:val="22"/>
          <w:szCs w:val="22"/>
        </w:rPr>
        <w:t>, PM</w:t>
      </w:r>
      <w:r w:rsidRPr="009F230E">
        <w:rPr>
          <w:rFonts w:ascii="Arial" w:hAnsi="Arial" w:cs="Arial"/>
          <w:sz w:val="22"/>
          <w:szCs w:val="22"/>
          <w:vertAlign w:val="subscript"/>
        </w:rPr>
        <w:t>2.5</w:t>
      </w:r>
      <w:r w:rsidRPr="009F230E">
        <w:rPr>
          <w:rFonts w:ascii="Arial" w:hAnsi="Arial" w:cs="Arial"/>
          <w:sz w:val="22"/>
          <w:szCs w:val="22"/>
        </w:rPr>
        <w:t>, etc.) to insignificant (SO</w:t>
      </w:r>
      <w:r w:rsidRPr="009F230E">
        <w:rPr>
          <w:rFonts w:ascii="Arial" w:hAnsi="Arial" w:cs="Arial"/>
          <w:sz w:val="22"/>
          <w:szCs w:val="22"/>
          <w:vertAlign w:val="subscript"/>
        </w:rPr>
        <w:t>2</w:t>
      </w:r>
      <w:r w:rsidRPr="009F230E">
        <w:rPr>
          <w:rFonts w:ascii="Arial" w:hAnsi="Arial" w:cs="Arial"/>
          <w:sz w:val="22"/>
          <w:szCs w:val="22"/>
        </w:rPr>
        <w:t xml:space="preserve">, selenium, etc.). </w:t>
      </w:r>
    </w:p>
    <w:p w:rsidR="009F230E" w:rsidRPr="009F230E" w:rsidRDefault="009F230E" w:rsidP="009F230E">
      <w:pPr>
        <w:spacing w:line="360" w:lineRule="auto"/>
        <w:jc w:val="both"/>
        <w:rPr>
          <w:rFonts w:ascii="Arial" w:hAnsi="Arial" w:cs="Arial"/>
          <w:sz w:val="22"/>
          <w:szCs w:val="22"/>
        </w:rPr>
      </w:pPr>
    </w:p>
    <w:p w:rsidR="009616BA"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Annual emissions from motor vehicles, as reported in this study and by the </w:t>
      </w:r>
      <w:r w:rsidR="00DC5AD0">
        <w:rPr>
          <w:rFonts w:ascii="Arial" w:hAnsi="Arial" w:cs="Arial"/>
          <w:sz w:val="22"/>
          <w:szCs w:val="22"/>
        </w:rPr>
        <w:t>National Pollutant Inventory (</w:t>
      </w:r>
      <w:r w:rsidRPr="009F230E">
        <w:rPr>
          <w:rFonts w:ascii="Arial" w:hAnsi="Arial" w:cs="Arial"/>
          <w:sz w:val="22"/>
          <w:szCs w:val="22"/>
        </w:rPr>
        <w:t>NPI</w:t>
      </w:r>
      <w:r w:rsidR="00DC5AD0">
        <w:rPr>
          <w:rFonts w:ascii="Arial" w:hAnsi="Arial" w:cs="Arial"/>
          <w:sz w:val="22"/>
          <w:szCs w:val="22"/>
        </w:rPr>
        <w:t>)</w:t>
      </w:r>
      <w:r w:rsidRPr="009F230E">
        <w:rPr>
          <w:rFonts w:ascii="Arial" w:hAnsi="Arial" w:cs="Arial"/>
          <w:sz w:val="22"/>
          <w:szCs w:val="22"/>
        </w:rPr>
        <w:t>, do not necessarily reflect community exposure to the air pollutants. The actual contribution of motor vehicle emissions to population exposure (and thus health effects) is likely to be substantially greater than equivalent emission levels from industrial sources. This is because motor vehicle emissions are released close to ground level and, typically, in close proximity to where people live and work. In contrast, industrial emissions are typically emitted through vents and stacks, and are generally located some</w:t>
      </w:r>
      <w:r w:rsidR="009616BA">
        <w:rPr>
          <w:rFonts w:ascii="Arial" w:hAnsi="Arial" w:cs="Arial"/>
          <w:sz w:val="22"/>
          <w:szCs w:val="22"/>
        </w:rPr>
        <w:t xml:space="preserve"> distance from populated areas.</w:t>
      </w:r>
    </w:p>
    <w:p w:rsidR="009616BA" w:rsidRDefault="009616BA"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This means that industrial emissions are often dispersed significantly before they reach the population. As a consequence, relatively minor levels of motor vehicle emissions can lead to significant exposure to pollutants and associated health impacts.</w:t>
      </w:r>
    </w:p>
    <w:p w:rsidR="009F230E" w:rsidRPr="009F230E" w:rsidRDefault="009F230E" w:rsidP="009F230E">
      <w:pPr>
        <w:spacing w:line="360" w:lineRule="auto"/>
        <w:jc w:val="both"/>
        <w:rPr>
          <w:rFonts w:ascii="Arial" w:hAnsi="Arial" w:cs="Arial"/>
          <w:sz w:val="22"/>
          <w:szCs w:val="22"/>
        </w:rPr>
      </w:pPr>
    </w:p>
    <w:p w:rsidR="0026648F" w:rsidRDefault="0026648F">
      <w:pPr>
        <w:rPr>
          <w:rFonts w:ascii="Arial" w:hAnsi="Arial" w:cs="Arial"/>
          <w:sz w:val="22"/>
          <w:szCs w:val="22"/>
        </w:rPr>
      </w:pPr>
      <w:r>
        <w:rPr>
          <w:rFonts w:ascii="Arial" w:hAnsi="Arial" w:cs="Arial"/>
          <w:sz w:val="22"/>
          <w:szCs w:val="22"/>
        </w:rPr>
        <w:br w:type="page"/>
      </w:r>
    </w:p>
    <w:p w:rsidR="0026648F" w:rsidRDefault="0026648F" w:rsidP="009F230E">
      <w:pPr>
        <w:spacing w:line="360" w:lineRule="auto"/>
        <w:jc w:val="both"/>
        <w:rPr>
          <w:rFonts w:ascii="Arial" w:hAnsi="Arial" w:cs="Arial"/>
          <w:sz w:val="22"/>
          <w:szCs w:val="22"/>
        </w:rPr>
      </w:pPr>
    </w:p>
    <w:p w:rsidR="00143600"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COPERT Australia modelling in this study shows that </w:t>
      </w:r>
      <w:r w:rsidR="00DC5AD0">
        <w:rPr>
          <w:rFonts w:ascii="Arial" w:hAnsi="Arial" w:cs="Arial"/>
          <w:sz w:val="22"/>
          <w:szCs w:val="22"/>
        </w:rPr>
        <w:t>New South Wales</w:t>
      </w:r>
      <w:r w:rsidR="00DC5AD0" w:rsidRPr="009F230E">
        <w:rPr>
          <w:rFonts w:ascii="Arial" w:hAnsi="Arial" w:cs="Arial"/>
          <w:sz w:val="22"/>
          <w:szCs w:val="22"/>
        </w:rPr>
        <w:t xml:space="preserve"> </w:t>
      </w:r>
      <w:r w:rsidRPr="009F230E">
        <w:rPr>
          <w:rFonts w:ascii="Arial" w:hAnsi="Arial" w:cs="Arial"/>
          <w:sz w:val="22"/>
          <w:szCs w:val="22"/>
        </w:rPr>
        <w:t xml:space="preserve">and Victoria consistently make the largest contributions to total emissions for all pollutants (combined varying from about 50 to 60% of total national motor vehicle emissions), Queensland contributes about 20%, and </w:t>
      </w:r>
      <w:r w:rsidR="00DC5AD0">
        <w:rPr>
          <w:rFonts w:ascii="Arial" w:hAnsi="Arial" w:cs="Arial"/>
          <w:sz w:val="22"/>
          <w:szCs w:val="22"/>
        </w:rPr>
        <w:t>Western Australia</w:t>
      </w:r>
      <w:r w:rsidR="00DC5AD0" w:rsidRPr="009F230E">
        <w:rPr>
          <w:rFonts w:ascii="Arial" w:hAnsi="Arial" w:cs="Arial"/>
          <w:sz w:val="22"/>
          <w:szCs w:val="22"/>
        </w:rPr>
        <w:t xml:space="preserve"> </w:t>
      </w:r>
      <w:r w:rsidRPr="009F230E">
        <w:rPr>
          <w:rFonts w:ascii="Arial" w:hAnsi="Arial" w:cs="Arial"/>
          <w:sz w:val="22"/>
          <w:szCs w:val="22"/>
        </w:rPr>
        <w:t>and South Australia contribute about 10% each. Tasmania, ACT and the Northern Territory combined make up about 5% of na</w:t>
      </w:r>
      <w:r w:rsidR="00143600">
        <w:rPr>
          <w:rFonts w:ascii="Arial" w:hAnsi="Arial" w:cs="Arial"/>
          <w:sz w:val="22"/>
          <w:szCs w:val="22"/>
        </w:rPr>
        <w:t>tional motor vehicle emissions.</w:t>
      </w:r>
    </w:p>
    <w:p w:rsidR="00143600" w:rsidRDefault="00143600" w:rsidP="009F230E">
      <w:pPr>
        <w:spacing w:line="360" w:lineRule="auto"/>
        <w:jc w:val="both"/>
        <w:rPr>
          <w:rFonts w:ascii="Arial" w:hAnsi="Arial" w:cs="Arial"/>
          <w:sz w:val="22"/>
          <w:szCs w:val="22"/>
        </w:rPr>
      </w:pP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These contributions are roughly in line with the total vehicle population and total travel (VKT) in each jurisdiction. Variations are caused by differences in fleet composition (fuel types, vehicle age mix, etc.), climate and fuel parameters.</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NMVEI predicts that hot running emissions generally dominate total emissions from road transport, but that </w:t>
      </w:r>
      <w:proofErr w:type="spellStart"/>
      <w:r w:rsidRPr="009F230E">
        <w:rPr>
          <w:rFonts w:ascii="Arial" w:hAnsi="Arial" w:cs="Arial"/>
          <w:sz w:val="22"/>
          <w:szCs w:val="22"/>
        </w:rPr>
        <w:t>cold</w:t>
      </w:r>
      <w:proofErr w:type="spellEnd"/>
      <w:r w:rsidRPr="009F230E">
        <w:rPr>
          <w:rFonts w:ascii="Arial" w:hAnsi="Arial" w:cs="Arial"/>
          <w:sz w:val="22"/>
          <w:szCs w:val="22"/>
        </w:rPr>
        <w:t xml:space="preserve"> start emissions are significant for a number of pollutants (CO, VOCs). In addition evaporative VOC emissions and non-exhaust PM emissions are both significant contributors to total emissions (23% and 26%, respectively).</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The NMVEI shows that the relative contribution of individual vehicle classes to emissions varies substantially, depending on the air pollutant that is considered. Petrol vehicles dominate emissions of CO, VOCs, NH</w:t>
      </w:r>
      <w:r w:rsidRPr="009F230E">
        <w:rPr>
          <w:rFonts w:ascii="Arial" w:hAnsi="Arial" w:cs="Arial"/>
          <w:sz w:val="22"/>
          <w:szCs w:val="22"/>
          <w:vertAlign w:val="subscript"/>
        </w:rPr>
        <w:t>3</w:t>
      </w:r>
      <w:r w:rsidRPr="009F230E">
        <w:rPr>
          <w:rFonts w:ascii="Arial" w:hAnsi="Arial" w:cs="Arial"/>
          <w:sz w:val="22"/>
          <w:szCs w:val="22"/>
        </w:rPr>
        <w:t xml:space="preserve"> and heavy metals whereas diesel vehicles (</w:t>
      </w:r>
      <w:r w:rsidR="00D3232A">
        <w:rPr>
          <w:rFonts w:ascii="Arial" w:hAnsi="Arial" w:cs="Arial"/>
          <w:sz w:val="22"/>
          <w:szCs w:val="22"/>
        </w:rPr>
        <w:t>light-duty diesel vehicles and heavy-duty diesel vehicles</w:t>
      </w:r>
      <w:r w:rsidRPr="009F230E">
        <w:rPr>
          <w:rFonts w:ascii="Arial" w:hAnsi="Arial" w:cs="Arial"/>
          <w:sz w:val="22"/>
          <w:szCs w:val="22"/>
        </w:rPr>
        <w:t xml:space="preserve">) dominate </w:t>
      </w:r>
      <w:r w:rsidR="009616BA">
        <w:rPr>
          <w:rFonts w:ascii="Arial" w:hAnsi="Arial" w:cs="Arial"/>
          <w:sz w:val="22"/>
          <w:szCs w:val="22"/>
        </w:rPr>
        <w:t>motor vehicle</w:t>
      </w:r>
      <w:r w:rsidRPr="009F230E">
        <w:rPr>
          <w:rFonts w:ascii="Arial" w:hAnsi="Arial" w:cs="Arial"/>
          <w:sz w:val="22"/>
          <w:szCs w:val="22"/>
        </w:rPr>
        <w:t xml:space="preserve"> emissions of PM</w:t>
      </w:r>
      <w:r w:rsidRPr="009F230E">
        <w:rPr>
          <w:rFonts w:ascii="Arial" w:hAnsi="Arial" w:cs="Arial"/>
          <w:sz w:val="22"/>
          <w:szCs w:val="22"/>
          <w:vertAlign w:val="subscript"/>
        </w:rPr>
        <w:t>2.5</w:t>
      </w:r>
      <w:r w:rsidRPr="009F230E">
        <w:rPr>
          <w:rFonts w:ascii="Arial" w:hAnsi="Arial" w:cs="Arial"/>
          <w:sz w:val="22"/>
          <w:szCs w:val="22"/>
        </w:rPr>
        <w:t xml:space="preserve"> and </w:t>
      </w:r>
      <w:proofErr w:type="spellStart"/>
      <w:r w:rsidRPr="009F230E">
        <w:rPr>
          <w:rFonts w:ascii="Arial" w:hAnsi="Arial" w:cs="Arial"/>
          <w:sz w:val="22"/>
          <w:szCs w:val="22"/>
        </w:rPr>
        <w:t>NO</w:t>
      </w:r>
      <w:r w:rsidRPr="009F230E">
        <w:rPr>
          <w:rFonts w:ascii="Arial" w:hAnsi="Arial" w:cs="Arial"/>
          <w:sz w:val="22"/>
          <w:szCs w:val="22"/>
          <w:vertAlign w:val="subscript"/>
        </w:rPr>
        <w:t>x</w:t>
      </w:r>
      <w:proofErr w:type="spellEnd"/>
      <w:r w:rsidRPr="009F230E">
        <w:rPr>
          <w:rFonts w:ascii="Arial" w:hAnsi="Arial" w:cs="Arial"/>
          <w:sz w:val="22"/>
          <w:szCs w:val="22"/>
        </w:rPr>
        <w:t xml:space="preserve">. </w:t>
      </w:r>
    </w:p>
    <w:p w:rsidR="007717A2" w:rsidRDefault="007717A2" w:rsidP="007717A2">
      <w:pPr>
        <w:spacing w:line="360" w:lineRule="auto"/>
        <w:jc w:val="both"/>
        <w:rPr>
          <w:rFonts w:ascii="Arial" w:hAnsi="Arial" w:cs="Arial"/>
          <w:sz w:val="22"/>
          <w:szCs w:val="22"/>
        </w:rPr>
      </w:pPr>
    </w:p>
    <w:p w:rsidR="009F230E" w:rsidRDefault="009F230E">
      <w:pPr>
        <w:rPr>
          <w:rFonts w:ascii="Arial" w:hAnsi="Arial" w:cs="Arial"/>
          <w:b/>
          <w:caps/>
          <w:color w:val="000000"/>
          <w:kern w:val="28"/>
          <w:sz w:val="22"/>
          <w:szCs w:val="22"/>
          <w:lang w:eastAsia="en-AU"/>
        </w:rPr>
      </w:pPr>
      <w:r>
        <w:rPr>
          <w:rFonts w:ascii="Arial" w:hAnsi="Arial" w:cs="Arial"/>
          <w:sz w:val="22"/>
          <w:szCs w:val="22"/>
        </w:rPr>
        <w:br w:type="page"/>
      </w:r>
    </w:p>
    <w:p w:rsidR="00974A30" w:rsidRPr="003C4ACD" w:rsidRDefault="009F230E" w:rsidP="007717A2">
      <w:pPr>
        <w:pStyle w:val="Heading1"/>
        <w:tabs>
          <w:tab w:val="clear" w:pos="720"/>
          <w:tab w:val="num" w:pos="567"/>
        </w:tabs>
        <w:spacing w:line="360" w:lineRule="auto"/>
        <w:ind w:left="567" w:hanging="567"/>
        <w:rPr>
          <w:rFonts w:ascii="Arial" w:hAnsi="Arial" w:cs="Arial"/>
          <w:sz w:val="22"/>
          <w:szCs w:val="22"/>
        </w:rPr>
      </w:pPr>
      <w:bookmarkStart w:id="10" w:name="_Toc394993187"/>
      <w:bookmarkEnd w:id="8"/>
      <w:bookmarkEnd w:id="9"/>
      <w:r>
        <w:rPr>
          <w:rFonts w:ascii="Arial" w:hAnsi="Arial" w:cs="Arial"/>
          <w:sz w:val="22"/>
          <w:szCs w:val="22"/>
        </w:rPr>
        <w:lastRenderedPageBreak/>
        <w:t>INTRODUCTION</w:t>
      </w:r>
      <w:bookmarkEnd w:id="10"/>
    </w:p>
    <w:p w:rsidR="00974A30" w:rsidRPr="00842183" w:rsidRDefault="00974A30" w:rsidP="007B27C3">
      <w:pPr>
        <w:spacing w:line="360" w:lineRule="auto"/>
        <w:jc w:val="both"/>
        <w:rPr>
          <w:rFonts w:ascii="Arial" w:hAnsi="Arial" w:cs="Arial"/>
          <w:sz w:val="22"/>
          <w:szCs w:val="22"/>
        </w:rPr>
      </w:pPr>
    </w:p>
    <w:p w:rsidR="00F96ABB" w:rsidRDefault="009F230E" w:rsidP="00095987">
      <w:pPr>
        <w:spacing w:line="360" w:lineRule="auto"/>
        <w:jc w:val="both"/>
        <w:rPr>
          <w:rFonts w:ascii="Arial" w:hAnsi="Arial" w:cs="Arial"/>
          <w:sz w:val="22"/>
          <w:szCs w:val="22"/>
        </w:rPr>
      </w:pPr>
      <w:r w:rsidRPr="009F230E">
        <w:rPr>
          <w:rFonts w:ascii="Arial" w:hAnsi="Arial" w:cs="Arial"/>
          <w:sz w:val="22"/>
          <w:szCs w:val="22"/>
        </w:rPr>
        <w:t>Australian states and territories have developed motor vehicle emission inventories (MVEIs) for their jurisdictions at specific</w:t>
      </w:r>
      <w:r w:rsidR="00095987">
        <w:rPr>
          <w:rFonts w:ascii="Arial" w:hAnsi="Arial" w:cs="Arial"/>
          <w:sz w:val="22"/>
          <w:szCs w:val="22"/>
        </w:rPr>
        <w:t>,</w:t>
      </w:r>
      <w:r w:rsidRPr="009F230E">
        <w:rPr>
          <w:rFonts w:ascii="Arial" w:hAnsi="Arial" w:cs="Arial"/>
          <w:sz w:val="22"/>
          <w:szCs w:val="22"/>
        </w:rPr>
        <w:t xml:space="preserve"> but uncoordinated points in time.</w:t>
      </w:r>
      <w:r w:rsidR="00F96ABB">
        <w:rPr>
          <w:rFonts w:ascii="Arial" w:hAnsi="Arial" w:cs="Arial"/>
          <w:sz w:val="22"/>
          <w:szCs w:val="22"/>
        </w:rPr>
        <w:t xml:space="preserve"> T</w:t>
      </w:r>
      <w:r w:rsidR="00F96ABB" w:rsidRPr="00F96ABB">
        <w:rPr>
          <w:rFonts w:ascii="Arial" w:hAnsi="Arial" w:cs="Arial"/>
          <w:sz w:val="22"/>
          <w:szCs w:val="22"/>
        </w:rPr>
        <w:t>he Bureau of Infrastructure, Transport and Regional Economics (</w:t>
      </w:r>
      <w:r w:rsidR="00F96ABB">
        <w:rPr>
          <w:rFonts w:ascii="Arial" w:hAnsi="Arial" w:cs="Arial"/>
          <w:sz w:val="22"/>
          <w:szCs w:val="22"/>
        </w:rPr>
        <w:t xml:space="preserve">previously </w:t>
      </w:r>
      <w:r w:rsidR="005E5C1F">
        <w:rPr>
          <w:rFonts w:ascii="Arial" w:hAnsi="Arial" w:cs="Arial"/>
          <w:sz w:val="22"/>
          <w:szCs w:val="22"/>
        </w:rPr>
        <w:t xml:space="preserve">the </w:t>
      </w:r>
      <w:r w:rsidR="00DC5AD0">
        <w:rPr>
          <w:rFonts w:ascii="Arial" w:hAnsi="Arial" w:cs="Arial"/>
          <w:sz w:val="22"/>
          <w:szCs w:val="22"/>
        </w:rPr>
        <w:t>Bureau of Transport and Regional Economics</w:t>
      </w:r>
      <w:r w:rsidR="00F96ABB" w:rsidRPr="00F96ABB">
        <w:rPr>
          <w:rFonts w:ascii="Arial" w:hAnsi="Arial" w:cs="Arial"/>
          <w:sz w:val="22"/>
          <w:szCs w:val="22"/>
        </w:rPr>
        <w:t xml:space="preserve">) published national vehicle emission estimates </w:t>
      </w:r>
      <w:r w:rsidR="00F96ABB">
        <w:rPr>
          <w:rFonts w:ascii="Arial" w:hAnsi="Arial" w:cs="Arial"/>
          <w:sz w:val="22"/>
          <w:szCs w:val="22"/>
        </w:rPr>
        <w:t>for a limited number of pollutants</w:t>
      </w:r>
      <w:r w:rsidR="00133B98">
        <w:rPr>
          <w:rFonts w:ascii="Arial" w:hAnsi="Arial" w:cs="Arial"/>
          <w:sz w:val="22"/>
          <w:szCs w:val="22"/>
        </w:rPr>
        <w:t xml:space="preserve"> for each </w:t>
      </w:r>
      <w:r w:rsidR="00F96ABB" w:rsidRPr="00F96ABB">
        <w:rPr>
          <w:rFonts w:ascii="Arial" w:hAnsi="Arial" w:cs="Arial"/>
          <w:sz w:val="22"/>
          <w:szCs w:val="22"/>
        </w:rPr>
        <w:t>state</w:t>
      </w:r>
      <w:r w:rsidR="00F96ABB">
        <w:rPr>
          <w:rFonts w:ascii="Arial" w:hAnsi="Arial" w:cs="Arial"/>
          <w:sz w:val="22"/>
          <w:szCs w:val="22"/>
        </w:rPr>
        <w:t xml:space="preserve"> in the past (BTRE, 2002; 2003)</w:t>
      </w:r>
      <w:r w:rsidR="00F96ABB" w:rsidRPr="00F96ABB">
        <w:rPr>
          <w:rFonts w:ascii="Arial" w:hAnsi="Arial" w:cs="Arial"/>
          <w:sz w:val="22"/>
          <w:szCs w:val="22"/>
        </w:rPr>
        <w:t xml:space="preserve">. </w:t>
      </w:r>
      <w:r w:rsidR="00F96ABB">
        <w:rPr>
          <w:rFonts w:ascii="Arial" w:hAnsi="Arial" w:cs="Arial"/>
          <w:sz w:val="22"/>
          <w:szCs w:val="22"/>
        </w:rPr>
        <w:t>However,</w:t>
      </w:r>
      <w:r w:rsidR="00143600">
        <w:rPr>
          <w:rFonts w:ascii="Arial" w:hAnsi="Arial" w:cs="Arial"/>
          <w:sz w:val="22"/>
          <w:szCs w:val="22"/>
        </w:rPr>
        <w:t xml:space="preserve"> </w:t>
      </w:r>
      <w:r w:rsidRPr="009F230E">
        <w:rPr>
          <w:rFonts w:ascii="Arial" w:hAnsi="Arial" w:cs="Arial"/>
          <w:sz w:val="22"/>
          <w:szCs w:val="22"/>
        </w:rPr>
        <w:t xml:space="preserve">no comprehensive </w:t>
      </w:r>
      <w:r w:rsidR="00F96ABB">
        <w:rPr>
          <w:rFonts w:ascii="Arial" w:hAnsi="Arial" w:cs="Arial"/>
          <w:sz w:val="22"/>
          <w:szCs w:val="22"/>
        </w:rPr>
        <w:t xml:space="preserve">and up-to-date </w:t>
      </w:r>
      <w:r w:rsidRPr="009F230E">
        <w:rPr>
          <w:rFonts w:ascii="Arial" w:hAnsi="Arial" w:cs="Arial"/>
          <w:sz w:val="22"/>
          <w:szCs w:val="22"/>
        </w:rPr>
        <w:t xml:space="preserve">MVEI has been developed for each jurisdiction at the same time using a consistent method. </w:t>
      </w:r>
    </w:p>
    <w:p w:rsidR="00F96ABB" w:rsidRDefault="00F96ABB"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BD2DAF">
        <w:rPr>
          <w:rFonts w:ascii="Arial" w:hAnsi="Arial" w:cs="Arial"/>
          <w:sz w:val="22"/>
          <w:szCs w:val="22"/>
        </w:rPr>
        <w:t xml:space="preserve">A nationally consistent vehicle emission inventory is an important element of developing </w:t>
      </w:r>
      <w:r w:rsidR="00052F22" w:rsidRPr="00BD2DAF">
        <w:rPr>
          <w:rFonts w:ascii="Arial" w:hAnsi="Arial" w:cs="Arial"/>
          <w:sz w:val="22"/>
          <w:szCs w:val="22"/>
        </w:rPr>
        <w:t>strategies to manage emissions from this sector</w:t>
      </w:r>
      <w:r w:rsidR="00BD2DAF">
        <w:rPr>
          <w:rFonts w:ascii="Arial" w:hAnsi="Arial" w:cs="Arial"/>
          <w:sz w:val="22"/>
          <w:szCs w:val="22"/>
        </w:rPr>
        <w:t xml:space="preserve"> and improve air quality</w:t>
      </w:r>
      <w:r w:rsidRPr="00BD2DAF">
        <w:rPr>
          <w:rFonts w:ascii="Arial" w:hAnsi="Arial" w:cs="Arial"/>
          <w:sz w:val="22"/>
          <w:szCs w:val="22"/>
        </w:rPr>
        <w:t xml:space="preserve">. It facilitates meaningful comparisons of emissions between jurisdictions and with other sources. In order to address this gap, the Australian Government Department of the Environment commissioned </w:t>
      </w:r>
      <w:proofErr w:type="spellStart"/>
      <w:r w:rsidRPr="00BD2DAF">
        <w:rPr>
          <w:rFonts w:ascii="Arial" w:hAnsi="Arial" w:cs="Arial"/>
          <w:sz w:val="22"/>
          <w:szCs w:val="22"/>
        </w:rPr>
        <w:t>UniQuest</w:t>
      </w:r>
      <w:proofErr w:type="spellEnd"/>
      <w:r w:rsidRPr="00BD2DAF">
        <w:rPr>
          <w:rFonts w:ascii="Arial" w:hAnsi="Arial" w:cs="Arial"/>
          <w:sz w:val="22"/>
          <w:szCs w:val="22"/>
        </w:rPr>
        <w:t xml:space="preserve"> to develop a</w:t>
      </w:r>
      <w:r w:rsidRPr="009F230E">
        <w:rPr>
          <w:rFonts w:ascii="Arial" w:hAnsi="Arial" w:cs="Arial"/>
          <w:sz w:val="22"/>
          <w:szCs w:val="22"/>
        </w:rPr>
        <w:t xml:space="preserve"> national MVEI for each state and territory, using COPERT Australia. This software has been adopted by the National Pollutant Inventory (NPI) as the tool for calculating emissions from motor vehicles.</w:t>
      </w:r>
    </w:p>
    <w:p w:rsidR="009F230E" w:rsidRPr="009F230E" w:rsidRDefault="009F230E" w:rsidP="009F230E">
      <w:pPr>
        <w:spacing w:line="360" w:lineRule="auto"/>
        <w:jc w:val="both"/>
        <w:rPr>
          <w:rFonts w:ascii="Arial" w:hAnsi="Arial" w:cs="Arial"/>
          <w:sz w:val="22"/>
          <w:szCs w:val="22"/>
        </w:rPr>
      </w:pPr>
    </w:p>
    <w:p w:rsidR="009F230E" w:rsidRPr="009F230E" w:rsidRDefault="009F230E" w:rsidP="00095987">
      <w:pPr>
        <w:spacing w:line="360" w:lineRule="auto"/>
        <w:jc w:val="both"/>
        <w:rPr>
          <w:rFonts w:ascii="Arial" w:hAnsi="Arial" w:cs="Arial"/>
          <w:sz w:val="22"/>
          <w:szCs w:val="22"/>
        </w:rPr>
      </w:pPr>
      <w:r w:rsidRPr="009F230E">
        <w:rPr>
          <w:rFonts w:ascii="Arial" w:hAnsi="Arial" w:cs="Arial"/>
          <w:sz w:val="22"/>
          <w:szCs w:val="22"/>
        </w:rPr>
        <w:t>COPERT is a software tool that is designed to develop:</w:t>
      </w:r>
    </w:p>
    <w:p w:rsidR="009F230E" w:rsidRPr="009F230E" w:rsidRDefault="009F230E" w:rsidP="009F230E">
      <w:pPr>
        <w:numPr>
          <w:ilvl w:val="0"/>
          <w:numId w:val="29"/>
        </w:numPr>
        <w:spacing w:line="360" w:lineRule="auto"/>
        <w:ind w:left="567" w:hanging="567"/>
        <w:jc w:val="both"/>
        <w:rPr>
          <w:rFonts w:ascii="Arial" w:hAnsi="Arial" w:cs="Arial"/>
          <w:sz w:val="22"/>
          <w:szCs w:val="22"/>
        </w:rPr>
      </w:pPr>
      <w:r w:rsidRPr="009F230E">
        <w:rPr>
          <w:rFonts w:ascii="Arial" w:hAnsi="Arial" w:cs="Arial"/>
          <w:sz w:val="22"/>
          <w:szCs w:val="22"/>
        </w:rPr>
        <w:t xml:space="preserve">national or state level motor vehicle emission inventories (MVEIs), and </w:t>
      </w:r>
    </w:p>
    <w:p w:rsidR="009F230E" w:rsidRPr="009F230E" w:rsidRDefault="009F230E" w:rsidP="009F230E">
      <w:pPr>
        <w:numPr>
          <w:ilvl w:val="0"/>
          <w:numId w:val="29"/>
        </w:numPr>
        <w:spacing w:line="360" w:lineRule="auto"/>
        <w:ind w:left="567" w:hanging="567"/>
        <w:jc w:val="both"/>
        <w:rPr>
          <w:rFonts w:ascii="Arial" w:hAnsi="Arial" w:cs="Arial"/>
          <w:sz w:val="22"/>
          <w:szCs w:val="22"/>
        </w:rPr>
      </w:pPr>
      <w:proofErr w:type="gramStart"/>
      <w:r w:rsidRPr="009F230E">
        <w:rPr>
          <w:rFonts w:ascii="Arial" w:hAnsi="Arial" w:cs="Arial"/>
          <w:sz w:val="22"/>
          <w:szCs w:val="22"/>
        </w:rPr>
        <w:t>emission</w:t>
      </w:r>
      <w:proofErr w:type="gramEnd"/>
      <w:r w:rsidRPr="009F230E">
        <w:rPr>
          <w:rFonts w:ascii="Arial" w:hAnsi="Arial" w:cs="Arial"/>
          <w:sz w:val="22"/>
          <w:szCs w:val="22"/>
        </w:rPr>
        <w:t xml:space="preserve"> factors as a function of vehicle speed for road-based emission calculations.</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This report presents MVEIs for each state in Australia using COPERT Australia. Much of this work focussed on the development of the COPERT input files for each state and territory. A brief description of the tasks undertaken to develop the inputs for COPERT modelling are discussed in Section 4.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COPERT Australia has capability to generate comprehensive information</w:t>
      </w:r>
      <w:r w:rsidRPr="009F230E" w:rsidDel="00151C09">
        <w:rPr>
          <w:rFonts w:ascii="Arial" w:hAnsi="Arial" w:cs="Arial"/>
          <w:sz w:val="22"/>
          <w:szCs w:val="22"/>
        </w:rPr>
        <w:t xml:space="preserve"> </w:t>
      </w:r>
      <w:r w:rsidRPr="009F230E">
        <w:rPr>
          <w:rFonts w:ascii="Arial" w:hAnsi="Arial" w:cs="Arial"/>
          <w:sz w:val="22"/>
          <w:szCs w:val="22"/>
        </w:rPr>
        <w:t xml:space="preserve">on vehicle emissions, including emissions estimates for 226 vehicle classes, 116 pollutants and different types of emissions (hot running, cold start, evaporative, non-exhaust). </w:t>
      </w:r>
    </w:p>
    <w:p w:rsidR="009F230E" w:rsidRPr="009F230E" w:rsidRDefault="009F230E" w:rsidP="009F230E">
      <w:pPr>
        <w:spacing w:line="360" w:lineRule="auto"/>
        <w:jc w:val="both"/>
        <w:rPr>
          <w:rFonts w:ascii="Arial" w:hAnsi="Arial" w:cs="Arial"/>
          <w:sz w:val="22"/>
          <w:szCs w:val="22"/>
        </w:rPr>
      </w:pPr>
    </w:p>
    <w:p w:rsidR="009F230E" w:rsidRDefault="009F230E" w:rsidP="0026648F">
      <w:pPr>
        <w:spacing w:line="360" w:lineRule="auto"/>
        <w:jc w:val="both"/>
        <w:rPr>
          <w:rFonts w:ascii="Arial" w:hAnsi="Arial" w:cs="Arial"/>
          <w:b/>
          <w:caps/>
          <w:color w:val="000000"/>
          <w:kern w:val="28"/>
          <w:sz w:val="22"/>
          <w:szCs w:val="22"/>
          <w:lang w:eastAsia="en-AU"/>
        </w:rPr>
      </w:pPr>
      <w:r w:rsidRPr="009F230E">
        <w:rPr>
          <w:rFonts w:ascii="Arial" w:hAnsi="Arial" w:cs="Arial"/>
          <w:sz w:val="22"/>
          <w:szCs w:val="22"/>
        </w:rPr>
        <w:t xml:space="preserve">It is beyond the scope of this report to present, analyse and discuss all these different aspects. Instead, Section 5 presents results for a limited number of pollutants. The COPERT input files for each state/territory are available on request from the NPI </w:t>
      </w:r>
      <w:r w:rsidR="00DC5AD0">
        <w:rPr>
          <w:rFonts w:ascii="Arial" w:hAnsi="Arial" w:cs="Arial"/>
          <w:sz w:val="22"/>
          <w:szCs w:val="22"/>
        </w:rPr>
        <w:t>team</w:t>
      </w:r>
      <w:r w:rsidR="00DC5AD0" w:rsidRPr="009F230E">
        <w:rPr>
          <w:rFonts w:ascii="Arial" w:hAnsi="Arial" w:cs="Arial"/>
          <w:sz w:val="22"/>
          <w:szCs w:val="22"/>
        </w:rPr>
        <w:t xml:space="preserve"> </w:t>
      </w:r>
      <w:r w:rsidRPr="009F230E">
        <w:rPr>
          <w:rFonts w:ascii="Arial" w:hAnsi="Arial" w:cs="Arial"/>
          <w:sz w:val="22"/>
          <w:szCs w:val="22"/>
        </w:rPr>
        <w:t>(</w:t>
      </w:r>
      <w:hyperlink r:id="rId16" w:history="1">
        <w:r w:rsidRPr="009F230E">
          <w:rPr>
            <w:rStyle w:val="Hyperlink"/>
            <w:rFonts w:ascii="Arial" w:hAnsi="Arial" w:cs="Arial"/>
            <w:sz w:val="22"/>
            <w:szCs w:val="22"/>
          </w:rPr>
          <w:t>npi@environment.gov.au</w:t>
        </w:r>
      </w:hyperlink>
      <w:r w:rsidRPr="009F230E">
        <w:rPr>
          <w:rFonts w:ascii="Arial" w:hAnsi="Arial" w:cs="Arial"/>
          <w:sz w:val="22"/>
          <w:szCs w:val="22"/>
        </w:rPr>
        <w:t>) of the Australian Government Department of the Environment and will allow COPERT Australia users to conduct more detailed analyses to address specific policy or research questions or to develop motor vehicle emission factors for local area or road level impact assessments. COPERT software can</w:t>
      </w:r>
      <w:r w:rsidR="00095987">
        <w:rPr>
          <w:rFonts w:ascii="Arial" w:hAnsi="Arial" w:cs="Arial"/>
          <w:sz w:val="22"/>
          <w:szCs w:val="22"/>
        </w:rPr>
        <w:t xml:space="preserve"> be</w:t>
      </w:r>
      <w:r w:rsidRPr="009F230E">
        <w:rPr>
          <w:rFonts w:ascii="Arial" w:hAnsi="Arial" w:cs="Arial"/>
          <w:sz w:val="22"/>
          <w:szCs w:val="22"/>
        </w:rPr>
        <w:t xml:space="preserve"> downloaded at: </w:t>
      </w:r>
      <w:hyperlink r:id="rId17" w:history="1">
        <w:r w:rsidR="00095987" w:rsidRPr="00894FD4">
          <w:rPr>
            <w:rStyle w:val="Hyperlink"/>
            <w:rFonts w:ascii="Arial" w:hAnsi="Arial" w:cs="Arial"/>
            <w:sz w:val="22"/>
            <w:szCs w:val="22"/>
          </w:rPr>
          <w:t>www.emisia.com/copertaustralia/General.html</w:t>
        </w:r>
      </w:hyperlink>
      <w:r w:rsidR="00095987">
        <w:rPr>
          <w:rFonts w:ascii="Arial" w:hAnsi="Arial" w:cs="Arial"/>
          <w:sz w:val="22"/>
          <w:szCs w:val="22"/>
        </w:rPr>
        <w:t xml:space="preserve">.  </w:t>
      </w:r>
      <w:r>
        <w:rPr>
          <w:rFonts w:ascii="Arial" w:hAnsi="Arial" w:cs="Arial"/>
          <w:sz w:val="22"/>
          <w:szCs w:val="22"/>
        </w:rPr>
        <w:br w:type="page"/>
      </w:r>
    </w:p>
    <w:p w:rsidR="00974A30" w:rsidRPr="00842183" w:rsidRDefault="009F230E" w:rsidP="007B27C3">
      <w:pPr>
        <w:pStyle w:val="Heading1"/>
        <w:keepNext w:val="0"/>
        <w:tabs>
          <w:tab w:val="clear" w:pos="720"/>
          <w:tab w:val="num" w:pos="567"/>
        </w:tabs>
        <w:spacing w:line="360" w:lineRule="auto"/>
        <w:ind w:left="567" w:hanging="567"/>
        <w:rPr>
          <w:rFonts w:ascii="Arial" w:hAnsi="Arial" w:cs="Arial"/>
          <w:sz w:val="22"/>
          <w:szCs w:val="22"/>
        </w:rPr>
      </w:pPr>
      <w:bookmarkStart w:id="11" w:name="_Toc394993188"/>
      <w:r>
        <w:rPr>
          <w:rFonts w:ascii="Arial" w:hAnsi="Arial" w:cs="Arial"/>
          <w:sz w:val="22"/>
          <w:szCs w:val="22"/>
        </w:rPr>
        <w:lastRenderedPageBreak/>
        <w:t>COPERT</w:t>
      </w:r>
      <w:bookmarkEnd w:id="11"/>
    </w:p>
    <w:p w:rsidR="00974A30" w:rsidRPr="00842183" w:rsidRDefault="00974A30" w:rsidP="007B27C3">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COPERT was first released in 1989, as part of a European initiative to develop emission inventory methodologies to characterise emissions from vehicles at country and regional level, rather than at local level (Eggleston et al., 1993). The European Environment </w:t>
      </w:r>
      <w:proofErr w:type="gramStart"/>
      <w:r w:rsidRPr="009F230E">
        <w:rPr>
          <w:rFonts w:ascii="Arial" w:hAnsi="Arial" w:cs="Arial"/>
          <w:sz w:val="22"/>
          <w:szCs w:val="22"/>
        </w:rPr>
        <w:t>Agency  coordinates</w:t>
      </w:r>
      <w:proofErr w:type="gramEnd"/>
      <w:r w:rsidRPr="009F230E">
        <w:rPr>
          <w:rFonts w:ascii="Arial" w:hAnsi="Arial" w:cs="Arial"/>
          <w:sz w:val="22"/>
          <w:szCs w:val="22"/>
        </w:rPr>
        <w:t xml:space="preserve"> the development of COPERT, and the European Commission manages the scientific developments. COPERT 4 is the latest version and is used world-wide to calculate air pollutant and greenhouse gas emissions from road transport. For example, COPERT was used to calculate national road transport inventories to satisfy the requirements of the Convention on Long Range Trans-boundary Air Pollution and the UN Framework Convention on Climate Change.</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Although individual State Departments (e.g. QLD EPA, 2003; NSW EPA, 2012) and </w:t>
      </w:r>
      <w:r w:rsidR="00DC5AD0">
        <w:rPr>
          <w:rFonts w:ascii="Arial" w:hAnsi="Arial" w:cs="Arial"/>
          <w:sz w:val="22"/>
          <w:szCs w:val="22"/>
        </w:rPr>
        <w:t>Australian Government</w:t>
      </w:r>
      <w:r w:rsidR="00DC5AD0" w:rsidRPr="009F230E">
        <w:rPr>
          <w:rFonts w:ascii="Arial" w:hAnsi="Arial" w:cs="Arial"/>
          <w:sz w:val="22"/>
          <w:szCs w:val="22"/>
        </w:rPr>
        <w:t xml:space="preserve"> </w:t>
      </w:r>
      <w:r w:rsidRPr="009F230E">
        <w:rPr>
          <w:rFonts w:ascii="Arial" w:hAnsi="Arial" w:cs="Arial"/>
          <w:sz w:val="22"/>
          <w:szCs w:val="22"/>
        </w:rPr>
        <w:t xml:space="preserve">agencies (BITRE, 2010) actively develop and maintain MVEIs, there is no Australian vehicle emissions software that has been actively developed and maintained, as is the case overseas.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While it would be convenient to use well-known and established vehicle emission software tools such as COPERT, MOBILE and MOVES directly in Australia, previous studies (Smit and McBroom, 2009a; 2009b) have demonstrated that any overseas software packages needs to be based on (or at least calibrated with) Australian emissions data. Otherwise substantial estimation errors will occur, sometimes up to more than two orders of magnitude (Smit and </w:t>
      </w: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2013).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b/>
          <w:bCs/>
          <w:sz w:val="22"/>
          <w:szCs w:val="22"/>
        </w:rPr>
      </w:pPr>
      <w:r w:rsidRPr="009F230E">
        <w:rPr>
          <w:rFonts w:ascii="Arial" w:hAnsi="Arial" w:cs="Arial"/>
          <w:sz w:val="22"/>
          <w:szCs w:val="22"/>
        </w:rPr>
        <w:t>Therefore, motor vehicle emissions software used in Australia needs to reflect the local fleet composition, fuel quality, climate and driving characteristics in order to provide robust vehicle emission estimates for the Australian situation. These were the key factors driving the development of a dedicated Australian version of COPERT called ‘COPERT Australia’.</w:t>
      </w:r>
    </w:p>
    <w:p w:rsidR="00974A30" w:rsidRPr="00842183" w:rsidRDefault="00974A30" w:rsidP="009F230E">
      <w:pPr>
        <w:spacing w:line="360" w:lineRule="auto"/>
        <w:jc w:val="both"/>
        <w:rPr>
          <w:rFonts w:ascii="Arial" w:hAnsi="Arial" w:cs="Arial"/>
          <w:b/>
          <w:sz w:val="22"/>
          <w:szCs w:val="22"/>
        </w:rPr>
      </w:pPr>
    </w:p>
    <w:p w:rsidR="009F230E" w:rsidRDefault="009F230E">
      <w:pPr>
        <w:rPr>
          <w:rFonts w:ascii="Arial" w:hAnsi="Arial" w:cs="Arial"/>
          <w:b/>
          <w:caps/>
          <w:color w:val="000000"/>
          <w:kern w:val="28"/>
          <w:sz w:val="22"/>
          <w:szCs w:val="22"/>
          <w:lang w:eastAsia="en-AU"/>
        </w:rPr>
      </w:pPr>
      <w:bookmarkStart w:id="12" w:name="_Toc122314685"/>
      <w:bookmarkStart w:id="13" w:name="_Toc122314726"/>
      <w:r>
        <w:rPr>
          <w:rFonts w:ascii="Arial" w:hAnsi="Arial" w:cs="Arial"/>
          <w:sz w:val="22"/>
          <w:szCs w:val="22"/>
        </w:rPr>
        <w:br w:type="page"/>
      </w:r>
    </w:p>
    <w:p w:rsidR="00974A30" w:rsidRPr="00842183" w:rsidRDefault="009F230E" w:rsidP="007B27C3">
      <w:pPr>
        <w:pStyle w:val="Heading1"/>
        <w:keepNext w:val="0"/>
        <w:tabs>
          <w:tab w:val="clear" w:pos="720"/>
          <w:tab w:val="num" w:pos="567"/>
        </w:tabs>
        <w:spacing w:line="360" w:lineRule="auto"/>
        <w:ind w:left="567" w:hanging="567"/>
        <w:rPr>
          <w:rFonts w:ascii="Arial" w:hAnsi="Arial" w:cs="Arial"/>
          <w:sz w:val="22"/>
          <w:szCs w:val="22"/>
        </w:rPr>
      </w:pPr>
      <w:bookmarkStart w:id="14" w:name="_Toc394993189"/>
      <w:bookmarkEnd w:id="12"/>
      <w:bookmarkEnd w:id="13"/>
      <w:r>
        <w:rPr>
          <w:rFonts w:ascii="Arial" w:hAnsi="Arial" w:cs="Arial"/>
          <w:sz w:val="22"/>
          <w:szCs w:val="22"/>
        </w:rPr>
        <w:lastRenderedPageBreak/>
        <w:t>TECHNICAL BACKGROUND</w:t>
      </w:r>
      <w:bookmarkEnd w:id="14"/>
    </w:p>
    <w:p w:rsidR="00974A30" w:rsidRPr="00842183" w:rsidRDefault="00974A30" w:rsidP="007B27C3">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It is beyond the scope of this project to provide a detailed discussion of the technical background of the COPERT Australia software. However, more information about the software and its scientific background can be found in the following publications:</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numPr>
          <w:ilvl w:val="0"/>
          <w:numId w:val="30"/>
        </w:numPr>
        <w:spacing w:line="360" w:lineRule="auto"/>
        <w:ind w:left="567" w:hanging="567"/>
        <w:jc w:val="both"/>
        <w:rPr>
          <w:rFonts w:ascii="Arial" w:hAnsi="Arial" w:cs="Arial"/>
          <w:sz w:val="22"/>
          <w:szCs w:val="22"/>
        </w:rPr>
      </w:pPr>
      <w:proofErr w:type="spellStart"/>
      <w:r w:rsidRPr="009F230E">
        <w:rPr>
          <w:rFonts w:ascii="Arial" w:hAnsi="Arial" w:cs="Arial"/>
          <w:sz w:val="22"/>
          <w:szCs w:val="22"/>
        </w:rPr>
        <w:t>Mellios</w:t>
      </w:r>
      <w:proofErr w:type="spellEnd"/>
      <w:r w:rsidRPr="009F230E">
        <w:rPr>
          <w:rFonts w:ascii="Arial" w:hAnsi="Arial" w:cs="Arial"/>
          <w:sz w:val="22"/>
          <w:szCs w:val="22"/>
        </w:rPr>
        <w:t xml:space="preserve">, G., Smit, R., </w:t>
      </w: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L., 2013. Evaporative emissions: developing Australian emission algorithms, </w:t>
      </w:r>
      <w:r w:rsidRPr="009F230E">
        <w:rPr>
          <w:rFonts w:ascii="Arial" w:hAnsi="Arial" w:cs="Arial"/>
          <w:i/>
          <w:sz w:val="22"/>
          <w:szCs w:val="22"/>
        </w:rPr>
        <w:t>Proceedings of the CASANZ Conference</w:t>
      </w:r>
      <w:r w:rsidRPr="009F230E">
        <w:rPr>
          <w:rFonts w:ascii="Arial" w:hAnsi="Arial" w:cs="Arial"/>
          <w:sz w:val="22"/>
          <w:szCs w:val="22"/>
        </w:rPr>
        <w:t>, Sydney, 7-11 September 2013.</w:t>
      </w:r>
    </w:p>
    <w:p w:rsidR="009F230E" w:rsidRPr="009F230E" w:rsidRDefault="009F230E" w:rsidP="009F230E">
      <w:pPr>
        <w:numPr>
          <w:ilvl w:val="0"/>
          <w:numId w:val="30"/>
        </w:numPr>
        <w:spacing w:line="360" w:lineRule="auto"/>
        <w:ind w:left="567" w:hanging="567"/>
        <w:jc w:val="both"/>
        <w:rPr>
          <w:rFonts w:ascii="Arial" w:hAnsi="Arial" w:cs="Arial"/>
          <w:sz w:val="22"/>
          <w:szCs w:val="22"/>
        </w:rPr>
      </w:pP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L., Samaras, C., Smit, R., </w:t>
      </w:r>
      <w:proofErr w:type="spellStart"/>
      <w:r w:rsidRPr="009F230E">
        <w:rPr>
          <w:rFonts w:ascii="Arial" w:hAnsi="Arial" w:cs="Arial"/>
          <w:sz w:val="22"/>
          <w:szCs w:val="22"/>
        </w:rPr>
        <w:t>Tooker</w:t>
      </w:r>
      <w:proofErr w:type="spellEnd"/>
      <w:r w:rsidRPr="009F230E">
        <w:rPr>
          <w:rFonts w:ascii="Arial" w:hAnsi="Arial" w:cs="Arial"/>
          <w:sz w:val="22"/>
          <w:szCs w:val="22"/>
        </w:rPr>
        <w:t xml:space="preserve">, T., </w:t>
      </w:r>
      <w:proofErr w:type="spellStart"/>
      <w:r w:rsidRPr="009F230E">
        <w:rPr>
          <w:rFonts w:ascii="Arial" w:hAnsi="Arial" w:cs="Arial"/>
          <w:sz w:val="22"/>
          <w:szCs w:val="22"/>
        </w:rPr>
        <w:t>Mellios</w:t>
      </w:r>
      <w:proofErr w:type="spellEnd"/>
      <w:r w:rsidRPr="009F230E">
        <w:rPr>
          <w:rFonts w:ascii="Arial" w:hAnsi="Arial" w:cs="Arial"/>
          <w:sz w:val="22"/>
          <w:szCs w:val="22"/>
        </w:rPr>
        <w:t xml:space="preserve">, G., 2013. Air pollutant and greenhouse gas road transport inventory using COPERT Australia, </w:t>
      </w:r>
      <w:r w:rsidRPr="009F230E">
        <w:rPr>
          <w:rFonts w:ascii="Arial" w:hAnsi="Arial" w:cs="Arial"/>
          <w:i/>
          <w:sz w:val="22"/>
          <w:szCs w:val="22"/>
        </w:rPr>
        <w:t>Proceedings of the CASANZ Conference</w:t>
      </w:r>
      <w:r w:rsidRPr="009F230E">
        <w:rPr>
          <w:rFonts w:ascii="Arial" w:hAnsi="Arial" w:cs="Arial"/>
          <w:sz w:val="22"/>
          <w:szCs w:val="22"/>
        </w:rPr>
        <w:t>, Sydney, 7-11 September 2013.</w:t>
      </w:r>
    </w:p>
    <w:p w:rsidR="009F230E" w:rsidRPr="009F230E" w:rsidRDefault="009F230E" w:rsidP="009F230E">
      <w:pPr>
        <w:numPr>
          <w:ilvl w:val="0"/>
          <w:numId w:val="30"/>
        </w:numPr>
        <w:spacing w:line="360" w:lineRule="auto"/>
        <w:ind w:left="567" w:hanging="567"/>
        <w:jc w:val="both"/>
        <w:rPr>
          <w:rFonts w:ascii="Arial" w:hAnsi="Arial" w:cs="Arial"/>
          <w:sz w:val="22"/>
          <w:szCs w:val="22"/>
        </w:rPr>
      </w:pPr>
      <w:r w:rsidRPr="009F230E">
        <w:rPr>
          <w:rFonts w:ascii="Arial" w:hAnsi="Arial" w:cs="Arial"/>
          <w:sz w:val="22"/>
          <w:szCs w:val="22"/>
        </w:rPr>
        <w:t xml:space="preserve">Smit, R., 2013. A procedure to verify large modal vehicle emissions databases, </w:t>
      </w:r>
      <w:r w:rsidRPr="009F230E">
        <w:rPr>
          <w:rFonts w:ascii="Arial" w:hAnsi="Arial" w:cs="Arial"/>
          <w:i/>
          <w:sz w:val="22"/>
          <w:szCs w:val="22"/>
        </w:rPr>
        <w:t>Proceedings of the CASANZ Conference</w:t>
      </w:r>
      <w:r w:rsidRPr="009F230E">
        <w:rPr>
          <w:rFonts w:ascii="Arial" w:hAnsi="Arial" w:cs="Arial"/>
          <w:sz w:val="22"/>
          <w:szCs w:val="22"/>
        </w:rPr>
        <w:t>, Sydney, 7-11 September 2013.</w:t>
      </w:r>
    </w:p>
    <w:p w:rsidR="009F230E" w:rsidRPr="009F230E" w:rsidRDefault="009F230E" w:rsidP="009F230E">
      <w:pPr>
        <w:numPr>
          <w:ilvl w:val="0"/>
          <w:numId w:val="30"/>
        </w:numPr>
        <w:spacing w:line="360" w:lineRule="auto"/>
        <w:ind w:left="567" w:hanging="567"/>
        <w:jc w:val="both"/>
        <w:rPr>
          <w:rFonts w:ascii="Arial" w:hAnsi="Arial" w:cs="Arial"/>
          <w:sz w:val="22"/>
          <w:szCs w:val="22"/>
        </w:rPr>
      </w:pPr>
      <w:r w:rsidRPr="009F230E">
        <w:rPr>
          <w:rFonts w:ascii="Arial" w:hAnsi="Arial" w:cs="Arial"/>
          <w:sz w:val="22"/>
          <w:szCs w:val="22"/>
        </w:rPr>
        <w:t xml:space="preserve">Smit, R., </w:t>
      </w: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L., 2013. Cold start emission modelling for the Australian petrol fleet, </w:t>
      </w:r>
      <w:r w:rsidRPr="009F230E">
        <w:rPr>
          <w:rFonts w:ascii="Arial" w:hAnsi="Arial" w:cs="Arial"/>
          <w:i/>
          <w:sz w:val="22"/>
          <w:szCs w:val="22"/>
        </w:rPr>
        <w:t>Air Quality and Climate Change</w:t>
      </w:r>
      <w:r w:rsidRPr="009F230E">
        <w:rPr>
          <w:rFonts w:ascii="Arial" w:hAnsi="Arial" w:cs="Arial"/>
          <w:sz w:val="22"/>
          <w:szCs w:val="22"/>
        </w:rPr>
        <w:t>, 47 (3).</w:t>
      </w:r>
    </w:p>
    <w:p w:rsidR="009F230E" w:rsidRPr="009F230E" w:rsidRDefault="009F230E" w:rsidP="009F230E">
      <w:pPr>
        <w:numPr>
          <w:ilvl w:val="0"/>
          <w:numId w:val="30"/>
        </w:numPr>
        <w:spacing w:line="360" w:lineRule="auto"/>
        <w:ind w:left="567" w:hanging="567"/>
        <w:jc w:val="both"/>
        <w:rPr>
          <w:rFonts w:ascii="Arial" w:hAnsi="Arial" w:cs="Arial"/>
          <w:sz w:val="22"/>
          <w:szCs w:val="22"/>
        </w:rPr>
      </w:pPr>
      <w:r w:rsidRPr="009F230E">
        <w:rPr>
          <w:rFonts w:ascii="Arial" w:hAnsi="Arial" w:cs="Arial"/>
          <w:sz w:val="22"/>
          <w:szCs w:val="22"/>
        </w:rPr>
        <w:t xml:space="preserve">Smit, R., </w:t>
      </w:r>
      <w:proofErr w:type="spellStart"/>
      <w:r w:rsidRPr="009F230E">
        <w:rPr>
          <w:rFonts w:ascii="Arial" w:hAnsi="Arial" w:cs="Arial"/>
          <w:sz w:val="22"/>
          <w:szCs w:val="22"/>
        </w:rPr>
        <w:t>Casas</w:t>
      </w:r>
      <w:proofErr w:type="spellEnd"/>
      <w:r w:rsidRPr="009F230E">
        <w:rPr>
          <w:rFonts w:ascii="Arial" w:hAnsi="Arial" w:cs="Arial"/>
          <w:sz w:val="22"/>
          <w:szCs w:val="22"/>
        </w:rPr>
        <w:t xml:space="preserve">, J., </w:t>
      </w:r>
      <w:proofErr w:type="spellStart"/>
      <w:r w:rsidRPr="009F230E">
        <w:rPr>
          <w:rFonts w:ascii="Arial" w:hAnsi="Arial" w:cs="Arial"/>
          <w:sz w:val="22"/>
          <w:szCs w:val="22"/>
        </w:rPr>
        <w:t>Torday</w:t>
      </w:r>
      <w:proofErr w:type="spellEnd"/>
      <w:r w:rsidRPr="009F230E">
        <w:rPr>
          <w:rFonts w:ascii="Arial" w:hAnsi="Arial" w:cs="Arial"/>
          <w:sz w:val="22"/>
          <w:szCs w:val="22"/>
        </w:rPr>
        <w:t xml:space="preserve">. A., 2013. Simulating fuel consumption and vehicle emissions in an Australian context, </w:t>
      </w:r>
      <w:r w:rsidRPr="009F230E">
        <w:rPr>
          <w:rFonts w:ascii="Arial" w:hAnsi="Arial" w:cs="Arial"/>
          <w:i/>
          <w:sz w:val="22"/>
          <w:szCs w:val="22"/>
        </w:rPr>
        <w:t>Australasian Transport Research Forum 2013</w:t>
      </w:r>
      <w:r w:rsidRPr="009F230E">
        <w:rPr>
          <w:rFonts w:ascii="Arial" w:hAnsi="Arial" w:cs="Arial"/>
          <w:sz w:val="22"/>
          <w:szCs w:val="22"/>
        </w:rPr>
        <w:t>, 2 - 4 October 2013, Brisbane, Australia.</w:t>
      </w:r>
    </w:p>
    <w:p w:rsidR="009F230E" w:rsidRPr="009F230E" w:rsidRDefault="009F230E" w:rsidP="009F230E">
      <w:pPr>
        <w:numPr>
          <w:ilvl w:val="0"/>
          <w:numId w:val="30"/>
        </w:numPr>
        <w:spacing w:line="360" w:lineRule="auto"/>
        <w:ind w:left="567" w:hanging="567"/>
        <w:jc w:val="both"/>
        <w:rPr>
          <w:rFonts w:ascii="Arial" w:hAnsi="Arial" w:cs="Arial"/>
          <w:sz w:val="22"/>
          <w:szCs w:val="22"/>
        </w:rPr>
      </w:pPr>
      <w:r w:rsidRPr="009F230E">
        <w:rPr>
          <w:rFonts w:ascii="Arial" w:hAnsi="Arial" w:cs="Arial"/>
          <w:sz w:val="22"/>
          <w:szCs w:val="22"/>
        </w:rPr>
        <w:t xml:space="preserve">Smit, R., </w:t>
      </w: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L., 2012. COPERT Australia: Developing Improved Average Speed Vehicle Emission Algorithms for the Australian Fleet, </w:t>
      </w:r>
      <w:r w:rsidRPr="009F230E">
        <w:rPr>
          <w:rFonts w:ascii="Arial" w:hAnsi="Arial" w:cs="Arial"/>
          <w:i/>
          <w:sz w:val="22"/>
          <w:szCs w:val="22"/>
        </w:rPr>
        <w:t>19</w:t>
      </w:r>
      <w:r w:rsidRPr="009F230E">
        <w:rPr>
          <w:rFonts w:ascii="Arial" w:hAnsi="Arial" w:cs="Arial"/>
          <w:i/>
          <w:sz w:val="22"/>
          <w:szCs w:val="22"/>
          <w:vertAlign w:val="superscript"/>
        </w:rPr>
        <w:t>th</w:t>
      </w:r>
      <w:r w:rsidRPr="009F230E">
        <w:rPr>
          <w:rFonts w:ascii="Arial" w:hAnsi="Arial" w:cs="Arial"/>
          <w:i/>
          <w:sz w:val="22"/>
          <w:szCs w:val="22"/>
        </w:rPr>
        <w:t xml:space="preserve"> International Transport and Air Pollution Conference</w:t>
      </w:r>
      <w:r w:rsidRPr="009F230E">
        <w:rPr>
          <w:rFonts w:ascii="Arial" w:hAnsi="Arial" w:cs="Arial"/>
          <w:sz w:val="22"/>
          <w:szCs w:val="22"/>
        </w:rPr>
        <w:t>, Thessaloniki, Greece, 26-27 November 2012.</w:t>
      </w:r>
    </w:p>
    <w:p w:rsidR="009F230E" w:rsidRPr="009F230E" w:rsidRDefault="009F230E" w:rsidP="009F230E">
      <w:pPr>
        <w:numPr>
          <w:ilvl w:val="0"/>
          <w:numId w:val="30"/>
        </w:numPr>
        <w:spacing w:line="360" w:lineRule="auto"/>
        <w:ind w:left="567" w:hanging="567"/>
        <w:jc w:val="both"/>
        <w:rPr>
          <w:rFonts w:ascii="Arial" w:hAnsi="Arial" w:cs="Arial"/>
          <w:sz w:val="22"/>
          <w:szCs w:val="22"/>
        </w:rPr>
      </w:pPr>
      <w:r w:rsidRPr="009F230E">
        <w:rPr>
          <w:rFonts w:ascii="Arial" w:hAnsi="Arial" w:cs="Arial"/>
          <w:sz w:val="22"/>
          <w:szCs w:val="22"/>
        </w:rPr>
        <w:t xml:space="preserve">Smit, R., </w:t>
      </w:r>
      <w:proofErr w:type="spellStart"/>
      <w:r w:rsidRPr="009F230E">
        <w:rPr>
          <w:rFonts w:ascii="Arial" w:hAnsi="Arial" w:cs="Arial"/>
          <w:sz w:val="22"/>
          <w:szCs w:val="22"/>
        </w:rPr>
        <w:t>Ntziachristos</w:t>
      </w:r>
      <w:proofErr w:type="spellEnd"/>
      <w:r w:rsidRPr="009F230E">
        <w:rPr>
          <w:rFonts w:ascii="Arial" w:hAnsi="Arial" w:cs="Arial"/>
          <w:sz w:val="22"/>
          <w:szCs w:val="22"/>
        </w:rPr>
        <w:t xml:space="preserve">, L., 2013. COPERT Australia: </w:t>
      </w:r>
      <w:proofErr w:type="gramStart"/>
      <w:r w:rsidRPr="009F230E">
        <w:rPr>
          <w:rFonts w:ascii="Arial" w:hAnsi="Arial" w:cs="Arial"/>
          <w:sz w:val="22"/>
          <w:szCs w:val="22"/>
        </w:rPr>
        <w:t>a new</w:t>
      </w:r>
      <w:proofErr w:type="gramEnd"/>
      <w:r w:rsidRPr="009F230E">
        <w:rPr>
          <w:rFonts w:ascii="Arial" w:hAnsi="Arial" w:cs="Arial"/>
          <w:sz w:val="22"/>
          <w:szCs w:val="22"/>
        </w:rPr>
        <w:t xml:space="preserve"> software to estimate vehicle emissions in Australia, </w:t>
      </w:r>
      <w:r w:rsidRPr="009F230E">
        <w:rPr>
          <w:rFonts w:ascii="Arial" w:hAnsi="Arial" w:cs="Arial"/>
          <w:i/>
          <w:sz w:val="22"/>
          <w:szCs w:val="22"/>
        </w:rPr>
        <w:t>Australasian Transport Research Forum 2013</w:t>
      </w:r>
      <w:r w:rsidRPr="009F230E">
        <w:rPr>
          <w:rFonts w:ascii="Arial" w:hAnsi="Arial" w:cs="Arial"/>
          <w:sz w:val="22"/>
          <w:szCs w:val="22"/>
        </w:rPr>
        <w:t>, 2 - 4 October 2013, Brisbane, Australia.</w:t>
      </w:r>
    </w:p>
    <w:p w:rsidR="00974A30" w:rsidRPr="00842183" w:rsidRDefault="00974A30" w:rsidP="007B27C3">
      <w:pPr>
        <w:spacing w:line="360" w:lineRule="auto"/>
        <w:jc w:val="both"/>
        <w:rPr>
          <w:rFonts w:ascii="Arial" w:hAnsi="Arial" w:cs="Arial"/>
          <w:sz w:val="22"/>
          <w:szCs w:val="22"/>
        </w:rPr>
      </w:pPr>
    </w:p>
    <w:p w:rsidR="009F230E" w:rsidRDefault="009F230E">
      <w:pPr>
        <w:rPr>
          <w:rFonts w:ascii="Arial" w:hAnsi="Arial" w:cs="Arial"/>
          <w:b/>
          <w:caps/>
          <w:color w:val="000000"/>
          <w:kern w:val="28"/>
          <w:sz w:val="22"/>
          <w:szCs w:val="22"/>
          <w:lang w:eastAsia="en-AU"/>
        </w:rPr>
      </w:pPr>
      <w:bookmarkStart w:id="15" w:name="_Toc122314686"/>
      <w:bookmarkStart w:id="16" w:name="_Toc122314727"/>
      <w:r>
        <w:rPr>
          <w:rFonts w:ascii="Arial" w:hAnsi="Arial" w:cs="Arial"/>
          <w:sz w:val="22"/>
          <w:szCs w:val="22"/>
        </w:rPr>
        <w:br w:type="page"/>
      </w:r>
    </w:p>
    <w:p w:rsidR="00974A30" w:rsidRPr="00842183" w:rsidRDefault="009F230E" w:rsidP="007B27C3">
      <w:pPr>
        <w:pStyle w:val="Heading1"/>
        <w:keepNext w:val="0"/>
        <w:tabs>
          <w:tab w:val="clear" w:pos="720"/>
          <w:tab w:val="num" w:pos="567"/>
        </w:tabs>
        <w:spacing w:line="360" w:lineRule="auto"/>
        <w:ind w:left="567" w:hanging="567"/>
        <w:rPr>
          <w:rFonts w:ascii="Arial" w:hAnsi="Arial" w:cs="Arial"/>
          <w:sz w:val="22"/>
          <w:szCs w:val="22"/>
        </w:rPr>
      </w:pPr>
      <w:bookmarkStart w:id="17" w:name="_Toc394993190"/>
      <w:bookmarkEnd w:id="15"/>
      <w:bookmarkEnd w:id="16"/>
      <w:r>
        <w:rPr>
          <w:rFonts w:ascii="Arial" w:hAnsi="Arial" w:cs="Arial"/>
          <w:sz w:val="22"/>
          <w:szCs w:val="22"/>
        </w:rPr>
        <w:lastRenderedPageBreak/>
        <w:t>METHOD</w:t>
      </w:r>
      <w:bookmarkEnd w:id="17"/>
    </w:p>
    <w:p w:rsidR="00974A30" w:rsidRPr="009F230E" w:rsidRDefault="00974A30" w:rsidP="009F230E">
      <w:pPr>
        <w:spacing w:line="360" w:lineRule="auto"/>
        <w:jc w:val="both"/>
        <w:rPr>
          <w:rFonts w:ascii="Arial" w:hAnsi="Arial" w:cs="Arial"/>
          <w:sz w:val="22"/>
          <w:szCs w:val="22"/>
        </w:rPr>
      </w:pPr>
    </w:p>
    <w:bookmarkEnd w:id="3"/>
    <w:bookmarkEnd w:id="4"/>
    <w:bookmarkEnd w:id="5"/>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Development of </w:t>
      </w:r>
      <w:r w:rsidR="0091535E">
        <w:rPr>
          <w:rFonts w:ascii="Arial" w:hAnsi="Arial" w:cs="Arial"/>
          <w:sz w:val="22"/>
          <w:szCs w:val="22"/>
        </w:rPr>
        <w:t xml:space="preserve">a </w:t>
      </w:r>
      <w:r w:rsidRPr="009F230E">
        <w:rPr>
          <w:rFonts w:ascii="Arial" w:hAnsi="Arial" w:cs="Arial"/>
          <w:sz w:val="22"/>
          <w:szCs w:val="22"/>
        </w:rPr>
        <w:t xml:space="preserve">national or state level motor vehicle emission inventories requires a comprehensive set of input data with a high level of detail to adequately account for the range of variables that can influence vehicle emissions and fuel consumption.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This Section discusses the main elements of the required input data.</w:t>
      </w:r>
    </w:p>
    <w:p w:rsidR="00974A30" w:rsidRPr="009F230E" w:rsidRDefault="00974A30" w:rsidP="009F230E">
      <w:pPr>
        <w:spacing w:line="360" w:lineRule="auto"/>
        <w:jc w:val="both"/>
        <w:rPr>
          <w:rFonts w:ascii="Arial" w:hAnsi="Arial" w:cs="Arial"/>
          <w:sz w:val="22"/>
          <w:szCs w:val="22"/>
        </w:rPr>
      </w:pPr>
    </w:p>
    <w:p w:rsidR="009F230E" w:rsidRPr="009F230E" w:rsidRDefault="009F230E" w:rsidP="009F230E">
      <w:pPr>
        <w:pStyle w:val="Heading2"/>
        <w:tabs>
          <w:tab w:val="clear" w:pos="720"/>
        </w:tabs>
        <w:spacing w:line="360" w:lineRule="auto"/>
        <w:ind w:left="567" w:hanging="567"/>
        <w:rPr>
          <w:rFonts w:ascii="Arial" w:hAnsi="Arial" w:cs="Arial"/>
          <w:sz w:val="22"/>
          <w:szCs w:val="22"/>
        </w:rPr>
      </w:pPr>
      <w:bookmarkStart w:id="18" w:name="_Toc394993191"/>
      <w:r w:rsidRPr="009F230E">
        <w:rPr>
          <w:rFonts w:ascii="Arial" w:hAnsi="Arial" w:cs="Arial"/>
          <w:sz w:val="22"/>
          <w:szCs w:val="22"/>
        </w:rPr>
        <w:t>Input data overview</w:t>
      </w:r>
      <w:bookmarkEnd w:id="18"/>
    </w:p>
    <w:p w:rsidR="009F230E" w:rsidRPr="009F230E" w:rsidRDefault="009F230E" w:rsidP="009F230E">
      <w:pPr>
        <w:spacing w:line="360" w:lineRule="auto"/>
        <w:jc w:val="both"/>
        <w:rPr>
          <w:rFonts w:ascii="Arial" w:hAnsi="Arial" w:cs="Arial"/>
          <w:sz w:val="22"/>
          <w:szCs w:val="22"/>
          <w:lang w:eastAsia="en-AU"/>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COPERT Australia requires the following input data:</w:t>
      </w:r>
    </w:p>
    <w:p w:rsidR="009F230E" w:rsidRPr="009F230E" w:rsidRDefault="009F230E" w:rsidP="009F230E">
      <w:pPr>
        <w:jc w:val="both"/>
        <w:rPr>
          <w:rFonts w:ascii="Arial" w:hAnsi="Arial" w:cs="Arial"/>
          <w:sz w:val="22"/>
          <w:szCs w:val="22"/>
        </w:rPr>
      </w:pP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Base year</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Hourly meteorological data:</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ambient temperature</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relative humidity</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 xml:space="preserve">Total fuel use (tonnes/year) by type of fuel (ULP, PULP, Diesel, LPG, CNG, biodiesel, </w:t>
      </w:r>
      <w:proofErr w:type="spellStart"/>
      <w:r w:rsidRPr="009F230E">
        <w:rPr>
          <w:rFonts w:ascii="Arial" w:hAnsi="Arial" w:cs="Arial"/>
          <w:sz w:val="22"/>
          <w:szCs w:val="22"/>
        </w:rPr>
        <w:t>bioethanol</w:t>
      </w:r>
      <w:proofErr w:type="spellEnd"/>
      <w:r w:rsidRPr="009F230E">
        <w:rPr>
          <w:rFonts w:ascii="Arial" w:hAnsi="Arial" w:cs="Arial"/>
          <w:sz w:val="22"/>
          <w:szCs w:val="22"/>
        </w:rPr>
        <w:t>)</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Fuel parameters:</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monthly average Reid Vapour Pressure (RVP)</w:t>
      </w:r>
    </w:p>
    <w:p w:rsidR="009F230E" w:rsidRPr="009F230E" w:rsidRDefault="009F230E" w:rsidP="009F230E">
      <w:pPr>
        <w:numPr>
          <w:ilvl w:val="2"/>
          <w:numId w:val="33"/>
        </w:numPr>
        <w:spacing w:line="360" w:lineRule="auto"/>
        <w:ind w:left="1134" w:hanging="567"/>
        <w:jc w:val="both"/>
        <w:rPr>
          <w:rFonts w:ascii="Arial" w:hAnsi="Arial" w:cs="Arial"/>
          <w:sz w:val="22"/>
          <w:szCs w:val="22"/>
        </w:rPr>
      </w:pPr>
      <w:proofErr w:type="spellStart"/>
      <w:r w:rsidRPr="009F230E">
        <w:rPr>
          <w:rFonts w:ascii="Arial" w:hAnsi="Arial" w:cs="Arial"/>
          <w:sz w:val="22"/>
          <w:szCs w:val="22"/>
        </w:rPr>
        <w:t>sul</w:t>
      </w:r>
      <w:r w:rsidR="0091535E">
        <w:rPr>
          <w:rFonts w:ascii="Arial" w:hAnsi="Arial" w:cs="Arial"/>
          <w:sz w:val="22"/>
          <w:szCs w:val="22"/>
        </w:rPr>
        <w:t>f</w:t>
      </w:r>
      <w:r w:rsidRPr="009F230E">
        <w:rPr>
          <w:rFonts w:ascii="Arial" w:hAnsi="Arial" w:cs="Arial"/>
          <w:sz w:val="22"/>
          <w:szCs w:val="22"/>
        </w:rPr>
        <w:t>ur</w:t>
      </w:r>
      <w:proofErr w:type="spellEnd"/>
      <w:r w:rsidRPr="009F230E">
        <w:rPr>
          <w:rFonts w:ascii="Arial" w:hAnsi="Arial" w:cs="Arial"/>
          <w:sz w:val="22"/>
          <w:szCs w:val="22"/>
        </w:rPr>
        <w:t xml:space="preserve"> content (mass %) by type of fuel </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 xml:space="preserve">lead content (grams/litre) by type of fuel </w:t>
      </w:r>
    </w:p>
    <w:p w:rsidR="009F230E" w:rsidRPr="005E5C1F" w:rsidRDefault="00BD2DAF" w:rsidP="009F230E">
      <w:pPr>
        <w:numPr>
          <w:ilvl w:val="2"/>
          <w:numId w:val="33"/>
        </w:numPr>
        <w:spacing w:line="360" w:lineRule="auto"/>
        <w:ind w:left="1134" w:hanging="567"/>
        <w:jc w:val="both"/>
        <w:rPr>
          <w:rFonts w:ascii="Arial" w:hAnsi="Arial" w:cs="Arial"/>
          <w:sz w:val="22"/>
          <w:szCs w:val="22"/>
        </w:rPr>
      </w:pPr>
      <w:r>
        <w:rPr>
          <w:rFonts w:ascii="Arial" w:hAnsi="Arial" w:cs="Arial"/>
          <w:sz w:val="22"/>
          <w:szCs w:val="22"/>
        </w:rPr>
        <w:t>hydrogen to carbon and oxygen to carbon</w:t>
      </w:r>
      <w:r w:rsidR="009F230E" w:rsidRPr="005E5C1F">
        <w:rPr>
          <w:rFonts w:ascii="Arial" w:hAnsi="Arial" w:cs="Arial"/>
          <w:sz w:val="22"/>
          <w:szCs w:val="22"/>
        </w:rPr>
        <w:t xml:space="preserve"> ratios by type of fuel </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heavy metal content (</w:t>
      </w:r>
      <w:proofErr w:type="spellStart"/>
      <w:r w:rsidRPr="009F230E">
        <w:rPr>
          <w:rFonts w:ascii="Arial" w:hAnsi="Arial" w:cs="Arial"/>
          <w:sz w:val="22"/>
          <w:szCs w:val="22"/>
        </w:rPr>
        <w:t>ppm</w:t>
      </w:r>
      <w:proofErr w:type="spellEnd"/>
      <w:r w:rsidRPr="009F230E">
        <w:rPr>
          <w:rFonts w:ascii="Arial" w:hAnsi="Arial" w:cs="Arial"/>
          <w:sz w:val="22"/>
          <w:szCs w:val="22"/>
        </w:rPr>
        <w:t>-mass) by type of fuel</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petrol fuel parameters as vol% (E100, E150, aromatics, olefins, benzene)</w:t>
      </w:r>
    </w:p>
    <w:p w:rsidR="009F230E" w:rsidRPr="009F230E" w:rsidRDefault="009F230E" w:rsidP="009F230E">
      <w:pPr>
        <w:numPr>
          <w:ilvl w:val="2"/>
          <w:numId w:val="33"/>
        </w:numPr>
        <w:spacing w:line="360" w:lineRule="auto"/>
        <w:ind w:left="1134" w:hanging="567"/>
        <w:jc w:val="both"/>
        <w:rPr>
          <w:rFonts w:ascii="Arial" w:hAnsi="Arial" w:cs="Arial"/>
          <w:sz w:val="22"/>
          <w:szCs w:val="22"/>
        </w:rPr>
      </w:pPr>
      <w:r w:rsidRPr="009F230E">
        <w:rPr>
          <w:rFonts w:ascii="Arial" w:hAnsi="Arial" w:cs="Arial"/>
          <w:sz w:val="22"/>
          <w:szCs w:val="22"/>
        </w:rPr>
        <w:t>diesel fuel parameters (vol% PAHs, CN, density in kg/m</w:t>
      </w:r>
      <w:r w:rsidRPr="009F230E">
        <w:rPr>
          <w:rFonts w:ascii="Arial" w:hAnsi="Arial" w:cs="Arial"/>
          <w:sz w:val="22"/>
          <w:szCs w:val="22"/>
          <w:vertAlign w:val="superscript"/>
        </w:rPr>
        <w:t>3</w:t>
      </w:r>
      <w:r w:rsidRPr="009F230E">
        <w:rPr>
          <w:rFonts w:ascii="Arial" w:hAnsi="Arial" w:cs="Arial"/>
          <w:sz w:val="22"/>
          <w:szCs w:val="22"/>
        </w:rPr>
        <w:t xml:space="preserve">, T95 in </w:t>
      </w:r>
      <w:proofErr w:type="spellStart"/>
      <w:r w:rsidRPr="009F230E">
        <w:rPr>
          <w:rFonts w:ascii="Arial" w:hAnsi="Arial" w:cs="Arial"/>
          <w:sz w:val="22"/>
          <w:szCs w:val="22"/>
          <w:vertAlign w:val="superscript"/>
        </w:rPr>
        <w:t>o</w:t>
      </w:r>
      <w:r w:rsidRPr="009F230E">
        <w:rPr>
          <w:rFonts w:ascii="Arial" w:hAnsi="Arial" w:cs="Arial"/>
          <w:sz w:val="22"/>
          <w:szCs w:val="22"/>
        </w:rPr>
        <w:t>C</w:t>
      </w:r>
      <w:proofErr w:type="spellEnd"/>
      <w:r w:rsidRPr="009F230E">
        <w:rPr>
          <w:rFonts w:ascii="Arial" w:hAnsi="Arial" w:cs="Arial"/>
          <w:sz w:val="22"/>
          <w:szCs w:val="22"/>
        </w:rPr>
        <w:t>)</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Proportion of travel in urban, rural and highway conditions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Average speed (km/h) in urban, rural and highway conditions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On-road vehicle population, i.e. number of vehicles broken down by 226 vehicle classes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Mean annual mileage in km/year for 226 vehicle classes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Mean accumulated mileage in km for 226 vehicle classes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Fuel tank size in litres for 132 vehicle classes (petrol/E10 vehicles)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Carbon canister size in litres 132 vehicle classes (petrol/E10 vehicles)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Proportion of fuel-injected vehicles for 132 vehicle classes (petrol/E10 vehicles)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Proportion vehicles with evaporative emissions control for 132 vehicle classes (petrol/E10 vehicles)</w:t>
      </w:r>
    </w:p>
    <w:p w:rsidR="009F230E" w:rsidRPr="009F230E" w:rsidRDefault="009F230E" w:rsidP="009F230E">
      <w:pPr>
        <w:numPr>
          <w:ilvl w:val="1"/>
          <w:numId w:val="32"/>
        </w:numPr>
        <w:spacing w:line="360" w:lineRule="auto"/>
        <w:ind w:left="567" w:hanging="567"/>
        <w:jc w:val="both"/>
        <w:rPr>
          <w:rFonts w:ascii="Arial" w:hAnsi="Arial" w:cs="Arial"/>
          <w:sz w:val="22"/>
          <w:szCs w:val="22"/>
        </w:rPr>
      </w:pPr>
      <w:r w:rsidRPr="009F230E">
        <w:rPr>
          <w:rFonts w:ascii="Arial" w:hAnsi="Arial" w:cs="Arial"/>
          <w:sz w:val="22"/>
          <w:szCs w:val="22"/>
        </w:rPr>
        <w:t>Proportion of evaporative emissions in urban, rural and highway conditions</w:t>
      </w:r>
    </w:p>
    <w:p w:rsidR="00974A30" w:rsidRPr="009F230E" w:rsidRDefault="009F230E" w:rsidP="009F230E">
      <w:pPr>
        <w:pStyle w:val="Heading2"/>
        <w:tabs>
          <w:tab w:val="clear" w:pos="720"/>
        </w:tabs>
        <w:spacing w:line="360" w:lineRule="auto"/>
        <w:ind w:left="567" w:hanging="567"/>
        <w:rPr>
          <w:rFonts w:ascii="Arial" w:hAnsi="Arial" w:cs="Arial"/>
          <w:sz w:val="22"/>
          <w:szCs w:val="22"/>
        </w:rPr>
      </w:pPr>
      <w:bookmarkStart w:id="19" w:name="_Toc394993192"/>
      <w:r w:rsidRPr="009F230E">
        <w:rPr>
          <w:rFonts w:ascii="Arial" w:hAnsi="Arial" w:cs="Arial"/>
          <w:sz w:val="22"/>
          <w:szCs w:val="22"/>
        </w:rPr>
        <w:lastRenderedPageBreak/>
        <w:t>Base year</w:t>
      </w:r>
      <w:bookmarkEnd w:id="19"/>
    </w:p>
    <w:p w:rsidR="009F230E" w:rsidRPr="009F230E" w:rsidRDefault="009F230E" w:rsidP="009F230E">
      <w:pPr>
        <w:spacing w:line="360" w:lineRule="auto"/>
        <w:jc w:val="both"/>
        <w:rPr>
          <w:rFonts w:ascii="Arial" w:hAnsi="Arial" w:cs="Arial"/>
          <w:sz w:val="22"/>
          <w:szCs w:val="22"/>
          <w:lang w:eastAsia="en-AU"/>
        </w:rPr>
      </w:pPr>
    </w:p>
    <w:p w:rsidR="009F230E" w:rsidRPr="009F230E" w:rsidRDefault="009F230E" w:rsidP="009F230E">
      <w:pPr>
        <w:spacing w:line="360" w:lineRule="auto"/>
        <w:jc w:val="both"/>
        <w:rPr>
          <w:rFonts w:ascii="Arial" w:hAnsi="Arial" w:cs="Arial"/>
          <w:sz w:val="22"/>
          <w:szCs w:val="22"/>
          <w:lang w:eastAsia="en-AU"/>
        </w:rPr>
      </w:pPr>
      <w:r w:rsidRPr="009F230E">
        <w:rPr>
          <w:rFonts w:ascii="Arial" w:hAnsi="Arial" w:cs="Arial"/>
          <w:sz w:val="22"/>
          <w:szCs w:val="22"/>
          <w:lang w:eastAsia="en-AU"/>
        </w:rPr>
        <w:t>2010 was selected as the base year for the MVEI. This will provide slightly conservative estimates of vehicle emissions for more recent years. Section 5 compares the data with 10/11 NPI industry emissions data for Australia.</w:t>
      </w:r>
    </w:p>
    <w:p w:rsidR="009F230E" w:rsidRPr="009F230E" w:rsidRDefault="009F230E" w:rsidP="009F230E">
      <w:pPr>
        <w:spacing w:line="360" w:lineRule="auto"/>
        <w:jc w:val="both"/>
        <w:rPr>
          <w:rFonts w:ascii="Arial" w:hAnsi="Arial" w:cs="Arial"/>
          <w:sz w:val="22"/>
          <w:szCs w:val="22"/>
          <w:lang w:eastAsia="en-AU"/>
        </w:rPr>
      </w:pPr>
    </w:p>
    <w:p w:rsidR="009F230E" w:rsidRPr="009F230E" w:rsidRDefault="009F230E" w:rsidP="009F230E">
      <w:pPr>
        <w:pStyle w:val="Heading2"/>
        <w:tabs>
          <w:tab w:val="clear" w:pos="720"/>
        </w:tabs>
        <w:spacing w:line="360" w:lineRule="auto"/>
        <w:ind w:left="567" w:hanging="567"/>
        <w:rPr>
          <w:rFonts w:ascii="Arial" w:hAnsi="Arial" w:cs="Arial"/>
          <w:sz w:val="22"/>
          <w:szCs w:val="22"/>
        </w:rPr>
      </w:pPr>
      <w:bookmarkStart w:id="20" w:name="_Toc394993193"/>
      <w:r w:rsidRPr="009F230E">
        <w:rPr>
          <w:rFonts w:ascii="Arial" w:hAnsi="Arial" w:cs="Arial"/>
          <w:sz w:val="22"/>
          <w:szCs w:val="22"/>
        </w:rPr>
        <w:t>Vehicle population, annual travel and total fuel use</w:t>
      </w:r>
      <w:bookmarkEnd w:id="20"/>
    </w:p>
    <w:p w:rsidR="009F230E" w:rsidRPr="009F230E" w:rsidRDefault="009F230E" w:rsidP="009F230E">
      <w:pPr>
        <w:spacing w:line="360" w:lineRule="auto"/>
        <w:jc w:val="both"/>
        <w:rPr>
          <w:rFonts w:ascii="Arial" w:hAnsi="Arial" w:cs="Arial"/>
          <w:sz w:val="22"/>
          <w:szCs w:val="22"/>
          <w:lang w:eastAsia="en-AU"/>
        </w:rPr>
      </w:pPr>
    </w:p>
    <w:p w:rsidR="009F230E" w:rsidRDefault="009F230E" w:rsidP="009F230E">
      <w:pPr>
        <w:spacing w:line="360" w:lineRule="auto"/>
        <w:jc w:val="both"/>
        <w:rPr>
          <w:rFonts w:ascii="Arial" w:hAnsi="Arial" w:cs="Arial"/>
          <w:sz w:val="22"/>
          <w:szCs w:val="22"/>
        </w:rPr>
      </w:pPr>
      <w:r w:rsidRPr="009F230E">
        <w:rPr>
          <w:rFonts w:ascii="Arial" w:hAnsi="Arial" w:cs="Arial"/>
          <w:sz w:val="22"/>
          <w:szCs w:val="22"/>
        </w:rPr>
        <w:t>Australian data regarding fleet composition, fuel use and vehicle use (total travel) are available from a number of sources. However, developing a COPERT input file from these data is a significant challenge for two reasons:</w:t>
      </w:r>
    </w:p>
    <w:p w:rsidR="009F230E" w:rsidRPr="009F230E" w:rsidRDefault="009F230E" w:rsidP="009F230E">
      <w:pPr>
        <w:jc w:val="both"/>
        <w:rPr>
          <w:rFonts w:ascii="Arial" w:hAnsi="Arial" w:cs="Arial"/>
          <w:sz w:val="22"/>
          <w:szCs w:val="22"/>
        </w:rPr>
      </w:pPr>
    </w:p>
    <w:p w:rsidR="009F230E" w:rsidRPr="009F230E" w:rsidRDefault="009F230E" w:rsidP="009F230E">
      <w:pPr>
        <w:numPr>
          <w:ilvl w:val="0"/>
          <w:numId w:val="34"/>
        </w:numPr>
        <w:spacing w:line="360" w:lineRule="auto"/>
        <w:ind w:left="567" w:hanging="567"/>
        <w:jc w:val="both"/>
        <w:rPr>
          <w:rFonts w:ascii="Arial" w:hAnsi="Arial" w:cs="Arial"/>
          <w:sz w:val="22"/>
          <w:szCs w:val="22"/>
        </w:rPr>
      </w:pPr>
      <w:r w:rsidRPr="009F230E">
        <w:rPr>
          <w:rFonts w:ascii="Arial" w:hAnsi="Arial" w:cs="Arial"/>
          <w:sz w:val="22"/>
          <w:szCs w:val="22"/>
        </w:rPr>
        <w:t>the available data reflect different vehicle class definitions</w:t>
      </w:r>
      <w:r w:rsidR="0091535E">
        <w:rPr>
          <w:rFonts w:ascii="Arial" w:hAnsi="Arial" w:cs="Arial"/>
          <w:sz w:val="22"/>
          <w:szCs w:val="22"/>
        </w:rPr>
        <w:t>,</w:t>
      </w:r>
      <w:r w:rsidRPr="009F230E">
        <w:rPr>
          <w:rFonts w:ascii="Arial" w:hAnsi="Arial" w:cs="Arial"/>
          <w:sz w:val="22"/>
          <w:szCs w:val="22"/>
        </w:rPr>
        <w:t xml:space="preserve"> and</w:t>
      </w:r>
    </w:p>
    <w:p w:rsidR="009F230E" w:rsidRPr="009F230E" w:rsidRDefault="009F230E" w:rsidP="009F230E">
      <w:pPr>
        <w:numPr>
          <w:ilvl w:val="0"/>
          <w:numId w:val="34"/>
        </w:numPr>
        <w:spacing w:line="360" w:lineRule="auto"/>
        <w:ind w:left="567" w:hanging="567"/>
        <w:jc w:val="both"/>
        <w:rPr>
          <w:rFonts w:ascii="Arial" w:hAnsi="Arial" w:cs="Arial"/>
          <w:sz w:val="22"/>
          <w:szCs w:val="22"/>
        </w:rPr>
      </w:pPr>
      <w:proofErr w:type="gramStart"/>
      <w:r w:rsidRPr="009F230E">
        <w:rPr>
          <w:rFonts w:ascii="Arial" w:hAnsi="Arial" w:cs="Arial"/>
          <w:sz w:val="22"/>
          <w:szCs w:val="22"/>
        </w:rPr>
        <w:t>the</w:t>
      </w:r>
      <w:proofErr w:type="gramEnd"/>
      <w:r w:rsidRPr="009F230E">
        <w:rPr>
          <w:rFonts w:ascii="Arial" w:hAnsi="Arial" w:cs="Arial"/>
          <w:sz w:val="22"/>
          <w:szCs w:val="22"/>
        </w:rPr>
        <w:t xml:space="preserve"> available data are often too aggregated to be useful.</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A fleet model (TER, 2014) is therefore used to create consistent and accurate input information for COPERT Australia regarding:</w:t>
      </w:r>
    </w:p>
    <w:p w:rsidR="009F230E" w:rsidRPr="009F230E" w:rsidRDefault="009F230E" w:rsidP="009F230E">
      <w:pPr>
        <w:jc w:val="both"/>
        <w:rPr>
          <w:rFonts w:ascii="Arial" w:hAnsi="Arial" w:cs="Arial"/>
          <w:sz w:val="22"/>
          <w:szCs w:val="22"/>
        </w:rPr>
      </w:pPr>
    </w:p>
    <w:p w:rsidR="009F230E" w:rsidRPr="009F230E" w:rsidRDefault="009F230E" w:rsidP="009F230E">
      <w:pPr>
        <w:numPr>
          <w:ilvl w:val="0"/>
          <w:numId w:val="36"/>
        </w:numPr>
        <w:spacing w:line="360" w:lineRule="auto"/>
        <w:ind w:left="567" w:hanging="567"/>
        <w:jc w:val="both"/>
        <w:rPr>
          <w:rFonts w:ascii="Arial" w:hAnsi="Arial" w:cs="Arial"/>
          <w:sz w:val="22"/>
          <w:szCs w:val="22"/>
        </w:rPr>
      </w:pPr>
      <w:r w:rsidRPr="009F230E">
        <w:rPr>
          <w:rFonts w:ascii="Arial" w:hAnsi="Arial" w:cs="Arial"/>
          <w:sz w:val="22"/>
          <w:szCs w:val="22"/>
        </w:rPr>
        <w:t xml:space="preserve">total fuel use </w:t>
      </w:r>
    </w:p>
    <w:p w:rsidR="009F230E" w:rsidRPr="009F230E" w:rsidRDefault="009F230E" w:rsidP="009F230E">
      <w:pPr>
        <w:numPr>
          <w:ilvl w:val="0"/>
          <w:numId w:val="36"/>
        </w:numPr>
        <w:spacing w:line="360" w:lineRule="auto"/>
        <w:ind w:left="567" w:hanging="567"/>
        <w:jc w:val="both"/>
        <w:rPr>
          <w:rFonts w:ascii="Arial" w:hAnsi="Arial" w:cs="Arial"/>
          <w:sz w:val="22"/>
          <w:szCs w:val="22"/>
        </w:rPr>
      </w:pPr>
      <w:r w:rsidRPr="009F230E">
        <w:rPr>
          <w:rFonts w:ascii="Arial" w:hAnsi="Arial" w:cs="Arial"/>
          <w:sz w:val="22"/>
          <w:szCs w:val="22"/>
        </w:rPr>
        <w:t>vehicle population</w:t>
      </w:r>
      <w:r w:rsidR="0091535E">
        <w:rPr>
          <w:rFonts w:ascii="Arial" w:hAnsi="Arial" w:cs="Arial"/>
          <w:sz w:val="22"/>
          <w:szCs w:val="22"/>
        </w:rPr>
        <w:t>, and</w:t>
      </w:r>
    </w:p>
    <w:p w:rsidR="009F230E" w:rsidRPr="009F230E" w:rsidRDefault="009F230E" w:rsidP="009F230E">
      <w:pPr>
        <w:numPr>
          <w:ilvl w:val="0"/>
          <w:numId w:val="36"/>
        </w:numPr>
        <w:spacing w:line="360" w:lineRule="auto"/>
        <w:ind w:left="567" w:hanging="567"/>
        <w:jc w:val="both"/>
        <w:rPr>
          <w:rFonts w:ascii="Arial" w:hAnsi="Arial" w:cs="Arial"/>
          <w:sz w:val="22"/>
          <w:szCs w:val="22"/>
        </w:rPr>
      </w:pPr>
      <w:proofErr w:type="gramStart"/>
      <w:r w:rsidRPr="009F230E">
        <w:rPr>
          <w:rFonts w:ascii="Arial" w:hAnsi="Arial" w:cs="Arial"/>
          <w:sz w:val="22"/>
          <w:szCs w:val="22"/>
        </w:rPr>
        <w:t>annual</w:t>
      </w:r>
      <w:proofErr w:type="gramEnd"/>
      <w:r w:rsidRPr="009F230E">
        <w:rPr>
          <w:rFonts w:ascii="Arial" w:hAnsi="Arial" w:cs="Arial"/>
          <w:sz w:val="22"/>
          <w:szCs w:val="22"/>
        </w:rPr>
        <w:t xml:space="preserve"> travel</w:t>
      </w:r>
      <w:r w:rsidR="0091535E">
        <w:rPr>
          <w:rFonts w:ascii="Arial" w:hAnsi="Arial" w:cs="Arial"/>
          <w:sz w:val="22"/>
          <w:szCs w:val="22"/>
        </w:rPr>
        <w:t>.</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most important input to COPERT Australia is a detailed breakdown of the total number of on-road vehicles and corresponding average annual travel (km/year) for 226 vehicle classes and for each </w:t>
      </w:r>
      <w:r w:rsidR="0091535E">
        <w:rPr>
          <w:rFonts w:ascii="Arial" w:hAnsi="Arial" w:cs="Arial"/>
          <w:sz w:val="22"/>
          <w:szCs w:val="22"/>
        </w:rPr>
        <w:t>s</w:t>
      </w:r>
      <w:r w:rsidRPr="009F230E">
        <w:rPr>
          <w:rFonts w:ascii="Arial" w:hAnsi="Arial" w:cs="Arial"/>
          <w:sz w:val="22"/>
          <w:szCs w:val="22"/>
        </w:rPr>
        <w:t>tate</w:t>
      </w:r>
      <w:r w:rsidR="0091535E">
        <w:rPr>
          <w:rFonts w:ascii="Arial" w:hAnsi="Arial" w:cs="Arial"/>
          <w:sz w:val="22"/>
          <w:szCs w:val="22"/>
        </w:rPr>
        <w:t xml:space="preserve"> and territory</w:t>
      </w:r>
      <w:r w:rsidRPr="009F230E">
        <w:rPr>
          <w:rFonts w:ascii="Arial" w:hAnsi="Arial" w:cs="Arial"/>
          <w:sz w:val="22"/>
          <w:szCs w:val="22"/>
        </w:rPr>
        <w:t xml:space="preserve">. Multiplication of vehicle numbers with annual mileage provides an estimate of ‘vehicle activity’ or total travel (by vehicle class and state/territory), which is expressed as vehicle </w:t>
      </w:r>
      <w:r w:rsidR="0024102A" w:rsidRPr="009F230E">
        <w:rPr>
          <w:rFonts w:ascii="Arial" w:hAnsi="Arial" w:cs="Arial"/>
          <w:sz w:val="22"/>
          <w:szCs w:val="22"/>
        </w:rPr>
        <w:t>kilometres</w:t>
      </w:r>
      <w:r w:rsidRPr="009F230E">
        <w:rPr>
          <w:rFonts w:ascii="Arial" w:hAnsi="Arial" w:cs="Arial"/>
          <w:sz w:val="22"/>
          <w:szCs w:val="22"/>
        </w:rPr>
        <w:t xml:space="preserve"> travelled or VKT. The information on VKT is then directly multiplied with emission factors (g/km or g/VKT) to estimate emission levels through COPERT software.</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Another measure of vehicle activity is total fuel consumption by fuel type and by state. This metric is significantly more accurate than estimates of VKT. Therefore, fuel consumption is used in this study to calibrate vehicle class dependent age-mileage relationships, which are used to create COPERT input files.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overall approach is to create state level input files, including the information that is discussed in the following Sections, run the software for each state and calibrate (through an iterative process) computed annual mileage values to ensure that predicted total fuel </w:t>
      </w:r>
      <w:r w:rsidRPr="009F230E">
        <w:rPr>
          <w:rFonts w:ascii="Arial" w:hAnsi="Arial" w:cs="Arial"/>
          <w:sz w:val="22"/>
          <w:szCs w:val="22"/>
        </w:rPr>
        <w:lastRenderedPageBreak/>
        <w:t>consumption by fuel type (petrol, diesel, LPG) corresponds to total reported values from independent sources. The process is shown in Figure 1 (next page).</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b/>
          <w:sz w:val="22"/>
          <w:szCs w:val="22"/>
        </w:rPr>
      </w:pPr>
      <w:r w:rsidRPr="009F230E">
        <w:rPr>
          <w:rFonts w:ascii="Arial" w:hAnsi="Arial" w:cs="Arial"/>
          <w:b/>
          <w:sz w:val="22"/>
          <w:szCs w:val="22"/>
        </w:rPr>
        <w:t>Fuel data</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Australian fuel consumption or energy data for road transport are available, or can be derived from a number of sources, namely the Survey of Motor Vehicle Use or SMVU (ABS, 2011a), Australian Petroleum Statistics (DRET, 2010) and Australian Energy Statistics (BREE, 2013). These data have different levels of detail. For example, the SMVU combines petrol and E10 into a category called “petrol” and does not distinguish between ULP and PULP. DRET does distinguish between ULP, PULP and E10, but combines data for </w:t>
      </w:r>
      <w:r w:rsidR="007B5B91">
        <w:rPr>
          <w:rFonts w:ascii="Arial" w:hAnsi="Arial" w:cs="Arial"/>
          <w:sz w:val="22"/>
          <w:szCs w:val="22"/>
        </w:rPr>
        <w:t>the Australian Capital Territory (</w:t>
      </w:r>
      <w:r w:rsidRPr="009F230E">
        <w:rPr>
          <w:rFonts w:ascii="Arial" w:hAnsi="Arial" w:cs="Arial"/>
          <w:sz w:val="22"/>
          <w:szCs w:val="22"/>
        </w:rPr>
        <w:t>ACT</w:t>
      </w:r>
      <w:r w:rsidR="007B5B91">
        <w:rPr>
          <w:rFonts w:ascii="Arial" w:hAnsi="Arial" w:cs="Arial"/>
          <w:sz w:val="22"/>
          <w:szCs w:val="22"/>
        </w:rPr>
        <w:t>)</w:t>
      </w:r>
      <w:r w:rsidRPr="009F230E">
        <w:rPr>
          <w:rFonts w:ascii="Arial" w:hAnsi="Arial" w:cs="Arial"/>
          <w:sz w:val="22"/>
          <w:szCs w:val="22"/>
        </w:rPr>
        <w:t xml:space="preserve"> and</w:t>
      </w:r>
      <w:r w:rsidR="007B5B91">
        <w:rPr>
          <w:rFonts w:ascii="Arial" w:hAnsi="Arial" w:cs="Arial"/>
          <w:sz w:val="22"/>
          <w:szCs w:val="22"/>
        </w:rPr>
        <w:t xml:space="preserve"> New South Wales</w:t>
      </w:r>
      <w:r w:rsidRPr="009F230E">
        <w:rPr>
          <w:rFonts w:ascii="Arial" w:hAnsi="Arial" w:cs="Arial"/>
          <w:sz w:val="22"/>
          <w:szCs w:val="22"/>
        </w:rPr>
        <w:t xml:space="preserve"> </w:t>
      </w:r>
      <w:r w:rsidR="007B5B91">
        <w:rPr>
          <w:rFonts w:ascii="Arial" w:hAnsi="Arial" w:cs="Arial"/>
          <w:sz w:val="22"/>
          <w:szCs w:val="22"/>
        </w:rPr>
        <w:t>(</w:t>
      </w:r>
      <w:r w:rsidRPr="009F230E">
        <w:rPr>
          <w:rFonts w:ascii="Arial" w:hAnsi="Arial" w:cs="Arial"/>
          <w:sz w:val="22"/>
          <w:szCs w:val="22"/>
        </w:rPr>
        <w:t>NSW</w:t>
      </w:r>
      <w:r w:rsidR="007B5B91">
        <w:rPr>
          <w:rFonts w:ascii="Arial" w:hAnsi="Arial" w:cs="Arial"/>
          <w:sz w:val="22"/>
          <w:szCs w:val="22"/>
        </w:rPr>
        <w:t>)</w:t>
      </w:r>
      <w:r w:rsidRPr="009F230E">
        <w:rPr>
          <w:rFonts w:ascii="Arial" w:hAnsi="Arial" w:cs="Arial"/>
          <w:sz w:val="22"/>
          <w:szCs w:val="22"/>
        </w:rPr>
        <w:t xml:space="preserve">.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center"/>
        <w:rPr>
          <w:rFonts w:ascii="Arial" w:hAnsi="Arial" w:cs="Arial"/>
          <w:sz w:val="22"/>
          <w:szCs w:val="22"/>
        </w:rPr>
      </w:pPr>
      <w:r w:rsidRPr="009F230E">
        <w:rPr>
          <w:rFonts w:ascii="Arial" w:hAnsi="Arial" w:cs="Arial"/>
          <w:noProof/>
          <w:sz w:val="22"/>
          <w:szCs w:val="22"/>
          <w:lang w:eastAsia="en-AU"/>
        </w:rPr>
        <w:drawing>
          <wp:inline distT="0" distB="0" distL="0" distR="0">
            <wp:extent cx="3455894" cy="3487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7480" cy="3509317"/>
                    </a:xfrm>
                    <a:prstGeom prst="rect">
                      <a:avLst/>
                    </a:prstGeom>
                    <a:noFill/>
                    <a:ln>
                      <a:noFill/>
                    </a:ln>
                  </pic:spPr>
                </pic:pic>
              </a:graphicData>
            </a:graphic>
          </wp:inline>
        </w:drawing>
      </w:r>
    </w:p>
    <w:p w:rsidR="009F230E" w:rsidRPr="009F230E" w:rsidRDefault="009F230E" w:rsidP="009F230E">
      <w:pPr>
        <w:jc w:val="both"/>
        <w:rPr>
          <w:rFonts w:ascii="Arial" w:hAnsi="Arial" w:cs="Arial"/>
          <w:sz w:val="22"/>
          <w:szCs w:val="22"/>
        </w:rPr>
      </w:pPr>
      <w:r w:rsidRPr="009F230E">
        <w:rPr>
          <w:rFonts w:ascii="Arial" w:hAnsi="Arial" w:cs="Arial"/>
          <w:b/>
          <w:sz w:val="22"/>
          <w:szCs w:val="22"/>
        </w:rPr>
        <w:t xml:space="preserve">Figure 1 </w:t>
      </w:r>
      <w:r w:rsidRPr="009F230E">
        <w:rPr>
          <w:rFonts w:ascii="Arial" w:hAnsi="Arial" w:cs="Arial"/>
          <w:sz w:val="22"/>
          <w:szCs w:val="22"/>
        </w:rPr>
        <w:t>Development of representative vehicle population and annual travel input data for COPERT Australia</w:t>
      </w:r>
    </w:p>
    <w:p w:rsid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To enable comparison of these data sources, a number of computations were made. Firstly, fuel data were converted to mass units (tonne) using fuel density and higher heating values </w:t>
      </w:r>
      <w:r w:rsidR="00BD2DAF">
        <w:rPr>
          <w:rFonts w:ascii="Arial" w:hAnsi="Arial" w:cs="Arial"/>
          <w:sz w:val="22"/>
          <w:szCs w:val="22"/>
        </w:rPr>
        <w:t xml:space="preserve">(HHVs) </w:t>
      </w:r>
      <w:r w:rsidRPr="009F230E">
        <w:rPr>
          <w:rFonts w:ascii="Arial" w:hAnsi="Arial" w:cs="Arial"/>
          <w:sz w:val="22"/>
          <w:szCs w:val="22"/>
        </w:rPr>
        <w:t>for each type of fuel</w:t>
      </w:r>
      <w:r w:rsidR="00BD2DAF" w:rsidRPr="009F230E">
        <w:rPr>
          <w:rFonts w:ascii="Arial" w:hAnsi="Arial" w:cs="Arial"/>
          <w:sz w:val="22"/>
          <w:szCs w:val="22"/>
          <w:vertAlign w:val="superscript"/>
        </w:rPr>
        <w:footnoteReference w:id="1"/>
      </w:r>
      <w:r w:rsidRPr="009F230E">
        <w:rPr>
          <w:rFonts w:ascii="Arial" w:hAnsi="Arial" w:cs="Arial"/>
          <w:sz w:val="22"/>
          <w:szCs w:val="22"/>
        </w:rPr>
        <w:t xml:space="preserve">. Financial year data was then converted to calendar year data by taking the average of the overlapping financial years, i.e. 2010 is the average of 2009-2010 and 2010-2011 financial years. The data sources were then combined to derive estimates of total fuel consumption by fuel type and by state at the appropriate level of detail for this study. </w:t>
      </w:r>
    </w:p>
    <w:p w:rsidR="009F230E" w:rsidRDefault="009F230E" w:rsidP="009F230E">
      <w:pPr>
        <w:spacing w:line="360" w:lineRule="auto"/>
        <w:jc w:val="both"/>
        <w:rPr>
          <w:rFonts w:ascii="Arial" w:hAnsi="Arial" w:cs="Arial"/>
          <w:sz w:val="22"/>
          <w:szCs w:val="22"/>
        </w:rPr>
        <w:sectPr w:rsidR="009F230E" w:rsidSect="009F230E">
          <w:pgSz w:w="11907" w:h="16840" w:code="9"/>
          <w:pgMar w:top="1276" w:right="1275" w:bottom="1134" w:left="1418" w:header="284" w:footer="567" w:gutter="0"/>
          <w:cols w:space="720"/>
          <w:docGrid w:linePitch="360"/>
        </w:sect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lastRenderedPageBreak/>
        <w:t>The results are shown in Table 1 and Table 2.</w:t>
      </w:r>
    </w:p>
    <w:p w:rsidR="009F230E" w:rsidRPr="009F230E" w:rsidRDefault="009F230E" w:rsidP="009F230E">
      <w:pPr>
        <w:spacing w:line="360" w:lineRule="auto"/>
        <w:jc w:val="both"/>
        <w:rPr>
          <w:rFonts w:ascii="Arial" w:hAnsi="Arial" w:cs="Arial"/>
          <w:b/>
          <w:sz w:val="22"/>
          <w:szCs w:val="22"/>
          <w:lang w:val="en-US"/>
        </w:rPr>
      </w:pPr>
    </w:p>
    <w:p w:rsidR="009F230E" w:rsidRPr="009F230E" w:rsidRDefault="009F230E" w:rsidP="009F230E">
      <w:pPr>
        <w:spacing w:line="360" w:lineRule="auto"/>
        <w:jc w:val="both"/>
        <w:rPr>
          <w:rFonts w:ascii="Arial" w:hAnsi="Arial" w:cs="Arial"/>
          <w:sz w:val="22"/>
          <w:szCs w:val="22"/>
          <w:lang w:val="en-US"/>
        </w:rPr>
      </w:pPr>
      <w:r w:rsidRPr="009F230E">
        <w:rPr>
          <w:rFonts w:ascii="Arial" w:hAnsi="Arial" w:cs="Arial"/>
          <w:b/>
          <w:sz w:val="22"/>
          <w:szCs w:val="22"/>
          <w:lang w:val="en-US"/>
        </w:rPr>
        <w:t xml:space="preserve">Table 1 </w:t>
      </w:r>
      <w:r w:rsidRPr="009F230E">
        <w:rPr>
          <w:rFonts w:ascii="Arial" w:hAnsi="Arial" w:cs="Arial"/>
          <w:sz w:val="22"/>
          <w:szCs w:val="22"/>
          <w:lang w:val="en-US"/>
        </w:rPr>
        <w:t>2010 Road transport fuel consumption by fuel type and state</w:t>
      </w:r>
      <w:r w:rsidR="00EC2256">
        <w:rPr>
          <w:rFonts w:ascii="Arial" w:hAnsi="Arial" w:cs="Arial"/>
          <w:sz w:val="22"/>
          <w:szCs w:val="22"/>
          <w:lang w:val="en-US"/>
        </w:rPr>
        <w:t>/territory</w:t>
      </w:r>
      <w:r w:rsidRPr="009F230E">
        <w:rPr>
          <w:rFonts w:ascii="Arial" w:hAnsi="Arial" w:cs="Arial"/>
          <w:sz w:val="22"/>
          <w:szCs w:val="22"/>
          <w:lang w:val="en-US"/>
        </w:rPr>
        <w:t xml:space="preserve"> (</w:t>
      </w:r>
      <w:proofErr w:type="spellStart"/>
      <w:r w:rsidRPr="009F230E">
        <w:rPr>
          <w:rFonts w:ascii="Arial" w:hAnsi="Arial" w:cs="Arial"/>
          <w:sz w:val="22"/>
          <w:szCs w:val="22"/>
          <w:lang w:val="en-US"/>
        </w:rPr>
        <w:t>tonne</w:t>
      </w:r>
      <w:proofErr w:type="spellEnd"/>
      <w:r w:rsidRPr="009F230E">
        <w:rPr>
          <w:rFonts w:ascii="Arial" w:hAnsi="Arial" w:cs="Arial"/>
          <w:sz w:val="22"/>
          <w:szCs w:val="22"/>
          <w:lang w:val="en-US"/>
        </w:rPr>
        <w:t xml:space="preserve">/year) </w:t>
      </w:r>
    </w:p>
    <w:tbl>
      <w:tblPr>
        <w:tblW w:w="12185" w:type="dxa"/>
        <w:tblInd w:w="83" w:type="dxa"/>
        <w:tblLook w:val="04A0"/>
      </w:tblPr>
      <w:tblGrid>
        <w:gridCol w:w="1304"/>
        <w:gridCol w:w="1195"/>
        <w:gridCol w:w="1195"/>
        <w:gridCol w:w="1195"/>
        <w:gridCol w:w="1195"/>
        <w:gridCol w:w="1195"/>
        <w:gridCol w:w="1196"/>
        <w:gridCol w:w="1196"/>
        <w:gridCol w:w="1196"/>
        <w:gridCol w:w="1318"/>
      </w:tblGrid>
      <w:tr w:rsidR="009F230E" w:rsidRPr="009F230E" w:rsidTr="009F230E">
        <w:trPr>
          <w:trHeight w:val="255"/>
        </w:trPr>
        <w:tc>
          <w:tcPr>
            <w:tcW w:w="13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Fuel type</w:t>
            </w:r>
          </w:p>
        </w:tc>
        <w:tc>
          <w:tcPr>
            <w:tcW w:w="1195"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NSW</w:t>
            </w:r>
          </w:p>
        </w:tc>
        <w:tc>
          <w:tcPr>
            <w:tcW w:w="1195"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VIC</w:t>
            </w:r>
          </w:p>
        </w:tc>
        <w:tc>
          <w:tcPr>
            <w:tcW w:w="1195"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QLD</w:t>
            </w:r>
          </w:p>
        </w:tc>
        <w:tc>
          <w:tcPr>
            <w:tcW w:w="1195"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SA</w:t>
            </w:r>
          </w:p>
        </w:tc>
        <w:tc>
          <w:tcPr>
            <w:tcW w:w="1195"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WA</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TAS</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NT</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ACT</w:t>
            </w:r>
          </w:p>
        </w:tc>
        <w:tc>
          <w:tcPr>
            <w:tcW w:w="1318"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AUS</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ULP</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2,419,103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3,153,655</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1,661,743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822,343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1,207,740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248,682</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80,967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129,198</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9,714,415</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PULP</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558,837</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298,202</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255,145</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64,594</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171,230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39,668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15,393</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29,846</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1,441,931</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Diesel</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2,326,554</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2,347,521</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2,290,490</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601,348</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1,329,340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209,675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137,547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56,193</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9,298,667</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LPG</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284,688</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472,015</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101,474</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122,340</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89,360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6,718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3,608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31,707</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1,111,910</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CNG</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17,451</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1,163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8,726</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12,798</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5,817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45,955</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Biodiesel</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22,157</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5,539</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7,386</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12,002</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17,541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923</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65,547</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E10</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1,231,970</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98,863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665,122</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13</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65,796</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2,061,764</w:t>
            </w:r>
          </w:p>
        </w:tc>
      </w:tr>
      <w:tr w:rsidR="009F230E" w:rsidRPr="009F230E" w:rsidTr="009F230E">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Total</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6,860,760</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6,376,959</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4,990,085</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1,635,437</w:t>
            </w:r>
          </w:p>
        </w:tc>
        <w:tc>
          <w:tcPr>
            <w:tcW w:w="1195"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2,821,028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504,743</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238,438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312,740</w:t>
            </w:r>
          </w:p>
        </w:tc>
        <w:tc>
          <w:tcPr>
            <w:tcW w:w="1318"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23,740,189</w:t>
            </w:r>
          </w:p>
        </w:tc>
      </w:tr>
    </w:tbl>
    <w:p w:rsidR="009F230E" w:rsidRPr="009F230E" w:rsidRDefault="009F230E" w:rsidP="009F230E">
      <w:pPr>
        <w:spacing w:before="120"/>
        <w:jc w:val="both"/>
        <w:rPr>
          <w:rFonts w:ascii="Arial" w:hAnsi="Arial" w:cs="Arial"/>
          <w:i/>
          <w:sz w:val="22"/>
          <w:szCs w:val="22"/>
        </w:rPr>
      </w:pPr>
      <w:r w:rsidRPr="009F230E">
        <w:rPr>
          <w:rFonts w:ascii="Arial" w:hAnsi="Arial" w:cs="Arial"/>
          <w:i/>
          <w:sz w:val="22"/>
          <w:szCs w:val="22"/>
          <w:lang w:val="en-US"/>
        </w:rPr>
        <w:t>(Source: TER, 2014)</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lang w:val="en-US"/>
        </w:rPr>
      </w:pPr>
      <w:r w:rsidRPr="009F230E">
        <w:rPr>
          <w:rFonts w:ascii="Arial" w:hAnsi="Arial" w:cs="Arial"/>
          <w:b/>
          <w:sz w:val="22"/>
          <w:szCs w:val="22"/>
          <w:lang w:val="en-US"/>
        </w:rPr>
        <w:t xml:space="preserve">Table 2 </w:t>
      </w:r>
      <w:r w:rsidRPr="009F230E">
        <w:rPr>
          <w:rFonts w:ascii="Arial" w:hAnsi="Arial" w:cs="Arial"/>
          <w:sz w:val="22"/>
          <w:szCs w:val="22"/>
          <w:lang w:val="en-US"/>
        </w:rPr>
        <w:t>2010 Road transport fuel consumption by fuel type and state</w:t>
      </w:r>
      <w:r w:rsidR="00EC2256">
        <w:rPr>
          <w:rFonts w:ascii="Arial" w:hAnsi="Arial" w:cs="Arial"/>
          <w:sz w:val="22"/>
          <w:szCs w:val="22"/>
          <w:lang w:val="en-US"/>
        </w:rPr>
        <w:t>/territory</w:t>
      </w:r>
      <w:r w:rsidRPr="009F230E">
        <w:rPr>
          <w:rFonts w:ascii="Arial" w:hAnsi="Arial" w:cs="Arial"/>
          <w:sz w:val="22"/>
          <w:szCs w:val="22"/>
          <w:lang w:val="en-US"/>
        </w:rPr>
        <w:t xml:space="preserve"> (million </w:t>
      </w:r>
      <w:proofErr w:type="spellStart"/>
      <w:r w:rsidRPr="009F230E">
        <w:rPr>
          <w:rFonts w:ascii="Arial" w:hAnsi="Arial" w:cs="Arial"/>
          <w:sz w:val="22"/>
          <w:szCs w:val="22"/>
          <w:lang w:val="en-US"/>
        </w:rPr>
        <w:t>litr</w:t>
      </w:r>
      <w:r w:rsidR="00EC2256">
        <w:rPr>
          <w:rFonts w:ascii="Arial" w:hAnsi="Arial" w:cs="Arial"/>
          <w:sz w:val="22"/>
          <w:szCs w:val="22"/>
          <w:lang w:val="en-US"/>
        </w:rPr>
        <w:t>e</w:t>
      </w:r>
      <w:r w:rsidRPr="009F230E">
        <w:rPr>
          <w:rFonts w:ascii="Arial" w:hAnsi="Arial" w:cs="Arial"/>
          <w:sz w:val="22"/>
          <w:szCs w:val="22"/>
          <w:lang w:val="en-US"/>
        </w:rPr>
        <w:t>s</w:t>
      </w:r>
      <w:proofErr w:type="spellEnd"/>
      <w:r w:rsidRPr="009F230E">
        <w:rPr>
          <w:rFonts w:ascii="Arial" w:hAnsi="Arial" w:cs="Arial"/>
          <w:sz w:val="22"/>
          <w:szCs w:val="22"/>
          <w:lang w:val="en-US"/>
        </w:rPr>
        <w:t xml:space="preserve">/year) </w:t>
      </w:r>
    </w:p>
    <w:tbl>
      <w:tblPr>
        <w:tblW w:w="12011" w:type="dxa"/>
        <w:tblInd w:w="103" w:type="dxa"/>
        <w:tblLook w:val="04A0"/>
      </w:tblPr>
      <w:tblGrid>
        <w:gridCol w:w="1247"/>
        <w:gridCol w:w="1196"/>
        <w:gridCol w:w="1196"/>
        <w:gridCol w:w="1196"/>
        <w:gridCol w:w="1196"/>
        <w:gridCol w:w="1196"/>
        <w:gridCol w:w="1196"/>
        <w:gridCol w:w="1196"/>
        <w:gridCol w:w="1196"/>
        <w:gridCol w:w="1196"/>
      </w:tblGrid>
      <w:tr w:rsidR="009F230E" w:rsidRPr="009F230E" w:rsidTr="009F230E">
        <w:trPr>
          <w:trHeight w:val="255"/>
        </w:trPr>
        <w:tc>
          <w:tcPr>
            <w:tcW w:w="124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Fuel type</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NSW</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VIC</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QLD</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SA</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WA</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TAS</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NT</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ACT</w:t>
            </w:r>
          </w:p>
        </w:tc>
        <w:tc>
          <w:tcPr>
            <w:tcW w:w="1196" w:type="dxa"/>
            <w:tcBorders>
              <w:top w:val="single" w:sz="4" w:space="0" w:color="auto"/>
              <w:left w:val="nil"/>
              <w:bottom w:val="single" w:sz="4" w:space="0" w:color="auto"/>
              <w:right w:val="single" w:sz="4" w:space="0" w:color="auto"/>
            </w:tcBorders>
            <w:shd w:val="clear" w:color="000000" w:fill="D9D9D9"/>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AUS</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ULP</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3,314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4,320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2,276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1,126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1,654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341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111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177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13,307</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PULP</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766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408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350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235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41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1,975</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Diesel</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2,774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2,799</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2,731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717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1,585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250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164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11,087</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LPG</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527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874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188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227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165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12</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59</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2,059</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CNG</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109</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55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36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287</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Biodiesel</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74</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E10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1,675</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134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904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89</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2,803</w:t>
            </w:r>
          </w:p>
        </w:tc>
      </w:tr>
      <w:tr w:rsidR="009F230E" w:rsidRPr="009F230E" w:rsidTr="009F230E">
        <w:trPr>
          <w:trHeight w:val="25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sz w:val="22"/>
                <w:szCs w:val="22"/>
              </w:rPr>
            </w:pPr>
            <w:r w:rsidRPr="009F230E">
              <w:rPr>
                <w:rFonts w:ascii="Arial" w:hAnsi="Arial" w:cs="Arial"/>
                <w:sz w:val="22"/>
                <w:szCs w:val="22"/>
              </w:rPr>
              <w:t>Total</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9,190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8,550</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6,512</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2,252</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3,696</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657</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304</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433</w:t>
            </w:r>
          </w:p>
        </w:tc>
        <w:tc>
          <w:tcPr>
            <w:tcW w:w="1196" w:type="dxa"/>
            <w:tcBorders>
              <w:top w:val="nil"/>
              <w:left w:val="nil"/>
              <w:bottom w:val="single" w:sz="4" w:space="0" w:color="auto"/>
              <w:right w:val="single" w:sz="4" w:space="0" w:color="auto"/>
            </w:tcBorders>
            <w:shd w:val="clear" w:color="auto" w:fill="auto"/>
            <w:noWrap/>
            <w:vAlign w:val="bottom"/>
            <w:hideMark/>
          </w:tcPr>
          <w:p w:rsidR="009F230E" w:rsidRPr="009F230E" w:rsidRDefault="009F230E" w:rsidP="009F230E">
            <w:pPr>
              <w:jc w:val="both"/>
              <w:rPr>
                <w:rFonts w:ascii="Arial" w:hAnsi="Arial" w:cs="Arial"/>
                <w:b/>
                <w:bCs/>
                <w:sz w:val="22"/>
                <w:szCs w:val="22"/>
              </w:rPr>
            </w:pPr>
            <w:r w:rsidRPr="009F230E">
              <w:rPr>
                <w:rFonts w:ascii="Arial" w:hAnsi="Arial" w:cs="Arial"/>
                <w:b/>
                <w:bCs/>
                <w:sz w:val="22"/>
                <w:szCs w:val="22"/>
              </w:rPr>
              <w:t>31,593</w:t>
            </w:r>
          </w:p>
        </w:tc>
      </w:tr>
    </w:tbl>
    <w:p w:rsidR="009F230E" w:rsidRPr="009F230E" w:rsidRDefault="009F230E" w:rsidP="009F230E">
      <w:pPr>
        <w:spacing w:before="120" w:line="360" w:lineRule="auto"/>
        <w:jc w:val="both"/>
        <w:rPr>
          <w:rFonts w:ascii="Arial" w:hAnsi="Arial" w:cs="Arial"/>
          <w:i/>
          <w:sz w:val="22"/>
          <w:szCs w:val="22"/>
        </w:rPr>
      </w:pPr>
      <w:r w:rsidRPr="009F230E">
        <w:rPr>
          <w:rFonts w:ascii="Arial" w:hAnsi="Arial" w:cs="Arial"/>
          <w:i/>
          <w:sz w:val="22"/>
          <w:szCs w:val="22"/>
          <w:lang w:val="en-US"/>
        </w:rPr>
        <w:t>(Source: TER, 2014)</w:t>
      </w:r>
    </w:p>
    <w:p w:rsidR="009F230E" w:rsidRDefault="009F230E" w:rsidP="009F230E">
      <w:pPr>
        <w:spacing w:line="360" w:lineRule="auto"/>
        <w:jc w:val="both"/>
        <w:rPr>
          <w:rFonts w:ascii="Arial" w:hAnsi="Arial" w:cs="Arial"/>
          <w:sz w:val="22"/>
          <w:szCs w:val="22"/>
        </w:rPr>
      </w:pPr>
    </w:p>
    <w:p w:rsidR="009F230E" w:rsidRDefault="009F230E">
      <w:pPr>
        <w:rPr>
          <w:rFonts w:ascii="Arial" w:hAnsi="Arial" w:cs="Arial"/>
          <w:sz w:val="22"/>
          <w:szCs w:val="22"/>
        </w:rPr>
        <w:sectPr w:rsidR="009F230E" w:rsidSect="009F230E">
          <w:pgSz w:w="16840" w:h="11907" w:orient="landscape" w:code="9"/>
          <w:pgMar w:top="1418" w:right="1276" w:bottom="1275" w:left="1134" w:header="284" w:footer="567" w:gutter="0"/>
          <w:cols w:space="720"/>
          <w:docGrid w:linePitch="360"/>
        </w:sect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lastRenderedPageBreak/>
        <w:t>Fuel use data reported by the three agencies (SMVU, DRET and BREE) can differ substantially. For example, DRET and BREE data include diesel that is not used by road transport. The differences are clearly observed for the states where mining activity is significant, i.e. Queensland and Western Australia</w:t>
      </w:r>
      <w:r w:rsidR="007B5B91">
        <w:rPr>
          <w:rFonts w:ascii="Arial" w:hAnsi="Arial" w:cs="Arial"/>
          <w:sz w:val="22"/>
          <w:szCs w:val="22"/>
        </w:rPr>
        <w:t xml:space="preserve"> (WA)</w:t>
      </w:r>
      <w:r w:rsidRPr="009F230E">
        <w:rPr>
          <w:rFonts w:ascii="Arial" w:hAnsi="Arial" w:cs="Arial"/>
          <w:sz w:val="22"/>
          <w:szCs w:val="22"/>
        </w:rPr>
        <w:t xml:space="preserve">. Total SMVU diesel use for Queensland and </w:t>
      </w:r>
      <w:r w:rsidR="007B5B91">
        <w:rPr>
          <w:rFonts w:ascii="Arial" w:hAnsi="Arial" w:cs="Arial"/>
          <w:sz w:val="22"/>
          <w:szCs w:val="22"/>
        </w:rPr>
        <w:t>WA</w:t>
      </w:r>
      <w:r w:rsidRPr="009F230E">
        <w:rPr>
          <w:rFonts w:ascii="Arial" w:hAnsi="Arial" w:cs="Arial"/>
          <w:sz w:val="22"/>
          <w:szCs w:val="22"/>
        </w:rPr>
        <w:t xml:space="preserve"> are around 50% and 35%, respectively, of total diesel use reported by the Australian Energy Statistics. Although there are specific issues that affect estimates for total fuel consumption in each state and territory (e.g. </w:t>
      </w:r>
      <w:proofErr w:type="spellStart"/>
      <w:r w:rsidRPr="009F230E">
        <w:rPr>
          <w:rFonts w:ascii="Arial" w:hAnsi="Arial" w:cs="Arial"/>
          <w:sz w:val="22"/>
          <w:szCs w:val="22"/>
        </w:rPr>
        <w:t>Skutenko</w:t>
      </w:r>
      <w:proofErr w:type="spellEnd"/>
      <w:r w:rsidRPr="009F230E">
        <w:rPr>
          <w:rFonts w:ascii="Arial" w:hAnsi="Arial" w:cs="Arial"/>
          <w:sz w:val="22"/>
          <w:szCs w:val="22"/>
        </w:rPr>
        <w:t xml:space="preserve">, Cosgrove and Mitchell, 2006), the fuel consumption estimates in Table 1 and 2 are expected to be reasonably accurate. </w:t>
      </w:r>
      <w:r w:rsidR="007B5B91">
        <w:rPr>
          <w:rFonts w:ascii="Arial" w:hAnsi="Arial" w:cs="Arial"/>
          <w:sz w:val="22"/>
          <w:szCs w:val="22"/>
        </w:rPr>
        <w:t xml:space="preserve">Litres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Table 1 and 2 show that the Australian on-road fleet use mainly petrol fuel (including E10), and that there are significant differences in the fuel mix at state level:</w:t>
      </w:r>
    </w:p>
    <w:p w:rsidR="009F230E" w:rsidRPr="009F230E" w:rsidRDefault="009F230E" w:rsidP="009F230E">
      <w:pPr>
        <w:jc w:val="both"/>
        <w:rPr>
          <w:rFonts w:ascii="Arial" w:hAnsi="Arial" w:cs="Arial"/>
          <w:sz w:val="22"/>
          <w:szCs w:val="22"/>
        </w:rPr>
      </w:pPr>
    </w:p>
    <w:p w:rsidR="009F230E" w:rsidRPr="009F230E" w:rsidRDefault="009F230E" w:rsidP="009F230E">
      <w:pPr>
        <w:numPr>
          <w:ilvl w:val="0"/>
          <w:numId w:val="37"/>
        </w:numPr>
        <w:spacing w:line="360" w:lineRule="auto"/>
        <w:ind w:left="567" w:hanging="567"/>
        <w:jc w:val="both"/>
        <w:rPr>
          <w:rFonts w:ascii="Arial" w:hAnsi="Arial" w:cs="Arial"/>
          <w:sz w:val="22"/>
          <w:szCs w:val="22"/>
        </w:rPr>
      </w:pPr>
      <w:r w:rsidRPr="009F230E">
        <w:rPr>
          <w:rFonts w:ascii="Arial" w:hAnsi="Arial" w:cs="Arial"/>
          <w:sz w:val="22"/>
          <w:szCs w:val="22"/>
        </w:rPr>
        <w:t>E10 is predominantly used in light-duty vehicles and only used significantly as a transport fuel</w:t>
      </w:r>
      <w:r w:rsidRPr="009F230E">
        <w:rPr>
          <w:rFonts w:ascii="Arial" w:hAnsi="Arial" w:cs="Arial"/>
          <w:sz w:val="22"/>
          <w:szCs w:val="22"/>
          <w:vertAlign w:val="superscript"/>
        </w:rPr>
        <w:footnoteReference w:id="2"/>
      </w:r>
      <w:r w:rsidRPr="009F230E">
        <w:rPr>
          <w:rFonts w:ascii="Arial" w:hAnsi="Arial" w:cs="Arial"/>
          <w:sz w:val="22"/>
          <w:szCs w:val="22"/>
        </w:rPr>
        <w:t xml:space="preserve"> in NSW, ACT and Queensland</w:t>
      </w:r>
      <w:r w:rsidRPr="009F230E">
        <w:rPr>
          <w:rFonts w:ascii="Arial" w:hAnsi="Arial" w:cs="Arial"/>
          <w:sz w:val="22"/>
          <w:szCs w:val="22"/>
          <w:vertAlign w:val="superscript"/>
        </w:rPr>
        <w:footnoteReference w:id="3"/>
      </w:r>
      <w:r w:rsidRPr="009F230E">
        <w:rPr>
          <w:rFonts w:ascii="Arial" w:hAnsi="Arial" w:cs="Arial"/>
          <w:sz w:val="22"/>
          <w:szCs w:val="22"/>
        </w:rPr>
        <w:t xml:space="preserve">. </w:t>
      </w:r>
    </w:p>
    <w:p w:rsidR="009F230E" w:rsidRPr="009F230E" w:rsidRDefault="009F230E" w:rsidP="009F230E">
      <w:pPr>
        <w:numPr>
          <w:ilvl w:val="0"/>
          <w:numId w:val="37"/>
        </w:numPr>
        <w:spacing w:line="360" w:lineRule="auto"/>
        <w:ind w:left="567" w:hanging="567"/>
        <w:jc w:val="both"/>
        <w:rPr>
          <w:rFonts w:ascii="Arial" w:hAnsi="Arial" w:cs="Arial"/>
          <w:sz w:val="22"/>
          <w:szCs w:val="22"/>
        </w:rPr>
      </w:pPr>
      <w:r w:rsidRPr="009F230E">
        <w:rPr>
          <w:rFonts w:ascii="Arial" w:hAnsi="Arial" w:cs="Arial"/>
          <w:sz w:val="22"/>
          <w:szCs w:val="22"/>
        </w:rPr>
        <w:t xml:space="preserve">Diesel fuelled vehicles typically consume about one third </w:t>
      </w:r>
      <w:r w:rsidR="0024102A" w:rsidRPr="009F230E">
        <w:rPr>
          <w:rFonts w:ascii="Arial" w:hAnsi="Arial" w:cs="Arial"/>
          <w:sz w:val="22"/>
          <w:szCs w:val="22"/>
        </w:rPr>
        <w:t>of</w:t>
      </w:r>
      <w:r w:rsidRPr="009F230E">
        <w:rPr>
          <w:rFonts w:ascii="Arial" w:hAnsi="Arial" w:cs="Arial"/>
          <w:sz w:val="22"/>
          <w:szCs w:val="22"/>
        </w:rPr>
        <w:t xml:space="preserve"> total fuel (</w:t>
      </w:r>
      <w:r w:rsidR="007B5B91">
        <w:rPr>
          <w:rFonts w:ascii="Arial" w:hAnsi="Arial" w:cs="Arial"/>
          <w:sz w:val="22"/>
          <w:szCs w:val="22"/>
        </w:rPr>
        <w:t>litres</w:t>
      </w:r>
      <w:r w:rsidRPr="009F230E">
        <w:rPr>
          <w:rFonts w:ascii="Arial" w:hAnsi="Arial" w:cs="Arial"/>
          <w:sz w:val="22"/>
          <w:szCs w:val="22"/>
        </w:rPr>
        <w:t>), but a few states and territories have a higher proportion of diesel fuel use (WA, Queensland and the Northern Territory</w:t>
      </w:r>
      <w:r w:rsidR="007B5B91">
        <w:rPr>
          <w:rFonts w:ascii="Arial" w:hAnsi="Arial" w:cs="Arial"/>
          <w:sz w:val="22"/>
          <w:szCs w:val="22"/>
        </w:rPr>
        <w:t xml:space="preserve"> (NT)</w:t>
      </w:r>
      <w:r w:rsidRPr="009F230E">
        <w:rPr>
          <w:rFonts w:ascii="Arial" w:hAnsi="Arial" w:cs="Arial"/>
          <w:sz w:val="22"/>
          <w:szCs w:val="22"/>
        </w:rPr>
        <w:t>) up to about 55% of total fuel use.</w:t>
      </w:r>
    </w:p>
    <w:p w:rsidR="009F230E" w:rsidRPr="009F230E" w:rsidRDefault="009F230E" w:rsidP="009F230E">
      <w:pPr>
        <w:numPr>
          <w:ilvl w:val="0"/>
          <w:numId w:val="37"/>
        </w:numPr>
        <w:spacing w:line="360" w:lineRule="auto"/>
        <w:ind w:left="567" w:hanging="567"/>
        <w:jc w:val="both"/>
        <w:rPr>
          <w:rFonts w:ascii="Arial" w:hAnsi="Arial" w:cs="Arial"/>
          <w:sz w:val="22"/>
          <w:szCs w:val="22"/>
        </w:rPr>
      </w:pPr>
      <w:r w:rsidRPr="009F230E">
        <w:rPr>
          <w:rFonts w:ascii="Arial" w:hAnsi="Arial" w:cs="Arial"/>
          <w:sz w:val="22"/>
          <w:szCs w:val="22"/>
        </w:rPr>
        <w:t>Road transport in Victoria, South Australia</w:t>
      </w:r>
      <w:r w:rsidR="007B5B91">
        <w:rPr>
          <w:rFonts w:ascii="Arial" w:hAnsi="Arial" w:cs="Arial"/>
          <w:sz w:val="22"/>
          <w:szCs w:val="22"/>
        </w:rPr>
        <w:t xml:space="preserve"> (SA)</w:t>
      </w:r>
      <w:r w:rsidRPr="009F230E">
        <w:rPr>
          <w:rFonts w:ascii="Arial" w:hAnsi="Arial" w:cs="Arial"/>
          <w:sz w:val="22"/>
          <w:szCs w:val="22"/>
        </w:rPr>
        <w:t xml:space="preserve"> and </w:t>
      </w:r>
      <w:r w:rsidR="007B5B91">
        <w:rPr>
          <w:rFonts w:ascii="Arial" w:hAnsi="Arial" w:cs="Arial"/>
          <w:sz w:val="22"/>
          <w:szCs w:val="22"/>
        </w:rPr>
        <w:t xml:space="preserve">the </w:t>
      </w:r>
      <w:r w:rsidRPr="009F230E">
        <w:rPr>
          <w:rFonts w:ascii="Arial" w:hAnsi="Arial" w:cs="Arial"/>
          <w:sz w:val="22"/>
          <w:szCs w:val="22"/>
        </w:rPr>
        <w:t>ACT consume a substantial amount of LPG, up to about 15%, whereas some other states and territories hardly use LPG as a transport fuel.</w:t>
      </w:r>
    </w:p>
    <w:p w:rsidR="009F230E" w:rsidRPr="009F230E" w:rsidRDefault="009F230E" w:rsidP="009F230E">
      <w:pPr>
        <w:numPr>
          <w:ilvl w:val="0"/>
          <w:numId w:val="37"/>
        </w:numPr>
        <w:spacing w:line="360" w:lineRule="auto"/>
        <w:ind w:left="567" w:hanging="567"/>
        <w:jc w:val="both"/>
        <w:rPr>
          <w:rFonts w:ascii="Arial" w:hAnsi="Arial" w:cs="Arial"/>
          <w:sz w:val="22"/>
          <w:szCs w:val="22"/>
        </w:rPr>
      </w:pPr>
      <w:r w:rsidRPr="009F230E">
        <w:rPr>
          <w:rFonts w:ascii="Arial" w:hAnsi="Arial" w:cs="Arial"/>
          <w:sz w:val="22"/>
          <w:szCs w:val="22"/>
        </w:rPr>
        <w:t>CNG</w:t>
      </w:r>
      <w:r w:rsidRPr="009F230E">
        <w:rPr>
          <w:rFonts w:ascii="Arial" w:hAnsi="Arial" w:cs="Arial"/>
          <w:sz w:val="22"/>
          <w:szCs w:val="22"/>
          <w:vertAlign w:val="superscript"/>
        </w:rPr>
        <w:footnoteReference w:id="4"/>
      </w:r>
      <w:r w:rsidRPr="009F230E">
        <w:rPr>
          <w:rFonts w:ascii="Arial" w:hAnsi="Arial" w:cs="Arial"/>
          <w:sz w:val="22"/>
          <w:szCs w:val="22"/>
        </w:rPr>
        <w:t xml:space="preserve"> and biodiesel</w:t>
      </w:r>
      <w:r w:rsidRPr="009F230E">
        <w:rPr>
          <w:rFonts w:ascii="Arial" w:hAnsi="Arial" w:cs="Arial"/>
          <w:sz w:val="22"/>
          <w:szCs w:val="22"/>
          <w:vertAlign w:val="superscript"/>
        </w:rPr>
        <w:footnoteReference w:id="5"/>
      </w:r>
      <w:r w:rsidRPr="009F230E">
        <w:rPr>
          <w:rFonts w:ascii="Arial" w:hAnsi="Arial" w:cs="Arial"/>
          <w:sz w:val="22"/>
          <w:szCs w:val="22"/>
        </w:rPr>
        <w:t xml:space="preserve"> are not used significantly in Australian road transport, but they are included in the NMVEI. </w:t>
      </w:r>
    </w:p>
    <w:p w:rsidR="009F230E" w:rsidRPr="009F230E" w:rsidRDefault="009F230E" w:rsidP="009F230E">
      <w:pPr>
        <w:spacing w:line="360" w:lineRule="auto"/>
        <w:jc w:val="both"/>
        <w:rPr>
          <w:rFonts w:ascii="Arial" w:hAnsi="Arial" w:cs="Arial"/>
          <w:sz w:val="22"/>
          <w:szCs w:val="22"/>
          <w:u w:val="single"/>
        </w:rPr>
      </w:pPr>
    </w:p>
    <w:p w:rsidR="00DB5760" w:rsidRDefault="00DB5760">
      <w:pPr>
        <w:rPr>
          <w:rFonts w:ascii="Arial" w:hAnsi="Arial" w:cs="Arial"/>
          <w:b/>
          <w:sz w:val="22"/>
          <w:szCs w:val="22"/>
        </w:rPr>
      </w:pPr>
      <w:r>
        <w:rPr>
          <w:rFonts w:ascii="Arial" w:hAnsi="Arial" w:cs="Arial"/>
          <w:b/>
          <w:sz w:val="22"/>
          <w:szCs w:val="22"/>
        </w:rPr>
        <w:br w:type="page"/>
      </w:r>
    </w:p>
    <w:p w:rsidR="009F230E" w:rsidRPr="009F230E" w:rsidRDefault="009F230E" w:rsidP="009F230E">
      <w:pPr>
        <w:spacing w:line="360" w:lineRule="auto"/>
        <w:jc w:val="both"/>
        <w:rPr>
          <w:rFonts w:ascii="Arial" w:hAnsi="Arial" w:cs="Arial"/>
          <w:b/>
          <w:sz w:val="22"/>
          <w:szCs w:val="22"/>
        </w:rPr>
      </w:pPr>
      <w:r w:rsidRPr="009F230E">
        <w:rPr>
          <w:rFonts w:ascii="Arial" w:hAnsi="Arial" w:cs="Arial"/>
          <w:b/>
          <w:sz w:val="22"/>
          <w:szCs w:val="22"/>
        </w:rPr>
        <w:lastRenderedPageBreak/>
        <w:t>Motor vehicle population</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COPERT Australia uses emission factors for 226 vehicle classes. The vehicle classification is shown in Table 3. </w:t>
      </w:r>
    </w:p>
    <w:p w:rsidR="009F230E" w:rsidRPr="009F230E" w:rsidRDefault="009F230E" w:rsidP="009F230E">
      <w:pPr>
        <w:spacing w:line="360" w:lineRule="auto"/>
        <w:jc w:val="both"/>
        <w:rPr>
          <w:rFonts w:ascii="Arial" w:hAnsi="Arial" w:cs="Arial"/>
          <w:sz w:val="22"/>
          <w:szCs w:val="22"/>
        </w:rPr>
      </w:pPr>
    </w:p>
    <w:p w:rsidR="009F230E" w:rsidRPr="00DB5760" w:rsidRDefault="009F230E" w:rsidP="009F230E">
      <w:pPr>
        <w:spacing w:line="360" w:lineRule="auto"/>
        <w:jc w:val="both"/>
        <w:rPr>
          <w:rFonts w:ascii="Arial" w:hAnsi="Arial" w:cs="Arial"/>
          <w:sz w:val="22"/>
          <w:szCs w:val="22"/>
          <w:lang w:val="en-US"/>
        </w:rPr>
      </w:pPr>
      <w:r w:rsidRPr="009F230E">
        <w:rPr>
          <w:rFonts w:ascii="Arial" w:hAnsi="Arial" w:cs="Arial"/>
          <w:b/>
          <w:sz w:val="22"/>
          <w:szCs w:val="22"/>
          <w:lang w:val="en-US"/>
        </w:rPr>
        <w:t xml:space="preserve">Table 3 </w:t>
      </w:r>
      <w:r w:rsidRPr="00DB5760">
        <w:rPr>
          <w:rFonts w:ascii="Arial" w:hAnsi="Arial" w:cs="Arial"/>
          <w:sz w:val="22"/>
          <w:szCs w:val="22"/>
          <w:lang w:val="en-US"/>
        </w:rPr>
        <w:t>COPERT Australia vehicle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665"/>
        <w:gridCol w:w="1531"/>
        <w:gridCol w:w="3231"/>
      </w:tblGrid>
      <w:tr w:rsidR="009F230E" w:rsidRPr="00DB5760" w:rsidTr="00DB5760">
        <w:tc>
          <w:tcPr>
            <w:tcW w:w="1809" w:type="dxa"/>
            <w:shd w:val="pct20" w:color="auto" w:fill="auto"/>
          </w:tcPr>
          <w:p w:rsidR="009F230E" w:rsidRPr="00DB5760" w:rsidRDefault="009F230E" w:rsidP="00DB5760">
            <w:pPr>
              <w:spacing w:line="360" w:lineRule="auto"/>
              <w:jc w:val="both"/>
              <w:rPr>
                <w:rFonts w:ascii="Arial" w:hAnsi="Arial" w:cs="Arial"/>
                <w:b/>
              </w:rPr>
            </w:pPr>
            <w:r w:rsidRPr="00DB5760">
              <w:rPr>
                <w:rFonts w:ascii="Arial" w:hAnsi="Arial" w:cs="Arial"/>
                <w:b/>
              </w:rPr>
              <w:t>Main category</w:t>
            </w:r>
          </w:p>
        </w:tc>
        <w:tc>
          <w:tcPr>
            <w:tcW w:w="2665" w:type="dxa"/>
            <w:shd w:val="pct20" w:color="auto" w:fill="auto"/>
          </w:tcPr>
          <w:p w:rsidR="009F230E" w:rsidRPr="00DB5760" w:rsidRDefault="009F230E" w:rsidP="00DB5760">
            <w:pPr>
              <w:spacing w:line="360" w:lineRule="auto"/>
              <w:jc w:val="both"/>
              <w:rPr>
                <w:rFonts w:ascii="Arial" w:hAnsi="Arial" w:cs="Arial"/>
                <w:b/>
              </w:rPr>
            </w:pPr>
            <w:r w:rsidRPr="00DB5760">
              <w:rPr>
                <w:rFonts w:ascii="Arial" w:hAnsi="Arial" w:cs="Arial"/>
                <w:b/>
              </w:rPr>
              <w:t>Sub category</w:t>
            </w:r>
          </w:p>
        </w:tc>
        <w:tc>
          <w:tcPr>
            <w:tcW w:w="1531" w:type="dxa"/>
            <w:shd w:val="pct20" w:color="auto" w:fill="auto"/>
          </w:tcPr>
          <w:p w:rsidR="009F230E" w:rsidRPr="00DB5760" w:rsidRDefault="009F230E" w:rsidP="00DB5760">
            <w:pPr>
              <w:spacing w:line="360" w:lineRule="auto"/>
              <w:jc w:val="both"/>
              <w:rPr>
                <w:rFonts w:ascii="Arial" w:hAnsi="Arial" w:cs="Arial"/>
                <w:b/>
              </w:rPr>
            </w:pPr>
            <w:r w:rsidRPr="00DB5760">
              <w:rPr>
                <w:rFonts w:ascii="Arial" w:hAnsi="Arial" w:cs="Arial"/>
                <w:b/>
              </w:rPr>
              <w:t>Fuel type</w:t>
            </w:r>
          </w:p>
        </w:tc>
        <w:tc>
          <w:tcPr>
            <w:tcW w:w="3231" w:type="dxa"/>
            <w:shd w:val="pct20" w:color="auto" w:fill="auto"/>
          </w:tcPr>
          <w:p w:rsidR="009F230E" w:rsidRPr="00DB5760" w:rsidRDefault="009F230E" w:rsidP="00DB5760">
            <w:pPr>
              <w:spacing w:line="360" w:lineRule="auto"/>
              <w:jc w:val="both"/>
              <w:rPr>
                <w:rFonts w:ascii="Arial" w:hAnsi="Arial" w:cs="Arial"/>
                <w:b/>
              </w:rPr>
            </w:pPr>
            <w:r w:rsidRPr="00DB5760">
              <w:rPr>
                <w:rFonts w:ascii="Arial" w:hAnsi="Arial" w:cs="Arial"/>
                <w:b/>
              </w:rPr>
              <w:t xml:space="preserve">Emission control standard </w:t>
            </w: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Passenger car</w:t>
            </w:r>
          </w:p>
        </w:tc>
        <w:tc>
          <w:tcPr>
            <w:tcW w:w="2665" w:type="dxa"/>
          </w:tcPr>
          <w:p w:rsidR="009F230E" w:rsidRPr="00DB5760" w:rsidRDefault="009F230E" w:rsidP="00DB5760">
            <w:pPr>
              <w:rPr>
                <w:rFonts w:ascii="Arial" w:hAnsi="Arial" w:cs="Arial"/>
              </w:rPr>
            </w:pPr>
            <w:r w:rsidRPr="00DB5760">
              <w:rPr>
                <w:rFonts w:ascii="Arial" w:hAnsi="Arial" w:cs="Arial"/>
              </w:rPr>
              <w:t>Small (&lt;2.0 l); Medium (2.0-3.0 l); Large (≥ 3.0 l)</w:t>
            </w:r>
          </w:p>
        </w:tc>
        <w:tc>
          <w:tcPr>
            <w:tcW w:w="1531" w:type="dxa"/>
            <w:shd w:val="clear" w:color="auto" w:fill="auto"/>
          </w:tcPr>
          <w:p w:rsidR="009F230E" w:rsidRPr="00DB5760" w:rsidRDefault="009F230E" w:rsidP="00DB5760">
            <w:pPr>
              <w:rPr>
                <w:rFonts w:ascii="Arial" w:hAnsi="Arial" w:cs="Arial"/>
                <w:b/>
              </w:rPr>
            </w:pPr>
            <w:r w:rsidRPr="00DB5760">
              <w:rPr>
                <w:rFonts w:ascii="Arial" w:hAnsi="Arial" w:cs="Arial"/>
              </w:rPr>
              <w:t>Petrol; Diesel; LPG; E10</w:t>
            </w:r>
          </w:p>
        </w:tc>
        <w:tc>
          <w:tcPr>
            <w:tcW w:w="3231" w:type="dxa"/>
            <w:shd w:val="clear" w:color="auto" w:fill="auto"/>
          </w:tcPr>
          <w:p w:rsidR="009F230E" w:rsidRPr="00DB5760" w:rsidRDefault="009F230E" w:rsidP="00DB5760">
            <w:pPr>
              <w:rPr>
                <w:rFonts w:ascii="Arial" w:hAnsi="Arial" w:cs="Arial"/>
                <w:b/>
              </w:rPr>
            </w:pPr>
            <w:r w:rsidRPr="00DB5760">
              <w:rPr>
                <w:rFonts w:ascii="Arial" w:hAnsi="Arial" w:cs="Arial"/>
              </w:rPr>
              <w:t>Uncontrolled; ADR27;ADR37/00-01; ADR79/00-05</w:t>
            </w: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SUV</w:t>
            </w:r>
          </w:p>
        </w:tc>
        <w:tc>
          <w:tcPr>
            <w:tcW w:w="2665" w:type="dxa"/>
          </w:tcPr>
          <w:p w:rsidR="009F230E" w:rsidRPr="00DB5760" w:rsidRDefault="009F230E" w:rsidP="00DB5760">
            <w:pPr>
              <w:rPr>
                <w:rFonts w:ascii="Arial" w:hAnsi="Arial" w:cs="Arial"/>
              </w:rPr>
            </w:pPr>
            <w:r w:rsidRPr="00DB5760">
              <w:rPr>
                <w:rFonts w:ascii="Arial" w:hAnsi="Arial" w:cs="Arial"/>
              </w:rPr>
              <w:t>Compact (</w:t>
            </w:r>
            <w:r w:rsidRPr="00DB5760">
              <w:rPr>
                <w:rFonts w:ascii="Arial" w:hAnsi="Arial" w:cs="Arial"/>
              </w:rPr>
              <w:sym w:font="Symbol" w:char="F0A3"/>
            </w:r>
            <w:r w:rsidRPr="00DB5760">
              <w:rPr>
                <w:rFonts w:ascii="Arial" w:hAnsi="Arial" w:cs="Arial"/>
              </w:rPr>
              <w:t xml:space="preserve"> 4.0 l); Large (&gt; 4.0 l)</w:t>
            </w:r>
          </w:p>
        </w:tc>
        <w:tc>
          <w:tcPr>
            <w:tcW w:w="1531" w:type="dxa"/>
            <w:shd w:val="clear" w:color="auto" w:fill="auto"/>
          </w:tcPr>
          <w:p w:rsidR="009F230E" w:rsidRPr="00DB5760" w:rsidRDefault="009F230E" w:rsidP="00DB5760">
            <w:pPr>
              <w:rPr>
                <w:rFonts w:ascii="Arial" w:hAnsi="Arial" w:cs="Arial"/>
                <w:b/>
              </w:rPr>
            </w:pPr>
            <w:r w:rsidRPr="00DB5760">
              <w:rPr>
                <w:rFonts w:ascii="Arial" w:hAnsi="Arial" w:cs="Arial"/>
              </w:rPr>
              <w:t>Petrol; Diesel; E10</w:t>
            </w:r>
          </w:p>
        </w:tc>
        <w:tc>
          <w:tcPr>
            <w:tcW w:w="3231" w:type="dxa"/>
            <w:shd w:val="clear" w:color="auto" w:fill="auto"/>
          </w:tcPr>
          <w:p w:rsidR="009F230E" w:rsidRPr="00DB5760" w:rsidRDefault="009F230E" w:rsidP="00DB5760">
            <w:pPr>
              <w:rPr>
                <w:rFonts w:ascii="Arial" w:hAnsi="Arial" w:cs="Arial"/>
              </w:rPr>
            </w:pPr>
            <w:r w:rsidRPr="00DB5760">
              <w:rPr>
                <w:rFonts w:ascii="Arial" w:hAnsi="Arial" w:cs="Arial"/>
              </w:rPr>
              <w:t>Similar to PC; +ADR36 (SUV-L); +ADR30; (SUV-Diesel)</w:t>
            </w: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Light Commercial Vehicle (LCV)</w:t>
            </w:r>
          </w:p>
        </w:tc>
        <w:tc>
          <w:tcPr>
            <w:tcW w:w="2665" w:type="dxa"/>
          </w:tcPr>
          <w:p w:rsidR="009F230E" w:rsidRPr="00DB5760" w:rsidRDefault="009F230E" w:rsidP="00DB5760">
            <w:pPr>
              <w:rPr>
                <w:rFonts w:ascii="Arial" w:hAnsi="Arial" w:cs="Arial"/>
              </w:rPr>
            </w:pPr>
            <w:r w:rsidRPr="00DB5760">
              <w:rPr>
                <w:rFonts w:ascii="Arial" w:hAnsi="Arial" w:cs="Arial"/>
              </w:rPr>
              <w:t xml:space="preserve">GVM </w:t>
            </w:r>
            <w:r w:rsidRPr="00DB5760">
              <w:rPr>
                <w:rFonts w:ascii="Arial" w:hAnsi="Arial" w:cs="Arial"/>
              </w:rPr>
              <w:sym w:font="Symbol" w:char="F0A3"/>
            </w:r>
            <w:r w:rsidRPr="00DB5760">
              <w:rPr>
                <w:rFonts w:ascii="Arial" w:hAnsi="Arial" w:cs="Arial"/>
              </w:rPr>
              <w:t xml:space="preserve"> 3.5 t</w:t>
            </w:r>
          </w:p>
        </w:tc>
        <w:tc>
          <w:tcPr>
            <w:tcW w:w="1531" w:type="dxa"/>
            <w:shd w:val="clear" w:color="auto" w:fill="auto"/>
          </w:tcPr>
          <w:p w:rsidR="009F230E" w:rsidRPr="00DB5760" w:rsidRDefault="009F230E" w:rsidP="00DB5760">
            <w:pPr>
              <w:rPr>
                <w:rFonts w:ascii="Arial" w:hAnsi="Arial" w:cs="Arial"/>
                <w:b/>
              </w:rPr>
            </w:pPr>
            <w:r w:rsidRPr="00DB5760">
              <w:rPr>
                <w:rFonts w:ascii="Arial" w:hAnsi="Arial" w:cs="Arial"/>
              </w:rPr>
              <w:t>Petrol; Diesel</w:t>
            </w:r>
          </w:p>
        </w:tc>
        <w:tc>
          <w:tcPr>
            <w:tcW w:w="3231" w:type="dxa"/>
            <w:shd w:val="clear" w:color="auto" w:fill="auto"/>
          </w:tcPr>
          <w:p w:rsidR="009F230E" w:rsidRPr="00DB5760" w:rsidRDefault="009F230E" w:rsidP="00DB5760">
            <w:pPr>
              <w:rPr>
                <w:rFonts w:ascii="Arial" w:hAnsi="Arial" w:cs="Arial"/>
              </w:rPr>
            </w:pPr>
            <w:r w:rsidRPr="00DB5760">
              <w:rPr>
                <w:rFonts w:ascii="Arial" w:hAnsi="Arial" w:cs="Arial"/>
              </w:rPr>
              <w:t>Uncontrolled; ADR36 (P); ADR30 (D); ADR37/00-01; ADR79/00-05</w:t>
            </w: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Heavy Duty Truck</w:t>
            </w:r>
          </w:p>
        </w:tc>
        <w:tc>
          <w:tcPr>
            <w:tcW w:w="2665" w:type="dxa"/>
          </w:tcPr>
          <w:p w:rsidR="009F230E" w:rsidRPr="00DB5760" w:rsidRDefault="009F230E" w:rsidP="00DB5760">
            <w:pPr>
              <w:rPr>
                <w:rFonts w:ascii="Arial" w:hAnsi="Arial" w:cs="Arial"/>
              </w:rPr>
            </w:pPr>
            <w:r w:rsidRPr="00DB5760">
              <w:rPr>
                <w:rFonts w:ascii="Arial" w:hAnsi="Arial" w:cs="Arial"/>
              </w:rPr>
              <w:t>Medium (MCV 3.5-12.0 t); Heavy (HCV 12.0-25.0 t); Articulated (AT &gt; 25 t)</w:t>
            </w:r>
          </w:p>
        </w:tc>
        <w:tc>
          <w:tcPr>
            <w:tcW w:w="1531" w:type="dxa"/>
            <w:shd w:val="clear" w:color="auto" w:fill="auto"/>
          </w:tcPr>
          <w:p w:rsidR="009F230E" w:rsidRPr="00DB5760" w:rsidRDefault="009F230E" w:rsidP="00DB5760">
            <w:pPr>
              <w:rPr>
                <w:rFonts w:ascii="Arial" w:hAnsi="Arial" w:cs="Arial"/>
                <w:b/>
              </w:rPr>
            </w:pPr>
            <w:r w:rsidRPr="00DB5760">
              <w:rPr>
                <w:rFonts w:ascii="Arial" w:hAnsi="Arial" w:cs="Arial"/>
              </w:rPr>
              <w:t>Petrol; Diesel; LPG</w:t>
            </w:r>
          </w:p>
        </w:tc>
        <w:tc>
          <w:tcPr>
            <w:tcW w:w="3231" w:type="dxa"/>
            <w:vMerge w:val="restart"/>
            <w:shd w:val="clear" w:color="auto" w:fill="auto"/>
          </w:tcPr>
          <w:p w:rsidR="009F230E" w:rsidRPr="00DB5760" w:rsidRDefault="009F230E" w:rsidP="00DB5760">
            <w:pPr>
              <w:rPr>
                <w:rFonts w:ascii="Arial" w:hAnsi="Arial" w:cs="Arial"/>
              </w:rPr>
            </w:pPr>
            <w:r w:rsidRPr="00DB5760">
              <w:rPr>
                <w:rFonts w:ascii="Arial" w:hAnsi="Arial" w:cs="Arial"/>
              </w:rPr>
              <w:t>Uncontrolled; ADR30; ADR70; ADR80/00; ADR80/02-05</w:t>
            </w: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Bus</w:t>
            </w:r>
          </w:p>
        </w:tc>
        <w:tc>
          <w:tcPr>
            <w:tcW w:w="2665" w:type="dxa"/>
          </w:tcPr>
          <w:p w:rsidR="009F230E" w:rsidRPr="00DB5760" w:rsidRDefault="009F230E" w:rsidP="00DB5760">
            <w:pPr>
              <w:rPr>
                <w:rFonts w:ascii="Arial" w:hAnsi="Arial" w:cs="Arial"/>
              </w:rPr>
            </w:pPr>
            <w:r w:rsidRPr="00DB5760">
              <w:rPr>
                <w:rFonts w:ascii="Arial" w:hAnsi="Arial" w:cs="Arial"/>
              </w:rPr>
              <w:t>Light bus (</w:t>
            </w:r>
            <w:r w:rsidRPr="00DB5760">
              <w:rPr>
                <w:rFonts w:ascii="Arial" w:hAnsi="Arial" w:cs="Arial"/>
              </w:rPr>
              <w:sym w:font="Symbol" w:char="F0A3"/>
            </w:r>
            <w:r w:rsidRPr="00DB5760">
              <w:rPr>
                <w:rFonts w:ascii="Arial" w:hAnsi="Arial" w:cs="Arial"/>
              </w:rPr>
              <w:t xml:space="preserve"> 8.5 t); </w:t>
            </w:r>
          </w:p>
          <w:p w:rsidR="009F230E" w:rsidRPr="00DB5760" w:rsidRDefault="009F230E" w:rsidP="00DB5760">
            <w:pPr>
              <w:rPr>
                <w:rFonts w:ascii="Arial" w:hAnsi="Arial" w:cs="Arial"/>
              </w:rPr>
            </w:pPr>
            <w:r w:rsidRPr="00DB5760">
              <w:rPr>
                <w:rFonts w:ascii="Arial" w:hAnsi="Arial" w:cs="Arial"/>
              </w:rPr>
              <w:t>Heavy bus(&gt;8.5 t)</w:t>
            </w:r>
          </w:p>
        </w:tc>
        <w:tc>
          <w:tcPr>
            <w:tcW w:w="1531" w:type="dxa"/>
            <w:shd w:val="clear" w:color="auto" w:fill="auto"/>
          </w:tcPr>
          <w:p w:rsidR="009F230E" w:rsidRPr="00DB5760" w:rsidRDefault="009F230E" w:rsidP="00DB5760">
            <w:pPr>
              <w:rPr>
                <w:rFonts w:ascii="Arial" w:hAnsi="Arial" w:cs="Arial"/>
                <w:b/>
              </w:rPr>
            </w:pPr>
            <w:r w:rsidRPr="00DB5760">
              <w:rPr>
                <w:rFonts w:ascii="Arial" w:hAnsi="Arial" w:cs="Arial"/>
              </w:rPr>
              <w:t>Diesel</w:t>
            </w:r>
          </w:p>
        </w:tc>
        <w:tc>
          <w:tcPr>
            <w:tcW w:w="3231" w:type="dxa"/>
            <w:vMerge/>
            <w:shd w:val="clear" w:color="auto" w:fill="auto"/>
          </w:tcPr>
          <w:p w:rsidR="009F230E" w:rsidRPr="00DB5760" w:rsidRDefault="009F230E" w:rsidP="00DB5760">
            <w:pPr>
              <w:rPr>
                <w:rFonts w:ascii="Arial" w:hAnsi="Arial" w:cs="Arial"/>
              </w:rPr>
            </w:pP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Moped</w:t>
            </w:r>
          </w:p>
        </w:tc>
        <w:tc>
          <w:tcPr>
            <w:tcW w:w="2665" w:type="dxa"/>
          </w:tcPr>
          <w:p w:rsidR="009F230E" w:rsidRPr="00DB5760" w:rsidRDefault="009F230E" w:rsidP="00DB5760">
            <w:pPr>
              <w:rPr>
                <w:rFonts w:ascii="Arial" w:hAnsi="Arial" w:cs="Arial"/>
              </w:rPr>
            </w:pPr>
            <w:r w:rsidRPr="00DB5760">
              <w:rPr>
                <w:rFonts w:ascii="Arial" w:hAnsi="Arial" w:cs="Arial"/>
              </w:rPr>
              <w:t>2-stroke; 4 stroke</w:t>
            </w:r>
          </w:p>
        </w:tc>
        <w:tc>
          <w:tcPr>
            <w:tcW w:w="1531" w:type="dxa"/>
            <w:vMerge w:val="restart"/>
            <w:shd w:val="clear" w:color="auto" w:fill="auto"/>
          </w:tcPr>
          <w:p w:rsidR="009F230E" w:rsidRPr="00DB5760" w:rsidRDefault="009F230E" w:rsidP="00DB5760">
            <w:pPr>
              <w:rPr>
                <w:rFonts w:ascii="Arial" w:hAnsi="Arial" w:cs="Arial"/>
                <w:b/>
              </w:rPr>
            </w:pPr>
            <w:r w:rsidRPr="00DB5760">
              <w:rPr>
                <w:rFonts w:ascii="Arial" w:hAnsi="Arial" w:cs="Arial"/>
              </w:rPr>
              <w:t>Petrol</w:t>
            </w:r>
          </w:p>
        </w:tc>
        <w:tc>
          <w:tcPr>
            <w:tcW w:w="3231" w:type="dxa"/>
            <w:vMerge w:val="restart"/>
            <w:shd w:val="clear" w:color="auto" w:fill="auto"/>
          </w:tcPr>
          <w:p w:rsidR="009F230E" w:rsidRPr="00DB5760" w:rsidRDefault="009F230E" w:rsidP="00DB5760">
            <w:pPr>
              <w:rPr>
                <w:rFonts w:ascii="Arial" w:hAnsi="Arial" w:cs="Arial"/>
              </w:rPr>
            </w:pPr>
            <w:r w:rsidRPr="00DB5760">
              <w:rPr>
                <w:rFonts w:ascii="Arial" w:hAnsi="Arial" w:cs="Arial"/>
              </w:rPr>
              <w:t>Conventional; Euro 1-3</w:t>
            </w:r>
          </w:p>
          <w:p w:rsidR="009F230E" w:rsidRPr="00DB5760" w:rsidRDefault="009F230E" w:rsidP="00DB5760">
            <w:pPr>
              <w:rPr>
                <w:rFonts w:ascii="Arial" w:hAnsi="Arial" w:cs="Arial"/>
              </w:rPr>
            </w:pPr>
          </w:p>
        </w:tc>
      </w:tr>
      <w:tr w:rsidR="009F230E" w:rsidRPr="00DB5760" w:rsidTr="00DB5760">
        <w:tc>
          <w:tcPr>
            <w:tcW w:w="1809" w:type="dxa"/>
          </w:tcPr>
          <w:p w:rsidR="009F230E" w:rsidRPr="00DB5760" w:rsidRDefault="009F230E" w:rsidP="00DB5760">
            <w:pPr>
              <w:rPr>
                <w:rFonts w:ascii="Arial" w:hAnsi="Arial" w:cs="Arial"/>
              </w:rPr>
            </w:pPr>
            <w:r w:rsidRPr="00DB5760">
              <w:rPr>
                <w:rFonts w:ascii="Arial" w:hAnsi="Arial" w:cs="Arial"/>
              </w:rPr>
              <w:t>Motorcycle</w:t>
            </w:r>
          </w:p>
        </w:tc>
        <w:tc>
          <w:tcPr>
            <w:tcW w:w="2665" w:type="dxa"/>
          </w:tcPr>
          <w:p w:rsidR="009F230E" w:rsidRPr="00DB5760" w:rsidRDefault="009F230E" w:rsidP="00DB5760">
            <w:pPr>
              <w:rPr>
                <w:rFonts w:ascii="Arial" w:hAnsi="Arial" w:cs="Arial"/>
              </w:rPr>
            </w:pPr>
            <w:r w:rsidRPr="00DB5760">
              <w:rPr>
                <w:rFonts w:ascii="Arial" w:hAnsi="Arial" w:cs="Arial"/>
              </w:rPr>
              <w:t>2-Stroke; 4-S &lt;250 cm</w:t>
            </w:r>
            <w:r w:rsidRPr="00DB5760">
              <w:rPr>
                <w:rFonts w:ascii="Arial" w:hAnsi="Arial" w:cs="Arial"/>
                <w:vertAlign w:val="superscript"/>
              </w:rPr>
              <w:t>3</w:t>
            </w:r>
            <w:r w:rsidRPr="00DB5760">
              <w:rPr>
                <w:rFonts w:ascii="Arial" w:hAnsi="Arial" w:cs="Arial"/>
              </w:rPr>
              <w:t>; 4-S 250-750 cm</w:t>
            </w:r>
            <w:r w:rsidRPr="00DB5760">
              <w:rPr>
                <w:rFonts w:ascii="Arial" w:hAnsi="Arial" w:cs="Arial"/>
                <w:vertAlign w:val="superscript"/>
              </w:rPr>
              <w:t>3</w:t>
            </w:r>
            <w:r w:rsidRPr="00DB5760">
              <w:rPr>
                <w:rFonts w:ascii="Arial" w:hAnsi="Arial" w:cs="Arial"/>
              </w:rPr>
              <w:t>; 4-S ≥750 cm</w:t>
            </w:r>
            <w:r w:rsidRPr="00DB5760">
              <w:rPr>
                <w:rFonts w:ascii="Arial" w:hAnsi="Arial" w:cs="Arial"/>
                <w:vertAlign w:val="superscript"/>
              </w:rPr>
              <w:t>3</w:t>
            </w:r>
          </w:p>
        </w:tc>
        <w:tc>
          <w:tcPr>
            <w:tcW w:w="1531" w:type="dxa"/>
            <w:vMerge/>
            <w:shd w:val="clear" w:color="auto" w:fill="auto"/>
          </w:tcPr>
          <w:p w:rsidR="009F230E" w:rsidRPr="00DB5760" w:rsidRDefault="009F230E" w:rsidP="00DB5760">
            <w:pPr>
              <w:rPr>
                <w:rFonts w:ascii="Arial" w:hAnsi="Arial" w:cs="Arial"/>
                <w:b/>
              </w:rPr>
            </w:pPr>
          </w:p>
        </w:tc>
        <w:tc>
          <w:tcPr>
            <w:tcW w:w="3231" w:type="dxa"/>
            <w:vMerge/>
            <w:shd w:val="clear" w:color="auto" w:fill="auto"/>
          </w:tcPr>
          <w:p w:rsidR="009F230E" w:rsidRPr="00DB5760" w:rsidRDefault="009F230E" w:rsidP="00DB5760">
            <w:pPr>
              <w:rPr>
                <w:rFonts w:ascii="Arial" w:hAnsi="Arial" w:cs="Arial"/>
              </w:rPr>
            </w:pPr>
          </w:p>
        </w:tc>
      </w:tr>
    </w:tbl>
    <w:p w:rsidR="009F230E" w:rsidRPr="00DB5760" w:rsidRDefault="009F230E" w:rsidP="00DB5760">
      <w:pPr>
        <w:spacing w:line="360" w:lineRule="auto"/>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Note that </w:t>
      </w:r>
      <w:r w:rsidR="007B5B91">
        <w:rPr>
          <w:rFonts w:ascii="Arial" w:hAnsi="Arial" w:cs="Arial"/>
          <w:sz w:val="22"/>
          <w:szCs w:val="22"/>
        </w:rPr>
        <w:t xml:space="preserve">(Australian Design Rule) </w:t>
      </w:r>
      <w:r w:rsidR="00BD2DAF">
        <w:rPr>
          <w:rFonts w:ascii="Arial" w:hAnsi="Arial" w:cs="Arial"/>
          <w:sz w:val="22"/>
          <w:szCs w:val="22"/>
        </w:rPr>
        <w:t xml:space="preserve">or </w:t>
      </w:r>
      <w:r w:rsidRPr="009F230E">
        <w:rPr>
          <w:rFonts w:ascii="Arial" w:hAnsi="Arial" w:cs="Arial"/>
          <w:sz w:val="22"/>
          <w:szCs w:val="22"/>
        </w:rPr>
        <w:t xml:space="preserve">ADR emission standard is used as a proxy for ‘emission control technology level’. ADRs are the emission standards adopted in Australia. The COPERT Australia software considers 22 ADR categories, including future ones. ADR categories are defined in terms of a specific range of years of manufacture. For example, ADR37-00 petrol passenger cars are vehicles that were manufactured </w:t>
      </w:r>
      <w:proofErr w:type="gramStart"/>
      <w:r w:rsidRPr="009F230E">
        <w:rPr>
          <w:rFonts w:ascii="Arial" w:hAnsi="Arial" w:cs="Arial"/>
          <w:sz w:val="22"/>
          <w:szCs w:val="22"/>
        </w:rPr>
        <w:t>between 1986</w:t>
      </w:r>
      <w:r w:rsidR="0024102A">
        <w:rPr>
          <w:rFonts w:ascii="Arial" w:hAnsi="Arial" w:cs="Arial"/>
          <w:sz w:val="22"/>
          <w:szCs w:val="22"/>
        </w:rPr>
        <w:t>–</w:t>
      </w:r>
      <w:r w:rsidRPr="009F230E">
        <w:rPr>
          <w:rFonts w:ascii="Arial" w:hAnsi="Arial" w:cs="Arial"/>
          <w:sz w:val="22"/>
          <w:szCs w:val="22"/>
        </w:rPr>
        <w:t>1998</w:t>
      </w:r>
      <w:proofErr w:type="gramEnd"/>
      <w:r w:rsidRPr="009F230E">
        <w:rPr>
          <w:rFonts w:ascii="Arial" w:hAnsi="Arial" w:cs="Arial"/>
          <w:sz w:val="22"/>
          <w:szCs w:val="22"/>
        </w:rPr>
        <w:t>.</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Motor Vehicle Census (MVC) data from the Australian Bureau of Statistics (ABS, 2011b) provides detailed time-series data regarding the number of registered vehicles for each </w:t>
      </w:r>
      <w:r w:rsidR="007B5B91">
        <w:rPr>
          <w:rFonts w:ascii="Arial" w:hAnsi="Arial" w:cs="Arial"/>
          <w:sz w:val="22"/>
          <w:szCs w:val="22"/>
        </w:rPr>
        <w:t>s</w:t>
      </w:r>
      <w:r w:rsidRPr="009F230E">
        <w:rPr>
          <w:rFonts w:ascii="Arial" w:hAnsi="Arial" w:cs="Arial"/>
          <w:sz w:val="22"/>
          <w:szCs w:val="22"/>
        </w:rPr>
        <w:t>tate</w:t>
      </w:r>
      <w:r w:rsidR="007B5B91">
        <w:rPr>
          <w:rFonts w:ascii="Arial" w:hAnsi="Arial" w:cs="Arial"/>
          <w:sz w:val="22"/>
          <w:szCs w:val="22"/>
        </w:rPr>
        <w:t>/t</w:t>
      </w:r>
      <w:r w:rsidRPr="009F230E">
        <w:rPr>
          <w:rFonts w:ascii="Arial" w:hAnsi="Arial" w:cs="Arial"/>
          <w:sz w:val="22"/>
          <w:szCs w:val="22"/>
        </w:rPr>
        <w:t xml:space="preserve">erritory. The MVC provides information on the number of registered vehicles by </w:t>
      </w:r>
      <w:r w:rsidR="00EC2256">
        <w:rPr>
          <w:rFonts w:ascii="Arial" w:hAnsi="Arial" w:cs="Arial"/>
          <w:sz w:val="22"/>
          <w:szCs w:val="22"/>
        </w:rPr>
        <w:t>y</w:t>
      </w:r>
      <w:r w:rsidRPr="009F230E">
        <w:rPr>
          <w:rFonts w:ascii="Arial" w:hAnsi="Arial" w:cs="Arial"/>
          <w:sz w:val="22"/>
          <w:szCs w:val="22"/>
        </w:rPr>
        <w:t xml:space="preserve">ear of </w:t>
      </w:r>
      <w:r w:rsidR="00EC2256">
        <w:rPr>
          <w:rFonts w:ascii="Arial" w:hAnsi="Arial" w:cs="Arial"/>
          <w:sz w:val="22"/>
          <w:szCs w:val="22"/>
        </w:rPr>
        <w:t>m</w:t>
      </w:r>
      <w:r w:rsidRPr="009F230E">
        <w:rPr>
          <w:rFonts w:ascii="Arial" w:hAnsi="Arial" w:cs="Arial"/>
          <w:sz w:val="22"/>
          <w:szCs w:val="22"/>
        </w:rPr>
        <w:t xml:space="preserve">anufacture at a particular date for the reporting year for the following vehicle classes: passenger vehicles, light commercial vehicles (LCVs), motorcycles, light rigid trucks, heavy rigid trucks, articulated trucks, buses, campervans and non-freight carrying trucks.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Vehicle class definitions used by the ABS differ from those used in COPERT Australia. For example, there is no ‘Campervans’ or ‘Non-freight carrying trucks’ category in COPERT Australia, and the ‘Bus’ category in COPERT Australia is divided into a light and heavy bus category. Although the ‘Light rigid trucks’ Motor Vehicle Census category (GVM of 3.5-4.5t) falls entirely in the medium commercial vehicle (MCV) category in COPERT Australia, the ‘Heavy rigid trucks’ MVC category (GVM &gt; 4.5t) overlaps with both the MCV and heavy commercial vehicle (HCV) category used in COPERT Australia. The ‘Passenger vehicle’ category in the </w:t>
      </w:r>
      <w:r w:rsidR="00B743B9">
        <w:rPr>
          <w:rFonts w:ascii="Arial" w:hAnsi="Arial" w:cs="Arial"/>
          <w:sz w:val="22"/>
          <w:szCs w:val="22"/>
        </w:rPr>
        <w:t>MVC</w:t>
      </w:r>
      <w:r w:rsidRPr="009F230E">
        <w:rPr>
          <w:rFonts w:ascii="Arial" w:hAnsi="Arial" w:cs="Arial"/>
          <w:sz w:val="22"/>
          <w:szCs w:val="22"/>
        </w:rPr>
        <w:t xml:space="preserve"> includes both passenger cars and SUVs, which are separate classes in COPERT Australia.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More detailed vehicle sales data and other information was used to develop a splitting factor matrix, which quantifies the proportion of a particular vehicle class (e.g. small diesel passenger car) and year of manufacture within a particular vehicle type (e.g. passenger cars). Various additional data and information sources were used and combined, including ABS (2012), BITRE (2009; 2010), VFACTS (FCAI, 2012), Gas Energy Australia (2013) and ARRB (2008). For example, the category ‘passenger vehicles’ was split into two categories, passenger cars</w:t>
      </w:r>
      <w:r w:rsidR="00B743B9">
        <w:rPr>
          <w:rFonts w:ascii="Arial" w:hAnsi="Arial" w:cs="Arial"/>
          <w:sz w:val="22"/>
          <w:szCs w:val="22"/>
        </w:rPr>
        <w:t xml:space="preserve"> (PC)</w:t>
      </w:r>
      <w:r w:rsidRPr="009F230E">
        <w:rPr>
          <w:rFonts w:ascii="Arial" w:hAnsi="Arial" w:cs="Arial"/>
          <w:sz w:val="22"/>
          <w:szCs w:val="22"/>
        </w:rPr>
        <w:t xml:space="preserve"> and SUVs, using vehicle sales data (ABS, 2012). The vehicle sales data were used to determine the proportion of SUVs for each year of manufacture. These proportions were then multiplied with the number of registered passenger vehicles by model year to create two new data tables for each state or territory (SUVs and PCs).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Combining the MVC on-road fleet population data matrix, showing the number of registered vehicles by year of </w:t>
      </w:r>
      <w:r w:rsidR="0024102A" w:rsidRPr="009F230E">
        <w:rPr>
          <w:rFonts w:ascii="Arial" w:hAnsi="Arial" w:cs="Arial"/>
          <w:sz w:val="22"/>
          <w:szCs w:val="22"/>
        </w:rPr>
        <w:t>manufacture</w:t>
      </w:r>
      <w:r w:rsidRPr="009F230E">
        <w:rPr>
          <w:rFonts w:ascii="Arial" w:hAnsi="Arial" w:cs="Arial"/>
          <w:sz w:val="22"/>
          <w:szCs w:val="22"/>
        </w:rPr>
        <w:t xml:space="preserve"> by state, with the splitting factor matrix then creates the required population data matrix, i.e. number of on-road vehicles by year of manufacture for 40 vehicle classes:</w:t>
      </w:r>
    </w:p>
    <w:p w:rsidR="009F230E" w:rsidRPr="009F230E" w:rsidRDefault="009F230E" w:rsidP="00DB5760">
      <w:pPr>
        <w:jc w:val="both"/>
        <w:rPr>
          <w:rFonts w:ascii="Arial" w:hAnsi="Arial" w:cs="Arial"/>
          <w:sz w:val="22"/>
          <w:szCs w:val="22"/>
        </w:rPr>
      </w:pP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PCs by size (small, medium, large) and fuel type (petrol, diesel, LPG, E10)</w:t>
      </w: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SUVs by size (compact, large) and fuel type (petrol, diesel, LPG, E10)</w:t>
      </w: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 xml:space="preserve">light commercial vehicles </w:t>
      </w:r>
      <w:r w:rsidR="00B743B9">
        <w:rPr>
          <w:rFonts w:ascii="Arial" w:hAnsi="Arial" w:cs="Arial"/>
          <w:sz w:val="22"/>
          <w:szCs w:val="22"/>
        </w:rPr>
        <w:t>(</w:t>
      </w:r>
      <w:r w:rsidRPr="009F230E">
        <w:rPr>
          <w:rFonts w:ascii="Arial" w:hAnsi="Arial" w:cs="Arial"/>
          <w:sz w:val="22"/>
          <w:szCs w:val="22"/>
        </w:rPr>
        <w:t>LCVs</w:t>
      </w:r>
      <w:r w:rsidR="00B743B9">
        <w:rPr>
          <w:rFonts w:ascii="Arial" w:hAnsi="Arial" w:cs="Arial"/>
          <w:sz w:val="22"/>
          <w:szCs w:val="22"/>
        </w:rPr>
        <w:t>)</w:t>
      </w:r>
      <w:r w:rsidRPr="009F230E">
        <w:rPr>
          <w:rFonts w:ascii="Arial" w:hAnsi="Arial" w:cs="Arial"/>
          <w:sz w:val="22"/>
          <w:szCs w:val="22"/>
        </w:rPr>
        <w:t xml:space="preserve"> by fuel type (petrol, diesel, LPG, E10)</w:t>
      </w: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trucks by size (medium/heavy commercial, articulated) and fuel type (petrol, diesel, LPG/CNG)</w:t>
      </w: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buses by size (light, heavy) and fuel type (petrol, diesel, LPG/CNG)</w:t>
      </w:r>
    </w:p>
    <w:p w:rsidR="009F230E" w:rsidRPr="009F230E" w:rsidRDefault="009F230E" w:rsidP="00DB5760">
      <w:pPr>
        <w:numPr>
          <w:ilvl w:val="0"/>
          <w:numId w:val="38"/>
        </w:numPr>
        <w:spacing w:line="360" w:lineRule="auto"/>
        <w:ind w:left="567" w:hanging="567"/>
        <w:jc w:val="both"/>
        <w:rPr>
          <w:rFonts w:ascii="Arial" w:hAnsi="Arial" w:cs="Arial"/>
          <w:sz w:val="22"/>
          <w:szCs w:val="22"/>
        </w:rPr>
      </w:pPr>
      <w:r w:rsidRPr="009F230E">
        <w:rPr>
          <w:rFonts w:ascii="Arial" w:hAnsi="Arial" w:cs="Arial"/>
          <w:sz w:val="22"/>
          <w:szCs w:val="22"/>
        </w:rPr>
        <w:t>motorcycles (petrol)</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It is noted that determination of the number of E10 vehicles was achieved through an iterative process that considered both total E10 fuel consumption and suitability of vehicles for E10 by year of manufacture. Pre-1986 </w:t>
      </w:r>
      <w:r w:rsidR="00BD2DAF">
        <w:rPr>
          <w:rFonts w:ascii="Arial" w:hAnsi="Arial" w:cs="Arial"/>
          <w:sz w:val="22"/>
          <w:szCs w:val="22"/>
        </w:rPr>
        <w:t>light-duty vehicles (</w:t>
      </w:r>
      <w:r w:rsidRPr="009F230E">
        <w:rPr>
          <w:rFonts w:ascii="Arial" w:hAnsi="Arial" w:cs="Arial"/>
          <w:sz w:val="22"/>
          <w:szCs w:val="22"/>
        </w:rPr>
        <w:t>LDVs</w:t>
      </w:r>
      <w:r w:rsidR="00BD2DAF">
        <w:rPr>
          <w:rFonts w:ascii="Arial" w:hAnsi="Arial" w:cs="Arial"/>
          <w:sz w:val="22"/>
          <w:szCs w:val="22"/>
        </w:rPr>
        <w:t>)</w:t>
      </w:r>
      <w:r w:rsidRPr="009F230E">
        <w:rPr>
          <w:rFonts w:ascii="Arial" w:hAnsi="Arial" w:cs="Arial"/>
          <w:sz w:val="22"/>
          <w:szCs w:val="22"/>
        </w:rPr>
        <w:t xml:space="preserve"> are not ethanol compatible and nearly all post-2003 LDVs are ethanol compatible, with a rising portion of 1986-1998 vehicles being ethanol compatible (DEWHA, 2008) as a function of year of manufacture. About 50% and 75% of ADR37/00 and ADR37/01 vehicles are ethanol compatible, respectively.</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proofErr w:type="gramStart"/>
      <w:r w:rsidRPr="009F230E">
        <w:rPr>
          <w:rFonts w:ascii="Arial" w:hAnsi="Arial" w:cs="Arial"/>
          <w:sz w:val="22"/>
          <w:szCs w:val="22"/>
        </w:rPr>
        <w:t>The aggregated results for Australia shown in Table 4.</w:t>
      </w:r>
      <w:proofErr w:type="gramEnd"/>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 </w:t>
      </w:r>
    </w:p>
    <w:p w:rsidR="00DB5760" w:rsidRDefault="00DB5760">
      <w:pPr>
        <w:rPr>
          <w:rFonts w:ascii="Arial" w:hAnsi="Arial" w:cs="Arial"/>
          <w:b/>
          <w:sz w:val="22"/>
          <w:szCs w:val="22"/>
          <w:lang w:val="en-US"/>
        </w:rPr>
      </w:pPr>
      <w:r>
        <w:rPr>
          <w:rFonts w:ascii="Arial" w:hAnsi="Arial" w:cs="Arial"/>
          <w:b/>
          <w:sz w:val="22"/>
          <w:szCs w:val="22"/>
          <w:lang w:val="en-US"/>
        </w:rPr>
        <w:br w:type="page"/>
      </w:r>
    </w:p>
    <w:p w:rsidR="009F230E" w:rsidRPr="009F230E" w:rsidRDefault="009F230E" w:rsidP="009F230E">
      <w:pPr>
        <w:spacing w:line="360" w:lineRule="auto"/>
        <w:jc w:val="both"/>
        <w:rPr>
          <w:rFonts w:ascii="Arial" w:hAnsi="Arial" w:cs="Arial"/>
          <w:sz w:val="22"/>
          <w:szCs w:val="22"/>
          <w:lang w:val="en-GB"/>
        </w:rPr>
      </w:pPr>
      <w:r w:rsidRPr="009F230E">
        <w:rPr>
          <w:rFonts w:ascii="Arial" w:hAnsi="Arial" w:cs="Arial"/>
          <w:b/>
          <w:sz w:val="22"/>
          <w:szCs w:val="22"/>
          <w:lang w:val="en-US"/>
        </w:rPr>
        <w:lastRenderedPageBreak/>
        <w:t xml:space="preserve">Table 4 </w:t>
      </w:r>
      <w:r w:rsidRPr="00DB5760">
        <w:rPr>
          <w:rFonts w:ascii="Arial" w:hAnsi="Arial" w:cs="Arial"/>
          <w:sz w:val="22"/>
          <w:szCs w:val="22"/>
          <w:lang w:val="en-US"/>
        </w:rPr>
        <w:t>Vehicle population summary table for Australia, 2010</w:t>
      </w:r>
    </w:p>
    <w:tbl>
      <w:tblPr>
        <w:tblW w:w="8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304"/>
        <w:gridCol w:w="1304"/>
        <w:gridCol w:w="1304"/>
        <w:gridCol w:w="1304"/>
        <w:gridCol w:w="1304"/>
      </w:tblGrid>
      <w:tr w:rsidR="009F230E" w:rsidRPr="009F230E" w:rsidTr="00DB5760">
        <w:trPr>
          <w:trHeight w:val="255"/>
        </w:trPr>
        <w:tc>
          <w:tcPr>
            <w:tcW w:w="1701" w:type="dxa"/>
            <w:shd w:val="clear" w:color="000000" w:fill="D9D9D9"/>
            <w:noWrap/>
            <w:vAlign w:val="center"/>
            <w:hideMark/>
          </w:tcPr>
          <w:p w:rsidR="009F230E" w:rsidRPr="00DB5760" w:rsidRDefault="009F230E" w:rsidP="00DB5760">
            <w:pPr>
              <w:spacing w:line="360" w:lineRule="auto"/>
              <w:jc w:val="both"/>
              <w:rPr>
                <w:rFonts w:ascii="Arial" w:hAnsi="Arial" w:cs="Arial"/>
                <w:b/>
                <w:sz w:val="22"/>
                <w:szCs w:val="22"/>
              </w:rPr>
            </w:pPr>
            <w:r w:rsidRPr="00DB5760">
              <w:rPr>
                <w:rFonts w:ascii="Arial" w:hAnsi="Arial" w:cs="Arial"/>
                <w:b/>
                <w:sz w:val="22"/>
                <w:szCs w:val="22"/>
              </w:rPr>
              <w:t>Vehicle class</w:t>
            </w:r>
          </w:p>
        </w:tc>
        <w:tc>
          <w:tcPr>
            <w:tcW w:w="1304" w:type="dxa"/>
            <w:shd w:val="clear" w:color="000000" w:fill="D9D9D9"/>
            <w:noWrap/>
            <w:vAlign w:val="center"/>
            <w:hideMark/>
          </w:tcPr>
          <w:p w:rsidR="009F230E" w:rsidRPr="00DB5760" w:rsidRDefault="009F230E" w:rsidP="00DB5760">
            <w:pPr>
              <w:spacing w:line="360" w:lineRule="auto"/>
              <w:jc w:val="center"/>
              <w:rPr>
                <w:rFonts w:ascii="Arial" w:hAnsi="Arial" w:cs="Arial"/>
                <w:b/>
                <w:sz w:val="22"/>
                <w:szCs w:val="22"/>
              </w:rPr>
            </w:pPr>
            <w:r w:rsidRPr="00DB5760">
              <w:rPr>
                <w:rFonts w:ascii="Arial" w:hAnsi="Arial" w:cs="Arial"/>
                <w:b/>
                <w:sz w:val="22"/>
                <w:szCs w:val="22"/>
              </w:rPr>
              <w:t>Petrol</w:t>
            </w:r>
          </w:p>
        </w:tc>
        <w:tc>
          <w:tcPr>
            <w:tcW w:w="1304" w:type="dxa"/>
            <w:shd w:val="clear" w:color="000000" w:fill="D9D9D9"/>
            <w:noWrap/>
            <w:vAlign w:val="center"/>
            <w:hideMark/>
          </w:tcPr>
          <w:p w:rsidR="009F230E" w:rsidRPr="00DB5760" w:rsidRDefault="009F230E" w:rsidP="00DB5760">
            <w:pPr>
              <w:spacing w:line="360" w:lineRule="auto"/>
              <w:jc w:val="center"/>
              <w:rPr>
                <w:rFonts w:ascii="Arial" w:hAnsi="Arial" w:cs="Arial"/>
                <w:b/>
                <w:sz w:val="22"/>
                <w:szCs w:val="22"/>
              </w:rPr>
            </w:pPr>
            <w:r w:rsidRPr="00DB5760">
              <w:rPr>
                <w:rFonts w:ascii="Arial" w:hAnsi="Arial" w:cs="Arial"/>
                <w:b/>
                <w:sz w:val="22"/>
                <w:szCs w:val="22"/>
              </w:rPr>
              <w:t>Diesel</w:t>
            </w:r>
          </w:p>
        </w:tc>
        <w:tc>
          <w:tcPr>
            <w:tcW w:w="1304" w:type="dxa"/>
            <w:shd w:val="clear" w:color="000000" w:fill="D9D9D9"/>
            <w:noWrap/>
            <w:vAlign w:val="center"/>
            <w:hideMark/>
          </w:tcPr>
          <w:p w:rsidR="009F230E" w:rsidRPr="00DB5760" w:rsidRDefault="009F230E" w:rsidP="00DB5760">
            <w:pPr>
              <w:spacing w:line="360" w:lineRule="auto"/>
              <w:jc w:val="center"/>
              <w:rPr>
                <w:rFonts w:ascii="Arial" w:hAnsi="Arial" w:cs="Arial"/>
                <w:b/>
                <w:sz w:val="22"/>
                <w:szCs w:val="22"/>
              </w:rPr>
            </w:pPr>
            <w:r w:rsidRPr="00DB5760">
              <w:rPr>
                <w:rFonts w:ascii="Arial" w:hAnsi="Arial" w:cs="Arial"/>
                <w:b/>
                <w:sz w:val="22"/>
                <w:szCs w:val="22"/>
              </w:rPr>
              <w:t>LPG</w:t>
            </w:r>
          </w:p>
        </w:tc>
        <w:tc>
          <w:tcPr>
            <w:tcW w:w="1304" w:type="dxa"/>
            <w:shd w:val="clear" w:color="000000" w:fill="D9D9D9"/>
            <w:noWrap/>
            <w:vAlign w:val="center"/>
            <w:hideMark/>
          </w:tcPr>
          <w:p w:rsidR="009F230E" w:rsidRPr="00DB5760" w:rsidRDefault="009F230E" w:rsidP="00DB5760">
            <w:pPr>
              <w:spacing w:line="360" w:lineRule="auto"/>
              <w:jc w:val="center"/>
              <w:rPr>
                <w:rFonts w:ascii="Arial" w:hAnsi="Arial" w:cs="Arial"/>
                <w:b/>
                <w:sz w:val="22"/>
                <w:szCs w:val="22"/>
              </w:rPr>
            </w:pPr>
            <w:r w:rsidRPr="00DB5760">
              <w:rPr>
                <w:rFonts w:ascii="Arial" w:hAnsi="Arial" w:cs="Arial"/>
                <w:b/>
                <w:sz w:val="22"/>
                <w:szCs w:val="22"/>
              </w:rPr>
              <w:t>E10</w:t>
            </w:r>
          </w:p>
        </w:tc>
        <w:tc>
          <w:tcPr>
            <w:tcW w:w="1304" w:type="dxa"/>
            <w:shd w:val="clear" w:color="000000" w:fill="D9D9D9"/>
            <w:noWrap/>
            <w:vAlign w:val="center"/>
            <w:hideMark/>
          </w:tcPr>
          <w:p w:rsidR="009F230E" w:rsidRPr="00DB5760" w:rsidRDefault="009F230E" w:rsidP="00DB5760">
            <w:pPr>
              <w:spacing w:line="360" w:lineRule="auto"/>
              <w:jc w:val="center"/>
              <w:rPr>
                <w:rFonts w:ascii="Arial" w:hAnsi="Arial" w:cs="Arial"/>
                <w:b/>
                <w:bCs/>
                <w:sz w:val="22"/>
                <w:szCs w:val="22"/>
              </w:rPr>
            </w:pPr>
            <w:r w:rsidRPr="00DB5760">
              <w:rPr>
                <w:rFonts w:ascii="Arial" w:hAnsi="Arial" w:cs="Arial"/>
                <w:b/>
                <w:bCs/>
                <w:sz w:val="22"/>
                <w:szCs w:val="22"/>
              </w:rPr>
              <w:t>Total</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PC-S</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22.9%</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0.6%</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4.8%</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28.3%</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PC-M</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10.6%</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0.4%</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1.9%</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13.0%</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PC-L</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16.7%</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1.6%</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3.0%</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21.3%</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SUV-C</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4.2%</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0.6%</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1.0%</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5.8%</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SUV-L</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3.4%</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3.3%</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0.4%</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0.9%</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8.0%</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LCV</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7.5%</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7.0%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1.2%</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15.7%</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MCV/HCV</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2.7%</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2.9%</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AT</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0.5%</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0.5%</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BUS-L</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0.2%</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0.4%</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BUS-H</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0.0%</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0.1%</w:t>
            </w:r>
          </w:p>
        </w:tc>
      </w:tr>
      <w:tr w:rsidR="009F230E" w:rsidRPr="009F230E" w:rsidTr="00DB5760">
        <w:trPr>
          <w:trHeight w:val="255"/>
        </w:trPr>
        <w:tc>
          <w:tcPr>
            <w:tcW w:w="1701" w:type="dxa"/>
            <w:shd w:val="clear" w:color="000000" w:fill="FFFFFF" w:themeFill="background1"/>
            <w:noWrap/>
            <w:vAlign w:val="center"/>
            <w:hideMark/>
          </w:tcPr>
          <w:p w:rsidR="009F230E" w:rsidRPr="009F230E" w:rsidRDefault="009F230E" w:rsidP="00DB5760">
            <w:pPr>
              <w:jc w:val="both"/>
              <w:rPr>
                <w:rFonts w:ascii="Arial" w:hAnsi="Arial" w:cs="Arial"/>
                <w:sz w:val="22"/>
                <w:szCs w:val="22"/>
              </w:rPr>
            </w:pPr>
            <w:r w:rsidRPr="009F230E">
              <w:rPr>
                <w:rFonts w:ascii="Arial" w:hAnsi="Arial" w:cs="Arial"/>
                <w:sz w:val="22"/>
                <w:szCs w:val="22"/>
              </w:rPr>
              <w:t>MCY</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4.1%</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sz w:val="22"/>
                <w:szCs w:val="22"/>
              </w:rPr>
            </w:pPr>
            <w:r w:rsidRPr="009F230E">
              <w:rPr>
                <w:rFonts w:ascii="Arial" w:hAnsi="Arial" w:cs="Arial"/>
                <w:sz w:val="22"/>
                <w:szCs w:val="22"/>
              </w:rPr>
              <w:t>-</w:t>
            </w:r>
          </w:p>
        </w:tc>
        <w:tc>
          <w:tcPr>
            <w:tcW w:w="1304" w:type="dxa"/>
            <w:shd w:val="clear" w:color="auto" w:fill="auto"/>
            <w:noWrap/>
            <w:vAlign w:val="center"/>
            <w:hideMark/>
          </w:tcPr>
          <w:p w:rsidR="009F230E" w:rsidRPr="009F230E" w:rsidRDefault="009F230E" w:rsidP="00DB5760">
            <w:pPr>
              <w:jc w:val="center"/>
              <w:rPr>
                <w:rFonts w:ascii="Arial" w:hAnsi="Arial" w:cs="Arial"/>
                <w:bCs/>
                <w:sz w:val="22"/>
                <w:szCs w:val="22"/>
                <w:u w:val="single"/>
              </w:rPr>
            </w:pPr>
            <w:r w:rsidRPr="009F230E">
              <w:rPr>
                <w:rFonts w:ascii="Arial" w:hAnsi="Arial" w:cs="Arial"/>
                <w:bCs/>
                <w:sz w:val="22"/>
                <w:szCs w:val="22"/>
                <w:u w:val="single"/>
              </w:rPr>
              <w:t>4.1%</w:t>
            </w:r>
          </w:p>
        </w:tc>
      </w:tr>
      <w:tr w:rsidR="009F230E" w:rsidRPr="009F230E" w:rsidTr="00DB5760">
        <w:trPr>
          <w:trHeight w:val="255"/>
        </w:trPr>
        <w:tc>
          <w:tcPr>
            <w:tcW w:w="1701" w:type="dxa"/>
            <w:shd w:val="clear" w:color="000000" w:fill="FFFFFF" w:themeFill="background1"/>
            <w:noWrap/>
            <w:vAlign w:val="center"/>
            <w:hideMark/>
          </w:tcPr>
          <w:p w:rsidR="009F230E" w:rsidRPr="00DB5760" w:rsidRDefault="009F230E" w:rsidP="00DB5760">
            <w:pPr>
              <w:jc w:val="both"/>
              <w:rPr>
                <w:rFonts w:ascii="Arial" w:hAnsi="Arial" w:cs="Arial"/>
                <w:b/>
                <w:bCs/>
                <w:sz w:val="22"/>
                <w:szCs w:val="22"/>
              </w:rPr>
            </w:pPr>
            <w:r w:rsidRPr="00DB5760">
              <w:rPr>
                <w:rFonts w:ascii="Arial" w:hAnsi="Arial" w:cs="Arial"/>
                <w:b/>
                <w:bCs/>
                <w:sz w:val="22"/>
                <w:szCs w:val="22"/>
              </w:rPr>
              <w:t>Total</w:t>
            </w:r>
          </w:p>
        </w:tc>
        <w:tc>
          <w:tcPr>
            <w:tcW w:w="1304" w:type="dxa"/>
            <w:shd w:val="clear" w:color="auto" w:fill="auto"/>
            <w:noWrap/>
            <w:vAlign w:val="center"/>
            <w:hideMark/>
          </w:tcPr>
          <w:p w:rsidR="009F230E" w:rsidRPr="00DB5760" w:rsidRDefault="009F230E" w:rsidP="00DB5760">
            <w:pPr>
              <w:jc w:val="center"/>
              <w:rPr>
                <w:rFonts w:ascii="Arial" w:hAnsi="Arial" w:cs="Arial"/>
                <w:b/>
                <w:bCs/>
                <w:sz w:val="22"/>
                <w:szCs w:val="22"/>
              </w:rPr>
            </w:pPr>
            <w:r w:rsidRPr="00DB5760">
              <w:rPr>
                <w:rFonts w:ascii="Arial" w:hAnsi="Arial" w:cs="Arial"/>
                <w:b/>
                <w:bCs/>
                <w:sz w:val="22"/>
                <w:szCs w:val="22"/>
              </w:rPr>
              <w:t>69.6%</w:t>
            </w:r>
          </w:p>
        </w:tc>
        <w:tc>
          <w:tcPr>
            <w:tcW w:w="1304" w:type="dxa"/>
            <w:shd w:val="clear" w:color="auto" w:fill="auto"/>
            <w:noWrap/>
            <w:vAlign w:val="center"/>
            <w:hideMark/>
          </w:tcPr>
          <w:p w:rsidR="009F230E" w:rsidRPr="00DB5760" w:rsidRDefault="009F230E" w:rsidP="00DB5760">
            <w:pPr>
              <w:jc w:val="center"/>
              <w:rPr>
                <w:rFonts w:ascii="Arial" w:hAnsi="Arial" w:cs="Arial"/>
                <w:b/>
                <w:bCs/>
                <w:sz w:val="22"/>
                <w:szCs w:val="22"/>
              </w:rPr>
            </w:pPr>
            <w:r w:rsidRPr="00DB5760">
              <w:rPr>
                <w:rFonts w:ascii="Arial" w:hAnsi="Arial" w:cs="Arial"/>
                <w:b/>
                <w:bCs/>
                <w:sz w:val="22"/>
                <w:szCs w:val="22"/>
              </w:rPr>
              <w:t>14.8%</w:t>
            </w:r>
          </w:p>
        </w:tc>
        <w:tc>
          <w:tcPr>
            <w:tcW w:w="1304" w:type="dxa"/>
            <w:shd w:val="clear" w:color="auto" w:fill="auto"/>
            <w:noWrap/>
            <w:vAlign w:val="center"/>
            <w:hideMark/>
          </w:tcPr>
          <w:p w:rsidR="009F230E" w:rsidRPr="00DB5760" w:rsidRDefault="009F230E" w:rsidP="00DB5760">
            <w:pPr>
              <w:jc w:val="center"/>
              <w:rPr>
                <w:rFonts w:ascii="Arial" w:hAnsi="Arial" w:cs="Arial"/>
                <w:b/>
                <w:bCs/>
                <w:sz w:val="22"/>
                <w:szCs w:val="22"/>
              </w:rPr>
            </w:pPr>
            <w:r w:rsidRPr="00DB5760">
              <w:rPr>
                <w:rFonts w:ascii="Arial" w:hAnsi="Arial" w:cs="Arial"/>
                <w:b/>
                <w:bCs/>
                <w:sz w:val="22"/>
                <w:szCs w:val="22"/>
              </w:rPr>
              <w:t>4.0%</w:t>
            </w:r>
          </w:p>
        </w:tc>
        <w:tc>
          <w:tcPr>
            <w:tcW w:w="1304" w:type="dxa"/>
            <w:shd w:val="clear" w:color="auto" w:fill="auto"/>
            <w:noWrap/>
            <w:vAlign w:val="center"/>
            <w:hideMark/>
          </w:tcPr>
          <w:p w:rsidR="009F230E" w:rsidRPr="00DB5760" w:rsidRDefault="009F230E" w:rsidP="00DB5760">
            <w:pPr>
              <w:jc w:val="center"/>
              <w:rPr>
                <w:rFonts w:ascii="Arial" w:hAnsi="Arial" w:cs="Arial"/>
                <w:b/>
                <w:bCs/>
                <w:sz w:val="22"/>
                <w:szCs w:val="22"/>
              </w:rPr>
            </w:pPr>
            <w:r w:rsidRPr="00DB5760">
              <w:rPr>
                <w:rFonts w:ascii="Arial" w:hAnsi="Arial" w:cs="Arial"/>
                <w:b/>
                <w:bCs/>
                <w:sz w:val="22"/>
                <w:szCs w:val="22"/>
              </w:rPr>
              <w:t>11.6%</w:t>
            </w:r>
          </w:p>
        </w:tc>
        <w:tc>
          <w:tcPr>
            <w:tcW w:w="1304" w:type="dxa"/>
            <w:shd w:val="clear" w:color="auto" w:fill="auto"/>
            <w:noWrap/>
            <w:vAlign w:val="center"/>
            <w:hideMark/>
          </w:tcPr>
          <w:p w:rsidR="009F230E" w:rsidRPr="00DB5760" w:rsidRDefault="009F230E" w:rsidP="00DB5760">
            <w:pPr>
              <w:jc w:val="center"/>
              <w:rPr>
                <w:rFonts w:ascii="Arial" w:hAnsi="Arial" w:cs="Arial"/>
                <w:b/>
                <w:bCs/>
                <w:sz w:val="22"/>
                <w:szCs w:val="22"/>
              </w:rPr>
            </w:pPr>
            <w:r w:rsidRPr="00DB5760">
              <w:rPr>
                <w:rFonts w:ascii="Arial" w:hAnsi="Arial" w:cs="Arial"/>
                <w:b/>
                <w:bCs/>
                <w:sz w:val="22"/>
                <w:szCs w:val="22"/>
              </w:rPr>
              <w:t>0.0%</w:t>
            </w:r>
          </w:p>
        </w:tc>
      </w:tr>
    </w:tbl>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It is noted that COPERT Australia population data input file has a finer level of detail than the data presented in Table 4. The population data are also broken up by vehicle year of manufacture, resulting in 1,280 vehicle classes (40 fuel/vehicle types and 0-30 years of vehicle age). This level of detail is required to account for age-dependent annual mileage, as will be discussed in the next section, and for accurate apportioning of E10 vehicles. Note that these data are aggregated to ADR level (emission standard) to estimate population data for the 226 vehicle classes in COPERT Australia.</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The combination of census data with vehicle sales data inherently assumes that the proportions for a particular year of manufacture (model year) in vehicle sales data remain constant as the vehicle population ages and vehicles are scrapped. This seems a reasonable first-order assumption. The main issue is that national vehicle sales information are applied to all </w:t>
      </w:r>
      <w:r w:rsidR="00B743B9">
        <w:rPr>
          <w:rFonts w:ascii="Arial" w:hAnsi="Arial" w:cs="Arial"/>
          <w:sz w:val="22"/>
          <w:szCs w:val="22"/>
        </w:rPr>
        <w:t>s</w:t>
      </w:r>
      <w:r w:rsidR="00B743B9" w:rsidRPr="009F230E">
        <w:rPr>
          <w:rFonts w:ascii="Arial" w:hAnsi="Arial" w:cs="Arial"/>
          <w:sz w:val="22"/>
          <w:szCs w:val="22"/>
        </w:rPr>
        <w:t>tates</w:t>
      </w:r>
      <w:r w:rsidR="00B743B9">
        <w:rPr>
          <w:rFonts w:ascii="Arial" w:hAnsi="Arial" w:cs="Arial"/>
          <w:sz w:val="22"/>
          <w:szCs w:val="22"/>
        </w:rPr>
        <w:t xml:space="preserve"> and territories</w:t>
      </w:r>
      <w:r w:rsidRPr="009F230E">
        <w:rPr>
          <w:rFonts w:ascii="Arial" w:hAnsi="Arial" w:cs="Arial"/>
          <w:sz w:val="22"/>
          <w:szCs w:val="22"/>
        </w:rPr>
        <w:t xml:space="preserve">, whereas there can be significant differences between the </w:t>
      </w:r>
      <w:r w:rsidR="00B743B9">
        <w:rPr>
          <w:rFonts w:ascii="Arial" w:hAnsi="Arial" w:cs="Arial"/>
          <w:sz w:val="22"/>
          <w:szCs w:val="22"/>
        </w:rPr>
        <w:t>s</w:t>
      </w:r>
      <w:r w:rsidR="00B743B9" w:rsidRPr="009F230E">
        <w:rPr>
          <w:rFonts w:ascii="Arial" w:hAnsi="Arial" w:cs="Arial"/>
          <w:sz w:val="22"/>
          <w:szCs w:val="22"/>
        </w:rPr>
        <w:t>tates</w:t>
      </w:r>
      <w:r w:rsidR="00B743B9">
        <w:rPr>
          <w:rFonts w:ascii="Arial" w:hAnsi="Arial" w:cs="Arial"/>
          <w:sz w:val="22"/>
          <w:szCs w:val="22"/>
        </w:rPr>
        <w:t xml:space="preserve"> and territories</w:t>
      </w:r>
      <w:r w:rsidR="00B743B9" w:rsidRPr="009F230E">
        <w:rPr>
          <w:rFonts w:ascii="Arial" w:hAnsi="Arial" w:cs="Arial"/>
          <w:sz w:val="22"/>
          <w:szCs w:val="22"/>
        </w:rPr>
        <w:t xml:space="preserve"> </w:t>
      </w:r>
      <w:r w:rsidRPr="009F230E">
        <w:rPr>
          <w:rFonts w:ascii="Arial" w:hAnsi="Arial" w:cs="Arial"/>
          <w:sz w:val="22"/>
          <w:szCs w:val="22"/>
        </w:rPr>
        <w:t>in terms of</w:t>
      </w:r>
      <w:r w:rsidR="00B743B9">
        <w:rPr>
          <w:rFonts w:ascii="Arial" w:hAnsi="Arial" w:cs="Arial"/>
          <w:sz w:val="22"/>
          <w:szCs w:val="22"/>
        </w:rPr>
        <w:t>, for example,</w:t>
      </w:r>
      <w:r w:rsidRPr="009F230E">
        <w:rPr>
          <w:rFonts w:ascii="Arial" w:hAnsi="Arial" w:cs="Arial"/>
          <w:sz w:val="22"/>
          <w:szCs w:val="22"/>
        </w:rPr>
        <w:t xml:space="preserve"> the distribution of fuel types. In compiling this report, it was problematic to obtain sufficient data and information to make an accurate estimate of the number of LPG vehicles in the Australian on-road fleet (both dedicated and retro-fitted). This should be addressed when updating the NMVEI.</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It is recommended that further analysis is conducted using state-specific data (e.g. using vehicle registration data from the transport department) to verify the population input files and to further improve the accuracy at state and territory level.</w:t>
      </w:r>
    </w:p>
    <w:p w:rsidR="009F230E" w:rsidRPr="009F230E" w:rsidRDefault="009F230E" w:rsidP="009F230E">
      <w:pPr>
        <w:spacing w:line="360" w:lineRule="auto"/>
        <w:jc w:val="both"/>
        <w:rPr>
          <w:rFonts w:ascii="Arial" w:hAnsi="Arial" w:cs="Arial"/>
          <w:sz w:val="22"/>
          <w:szCs w:val="22"/>
        </w:rPr>
      </w:pPr>
    </w:p>
    <w:p w:rsidR="00DB5760" w:rsidRDefault="00DB5760">
      <w:pPr>
        <w:rPr>
          <w:rFonts w:ascii="Arial" w:hAnsi="Arial" w:cs="Arial"/>
          <w:sz w:val="22"/>
          <w:szCs w:val="22"/>
          <w:u w:val="single"/>
        </w:rPr>
      </w:pPr>
      <w:r>
        <w:rPr>
          <w:rFonts w:ascii="Arial" w:hAnsi="Arial" w:cs="Arial"/>
          <w:sz w:val="22"/>
          <w:szCs w:val="22"/>
          <w:u w:val="single"/>
        </w:rPr>
        <w:br w:type="page"/>
      </w:r>
    </w:p>
    <w:p w:rsidR="009F230E" w:rsidRPr="00DB5760" w:rsidRDefault="009F230E" w:rsidP="009F230E">
      <w:pPr>
        <w:spacing w:line="360" w:lineRule="auto"/>
        <w:jc w:val="both"/>
        <w:rPr>
          <w:rFonts w:ascii="Arial" w:hAnsi="Arial" w:cs="Arial"/>
          <w:b/>
          <w:sz w:val="22"/>
          <w:szCs w:val="22"/>
        </w:rPr>
      </w:pPr>
      <w:r w:rsidRPr="00DB5760">
        <w:rPr>
          <w:rFonts w:ascii="Arial" w:hAnsi="Arial" w:cs="Arial"/>
          <w:b/>
          <w:sz w:val="22"/>
          <w:szCs w:val="22"/>
        </w:rPr>
        <w:lastRenderedPageBreak/>
        <w:t>Mean Annual Mileage / VKT</w:t>
      </w: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Mean annual mileage information is required for each of the 226 vehicle classes in COPERT Australia to estimate VKT, as discussed earlier.  VKT cannot be measured directly, but can be estimated using different methods, such as:</w:t>
      </w:r>
    </w:p>
    <w:p w:rsidR="009F230E" w:rsidRPr="009F230E" w:rsidRDefault="009F230E" w:rsidP="00DB5760">
      <w:pPr>
        <w:jc w:val="both"/>
        <w:rPr>
          <w:rFonts w:ascii="Arial" w:hAnsi="Arial" w:cs="Arial"/>
          <w:sz w:val="22"/>
          <w:szCs w:val="22"/>
        </w:rPr>
      </w:pPr>
    </w:p>
    <w:p w:rsidR="009F230E" w:rsidRPr="009F230E" w:rsidRDefault="009F230E" w:rsidP="00DB5760">
      <w:pPr>
        <w:numPr>
          <w:ilvl w:val="0"/>
          <w:numId w:val="35"/>
        </w:numPr>
        <w:spacing w:line="360" w:lineRule="auto"/>
        <w:ind w:left="567" w:hanging="567"/>
        <w:jc w:val="both"/>
        <w:rPr>
          <w:rFonts w:ascii="Arial" w:hAnsi="Arial" w:cs="Arial"/>
          <w:sz w:val="22"/>
          <w:szCs w:val="22"/>
        </w:rPr>
      </w:pPr>
      <w:r w:rsidRPr="009F230E">
        <w:rPr>
          <w:rFonts w:ascii="Arial" w:hAnsi="Arial" w:cs="Arial"/>
          <w:sz w:val="22"/>
          <w:szCs w:val="22"/>
        </w:rPr>
        <w:t>combination of traffic volume and road length data (traffic counts and/or transport models), and</w:t>
      </w:r>
    </w:p>
    <w:p w:rsidR="009F230E" w:rsidRPr="009F230E" w:rsidRDefault="009F230E" w:rsidP="00DB5760">
      <w:pPr>
        <w:numPr>
          <w:ilvl w:val="0"/>
          <w:numId w:val="35"/>
        </w:numPr>
        <w:spacing w:line="360" w:lineRule="auto"/>
        <w:ind w:left="567" w:hanging="567"/>
        <w:jc w:val="both"/>
        <w:rPr>
          <w:rFonts w:ascii="Arial" w:hAnsi="Arial" w:cs="Arial"/>
          <w:sz w:val="22"/>
          <w:szCs w:val="22"/>
        </w:rPr>
      </w:pPr>
      <w:proofErr w:type="gramStart"/>
      <w:r w:rsidRPr="009F230E">
        <w:rPr>
          <w:rFonts w:ascii="Arial" w:hAnsi="Arial" w:cs="Arial"/>
          <w:sz w:val="22"/>
          <w:szCs w:val="22"/>
        </w:rPr>
        <w:t>combination</w:t>
      </w:r>
      <w:proofErr w:type="gramEnd"/>
      <w:r w:rsidRPr="009F230E">
        <w:rPr>
          <w:rFonts w:ascii="Arial" w:hAnsi="Arial" w:cs="Arial"/>
          <w:sz w:val="22"/>
          <w:szCs w:val="22"/>
        </w:rPr>
        <w:t xml:space="preserve"> of mean annual mileage and vehicle population data.</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 xml:space="preserve">Mean annual mileage may be estimated from reported vehicle mileage in a specific period, analysis of odometer databases and household travel surveys. It is, however, difficult to determine the accuracy of VKT estimates, particularly for the detailed vehicle classification used in COPERT.  Mean annual mileage is not only a function of vehicle type (car, truck, light-commercial vehicle, etc.), but also vehicle age. For example, older vehicle are driven significantly less than newer vehicles, larger vehicles are driven more than smaller vehicles and diesel vehicles are driven more than petrol cars, as shown in Figure 2. As a consequence, average annual mileage for a particular class (e.g. small ADR79/00 petrol passenger car) is a function of the base year and will change over time. </w:t>
      </w:r>
    </w:p>
    <w:p w:rsidR="009F230E" w:rsidRPr="009F230E" w:rsidRDefault="009F230E" w:rsidP="009F230E">
      <w:pPr>
        <w:spacing w:line="360" w:lineRule="auto"/>
        <w:jc w:val="both"/>
        <w:rPr>
          <w:rFonts w:ascii="Arial" w:hAnsi="Arial" w:cs="Arial"/>
          <w:sz w:val="22"/>
          <w:szCs w:val="22"/>
        </w:rPr>
      </w:pPr>
    </w:p>
    <w:p w:rsidR="009F230E" w:rsidRPr="009F230E" w:rsidRDefault="009F230E" w:rsidP="009F230E">
      <w:pPr>
        <w:spacing w:line="360" w:lineRule="auto"/>
        <w:jc w:val="both"/>
        <w:rPr>
          <w:rFonts w:ascii="Arial" w:hAnsi="Arial" w:cs="Arial"/>
          <w:sz w:val="22"/>
          <w:szCs w:val="22"/>
        </w:rPr>
      </w:pPr>
      <w:r w:rsidRPr="009F230E">
        <w:rPr>
          <w:rFonts w:ascii="Arial" w:hAnsi="Arial" w:cs="Arial"/>
          <w:noProof/>
          <w:sz w:val="22"/>
          <w:szCs w:val="22"/>
          <w:lang w:eastAsia="en-AU"/>
        </w:rPr>
        <w:drawing>
          <wp:inline distT="0" distB="0" distL="0" distR="0">
            <wp:extent cx="4923692" cy="23559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8710" cy="2358330"/>
                    </a:xfrm>
                    <a:prstGeom prst="rect">
                      <a:avLst/>
                    </a:prstGeom>
                    <a:noFill/>
                    <a:ln>
                      <a:noFill/>
                    </a:ln>
                  </pic:spPr>
                </pic:pic>
              </a:graphicData>
            </a:graphic>
          </wp:inline>
        </w:drawing>
      </w:r>
    </w:p>
    <w:p w:rsidR="009F230E" w:rsidRPr="009F230E" w:rsidRDefault="009F230E" w:rsidP="00DB5760">
      <w:pPr>
        <w:jc w:val="both"/>
        <w:rPr>
          <w:rFonts w:ascii="Arial" w:hAnsi="Arial" w:cs="Arial"/>
          <w:b/>
          <w:sz w:val="22"/>
          <w:szCs w:val="22"/>
        </w:rPr>
      </w:pPr>
      <w:r w:rsidRPr="009F230E">
        <w:rPr>
          <w:rFonts w:ascii="Arial" w:hAnsi="Arial" w:cs="Arial"/>
          <w:b/>
          <w:sz w:val="22"/>
          <w:szCs w:val="22"/>
        </w:rPr>
        <w:t xml:space="preserve">Figure 2 </w:t>
      </w:r>
      <w:r w:rsidRPr="00DB5760">
        <w:rPr>
          <w:rFonts w:ascii="Arial" w:hAnsi="Arial" w:cs="Arial"/>
          <w:sz w:val="22"/>
          <w:szCs w:val="22"/>
        </w:rPr>
        <w:t xml:space="preserve">Example of age-dependent annual mileage relationships for </w:t>
      </w:r>
      <w:r w:rsidR="00750FE8">
        <w:rPr>
          <w:rFonts w:ascii="Arial" w:hAnsi="Arial" w:cs="Arial"/>
          <w:sz w:val="22"/>
          <w:szCs w:val="22"/>
        </w:rPr>
        <w:t>p</w:t>
      </w:r>
      <w:r w:rsidRPr="00DB5760">
        <w:rPr>
          <w:rFonts w:ascii="Arial" w:hAnsi="Arial" w:cs="Arial"/>
          <w:sz w:val="22"/>
          <w:szCs w:val="22"/>
        </w:rPr>
        <w:t xml:space="preserve">assenger </w:t>
      </w:r>
      <w:r w:rsidR="00750FE8">
        <w:rPr>
          <w:rFonts w:ascii="Arial" w:hAnsi="Arial" w:cs="Arial"/>
          <w:sz w:val="22"/>
          <w:szCs w:val="22"/>
        </w:rPr>
        <w:t>c</w:t>
      </w:r>
      <w:r w:rsidRPr="00DB5760">
        <w:rPr>
          <w:rFonts w:ascii="Arial" w:hAnsi="Arial" w:cs="Arial"/>
          <w:sz w:val="22"/>
          <w:szCs w:val="22"/>
        </w:rPr>
        <w:t>ars</w:t>
      </w:r>
    </w:p>
    <w:p w:rsidR="009F230E" w:rsidRPr="009F230E" w:rsidRDefault="009F230E" w:rsidP="009F230E">
      <w:pPr>
        <w:spacing w:line="360" w:lineRule="auto"/>
        <w:jc w:val="both"/>
        <w:rPr>
          <w:rFonts w:ascii="Arial" w:hAnsi="Arial" w:cs="Arial"/>
          <w:i/>
          <w:sz w:val="22"/>
          <w:szCs w:val="22"/>
        </w:rPr>
      </w:pPr>
    </w:p>
    <w:p w:rsidR="00974A30" w:rsidRPr="009F230E" w:rsidRDefault="009F230E" w:rsidP="009F230E">
      <w:pPr>
        <w:spacing w:line="360" w:lineRule="auto"/>
        <w:jc w:val="both"/>
        <w:rPr>
          <w:rFonts w:ascii="Arial" w:hAnsi="Arial" w:cs="Arial"/>
          <w:sz w:val="22"/>
          <w:szCs w:val="22"/>
        </w:rPr>
      </w:pPr>
      <w:r w:rsidRPr="009F230E">
        <w:rPr>
          <w:rFonts w:ascii="Arial" w:hAnsi="Arial" w:cs="Arial"/>
          <w:sz w:val="22"/>
          <w:szCs w:val="22"/>
        </w:rPr>
        <w:t>Age-mileage functions are required to estimate total travel (expressed as VKT) for each vehicle class. In addition, accumulated mileage is required to estimate the impacts of emissions deterioration due to ageing. For the NMVEI age-mileage algorithms were adopted from TER (2014) for 40 vehicle classes using different data and information sources, including odometer data (</w:t>
      </w:r>
      <w:proofErr w:type="spellStart"/>
      <w:r w:rsidRPr="009F230E">
        <w:rPr>
          <w:rFonts w:ascii="Arial" w:hAnsi="Arial" w:cs="Arial"/>
          <w:sz w:val="22"/>
          <w:szCs w:val="22"/>
        </w:rPr>
        <w:t>Rosevaer</w:t>
      </w:r>
      <w:proofErr w:type="spellEnd"/>
      <w:r w:rsidRPr="009F230E">
        <w:rPr>
          <w:rFonts w:ascii="Arial" w:hAnsi="Arial" w:cs="Arial"/>
          <w:sz w:val="22"/>
          <w:szCs w:val="22"/>
        </w:rPr>
        <w:t>, 2013) and other relevant information (e.g. ABS, 2011a; BTCE, 1996a and 1996b).</w:t>
      </w:r>
    </w:p>
    <w:p w:rsidR="00974A30" w:rsidRPr="009F230E" w:rsidRDefault="00974A30" w:rsidP="009F230E">
      <w:pPr>
        <w:spacing w:line="360" w:lineRule="auto"/>
        <w:jc w:val="both"/>
        <w:rPr>
          <w:rFonts w:ascii="Arial" w:hAnsi="Arial" w:cs="Arial"/>
          <w:sz w:val="22"/>
          <w:szCs w:val="22"/>
        </w:rPr>
      </w:pPr>
    </w:p>
    <w:p w:rsidR="00974A30" w:rsidRPr="00DB5760" w:rsidRDefault="00DB5760" w:rsidP="00DB5760">
      <w:pPr>
        <w:pStyle w:val="Heading2"/>
        <w:tabs>
          <w:tab w:val="clear" w:pos="720"/>
        </w:tabs>
        <w:spacing w:line="360" w:lineRule="auto"/>
        <w:ind w:left="567" w:hanging="567"/>
        <w:rPr>
          <w:rFonts w:ascii="Arial" w:hAnsi="Arial" w:cs="Arial"/>
          <w:sz w:val="22"/>
          <w:szCs w:val="22"/>
        </w:rPr>
      </w:pPr>
      <w:bookmarkStart w:id="21" w:name="_Toc394993194"/>
      <w:r w:rsidRPr="00DB5760">
        <w:rPr>
          <w:rFonts w:ascii="Arial" w:hAnsi="Arial" w:cs="Arial"/>
          <w:sz w:val="22"/>
          <w:szCs w:val="22"/>
        </w:rPr>
        <w:lastRenderedPageBreak/>
        <w:t>Fuel parameters</w:t>
      </w:r>
      <w:bookmarkEnd w:id="21"/>
    </w:p>
    <w:p w:rsidR="00DB5760" w:rsidRPr="00DB5760" w:rsidRDefault="00DB5760" w:rsidP="00DB5760">
      <w:pPr>
        <w:spacing w:line="360" w:lineRule="auto"/>
        <w:jc w:val="both"/>
        <w:rPr>
          <w:rFonts w:ascii="Arial" w:hAnsi="Arial" w:cs="Arial"/>
          <w:sz w:val="22"/>
          <w:szCs w:val="22"/>
          <w:lang w:eastAsia="en-AU"/>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Fuel characteristics affect vehicle emissions. The quality of fuel in Australia is regulated by the </w:t>
      </w:r>
      <w:r w:rsidRPr="00BD2DAF">
        <w:rPr>
          <w:rFonts w:ascii="Arial" w:hAnsi="Arial" w:cs="Arial"/>
          <w:i/>
          <w:sz w:val="22"/>
          <w:szCs w:val="22"/>
        </w:rPr>
        <w:t>Fuel Quality Standards Act 2000</w:t>
      </w:r>
      <w:r w:rsidR="00750FE8">
        <w:rPr>
          <w:rFonts w:ascii="Arial" w:hAnsi="Arial" w:cs="Arial"/>
          <w:sz w:val="22"/>
          <w:szCs w:val="22"/>
        </w:rPr>
        <w:t xml:space="preserve"> (the Act)</w:t>
      </w:r>
      <w:r w:rsidRPr="00DB5760">
        <w:rPr>
          <w:rFonts w:ascii="Arial" w:hAnsi="Arial" w:cs="Arial"/>
          <w:sz w:val="22"/>
          <w:szCs w:val="22"/>
        </w:rPr>
        <w:t xml:space="preserve"> and the Fuel Quality Standards Regulations 2001 (DoE, 2014). The Act places an obligation on the fuel industry, including fuel suppliers, to supply fuels that meet specific requirements. The Act provides a legislative framework for setting national fuel quality and fuel quality information standards for Australia. Fuel quality standards have been established for petrol, diesel, biodiesel, auto-gas (LPG) and ethanol. Information labelling standards have been established for ethanol (in petrol) and ethanol as E85. </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COPERT Australia has input tables that specify a range of fuel parameters that allow local fuel quality to be characterised. </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Table 5 and 6 present an overview of national standards for a number of petrol and diesel fuel parameters, which were used for the vehicle emission simulations in this report. The tables also include Australian fuel information from other data sources, which are discussed below. The default (European) COPERT 4 fuel parameter values for 2009 (</w:t>
      </w:r>
      <w:proofErr w:type="spellStart"/>
      <w:r w:rsidRPr="00DB5760">
        <w:rPr>
          <w:rFonts w:ascii="Arial" w:hAnsi="Arial" w:cs="Arial"/>
          <w:sz w:val="22"/>
          <w:szCs w:val="22"/>
        </w:rPr>
        <w:t>Ntziachristos</w:t>
      </w:r>
      <w:proofErr w:type="spellEnd"/>
      <w:r w:rsidRPr="00DB5760">
        <w:rPr>
          <w:rFonts w:ascii="Arial" w:hAnsi="Arial" w:cs="Arial"/>
          <w:sz w:val="22"/>
          <w:szCs w:val="22"/>
        </w:rPr>
        <w:t xml:space="preserve"> et al., 2012) are also included for comparative purposes.</w:t>
      </w:r>
    </w:p>
    <w:p w:rsidR="00DB5760" w:rsidRPr="00DB5760" w:rsidRDefault="00DB5760" w:rsidP="00DB5760">
      <w:pPr>
        <w:spacing w:line="360" w:lineRule="auto"/>
        <w:jc w:val="both"/>
        <w:rPr>
          <w:rFonts w:ascii="Arial" w:hAnsi="Arial" w:cs="Arial"/>
          <w:sz w:val="22"/>
          <w:szCs w:val="22"/>
        </w:rPr>
      </w:pPr>
    </w:p>
    <w:p w:rsidR="00DB5760" w:rsidRPr="00DB5760" w:rsidRDefault="00DB5760" w:rsidP="00DB5760">
      <w:pPr>
        <w:pStyle w:val="FootnoteText"/>
        <w:spacing w:line="360" w:lineRule="auto"/>
        <w:jc w:val="both"/>
        <w:rPr>
          <w:rFonts w:ascii="Arial" w:hAnsi="Arial" w:cs="Arial"/>
          <w:b/>
          <w:sz w:val="22"/>
          <w:szCs w:val="22"/>
          <w:lang w:val="en-US"/>
        </w:rPr>
      </w:pPr>
      <w:r w:rsidRPr="00DB5760">
        <w:rPr>
          <w:rFonts w:ascii="Arial" w:hAnsi="Arial" w:cs="Arial"/>
          <w:b/>
          <w:sz w:val="22"/>
          <w:szCs w:val="22"/>
          <w:lang w:val="en-US"/>
        </w:rPr>
        <w:t xml:space="preserve">Table 5 </w:t>
      </w:r>
      <w:r w:rsidRPr="00DB5760">
        <w:rPr>
          <w:rFonts w:ascii="Arial" w:hAnsi="Arial" w:cs="Arial"/>
          <w:sz w:val="22"/>
          <w:szCs w:val="22"/>
          <w:lang w:val="en-US"/>
        </w:rPr>
        <w:t>Petrol fuel parameters</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842"/>
        <w:gridCol w:w="1701"/>
        <w:gridCol w:w="1843"/>
        <w:gridCol w:w="1723"/>
      </w:tblGrid>
      <w:tr w:rsidR="00DB5760" w:rsidRPr="00DB5760" w:rsidTr="00095987">
        <w:tc>
          <w:tcPr>
            <w:tcW w:w="2127" w:type="dxa"/>
            <w:shd w:val="pct15" w:color="auto" w:fill="auto"/>
          </w:tcPr>
          <w:p w:rsidR="00DB5760" w:rsidRPr="00DB5760" w:rsidRDefault="00DB5760" w:rsidP="00DB5760">
            <w:pPr>
              <w:pStyle w:val="FootnoteText"/>
              <w:jc w:val="center"/>
              <w:rPr>
                <w:rFonts w:ascii="Arial" w:hAnsi="Arial" w:cs="Arial"/>
                <w:b/>
                <w:lang w:val="en-US"/>
              </w:rPr>
            </w:pPr>
            <w:r w:rsidRPr="00DB5760">
              <w:rPr>
                <w:rFonts w:ascii="Arial" w:hAnsi="Arial" w:cs="Arial"/>
                <w:b/>
                <w:lang w:val="en-US"/>
              </w:rPr>
              <w:t>Fuel parameter</w:t>
            </w:r>
          </w:p>
        </w:tc>
        <w:tc>
          <w:tcPr>
            <w:tcW w:w="1842" w:type="dxa"/>
            <w:shd w:val="pct15" w:color="auto" w:fill="auto"/>
          </w:tcPr>
          <w:p w:rsidR="00DB5760" w:rsidRPr="00DB5760" w:rsidRDefault="00DB5760" w:rsidP="00DB5760">
            <w:pPr>
              <w:pStyle w:val="FootnoteText"/>
              <w:jc w:val="center"/>
              <w:rPr>
                <w:rFonts w:ascii="Arial" w:hAnsi="Arial" w:cs="Arial"/>
                <w:b/>
                <w:lang w:val="en-US"/>
              </w:rPr>
            </w:pPr>
            <w:r w:rsidRPr="00DB5760">
              <w:rPr>
                <w:rFonts w:ascii="Arial" w:hAnsi="Arial" w:cs="Arial"/>
                <w:b/>
                <w:lang w:val="en-US"/>
              </w:rPr>
              <w:t>National standard</w:t>
            </w:r>
          </w:p>
        </w:tc>
        <w:tc>
          <w:tcPr>
            <w:tcW w:w="1701" w:type="dxa"/>
            <w:shd w:val="pct15" w:color="auto" w:fill="auto"/>
          </w:tcPr>
          <w:p w:rsidR="00DB5760" w:rsidRPr="00DB5760" w:rsidRDefault="00DB5760" w:rsidP="00DB5760">
            <w:pPr>
              <w:pStyle w:val="FootnoteText"/>
              <w:jc w:val="center"/>
              <w:rPr>
                <w:rFonts w:ascii="Arial" w:hAnsi="Arial" w:cs="Arial"/>
                <w:b/>
                <w:lang w:val="en-US"/>
              </w:rPr>
            </w:pPr>
            <w:r w:rsidRPr="00DB5760">
              <w:rPr>
                <w:rFonts w:ascii="Arial" w:hAnsi="Arial" w:cs="Arial"/>
                <w:b/>
                <w:lang w:val="en-US"/>
              </w:rPr>
              <w:t>In-service</w:t>
            </w:r>
          </w:p>
        </w:tc>
        <w:tc>
          <w:tcPr>
            <w:tcW w:w="1843" w:type="dxa"/>
            <w:shd w:val="pct15" w:color="auto" w:fill="auto"/>
          </w:tcPr>
          <w:p w:rsidR="00DB5760" w:rsidRPr="00DB5760" w:rsidRDefault="00DB5760" w:rsidP="00DB5760">
            <w:pPr>
              <w:pStyle w:val="FootnoteText"/>
              <w:jc w:val="center"/>
              <w:rPr>
                <w:rFonts w:ascii="Arial" w:hAnsi="Arial" w:cs="Arial"/>
                <w:b/>
                <w:lang w:val="en-US"/>
              </w:rPr>
            </w:pPr>
            <w:r w:rsidRPr="00DB5760">
              <w:rPr>
                <w:rFonts w:ascii="Arial" w:hAnsi="Arial" w:cs="Arial"/>
                <w:b/>
                <w:lang w:val="en-US"/>
              </w:rPr>
              <w:t>National fuel sampling</w:t>
            </w:r>
          </w:p>
        </w:tc>
        <w:tc>
          <w:tcPr>
            <w:tcW w:w="1723" w:type="dxa"/>
            <w:shd w:val="pct15" w:color="auto" w:fill="auto"/>
          </w:tcPr>
          <w:p w:rsidR="00DB5760" w:rsidRPr="00DB5760" w:rsidRDefault="00DB5760" w:rsidP="00DB5760">
            <w:pPr>
              <w:pStyle w:val="FootnoteText"/>
              <w:jc w:val="center"/>
              <w:rPr>
                <w:rFonts w:ascii="Arial" w:hAnsi="Arial" w:cs="Arial"/>
                <w:b/>
                <w:lang w:val="en-US"/>
              </w:rPr>
            </w:pPr>
            <w:r w:rsidRPr="00DB5760">
              <w:rPr>
                <w:rFonts w:ascii="Arial" w:hAnsi="Arial" w:cs="Arial"/>
                <w:b/>
                <w:lang w:val="en-US"/>
              </w:rPr>
              <w:t>COPERT 4</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RVP (</w:t>
            </w:r>
            <w:proofErr w:type="spellStart"/>
            <w:r w:rsidRPr="00DB5760">
              <w:rPr>
                <w:rFonts w:ascii="Arial" w:hAnsi="Arial" w:cs="Arial"/>
                <w:lang w:val="en-US"/>
              </w:rPr>
              <w:t>kPa</w:t>
            </w:r>
            <w:proofErr w:type="spellEnd"/>
            <w:r w:rsidRPr="00DB5760">
              <w:rPr>
                <w:rFonts w:ascii="Arial" w:hAnsi="Arial" w:cs="Arial"/>
                <w:lang w:val="en-US"/>
              </w:rPr>
              <w:t>)</w:t>
            </w:r>
          </w:p>
        </w:tc>
        <w:tc>
          <w:tcPr>
            <w:tcW w:w="1842" w:type="dxa"/>
            <w:shd w:val="clear" w:color="auto" w:fill="auto"/>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01" w:type="dxa"/>
            <w:shd w:val="clear" w:color="auto" w:fill="auto"/>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843" w:type="dxa"/>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60 (summer) / 70 (winter)</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Sulfur (mg/kg)</w:t>
            </w:r>
          </w:p>
        </w:tc>
        <w:tc>
          <w:tcPr>
            <w:tcW w:w="1842" w:type="dxa"/>
            <w:shd w:val="clear" w:color="auto" w:fill="auto"/>
          </w:tcPr>
          <w:p w:rsidR="004A418D" w:rsidRDefault="00DB5760" w:rsidP="00DB5760">
            <w:pPr>
              <w:pStyle w:val="FootnoteText"/>
              <w:rPr>
                <w:rFonts w:ascii="Arial" w:hAnsi="Arial" w:cs="Arial"/>
                <w:lang w:val="en-US"/>
              </w:rPr>
            </w:pPr>
            <w:r w:rsidRPr="00DB5760">
              <w:rPr>
                <w:rFonts w:ascii="Arial" w:hAnsi="Arial" w:cs="Arial"/>
                <w:lang w:val="en-US"/>
              </w:rPr>
              <w:t xml:space="preserve">&lt; 150 (ULP), </w:t>
            </w:r>
          </w:p>
          <w:p w:rsidR="00DB5760" w:rsidRPr="00DB5760" w:rsidRDefault="00DB5760" w:rsidP="00DB5760">
            <w:pPr>
              <w:pStyle w:val="FootnoteText"/>
              <w:rPr>
                <w:rFonts w:ascii="Arial" w:hAnsi="Arial" w:cs="Arial"/>
                <w:lang w:val="en-US"/>
              </w:rPr>
            </w:pPr>
            <w:r w:rsidRPr="00DB5760">
              <w:rPr>
                <w:rFonts w:ascii="Arial" w:hAnsi="Arial" w:cs="Arial"/>
                <w:lang w:val="en-US"/>
              </w:rPr>
              <w:t>&lt; 50 (PULP)</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103 (ULP)</w:t>
            </w:r>
          </w:p>
        </w:tc>
        <w:tc>
          <w:tcPr>
            <w:tcW w:w="1843" w:type="dxa"/>
          </w:tcPr>
          <w:p w:rsidR="004A418D" w:rsidRDefault="00DB5760" w:rsidP="00DB5760">
            <w:pPr>
              <w:pStyle w:val="FootnoteText"/>
              <w:rPr>
                <w:rFonts w:ascii="Arial" w:hAnsi="Arial" w:cs="Arial"/>
                <w:lang w:val="en-US"/>
              </w:rPr>
            </w:pPr>
            <w:r w:rsidRPr="00DB5760">
              <w:rPr>
                <w:rFonts w:ascii="Arial" w:hAnsi="Arial" w:cs="Arial"/>
                <w:lang w:val="en-US"/>
              </w:rPr>
              <w:t xml:space="preserve">66 (ULP), </w:t>
            </w:r>
          </w:p>
          <w:p w:rsidR="00DB5760" w:rsidRPr="00DB5760" w:rsidRDefault="00DB5760" w:rsidP="00DB5760">
            <w:pPr>
              <w:pStyle w:val="FootnoteText"/>
              <w:rPr>
                <w:rFonts w:ascii="Arial" w:hAnsi="Arial" w:cs="Arial"/>
                <w:lang w:val="en-US"/>
              </w:rPr>
            </w:pPr>
            <w:r w:rsidRPr="00DB5760">
              <w:rPr>
                <w:rFonts w:ascii="Arial" w:hAnsi="Arial" w:cs="Arial"/>
                <w:lang w:val="en-US"/>
              </w:rPr>
              <w:t>31 (PULP)</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40</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Benzene (</w:t>
            </w:r>
            <w:proofErr w:type="spellStart"/>
            <w:proofErr w:type="gramStart"/>
            <w:r w:rsidRPr="00DB5760">
              <w:rPr>
                <w:rFonts w:ascii="Arial" w:hAnsi="Arial" w:cs="Arial"/>
                <w:lang w:val="en-US"/>
              </w:rPr>
              <w:t>vol</w:t>
            </w:r>
            <w:proofErr w:type="spellEnd"/>
            <w:r w:rsidRPr="00DB5760">
              <w:rPr>
                <w:rFonts w:ascii="Arial" w:hAnsi="Arial" w:cs="Arial"/>
                <w:lang w:val="en-US"/>
              </w:rPr>
              <w:t>%</w:t>
            </w:r>
            <w:proofErr w:type="gramEnd"/>
            <w:r w:rsidRPr="00DB5760">
              <w:rPr>
                <w:rFonts w:ascii="Arial" w:hAnsi="Arial" w:cs="Arial"/>
                <w:lang w:val="en-US"/>
              </w:rPr>
              <w:t>)</w:t>
            </w:r>
          </w:p>
        </w:tc>
        <w:tc>
          <w:tcPr>
            <w:tcW w:w="1842"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&lt; 1.0%</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0.4%</w:t>
            </w:r>
          </w:p>
        </w:tc>
        <w:tc>
          <w:tcPr>
            <w:tcW w:w="1843" w:type="dxa"/>
          </w:tcPr>
          <w:p w:rsidR="00DB5760" w:rsidRPr="00DB5760" w:rsidRDefault="00DB5760" w:rsidP="00DB5760">
            <w:pPr>
              <w:pStyle w:val="FootnoteText"/>
              <w:rPr>
                <w:rFonts w:ascii="Arial" w:hAnsi="Arial" w:cs="Arial"/>
                <w:lang w:val="en-US"/>
              </w:rPr>
            </w:pPr>
            <w:r w:rsidRPr="00DB5760">
              <w:rPr>
                <w:rFonts w:ascii="Arial" w:hAnsi="Arial" w:cs="Arial"/>
                <w:lang w:val="en-US"/>
              </w:rPr>
              <w:t>0.7%</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0.8%</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Aromatics (</w:t>
            </w:r>
            <w:proofErr w:type="spellStart"/>
            <w:proofErr w:type="gramStart"/>
            <w:r w:rsidRPr="00DB5760">
              <w:rPr>
                <w:rFonts w:ascii="Arial" w:hAnsi="Arial" w:cs="Arial"/>
                <w:lang w:val="en-US"/>
              </w:rPr>
              <w:t>vol</w:t>
            </w:r>
            <w:proofErr w:type="spellEnd"/>
            <w:r w:rsidRPr="00DB5760">
              <w:rPr>
                <w:rFonts w:ascii="Arial" w:hAnsi="Arial" w:cs="Arial"/>
                <w:lang w:val="en-US"/>
              </w:rPr>
              <w:t>%</w:t>
            </w:r>
            <w:proofErr w:type="gramEnd"/>
            <w:r w:rsidRPr="00DB5760">
              <w:rPr>
                <w:rFonts w:ascii="Arial" w:hAnsi="Arial" w:cs="Arial"/>
                <w:lang w:val="en-US"/>
              </w:rPr>
              <w:t>)</w:t>
            </w:r>
          </w:p>
        </w:tc>
        <w:tc>
          <w:tcPr>
            <w:tcW w:w="1842"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&lt; 45.0%</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28.1%</w:t>
            </w:r>
          </w:p>
        </w:tc>
        <w:tc>
          <w:tcPr>
            <w:tcW w:w="1843" w:type="dxa"/>
          </w:tcPr>
          <w:p w:rsidR="004A418D" w:rsidRDefault="00DB5760" w:rsidP="00DB5760">
            <w:pPr>
              <w:pStyle w:val="FootnoteText"/>
              <w:rPr>
                <w:rFonts w:ascii="Arial" w:hAnsi="Arial" w:cs="Arial"/>
                <w:lang w:val="en-US"/>
              </w:rPr>
            </w:pPr>
            <w:r w:rsidRPr="00DB5760">
              <w:rPr>
                <w:rFonts w:ascii="Arial" w:hAnsi="Arial" w:cs="Arial"/>
                <w:lang w:val="en-US"/>
              </w:rPr>
              <w:t xml:space="preserve">26% (ULP), </w:t>
            </w:r>
          </w:p>
          <w:p w:rsidR="00DB5760" w:rsidRPr="00DB5760" w:rsidRDefault="00DB5760" w:rsidP="00DB5760">
            <w:pPr>
              <w:pStyle w:val="FootnoteText"/>
              <w:rPr>
                <w:rFonts w:ascii="Arial" w:hAnsi="Arial" w:cs="Arial"/>
                <w:lang w:val="en-US"/>
              </w:rPr>
            </w:pPr>
            <w:r w:rsidRPr="00DB5760">
              <w:rPr>
                <w:rFonts w:ascii="Arial" w:hAnsi="Arial" w:cs="Arial"/>
                <w:lang w:val="en-US"/>
              </w:rPr>
              <w:t>35% (PULP)</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33.0%</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Olefins (</w:t>
            </w:r>
            <w:proofErr w:type="spellStart"/>
            <w:proofErr w:type="gramStart"/>
            <w:r w:rsidRPr="00DB5760">
              <w:rPr>
                <w:rFonts w:ascii="Arial" w:hAnsi="Arial" w:cs="Arial"/>
                <w:lang w:val="en-US"/>
              </w:rPr>
              <w:t>vol</w:t>
            </w:r>
            <w:proofErr w:type="spellEnd"/>
            <w:r w:rsidRPr="00DB5760">
              <w:rPr>
                <w:rFonts w:ascii="Arial" w:hAnsi="Arial" w:cs="Arial"/>
                <w:lang w:val="en-US"/>
              </w:rPr>
              <w:t>%</w:t>
            </w:r>
            <w:proofErr w:type="gramEnd"/>
            <w:r w:rsidRPr="00DB5760">
              <w:rPr>
                <w:rFonts w:ascii="Arial" w:hAnsi="Arial" w:cs="Arial"/>
                <w:lang w:val="en-US"/>
              </w:rPr>
              <w:t>)</w:t>
            </w:r>
          </w:p>
        </w:tc>
        <w:tc>
          <w:tcPr>
            <w:tcW w:w="1842"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&lt; 18.0%</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16.1%</w:t>
            </w:r>
          </w:p>
        </w:tc>
        <w:tc>
          <w:tcPr>
            <w:tcW w:w="1843" w:type="dxa"/>
          </w:tcPr>
          <w:p w:rsidR="004A418D" w:rsidRDefault="00DB5760" w:rsidP="00DB5760">
            <w:pPr>
              <w:pStyle w:val="FootnoteText"/>
              <w:rPr>
                <w:rFonts w:ascii="Arial" w:hAnsi="Arial" w:cs="Arial"/>
                <w:lang w:val="en-US"/>
              </w:rPr>
            </w:pPr>
            <w:r w:rsidRPr="00DB5760">
              <w:rPr>
                <w:rFonts w:ascii="Arial" w:hAnsi="Arial" w:cs="Arial"/>
                <w:lang w:val="en-US"/>
              </w:rPr>
              <w:t xml:space="preserve">13% (ULP), </w:t>
            </w:r>
          </w:p>
          <w:p w:rsidR="00DB5760" w:rsidRPr="00DB5760" w:rsidRDefault="00DB5760" w:rsidP="00DB5760">
            <w:pPr>
              <w:pStyle w:val="FootnoteText"/>
              <w:rPr>
                <w:rFonts w:ascii="Arial" w:hAnsi="Arial" w:cs="Arial"/>
                <w:lang w:val="en-US"/>
              </w:rPr>
            </w:pPr>
            <w:r w:rsidRPr="00DB5760">
              <w:rPr>
                <w:rFonts w:ascii="Arial" w:hAnsi="Arial" w:cs="Arial"/>
                <w:lang w:val="en-US"/>
              </w:rPr>
              <w:t>10% (PULP)</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10.0%</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E100</w:t>
            </w:r>
          </w:p>
        </w:tc>
        <w:tc>
          <w:tcPr>
            <w:tcW w:w="1842" w:type="dxa"/>
            <w:shd w:val="clear" w:color="auto" w:fill="auto"/>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46%</w:t>
            </w:r>
          </w:p>
        </w:tc>
        <w:tc>
          <w:tcPr>
            <w:tcW w:w="1843" w:type="dxa"/>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52%</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E150</w:t>
            </w:r>
          </w:p>
        </w:tc>
        <w:tc>
          <w:tcPr>
            <w:tcW w:w="1842" w:type="dxa"/>
            <w:shd w:val="clear" w:color="auto" w:fill="auto"/>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01"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84%</w:t>
            </w:r>
          </w:p>
        </w:tc>
        <w:tc>
          <w:tcPr>
            <w:tcW w:w="1843" w:type="dxa"/>
          </w:tcPr>
          <w:p w:rsidR="00DB5760" w:rsidRPr="00DB5760" w:rsidRDefault="00DB5760" w:rsidP="00DB5760">
            <w:pPr>
              <w:pStyle w:val="FootnoteText"/>
              <w:jc w:val="center"/>
              <w:rPr>
                <w:rFonts w:ascii="Arial" w:hAnsi="Arial" w:cs="Arial"/>
                <w:lang w:val="en-US"/>
              </w:rPr>
            </w:pPr>
            <w:r w:rsidRPr="00DB5760">
              <w:rPr>
                <w:rFonts w:ascii="Arial" w:hAnsi="Arial" w:cs="Arial"/>
                <w:lang w:val="en-US"/>
              </w:rPr>
              <w:t>-</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86%</w:t>
            </w:r>
          </w:p>
        </w:tc>
      </w:tr>
      <w:tr w:rsidR="00DB5760" w:rsidRPr="00DB5760" w:rsidTr="00095987">
        <w:tc>
          <w:tcPr>
            <w:tcW w:w="2127"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Lead (mg/l)</w:t>
            </w:r>
          </w:p>
        </w:tc>
        <w:tc>
          <w:tcPr>
            <w:tcW w:w="1842"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&lt; 5</w:t>
            </w:r>
          </w:p>
        </w:tc>
        <w:tc>
          <w:tcPr>
            <w:tcW w:w="1701" w:type="dxa"/>
            <w:shd w:val="clear" w:color="auto" w:fill="auto"/>
          </w:tcPr>
          <w:p w:rsidR="004A418D" w:rsidRDefault="00DB5760" w:rsidP="00DB5760">
            <w:pPr>
              <w:pStyle w:val="FootnoteText"/>
              <w:rPr>
                <w:rFonts w:ascii="Arial" w:hAnsi="Arial" w:cs="Arial"/>
                <w:lang w:val="en-US"/>
              </w:rPr>
            </w:pPr>
            <w:r w:rsidRPr="00DB5760">
              <w:rPr>
                <w:rFonts w:ascii="Arial" w:hAnsi="Arial" w:cs="Arial"/>
                <w:lang w:val="en-US"/>
              </w:rPr>
              <w:t xml:space="preserve">1 (ULP), </w:t>
            </w:r>
          </w:p>
          <w:p w:rsidR="00DB5760" w:rsidRPr="00DB5760" w:rsidRDefault="00DB5760" w:rsidP="00DB5760">
            <w:pPr>
              <w:pStyle w:val="FootnoteText"/>
              <w:rPr>
                <w:rFonts w:ascii="Arial" w:hAnsi="Arial" w:cs="Arial"/>
                <w:lang w:val="en-US"/>
              </w:rPr>
            </w:pPr>
            <w:r w:rsidRPr="00DB5760">
              <w:rPr>
                <w:rFonts w:ascii="Arial" w:hAnsi="Arial" w:cs="Arial"/>
                <w:lang w:val="en-US"/>
              </w:rPr>
              <w:t>2 (PULP) *</w:t>
            </w:r>
          </w:p>
        </w:tc>
        <w:tc>
          <w:tcPr>
            <w:tcW w:w="1843" w:type="dxa"/>
          </w:tcPr>
          <w:p w:rsidR="00DB5760" w:rsidRPr="00DB5760" w:rsidRDefault="00DB5760" w:rsidP="00DB5760">
            <w:pPr>
              <w:pStyle w:val="FootnoteText"/>
              <w:rPr>
                <w:rFonts w:ascii="Arial" w:hAnsi="Arial" w:cs="Arial"/>
                <w:lang w:val="en-US"/>
              </w:rPr>
            </w:pPr>
            <w:r w:rsidRPr="00DB5760">
              <w:rPr>
                <w:rFonts w:ascii="Arial" w:hAnsi="Arial" w:cs="Arial"/>
                <w:lang w:val="en-US"/>
              </w:rPr>
              <w:t>1.25 **</w:t>
            </w:r>
          </w:p>
        </w:tc>
        <w:tc>
          <w:tcPr>
            <w:tcW w:w="1723" w:type="dxa"/>
            <w:shd w:val="clear" w:color="auto" w:fill="auto"/>
          </w:tcPr>
          <w:p w:rsidR="00DB5760" w:rsidRPr="00DB5760" w:rsidRDefault="00DB5760" w:rsidP="00DB5760">
            <w:pPr>
              <w:pStyle w:val="FootnoteText"/>
              <w:rPr>
                <w:rFonts w:ascii="Arial" w:hAnsi="Arial" w:cs="Arial"/>
                <w:lang w:val="en-US"/>
              </w:rPr>
            </w:pPr>
            <w:r w:rsidRPr="00DB5760">
              <w:rPr>
                <w:rFonts w:ascii="Arial" w:hAnsi="Arial" w:cs="Arial"/>
                <w:lang w:val="en-US"/>
              </w:rPr>
              <w:t>0.02</w:t>
            </w:r>
          </w:p>
        </w:tc>
      </w:tr>
    </w:tbl>
    <w:p w:rsidR="00DB5760" w:rsidRPr="00DB5760" w:rsidRDefault="00DB5760" w:rsidP="00DB5760">
      <w:pPr>
        <w:pStyle w:val="FootnoteText"/>
        <w:jc w:val="both"/>
        <w:rPr>
          <w:rFonts w:ascii="Arial" w:hAnsi="Arial" w:cs="Arial"/>
          <w:i/>
          <w:sz w:val="22"/>
          <w:szCs w:val="22"/>
          <w:lang w:val="en-US"/>
        </w:rPr>
      </w:pPr>
      <w:r w:rsidRPr="00DB5760">
        <w:rPr>
          <w:rFonts w:ascii="Arial" w:hAnsi="Arial" w:cs="Arial"/>
          <w:i/>
          <w:sz w:val="22"/>
          <w:szCs w:val="22"/>
          <w:lang w:val="en-US"/>
        </w:rPr>
        <w:t>* Those values were measured before the petrol fuel standard became effective</w:t>
      </w:r>
    </w:p>
    <w:p w:rsidR="00DB5760" w:rsidRPr="00DB5760" w:rsidRDefault="00DB5760" w:rsidP="00DB5760">
      <w:pPr>
        <w:pStyle w:val="FootnoteText"/>
        <w:jc w:val="both"/>
        <w:rPr>
          <w:rFonts w:ascii="Arial" w:hAnsi="Arial" w:cs="Arial"/>
          <w:i/>
          <w:sz w:val="22"/>
          <w:szCs w:val="22"/>
          <w:lang w:val="en-US"/>
        </w:rPr>
      </w:pPr>
      <w:r w:rsidRPr="00DB5760">
        <w:rPr>
          <w:rFonts w:ascii="Arial" w:hAnsi="Arial" w:cs="Arial"/>
          <w:i/>
          <w:sz w:val="22"/>
          <w:szCs w:val="22"/>
          <w:lang w:val="en-US"/>
        </w:rPr>
        <w:t xml:space="preserve">** 97% of the samples had values below the detection limit for </w:t>
      </w:r>
      <w:proofErr w:type="gramStart"/>
      <w:r w:rsidRPr="00DB5760">
        <w:rPr>
          <w:rFonts w:ascii="Arial" w:hAnsi="Arial" w:cs="Arial"/>
          <w:i/>
          <w:sz w:val="22"/>
          <w:szCs w:val="22"/>
          <w:lang w:val="en-US"/>
        </w:rPr>
        <w:t>lead,</w:t>
      </w:r>
      <w:proofErr w:type="gramEnd"/>
      <w:r w:rsidRPr="00DB5760">
        <w:rPr>
          <w:rFonts w:ascii="Arial" w:hAnsi="Arial" w:cs="Arial"/>
          <w:i/>
          <w:sz w:val="22"/>
          <w:szCs w:val="22"/>
          <w:lang w:val="en-US"/>
        </w:rPr>
        <w:t xml:space="preserve"> the value represents half the detection limit</w:t>
      </w:r>
    </w:p>
    <w:p w:rsidR="00DB5760" w:rsidRPr="00DB5760" w:rsidRDefault="00DB5760" w:rsidP="00DB5760">
      <w:pPr>
        <w:pStyle w:val="FootnoteText"/>
        <w:spacing w:line="360" w:lineRule="auto"/>
        <w:jc w:val="both"/>
        <w:rPr>
          <w:rFonts w:ascii="Arial" w:hAnsi="Arial" w:cs="Arial"/>
          <w:sz w:val="22"/>
          <w:szCs w:val="22"/>
          <w:lang w:val="en-US"/>
        </w:rPr>
      </w:pPr>
    </w:p>
    <w:p w:rsidR="00DB5760" w:rsidRDefault="00DB5760">
      <w:pPr>
        <w:rPr>
          <w:rFonts w:ascii="Arial" w:hAnsi="Arial" w:cs="Arial"/>
          <w:b/>
          <w:sz w:val="22"/>
          <w:szCs w:val="22"/>
          <w:lang w:val="en-US"/>
        </w:rPr>
      </w:pPr>
      <w:r>
        <w:rPr>
          <w:rFonts w:ascii="Arial" w:hAnsi="Arial" w:cs="Arial"/>
          <w:b/>
          <w:sz w:val="22"/>
          <w:szCs w:val="22"/>
          <w:lang w:val="en-US"/>
        </w:rPr>
        <w:br w:type="page"/>
      </w:r>
    </w:p>
    <w:p w:rsidR="00DB5760" w:rsidRPr="00DB5760" w:rsidRDefault="00DB5760" w:rsidP="00DB5760">
      <w:pPr>
        <w:pStyle w:val="FootnoteText"/>
        <w:spacing w:line="360" w:lineRule="auto"/>
        <w:jc w:val="both"/>
        <w:rPr>
          <w:rFonts w:ascii="Arial" w:hAnsi="Arial" w:cs="Arial"/>
          <w:sz w:val="22"/>
          <w:szCs w:val="22"/>
          <w:lang w:val="en-US"/>
        </w:rPr>
      </w:pPr>
      <w:r w:rsidRPr="00DB5760">
        <w:rPr>
          <w:rFonts w:ascii="Arial" w:hAnsi="Arial" w:cs="Arial"/>
          <w:b/>
          <w:sz w:val="22"/>
          <w:szCs w:val="22"/>
          <w:lang w:val="en-US"/>
        </w:rPr>
        <w:lastRenderedPageBreak/>
        <w:t xml:space="preserve">Table 6 </w:t>
      </w:r>
      <w:r w:rsidRPr="00DB5760">
        <w:rPr>
          <w:rFonts w:ascii="Arial" w:hAnsi="Arial" w:cs="Arial"/>
          <w:sz w:val="22"/>
          <w:szCs w:val="22"/>
          <w:lang w:val="en-US"/>
        </w:rPr>
        <w:t>Diesel fuel parameters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2268"/>
        <w:gridCol w:w="1304"/>
        <w:gridCol w:w="1644"/>
        <w:gridCol w:w="1361"/>
      </w:tblGrid>
      <w:tr w:rsidR="00DB5760" w:rsidRPr="00DB5760" w:rsidTr="00DB5760">
        <w:tc>
          <w:tcPr>
            <w:tcW w:w="2665" w:type="dxa"/>
            <w:shd w:val="pct15" w:color="auto" w:fill="auto"/>
          </w:tcPr>
          <w:p w:rsidR="00DB5760" w:rsidRPr="00DB5760" w:rsidRDefault="00DB5760" w:rsidP="00DB5760">
            <w:pPr>
              <w:pStyle w:val="FootnoteText"/>
              <w:rPr>
                <w:rFonts w:ascii="Arial" w:hAnsi="Arial" w:cs="Arial"/>
                <w:b/>
                <w:sz w:val="22"/>
                <w:szCs w:val="22"/>
                <w:lang w:val="en-US"/>
              </w:rPr>
            </w:pPr>
            <w:r w:rsidRPr="00DB5760">
              <w:rPr>
                <w:rFonts w:ascii="Arial" w:hAnsi="Arial" w:cs="Arial"/>
                <w:b/>
                <w:sz w:val="22"/>
                <w:szCs w:val="22"/>
                <w:lang w:val="en-US"/>
              </w:rPr>
              <w:t>Fuel parameter</w:t>
            </w:r>
          </w:p>
        </w:tc>
        <w:tc>
          <w:tcPr>
            <w:tcW w:w="2268" w:type="dxa"/>
            <w:shd w:val="pct15" w:color="auto" w:fill="auto"/>
          </w:tcPr>
          <w:p w:rsidR="00DB5760" w:rsidRPr="00DB5760" w:rsidRDefault="00DB5760" w:rsidP="00DB5760">
            <w:pPr>
              <w:pStyle w:val="FootnoteText"/>
              <w:rPr>
                <w:rFonts w:ascii="Arial" w:hAnsi="Arial" w:cs="Arial"/>
                <w:b/>
                <w:sz w:val="22"/>
                <w:szCs w:val="22"/>
                <w:lang w:val="en-US"/>
              </w:rPr>
            </w:pPr>
            <w:r w:rsidRPr="00DB5760">
              <w:rPr>
                <w:rFonts w:ascii="Arial" w:hAnsi="Arial" w:cs="Arial"/>
                <w:b/>
                <w:sz w:val="22"/>
                <w:szCs w:val="22"/>
                <w:lang w:val="en-US"/>
              </w:rPr>
              <w:t>National standard</w:t>
            </w:r>
          </w:p>
        </w:tc>
        <w:tc>
          <w:tcPr>
            <w:tcW w:w="1304" w:type="dxa"/>
            <w:shd w:val="pct15" w:color="auto" w:fill="auto"/>
          </w:tcPr>
          <w:p w:rsidR="00DB5760" w:rsidRPr="00DB5760" w:rsidRDefault="00DB5760" w:rsidP="00DB5760">
            <w:pPr>
              <w:pStyle w:val="FootnoteText"/>
              <w:rPr>
                <w:rFonts w:ascii="Arial" w:hAnsi="Arial" w:cs="Arial"/>
                <w:b/>
                <w:sz w:val="22"/>
                <w:szCs w:val="22"/>
                <w:lang w:val="en-US"/>
              </w:rPr>
            </w:pPr>
            <w:r w:rsidRPr="00DB5760">
              <w:rPr>
                <w:rFonts w:ascii="Arial" w:hAnsi="Arial" w:cs="Arial"/>
                <w:b/>
                <w:sz w:val="22"/>
                <w:szCs w:val="22"/>
                <w:lang w:val="en-US"/>
              </w:rPr>
              <w:t>In-service</w:t>
            </w:r>
          </w:p>
        </w:tc>
        <w:tc>
          <w:tcPr>
            <w:tcW w:w="1644" w:type="dxa"/>
            <w:shd w:val="pct15" w:color="auto" w:fill="auto"/>
          </w:tcPr>
          <w:p w:rsidR="00DB5760" w:rsidRPr="00DB5760" w:rsidRDefault="00DB5760" w:rsidP="00DB5760">
            <w:pPr>
              <w:pStyle w:val="FootnoteText"/>
              <w:rPr>
                <w:rFonts w:ascii="Arial" w:hAnsi="Arial" w:cs="Arial"/>
                <w:b/>
                <w:sz w:val="22"/>
                <w:szCs w:val="22"/>
                <w:lang w:val="en-US"/>
              </w:rPr>
            </w:pPr>
            <w:r w:rsidRPr="00DB5760">
              <w:rPr>
                <w:rFonts w:ascii="Arial" w:hAnsi="Arial" w:cs="Arial"/>
                <w:b/>
                <w:sz w:val="22"/>
                <w:szCs w:val="22"/>
                <w:lang w:val="en-US"/>
              </w:rPr>
              <w:t>National fuel sampling</w:t>
            </w:r>
          </w:p>
        </w:tc>
        <w:tc>
          <w:tcPr>
            <w:tcW w:w="1361" w:type="dxa"/>
            <w:shd w:val="pct15" w:color="auto" w:fill="auto"/>
          </w:tcPr>
          <w:p w:rsidR="00DB5760" w:rsidRPr="00DB5760" w:rsidRDefault="00DB5760" w:rsidP="00DB5760">
            <w:pPr>
              <w:pStyle w:val="FootnoteText"/>
              <w:rPr>
                <w:rFonts w:ascii="Arial" w:hAnsi="Arial" w:cs="Arial"/>
                <w:b/>
                <w:sz w:val="22"/>
                <w:szCs w:val="22"/>
                <w:lang w:val="en-US"/>
              </w:rPr>
            </w:pPr>
            <w:r w:rsidRPr="00DB5760">
              <w:rPr>
                <w:rFonts w:ascii="Arial" w:hAnsi="Arial" w:cs="Arial"/>
                <w:b/>
                <w:sz w:val="22"/>
                <w:szCs w:val="22"/>
                <w:lang w:val="en-US"/>
              </w:rPr>
              <w:t>COPERT 4</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Sulfur (mg/kg)</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&lt; 10</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7</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8</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proofErr w:type="spellStart"/>
            <w:r w:rsidRPr="00DB5760">
              <w:rPr>
                <w:rFonts w:ascii="Arial" w:hAnsi="Arial" w:cs="Arial"/>
                <w:sz w:val="22"/>
                <w:szCs w:val="22"/>
                <w:lang w:val="en-US"/>
              </w:rPr>
              <w:t>Cetane</w:t>
            </w:r>
            <w:proofErr w:type="spellEnd"/>
            <w:r w:rsidRPr="00DB5760">
              <w:rPr>
                <w:rFonts w:ascii="Arial" w:hAnsi="Arial" w:cs="Arial"/>
                <w:sz w:val="22"/>
                <w:szCs w:val="22"/>
                <w:lang w:val="en-US"/>
              </w:rPr>
              <w:t xml:space="preserve"> index</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&gt; 46</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54</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53</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Density (g/l)</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820-850</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839</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835</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PAHs (% by mass)</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&lt; 11.0%</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3.9%</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5%</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Total Aromatics</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24%</w:t>
            </w:r>
          </w:p>
        </w:tc>
      </w:tr>
      <w:tr w:rsidR="00DB5760" w:rsidRPr="00DB5760" w:rsidTr="00DB5760">
        <w:tc>
          <w:tcPr>
            <w:tcW w:w="2665"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T95</w:t>
            </w:r>
          </w:p>
        </w:tc>
        <w:tc>
          <w:tcPr>
            <w:tcW w:w="2268"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360-370 ºC</w:t>
            </w:r>
          </w:p>
        </w:tc>
        <w:tc>
          <w:tcPr>
            <w:tcW w:w="1304"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w:t>
            </w:r>
          </w:p>
        </w:tc>
        <w:tc>
          <w:tcPr>
            <w:tcW w:w="1644" w:type="dxa"/>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347 ºC</w:t>
            </w:r>
          </w:p>
        </w:tc>
        <w:tc>
          <w:tcPr>
            <w:tcW w:w="1361" w:type="dxa"/>
            <w:shd w:val="clear" w:color="auto" w:fill="auto"/>
          </w:tcPr>
          <w:p w:rsidR="00DB5760" w:rsidRPr="00DB5760" w:rsidRDefault="00DB5760" w:rsidP="00DB5760">
            <w:pPr>
              <w:pStyle w:val="FootnoteText"/>
              <w:rPr>
                <w:rFonts w:ascii="Arial" w:hAnsi="Arial" w:cs="Arial"/>
                <w:sz w:val="22"/>
                <w:szCs w:val="22"/>
                <w:lang w:val="en-US"/>
              </w:rPr>
            </w:pPr>
            <w:r w:rsidRPr="00DB5760">
              <w:rPr>
                <w:rFonts w:ascii="Arial" w:hAnsi="Arial" w:cs="Arial"/>
                <w:sz w:val="22"/>
                <w:szCs w:val="22"/>
                <w:lang w:val="en-US"/>
              </w:rPr>
              <w:t>320 ºC</w:t>
            </w:r>
          </w:p>
        </w:tc>
      </w:tr>
    </w:tbl>
    <w:p w:rsidR="00DB5760" w:rsidRPr="00DB5760" w:rsidRDefault="00DB5760" w:rsidP="00DB5760">
      <w:pPr>
        <w:pStyle w:val="FootnoteText"/>
        <w:spacing w:line="360" w:lineRule="auto"/>
        <w:jc w:val="both"/>
        <w:rPr>
          <w:rFonts w:ascii="Arial" w:hAnsi="Arial" w:cs="Arial"/>
          <w:sz w:val="22"/>
          <w:szCs w:val="22"/>
          <w:lang w:val="en-US"/>
        </w:rPr>
      </w:pPr>
    </w:p>
    <w:p w:rsidR="00DB5760" w:rsidRPr="00DB5760" w:rsidRDefault="00DB5760" w:rsidP="00DB5760">
      <w:pPr>
        <w:spacing w:line="360" w:lineRule="auto"/>
        <w:jc w:val="both"/>
        <w:rPr>
          <w:rFonts w:ascii="Arial" w:hAnsi="Arial" w:cs="Arial"/>
          <w:sz w:val="22"/>
          <w:szCs w:val="22"/>
        </w:rPr>
      </w:pPr>
      <w:r w:rsidRPr="00DB5760">
        <w:rPr>
          <w:rFonts w:ascii="Arial" w:hAnsi="Arial" w:cs="Arial"/>
          <w:sz w:val="22"/>
          <w:szCs w:val="22"/>
        </w:rPr>
        <w:t>The national fuel quality standards set limits for a range of fuel parameters. However these do not accurately reflect the actual fuel specifications of in-service transport fuels. “In-service” fuel quality is required for the accurate modelling of vehicle emissions.</w:t>
      </w:r>
    </w:p>
    <w:p w:rsidR="00DB5760" w:rsidRPr="00DB5760" w:rsidRDefault="00DB5760" w:rsidP="00DB5760">
      <w:pPr>
        <w:spacing w:line="360" w:lineRule="auto"/>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Vehicle emission testing programs generally use commercially available fuels. These studies often report actual test fuel specifications. However, given the changes in fuel standards, recent studies are much more useful for the purposes of developing vehicle emission inventories. The NISE2 study (RTA, 2009) provided measured fuel parameter information for summer grade commercial ULP fuel in </w:t>
      </w:r>
      <w:r w:rsidR="00750FE8">
        <w:rPr>
          <w:rFonts w:ascii="Arial" w:hAnsi="Arial" w:cs="Arial"/>
          <w:sz w:val="22"/>
          <w:szCs w:val="22"/>
        </w:rPr>
        <w:t>WA</w:t>
      </w:r>
      <w:r w:rsidRPr="00DB5760">
        <w:rPr>
          <w:rFonts w:ascii="Arial" w:hAnsi="Arial" w:cs="Arial"/>
          <w:sz w:val="22"/>
          <w:szCs w:val="22"/>
        </w:rPr>
        <w:t>. Th</w:t>
      </w:r>
      <w:r w:rsidR="00750FE8">
        <w:rPr>
          <w:rFonts w:ascii="Arial" w:hAnsi="Arial" w:cs="Arial"/>
          <w:sz w:val="22"/>
          <w:szCs w:val="22"/>
        </w:rPr>
        <w:t>is</w:t>
      </w:r>
      <w:r w:rsidRPr="00DB5760">
        <w:rPr>
          <w:rFonts w:ascii="Arial" w:hAnsi="Arial" w:cs="Arial"/>
          <w:sz w:val="22"/>
          <w:szCs w:val="22"/>
        </w:rPr>
        <w:t xml:space="preserve"> data </w:t>
      </w:r>
      <w:r w:rsidR="00750FE8">
        <w:rPr>
          <w:rFonts w:ascii="Arial" w:hAnsi="Arial" w:cs="Arial"/>
          <w:sz w:val="22"/>
          <w:szCs w:val="22"/>
        </w:rPr>
        <w:t>is</w:t>
      </w:r>
      <w:r w:rsidRPr="00DB5760">
        <w:rPr>
          <w:rFonts w:ascii="Arial" w:hAnsi="Arial" w:cs="Arial"/>
          <w:sz w:val="22"/>
          <w:szCs w:val="22"/>
        </w:rPr>
        <w:t xml:space="preserve"> shown in </w:t>
      </w:r>
      <w:r w:rsidR="00750FE8" w:rsidRPr="00DB5760">
        <w:rPr>
          <w:rFonts w:ascii="Arial" w:hAnsi="Arial" w:cs="Arial"/>
          <w:sz w:val="22"/>
          <w:szCs w:val="22"/>
        </w:rPr>
        <w:t xml:space="preserve">the “in-service” column </w:t>
      </w:r>
      <w:r w:rsidR="00750FE8">
        <w:rPr>
          <w:rFonts w:ascii="Arial" w:hAnsi="Arial" w:cs="Arial"/>
          <w:sz w:val="22"/>
          <w:szCs w:val="22"/>
        </w:rPr>
        <w:t xml:space="preserve">in </w:t>
      </w:r>
      <w:r w:rsidRPr="00DB5760">
        <w:rPr>
          <w:rFonts w:ascii="Arial" w:hAnsi="Arial" w:cs="Arial"/>
          <w:sz w:val="22"/>
          <w:szCs w:val="22"/>
        </w:rPr>
        <w:t>Table</w:t>
      </w:r>
      <w:r w:rsidR="00750FE8">
        <w:rPr>
          <w:rFonts w:ascii="Arial" w:hAnsi="Arial" w:cs="Arial"/>
          <w:sz w:val="22"/>
          <w:szCs w:val="22"/>
        </w:rPr>
        <w:t>s</w:t>
      </w:r>
      <w:r w:rsidRPr="00DB5760">
        <w:rPr>
          <w:rFonts w:ascii="Arial" w:hAnsi="Arial" w:cs="Arial"/>
          <w:sz w:val="22"/>
          <w:szCs w:val="22"/>
        </w:rPr>
        <w:t xml:space="preserve"> 1 and 2</w:t>
      </w:r>
      <w:proofErr w:type="gramStart"/>
      <w:r w:rsidR="00750FE8">
        <w:rPr>
          <w:rFonts w:ascii="Arial" w:hAnsi="Arial" w:cs="Arial"/>
          <w:sz w:val="22"/>
          <w:szCs w:val="22"/>
        </w:rPr>
        <w:t>.</w:t>
      </w:r>
      <w:r w:rsidRPr="00DB5760">
        <w:rPr>
          <w:rFonts w:ascii="Arial" w:hAnsi="Arial" w:cs="Arial"/>
          <w:sz w:val="22"/>
          <w:szCs w:val="22"/>
        </w:rPr>
        <w:t>.</w:t>
      </w:r>
      <w:proofErr w:type="gramEnd"/>
      <w:r w:rsidRPr="00DB5760">
        <w:rPr>
          <w:rFonts w:ascii="Arial" w:hAnsi="Arial" w:cs="Arial"/>
          <w:sz w:val="22"/>
          <w:szCs w:val="22"/>
        </w:rPr>
        <w:t xml:space="preserve"> </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The Australian Government administers a fuel sampling program to monitor the quality of fuels sold in Australia and ensure compliance with the Act. Through this fuel testing program</w:t>
      </w:r>
      <w:r w:rsidR="00B21099">
        <w:rPr>
          <w:rFonts w:ascii="Arial" w:hAnsi="Arial" w:cs="Arial"/>
          <w:sz w:val="22"/>
          <w:szCs w:val="22"/>
        </w:rPr>
        <w:t>me</w:t>
      </w:r>
      <w:r w:rsidRPr="00DB5760">
        <w:rPr>
          <w:rFonts w:ascii="Arial" w:hAnsi="Arial" w:cs="Arial"/>
          <w:sz w:val="22"/>
          <w:szCs w:val="22"/>
        </w:rPr>
        <w:t xml:space="preserve">, fuel samples are taken throughout the fuel supply chain, including at service station forecourts. </w:t>
      </w:r>
      <w:r w:rsidRPr="00BD2DAF">
        <w:rPr>
          <w:rFonts w:ascii="Arial" w:hAnsi="Arial" w:cs="Arial"/>
          <w:sz w:val="22"/>
          <w:szCs w:val="22"/>
        </w:rPr>
        <w:t>However, this information is currently not available publicly. The Australian Government was requested to provide averaged national fuel quality data</w:t>
      </w:r>
      <w:r w:rsidR="00BD2DAF">
        <w:rPr>
          <w:rStyle w:val="FootnoteReference"/>
          <w:rFonts w:ascii="Arial" w:hAnsi="Arial" w:cs="Arial"/>
          <w:sz w:val="22"/>
          <w:szCs w:val="22"/>
        </w:rPr>
        <w:footnoteReference w:id="6"/>
      </w:r>
      <w:r w:rsidRPr="00BD2DAF">
        <w:rPr>
          <w:rFonts w:ascii="Arial" w:hAnsi="Arial" w:cs="Arial"/>
          <w:sz w:val="22"/>
          <w:szCs w:val="22"/>
        </w:rPr>
        <w:t xml:space="preserve">. The Australian Government provided averaged values for </w:t>
      </w:r>
      <w:r w:rsidR="00052F22" w:rsidRPr="00BD2DAF">
        <w:rPr>
          <w:rFonts w:ascii="Arial" w:hAnsi="Arial" w:cs="Arial"/>
          <w:sz w:val="22"/>
          <w:szCs w:val="22"/>
        </w:rPr>
        <w:t>855</w:t>
      </w:r>
      <w:r w:rsidRPr="00BD2DAF">
        <w:rPr>
          <w:rFonts w:ascii="Arial" w:hAnsi="Arial" w:cs="Arial"/>
          <w:sz w:val="22"/>
          <w:szCs w:val="22"/>
        </w:rPr>
        <w:t xml:space="preserve"> tests on compliant fuel, which were collected in the 2011</w:t>
      </w:r>
      <w:r w:rsidR="00052F22" w:rsidRPr="00BD2DAF">
        <w:rPr>
          <w:rFonts w:ascii="Arial" w:hAnsi="Arial" w:cs="Arial"/>
          <w:sz w:val="22"/>
          <w:szCs w:val="22"/>
        </w:rPr>
        <w:t xml:space="preserve"> and </w:t>
      </w:r>
      <w:r w:rsidRPr="00BD2DAF">
        <w:rPr>
          <w:rFonts w:ascii="Arial" w:hAnsi="Arial" w:cs="Arial"/>
          <w:sz w:val="22"/>
          <w:szCs w:val="22"/>
        </w:rPr>
        <w:t xml:space="preserve">2012 </w:t>
      </w:r>
      <w:r w:rsidR="00052F22" w:rsidRPr="00BD2DAF">
        <w:rPr>
          <w:rFonts w:ascii="Arial" w:hAnsi="Arial" w:cs="Arial"/>
          <w:sz w:val="22"/>
          <w:szCs w:val="22"/>
        </w:rPr>
        <w:t>calendar</w:t>
      </w:r>
      <w:r w:rsidRPr="00BD2DAF">
        <w:rPr>
          <w:rFonts w:ascii="Arial" w:hAnsi="Arial" w:cs="Arial"/>
          <w:sz w:val="22"/>
          <w:szCs w:val="22"/>
        </w:rPr>
        <w:t xml:space="preserve"> year</w:t>
      </w:r>
      <w:r w:rsidR="00052F22" w:rsidRPr="00BD2DAF">
        <w:rPr>
          <w:rFonts w:ascii="Arial" w:hAnsi="Arial" w:cs="Arial"/>
          <w:sz w:val="22"/>
          <w:szCs w:val="22"/>
        </w:rPr>
        <w:t>s</w:t>
      </w:r>
      <w:r w:rsidRPr="00BD2DAF">
        <w:rPr>
          <w:rFonts w:ascii="Arial" w:hAnsi="Arial" w:cs="Arial"/>
          <w:sz w:val="22"/>
          <w:szCs w:val="22"/>
        </w:rPr>
        <w:t>. The averaged results are shown in Table 5 and 6.</w:t>
      </w:r>
    </w:p>
    <w:p w:rsidR="00DB5760" w:rsidRPr="00DB5760" w:rsidRDefault="00DB5760" w:rsidP="00DB5760">
      <w:pPr>
        <w:spacing w:line="360" w:lineRule="auto"/>
        <w:jc w:val="both"/>
        <w:rPr>
          <w:rFonts w:ascii="Arial" w:hAnsi="Arial" w:cs="Arial"/>
          <w:sz w:val="22"/>
          <w:szCs w:val="22"/>
        </w:rPr>
      </w:pPr>
    </w:p>
    <w:p w:rsidR="00DB5760" w:rsidRP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The NISE2 study does not provide data on the heavy metal content, including for lead, of test fuels. The CVES study (DTRS, 2001) lists a lead content of 1 and 2 mg/l for ULP and PULP, respectively. The NISE1 study (FORS, 1996) also reported 2 mg/l for </w:t>
      </w:r>
      <w:r w:rsidR="00B21099">
        <w:rPr>
          <w:rFonts w:ascii="Arial" w:hAnsi="Arial" w:cs="Arial"/>
          <w:sz w:val="22"/>
          <w:szCs w:val="22"/>
        </w:rPr>
        <w:t>ULP</w:t>
      </w:r>
      <w:r w:rsidRPr="00DB5760">
        <w:rPr>
          <w:rFonts w:ascii="Arial" w:hAnsi="Arial" w:cs="Arial"/>
          <w:sz w:val="22"/>
          <w:szCs w:val="22"/>
        </w:rPr>
        <w:t xml:space="preserve">. However, these values were measured before the maximum lead limit of 5 mg/l was imposed through the Australian petrol standard from 1 January </w:t>
      </w:r>
      <w:r w:rsidRPr="0026648F">
        <w:rPr>
          <w:rFonts w:ascii="Arial" w:hAnsi="Arial" w:cs="Arial"/>
          <w:sz w:val="22"/>
          <w:szCs w:val="22"/>
        </w:rPr>
        <w:t>2002. The current value of 1.25 mg/l in the National Fuel Sampling Program</w:t>
      </w:r>
      <w:r w:rsidR="00B21099" w:rsidRPr="0026648F">
        <w:rPr>
          <w:rFonts w:ascii="Arial" w:hAnsi="Arial" w:cs="Arial"/>
          <w:sz w:val="22"/>
          <w:szCs w:val="22"/>
        </w:rPr>
        <w:t>me</w:t>
      </w:r>
      <w:r w:rsidRPr="0026648F">
        <w:rPr>
          <w:rFonts w:ascii="Arial" w:hAnsi="Arial" w:cs="Arial"/>
          <w:sz w:val="22"/>
          <w:szCs w:val="22"/>
        </w:rPr>
        <w:t xml:space="preserve"> is possibly a</w:t>
      </w:r>
      <w:r w:rsidR="0026648F" w:rsidRPr="0026648F">
        <w:rPr>
          <w:rFonts w:ascii="Arial" w:hAnsi="Arial" w:cs="Arial"/>
          <w:sz w:val="22"/>
          <w:szCs w:val="22"/>
        </w:rPr>
        <w:t>n</w:t>
      </w:r>
      <w:r w:rsidRPr="0026648F">
        <w:rPr>
          <w:rFonts w:ascii="Arial" w:hAnsi="Arial" w:cs="Arial"/>
          <w:sz w:val="22"/>
          <w:szCs w:val="22"/>
        </w:rPr>
        <w:t xml:space="preserve"> </w:t>
      </w:r>
      <w:r w:rsidR="00052F22" w:rsidRPr="0026648F">
        <w:rPr>
          <w:rFonts w:ascii="Arial" w:hAnsi="Arial" w:cs="Arial"/>
          <w:sz w:val="22"/>
          <w:szCs w:val="22"/>
        </w:rPr>
        <w:t>over</w:t>
      </w:r>
      <w:r w:rsidRPr="0026648F">
        <w:rPr>
          <w:rFonts w:ascii="Arial" w:hAnsi="Arial" w:cs="Arial"/>
          <w:sz w:val="22"/>
          <w:szCs w:val="22"/>
        </w:rPr>
        <w:t>estimate of current lead content in petrol fuels. The majority (97%) – but not all – fuel sa</w:t>
      </w:r>
      <w:r w:rsidRPr="00DB5760">
        <w:rPr>
          <w:rFonts w:ascii="Arial" w:hAnsi="Arial" w:cs="Arial"/>
          <w:sz w:val="22"/>
          <w:szCs w:val="22"/>
        </w:rPr>
        <w:t xml:space="preserve">mples had values below the detection limit for lead (2.5 mg/l), and the value in Table 1 represents half the detection limit. It is noted that this value </w:t>
      </w:r>
      <w:r w:rsidRPr="00DB5760">
        <w:rPr>
          <w:rFonts w:ascii="Arial" w:hAnsi="Arial" w:cs="Arial"/>
          <w:sz w:val="22"/>
          <w:szCs w:val="22"/>
        </w:rPr>
        <w:lastRenderedPageBreak/>
        <w:t>is substantially higher than the value used in Europe of 0.02 mg/l. Further research is needed is determine a more accurate lead content values for Australian petrol fuels.</w:t>
      </w:r>
    </w:p>
    <w:p w:rsidR="00DB5760" w:rsidRDefault="00DB5760" w:rsidP="0024102A">
      <w:pPr>
        <w:spacing w:line="360" w:lineRule="auto"/>
        <w:jc w:val="both"/>
        <w:rPr>
          <w:rFonts w:ascii="Arial" w:hAnsi="Arial" w:cs="Arial"/>
          <w:sz w:val="22"/>
          <w:szCs w:val="22"/>
        </w:rPr>
      </w:pPr>
      <w:r w:rsidRPr="00DB5760">
        <w:rPr>
          <w:rFonts w:ascii="Arial" w:hAnsi="Arial" w:cs="Arial"/>
          <w:sz w:val="22"/>
          <w:szCs w:val="22"/>
        </w:rPr>
        <w:t>It is important to note that heavy metal emissions, like lead, are not only a function of heavy metal content in the fuel. Metal emissions from motor vehicle exhaust are also caused by combustion of small amounts of engine oil in the engine (approximately 0.1% of fuel consumption) and engine wear. COPERT has developed a method to indirectly estimate metal emissions from all three mechanisms (fuel combustion, lube oil combustion and engine wear) and back-calculate a derived metal content of the fuel (</w:t>
      </w:r>
      <w:proofErr w:type="spellStart"/>
      <w:r w:rsidRPr="00DB5760">
        <w:rPr>
          <w:rFonts w:ascii="Arial" w:hAnsi="Arial" w:cs="Arial"/>
          <w:sz w:val="22"/>
          <w:szCs w:val="22"/>
        </w:rPr>
        <w:t>Gkatzoflias</w:t>
      </w:r>
      <w:proofErr w:type="spellEnd"/>
      <w:r w:rsidRPr="00DB5760">
        <w:rPr>
          <w:rFonts w:ascii="Arial" w:hAnsi="Arial" w:cs="Arial"/>
          <w:sz w:val="22"/>
          <w:szCs w:val="22"/>
        </w:rPr>
        <w:t xml:space="preserve"> et al., 2011). COPERT Australia also estimates emissions of cadmium, copper, chromium, nickel, </w:t>
      </w:r>
      <w:r w:rsidR="0024102A">
        <w:rPr>
          <w:rFonts w:ascii="Arial" w:hAnsi="Arial" w:cs="Arial"/>
          <w:sz w:val="22"/>
          <w:szCs w:val="22"/>
        </w:rPr>
        <w:t xml:space="preserve">selenium and zinc. </w:t>
      </w:r>
      <w:r w:rsidRPr="00DB5760">
        <w:rPr>
          <w:rFonts w:ascii="Arial" w:hAnsi="Arial" w:cs="Arial"/>
          <w:sz w:val="22"/>
          <w:szCs w:val="22"/>
        </w:rPr>
        <w:t xml:space="preserve">Due to a lack of information regarding heavy metal content in Australian fuels, the COPERT 4 metal content values have been used, after correction for density of Australian fuels. Further research is needed is determine a more accurate heavy metal content value for Australian fuels. </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In addition, analysis of Australian </w:t>
      </w:r>
      <w:r w:rsidR="00B21099">
        <w:rPr>
          <w:rFonts w:ascii="Arial" w:hAnsi="Arial" w:cs="Arial"/>
          <w:sz w:val="22"/>
          <w:szCs w:val="22"/>
        </w:rPr>
        <w:t>particulate matter (</w:t>
      </w:r>
      <w:r w:rsidRPr="00DB5760">
        <w:rPr>
          <w:rFonts w:ascii="Arial" w:hAnsi="Arial" w:cs="Arial"/>
          <w:sz w:val="22"/>
          <w:szCs w:val="22"/>
        </w:rPr>
        <w:t>PM</w:t>
      </w:r>
      <w:r w:rsidR="00B21099">
        <w:rPr>
          <w:rFonts w:ascii="Arial" w:hAnsi="Arial" w:cs="Arial"/>
          <w:sz w:val="22"/>
          <w:szCs w:val="22"/>
        </w:rPr>
        <w:t>)</w:t>
      </w:r>
      <w:r w:rsidRPr="00DB5760">
        <w:rPr>
          <w:rFonts w:ascii="Arial" w:hAnsi="Arial" w:cs="Arial"/>
          <w:sz w:val="22"/>
          <w:szCs w:val="22"/>
        </w:rPr>
        <w:t xml:space="preserve"> speciation data is recommended to verify the adequacy of the European emission factors for Australian conditions. Previous studies (e.g. Cohen et al., 2005) have shown that the contribution of motor vehicles to local heavy metal concentrations, and actual concentration levels in Australia, can be quite different when compared to overseas studies. </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Finally, further work needs to be conducted to include emission estimates for NPI heavy metals that are not yet included in COPERT Australia, such as manganese. Ideally, this work should also include studies to determine the speciation of non-exhaust PM emissions (zinc, nickel, aluminium, vanadium, etc.), which are not yet included in COPERT.</w:t>
      </w:r>
    </w:p>
    <w:p w:rsidR="00DB5760" w:rsidRDefault="00DB5760" w:rsidP="00DB5760">
      <w:pPr>
        <w:spacing w:line="360" w:lineRule="auto"/>
        <w:jc w:val="both"/>
        <w:rPr>
          <w:rFonts w:ascii="Arial" w:hAnsi="Arial" w:cs="Arial"/>
          <w:sz w:val="22"/>
          <w:szCs w:val="22"/>
        </w:rPr>
      </w:pPr>
    </w:p>
    <w:p w:rsidR="00DB5760" w:rsidRPr="00DB5760" w:rsidRDefault="00DB5760" w:rsidP="00DB5760">
      <w:pPr>
        <w:spacing w:line="360" w:lineRule="auto"/>
        <w:jc w:val="both"/>
        <w:rPr>
          <w:rFonts w:ascii="Arial" w:hAnsi="Arial" w:cs="Arial"/>
          <w:sz w:val="22"/>
          <w:szCs w:val="22"/>
        </w:rPr>
      </w:pPr>
      <w:r w:rsidRPr="00DB5760">
        <w:rPr>
          <w:rFonts w:ascii="Arial" w:hAnsi="Arial" w:cs="Arial"/>
          <w:sz w:val="22"/>
          <w:szCs w:val="22"/>
        </w:rPr>
        <w:t xml:space="preserve">Fuel volatility is regulated at the state and territory level. For example, in Queensland, the </w:t>
      </w:r>
      <w:r w:rsidRPr="00591B4A">
        <w:rPr>
          <w:rFonts w:ascii="Arial" w:hAnsi="Arial" w:cs="Arial"/>
          <w:i/>
          <w:sz w:val="22"/>
          <w:szCs w:val="22"/>
        </w:rPr>
        <w:t>Environmental Protection Act 1994</w:t>
      </w:r>
      <w:r w:rsidRPr="00DB5760">
        <w:rPr>
          <w:rFonts w:ascii="Arial" w:hAnsi="Arial" w:cs="Arial"/>
          <w:sz w:val="22"/>
          <w:szCs w:val="22"/>
        </w:rPr>
        <w:t xml:space="preserve"> provides limit values with respect to the RVP of petrol fuels for the summer period (15 November - 15 March) for a “low volatility zone”, which is effectively South East Queensland. The Act stipulates that the maximum average monthly RVP for non-E10 fuels ("other fuel") must not be higher than 67 </w:t>
      </w:r>
      <w:proofErr w:type="spellStart"/>
      <w:proofErr w:type="gramStart"/>
      <w:r w:rsidRPr="00DB5760">
        <w:rPr>
          <w:rFonts w:ascii="Arial" w:hAnsi="Arial" w:cs="Arial"/>
          <w:sz w:val="22"/>
          <w:szCs w:val="22"/>
        </w:rPr>
        <w:t>kPa</w:t>
      </w:r>
      <w:proofErr w:type="spellEnd"/>
      <w:r w:rsidRPr="00DB5760">
        <w:rPr>
          <w:rFonts w:ascii="Arial" w:hAnsi="Arial" w:cs="Arial"/>
          <w:sz w:val="22"/>
          <w:szCs w:val="22"/>
        </w:rPr>
        <w:t>,</w:t>
      </w:r>
      <w:proofErr w:type="gramEnd"/>
      <w:r w:rsidRPr="00DB5760">
        <w:rPr>
          <w:rFonts w:ascii="Arial" w:hAnsi="Arial" w:cs="Arial"/>
          <w:sz w:val="22"/>
          <w:szCs w:val="22"/>
        </w:rPr>
        <w:t xml:space="preserve"> and not more than 74 </w:t>
      </w:r>
      <w:proofErr w:type="spellStart"/>
      <w:r w:rsidRPr="00DB5760">
        <w:rPr>
          <w:rFonts w:ascii="Arial" w:hAnsi="Arial" w:cs="Arial"/>
          <w:sz w:val="22"/>
          <w:szCs w:val="22"/>
        </w:rPr>
        <w:t>kPa</w:t>
      </w:r>
      <w:proofErr w:type="spellEnd"/>
      <w:r w:rsidRPr="00DB5760">
        <w:rPr>
          <w:rFonts w:ascii="Arial" w:hAnsi="Arial" w:cs="Arial"/>
          <w:sz w:val="22"/>
          <w:szCs w:val="22"/>
        </w:rPr>
        <w:t xml:space="preserve"> for E10. RVP regulatory limits, however, are not a reliable indicator of the actual RVP for fuels used in Queensland throughout the year. The Caltex and BP refineries in Brisbane were therefore contacted directly, and based on the information these companies provided, actual monthly RVP values were estimated for Queensland. A similar approach was adopted by some jurisdictions, and the results are shown in Figure 4.</w:t>
      </w:r>
    </w:p>
    <w:p w:rsidR="00DB5760" w:rsidRPr="00DB5760" w:rsidRDefault="00DB5760" w:rsidP="00DB5760">
      <w:pPr>
        <w:spacing w:line="360" w:lineRule="auto"/>
        <w:jc w:val="both"/>
        <w:rPr>
          <w:rFonts w:ascii="Arial" w:hAnsi="Arial" w:cs="Arial"/>
          <w:sz w:val="22"/>
          <w:szCs w:val="22"/>
        </w:rPr>
      </w:pPr>
      <w:r w:rsidRPr="00DB5760">
        <w:rPr>
          <w:rFonts w:ascii="Arial" w:hAnsi="Arial" w:cs="Arial"/>
          <w:noProof/>
          <w:sz w:val="22"/>
          <w:szCs w:val="22"/>
          <w:lang w:eastAsia="en-AU"/>
        </w:rPr>
        <w:lastRenderedPageBreak/>
        <w:drawing>
          <wp:inline distT="0" distB="0" distL="0" distR="0">
            <wp:extent cx="5731510" cy="33339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333919"/>
                    </a:xfrm>
                    <a:prstGeom prst="rect">
                      <a:avLst/>
                    </a:prstGeom>
                    <a:noFill/>
                    <a:ln>
                      <a:noFill/>
                    </a:ln>
                  </pic:spPr>
                </pic:pic>
              </a:graphicData>
            </a:graphic>
          </wp:inline>
        </w:drawing>
      </w:r>
    </w:p>
    <w:p w:rsidR="00DB5760" w:rsidRPr="00DB5760" w:rsidRDefault="00DB5760" w:rsidP="00DB5760">
      <w:pPr>
        <w:spacing w:line="360" w:lineRule="auto"/>
        <w:jc w:val="both"/>
        <w:rPr>
          <w:rFonts w:ascii="Arial" w:hAnsi="Arial" w:cs="Arial"/>
          <w:b/>
          <w:sz w:val="22"/>
          <w:szCs w:val="22"/>
          <w:lang w:val="en-US"/>
        </w:rPr>
      </w:pPr>
      <w:r w:rsidRPr="00DB5760">
        <w:rPr>
          <w:rFonts w:ascii="Arial" w:hAnsi="Arial" w:cs="Arial"/>
          <w:b/>
          <w:sz w:val="22"/>
          <w:szCs w:val="22"/>
          <w:lang w:val="en-US"/>
        </w:rPr>
        <w:t xml:space="preserve">Figure 4 </w:t>
      </w:r>
      <w:r w:rsidRPr="00DB5760">
        <w:rPr>
          <w:rFonts w:ascii="Arial" w:hAnsi="Arial" w:cs="Arial"/>
          <w:sz w:val="22"/>
          <w:szCs w:val="22"/>
          <w:lang w:val="en-US"/>
        </w:rPr>
        <w:t xml:space="preserve">Average monthly Reid </w:t>
      </w:r>
      <w:proofErr w:type="spellStart"/>
      <w:r w:rsidRPr="00DB5760">
        <w:rPr>
          <w:rFonts w:ascii="Arial" w:hAnsi="Arial" w:cs="Arial"/>
          <w:sz w:val="22"/>
          <w:szCs w:val="22"/>
          <w:lang w:val="en-US"/>
        </w:rPr>
        <w:t>Vapour</w:t>
      </w:r>
      <w:proofErr w:type="spellEnd"/>
      <w:r w:rsidRPr="00DB5760">
        <w:rPr>
          <w:rFonts w:ascii="Arial" w:hAnsi="Arial" w:cs="Arial"/>
          <w:sz w:val="22"/>
          <w:szCs w:val="22"/>
          <w:lang w:val="en-US"/>
        </w:rPr>
        <w:t xml:space="preserve"> Pressure (petrol) by jurisdiction</w:t>
      </w:r>
    </w:p>
    <w:p w:rsidR="00DB5760" w:rsidRPr="00DB5760" w:rsidRDefault="00DB5760" w:rsidP="00DB5760">
      <w:pPr>
        <w:spacing w:line="360" w:lineRule="auto"/>
        <w:jc w:val="both"/>
        <w:rPr>
          <w:rFonts w:ascii="Arial" w:hAnsi="Arial" w:cs="Arial"/>
          <w:sz w:val="22"/>
          <w:szCs w:val="22"/>
        </w:rPr>
      </w:pPr>
    </w:p>
    <w:p w:rsidR="00DB5760" w:rsidRDefault="00DB5760" w:rsidP="00DB5760">
      <w:pPr>
        <w:spacing w:line="360" w:lineRule="auto"/>
        <w:jc w:val="both"/>
        <w:rPr>
          <w:rFonts w:ascii="Arial" w:hAnsi="Arial" w:cs="Arial"/>
          <w:sz w:val="22"/>
          <w:szCs w:val="22"/>
        </w:rPr>
      </w:pPr>
      <w:r w:rsidRPr="00DB5760">
        <w:rPr>
          <w:rFonts w:ascii="Arial" w:hAnsi="Arial" w:cs="Arial"/>
          <w:sz w:val="22"/>
          <w:szCs w:val="22"/>
        </w:rPr>
        <w:t>It is noted that the estimated fuel parameter values were discussed with the Australian Institute of Petroleum, and that initial feedback is reflected in the fuel parameter values. It is recommended that the estimated monthly RVP values and other parameters are further verified with the fuel suppliers.</w:t>
      </w:r>
    </w:p>
    <w:p w:rsidR="00DB5760" w:rsidRPr="00DB5760" w:rsidRDefault="00DB5760" w:rsidP="00DB5760">
      <w:pPr>
        <w:spacing w:line="360" w:lineRule="auto"/>
        <w:jc w:val="both"/>
        <w:rPr>
          <w:rFonts w:ascii="Arial" w:hAnsi="Arial" w:cs="Arial"/>
          <w:sz w:val="22"/>
          <w:szCs w:val="22"/>
        </w:rPr>
      </w:pPr>
    </w:p>
    <w:p w:rsidR="00DB5760" w:rsidRPr="00DB5760" w:rsidRDefault="00DB5760" w:rsidP="00DB5760">
      <w:pPr>
        <w:pStyle w:val="Heading2"/>
        <w:tabs>
          <w:tab w:val="clear" w:pos="720"/>
        </w:tabs>
        <w:spacing w:line="360" w:lineRule="auto"/>
        <w:ind w:left="567" w:hanging="567"/>
        <w:rPr>
          <w:rFonts w:ascii="Arial" w:hAnsi="Arial" w:cs="Arial"/>
          <w:sz w:val="22"/>
          <w:szCs w:val="22"/>
        </w:rPr>
      </w:pPr>
      <w:bookmarkStart w:id="22" w:name="_Toc394993195"/>
      <w:r w:rsidRPr="00DB5760">
        <w:rPr>
          <w:rFonts w:ascii="Arial" w:hAnsi="Arial" w:cs="Arial"/>
          <w:sz w:val="22"/>
          <w:szCs w:val="22"/>
        </w:rPr>
        <w:t>Meteorology and climate</w:t>
      </w:r>
      <w:bookmarkEnd w:id="22"/>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 xml:space="preserve">Meteorological variables affect vehicle emissions. The NMVEI requires ‘representative’ meteorological data for each jurisdiction for both ambient temperature and relative humidity. Ambient temperature affects cold start emissions. Ambient temperature and relative humidity affect air conditioning use and therefore emission levels. </w:t>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 xml:space="preserve">Australia is a vast continent with local climate varying from tropical to temperate, as shown in Figure 5. </w:t>
      </w:r>
    </w:p>
    <w:p w:rsidR="00DB5760" w:rsidRPr="00DB5760" w:rsidRDefault="0051350F" w:rsidP="00DB5760">
      <w:pPr>
        <w:spacing w:line="360" w:lineRule="auto"/>
        <w:jc w:val="center"/>
        <w:rPr>
          <w:rFonts w:ascii="Arial" w:hAnsi="Arial" w:cs="Arial"/>
          <w:sz w:val="22"/>
          <w:szCs w:val="22"/>
          <w:lang w:eastAsia="en-AU"/>
        </w:rPr>
      </w:pPr>
      <w:r>
        <w:rPr>
          <w:rFonts w:ascii="Arial" w:hAnsi="Arial" w:cs="Arial"/>
          <w:noProof/>
          <w:sz w:val="22"/>
          <w:szCs w:val="22"/>
          <w:lang w:eastAsia="en-AU"/>
        </w:rPr>
        <w:lastRenderedPageBreak/>
        <w:pict>
          <v:rect id="Rectangle 7" o:spid="_x0000_s1027" style="position:absolute;left:0;text-align:left;margin-left:107pt;margin-top:-.4pt;width:77.8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" fillcolor="white [3212]" stroked="f" strokeweight="2pt">
            <v:path arrowok="t"/>
          </v:rect>
        </w:pict>
      </w:r>
      <w:r w:rsidR="00DB5760" w:rsidRPr="00DB5760">
        <w:rPr>
          <w:rFonts w:ascii="Arial" w:hAnsi="Arial" w:cs="Arial"/>
          <w:noProof/>
          <w:sz w:val="22"/>
          <w:szCs w:val="22"/>
          <w:lang w:eastAsia="en-AU"/>
        </w:rPr>
        <w:drawing>
          <wp:inline distT="0" distB="0" distL="0" distR="0">
            <wp:extent cx="3303639" cy="2800912"/>
            <wp:effectExtent l="0" t="0" r="0" b="0"/>
            <wp:docPr id="1" name="Picture 1" descr="Australia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Climate"/>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6798" cy="2803590"/>
                    </a:xfrm>
                    <a:prstGeom prst="rect">
                      <a:avLst/>
                    </a:prstGeom>
                    <a:noFill/>
                    <a:ln>
                      <a:noFill/>
                    </a:ln>
                  </pic:spPr>
                </pic:pic>
              </a:graphicData>
            </a:graphic>
          </wp:inline>
        </w:drawing>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b/>
          <w:sz w:val="22"/>
          <w:szCs w:val="22"/>
          <w:lang w:val="en-US" w:eastAsia="en-AU"/>
        </w:rPr>
      </w:pPr>
      <w:r w:rsidRPr="00DB5760">
        <w:rPr>
          <w:rFonts w:ascii="Arial" w:hAnsi="Arial" w:cs="Arial"/>
          <w:b/>
          <w:sz w:val="22"/>
          <w:szCs w:val="22"/>
          <w:lang w:val="en-US" w:eastAsia="en-AU"/>
        </w:rPr>
        <w:t xml:space="preserve">Figure 5 </w:t>
      </w:r>
      <w:r w:rsidRPr="009E3C67">
        <w:rPr>
          <w:rFonts w:ascii="Arial" w:hAnsi="Arial" w:cs="Arial"/>
          <w:sz w:val="22"/>
          <w:szCs w:val="22"/>
          <w:lang w:val="en-US" w:eastAsia="en-AU"/>
        </w:rPr>
        <w:t>Australian climate zones</w:t>
      </w:r>
      <w:r w:rsidR="004A418D">
        <w:rPr>
          <w:rFonts w:ascii="Arial" w:hAnsi="Arial" w:cs="Arial"/>
          <w:sz w:val="22"/>
          <w:szCs w:val="22"/>
          <w:lang w:val="en-US" w:eastAsia="en-AU"/>
        </w:rPr>
        <w:t xml:space="preserve"> (Source: </w:t>
      </w:r>
      <w:r w:rsidR="004A418D" w:rsidRPr="004A418D">
        <w:rPr>
          <w:rFonts w:ascii="Arial" w:hAnsi="Arial" w:cs="Arial"/>
          <w:sz w:val="22"/>
          <w:szCs w:val="22"/>
          <w:lang w:val="en-US" w:eastAsia="en-AU"/>
        </w:rPr>
        <w:t>http://en.wikipedia.org/wiki/Climate_of_Australia</w:t>
      </w:r>
      <w:r w:rsidR="004A418D">
        <w:rPr>
          <w:rFonts w:ascii="Arial" w:hAnsi="Arial" w:cs="Arial"/>
          <w:sz w:val="22"/>
          <w:szCs w:val="22"/>
          <w:lang w:val="en-US" w:eastAsia="en-AU"/>
        </w:rPr>
        <w:t>)</w:t>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 xml:space="preserve">The NMVEI requires a single meteorological input file for each state. This requires expert judgement by air quality professionals to what is considered a representative meteorological year for each state. As the bulk of VKT will generally be generated in the capital cities, meteorological data </w:t>
      </w:r>
      <w:r w:rsidR="007C0641">
        <w:rPr>
          <w:rFonts w:ascii="Arial" w:hAnsi="Arial" w:cs="Arial"/>
          <w:sz w:val="22"/>
          <w:szCs w:val="22"/>
          <w:lang w:eastAsia="en-AU"/>
        </w:rPr>
        <w:t>was</w:t>
      </w:r>
      <w:r w:rsidR="007C0641" w:rsidRPr="00DB5760">
        <w:rPr>
          <w:rFonts w:ascii="Arial" w:hAnsi="Arial" w:cs="Arial"/>
          <w:sz w:val="22"/>
          <w:szCs w:val="22"/>
          <w:lang w:eastAsia="en-AU"/>
        </w:rPr>
        <w:t xml:space="preserve"> </w:t>
      </w:r>
      <w:r w:rsidRPr="00DB5760">
        <w:rPr>
          <w:rFonts w:ascii="Arial" w:hAnsi="Arial" w:cs="Arial"/>
          <w:sz w:val="22"/>
          <w:szCs w:val="22"/>
          <w:lang w:eastAsia="en-AU"/>
        </w:rPr>
        <w:t xml:space="preserve">collected and verified for these cities. </w:t>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Pacific Environment (2014) was appointed to select and reformat representative Bureau of Meteorology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data for all </w:t>
      </w:r>
      <w:r w:rsidR="007C0641">
        <w:rPr>
          <w:rFonts w:ascii="Arial" w:hAnsi="Arial" w:cs="Arial"/>
          <w:sz w:val="22"/>
          <w:szCs w:val="22"/>
          <w:lang w:eastAsia="en-AU"/>
        </w:rPr>
        <w:t>s</w:t>
      </w:r>
      <w:r w:rsidRPr="00DB5760">
        <w:rPr>
          <w:rFonts w:ascii="Arial" w:hAnsi="Arial" w:cs="Arial"/>
          <w:sz w:val="22"/>
          <w:szCs w:val="22"/>
          <w:lang w:eastAsia="en-AU"/>
        </w:rPr>
        <w:t xml:space="preserve">tates and </w:t>
      </w:r>
      <w:r w:rsidR="007C0641">
        <w:rPr>
          <w:rFonts w:ascii="Arial" w:hAnsi="Arial" w:cs="Arial"/>
          <w:sz w:val="22"/>
          <w:szCs w:val="22"/>
          <w:lang w:eastAsia="en-AU"/>
        </w:rPr>
        <w:t>t</w:t>
      </w:r>
      <w:r w:rsidRPr="00DB5760">
        <w:rPr>
          <w:rFonts w:ascii="Arial" w:hAnsi="Arial" w:cs="Arial"/>
          <w:sz w:val="22"/>
          <w:szCs w:val="22"/>
          <w:lang w:eastAsia="en-AU"/>
        </w:rPr>
        <w:t xml:space="preserve">erritories for input into COPERT Australia. Hourly temperature and relative humidity data for a 12 year period (1998-2009) was sourced from the </w:t>
      </w:r>
      <w:proofErr w:type="spellStart"/>
      <w:r w:rsidR="007C0641">
        <w:rPr>
          <w:rFonts w:ascii="Arial" w:hAnsi="Arial" w:cs="Arial"/>
          <w:sz w:val="22"/>
          <w:szCs w:val="22"/>
          <w:lang w:eastAsia="en-AU"/>
        </w:rPr>
        <w:t>BoM</w:t>
      </w:r>
      <w:proofErr w:type="spellEnd"/>
      <w:r w:rsidRPr="00DB5760">
        <w:rPr>
          <w:rFonts w:ascii="Arial" w:hAnsi="Arial" w:cs="Arial"/>
          <w:sz w:val="22"/>
          <w:szCs w:val="22"/>
          <w:lang w:eastAsia="en-AU"/>
        </w:rPr>
        <w:t xml:space="preserve">. Temperature and relative humidity were compared to long term averages and the non-parametric Mann-Whitney test was used to determine the most representative year for each major city. </w:t>
      </w:r>
    </w:p>
    <w:p w:rsidR="00DB5760" w:rsidRPr="00DB5760" w:rsidRDefault="00DB5760" w:rsidP="00DB5760">
      <w:pPr>
        <w:spacing w:line="360" w:lineRule="auto"/>
        <w:jc w:val="both"/>
        <w:rPr>
          <w:rFonts w:ascii="Arial" w:hAnsi="Arial" w:cs="Arial"/>
          <w:sz w:val="22"/>
          <w:szCs w:val="22"/>
          <w:lang w:eastAsia="en-AU"/>
        </w:rPr>
      </w:pPr>
    </w:p>
    <w:p w:rsid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 xml:space="preserve">The following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stations and years</w:t>
      </w:r>
      <w:r w:rsidR="007C0641">
        <w:rPr>
          <w:rFonts w:ascii="Arial" w:hAnsi="Arial" w:cs="Arial"/>
          <w:sz w:val="22"/>
          <w:szCs w:val="22"/>
          <w:lang w:eastAsia="en-AU"/>
        </w:rPr>
        <w:t>,</w:t>
      </w:r>
      <w:r w:rsidRPr="00DB5760">
        <w:rPr>
          <w:rFonts w:ascii="Arial" w:hAnsi="Arial" w:cs="Arial"/>
          <w:sz w:val="22"/>
          <w:szCs w:val="22"/>
          <w:lang w:eastAsia="en-AU"/>
        </w:rPr>
        <w:t xml:space="preserve"> with representative temperature and relative humidity</w:t>
      </w:r>
      <w:r w:rsidR="007C0641">
        <w:rPr>
          <w:rFonts w:ascii="Arial" w:hAnsi="Arial" w:cs="Arial"/>
          <w:sz w:val="22"/>
          <w:szCs w:val="22"/>
          <w:lang w:eastAsia="en-AU"/>
        </w:rPr>
        <w:t>,</w:t>
      </w:r>
      <w:r w:rsidRPr="00DB5760">
        <w:rPr>
          <w:rFonts w:ascii="Arial" w:hAnsi="Arial" w:cs="Arial"/>
          <w:sz w:val="22"/>
          <w:szCs w:val="22"/>
          <w:lang w:eastAsia="en-AU"/>
        </w:rPr>
        <w:t xml:space="preserve"> were selected for each city:</w:t>
      </w:r>
    </w:p>
    <w:p w:rsidR="009E3C67" w:rsidRPr="00DB5760" w:rsidRDefault="009E3C67" w:rsidP="009E3C67">
      <w:pPr>
        <w:jc w:val="both"/>
        <w:rPr>
          <w:rFonts w:ascii="Arial" w:hAnsi="Arial" w:cs="Arial"/>
          <w:sz w:val="22"/>
          <w:szCs w:val="22"/>
          <w:lang w:eastAsia="en-AU"/>
        </w:rPr>
      </w:pP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Brisbane Airport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040842): 2006</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Sydney Observatory Hill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066062): 2004</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Melbourne Regional Office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086071): 2009</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Adelaide Airport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023034): 2009</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Perth Metro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009225): 2006</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Hobart Ellerslie Rd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094029): 2005</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Canberra Airport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014015): 2008</w:t>
      </w:r>
    </w:p>
    <w:p w:rsidR="00DB5760" w:rsidRPr="00DB5760" w:rsidRDefault="00DB5760" w:rsidP="009E3C67">
      <w:pPr>
        <w:numPr>
          <w:ilvl w:val="0"/>
          <w:numId w:val="39"/>
        </w:numPr>
        <w:spacing w:line="360" w:lineRule="auto"/>
        <w:ind w:left="567" w:hanging="567"/>
        <w:jc w:val="both"/>
        <w:rPr>
          <w:rFonts w:ascii="Arial" w:hAnsi="Arial" w:cs="Arial"/>
          <w:sz w:val="22"/>
          <w:szCs w:val="22"/>
          <w:lang w:eastAsia="en-AU"/>
        </w:rPr>
      </w:pPr>
      <w:r w:rsidRPr="00DB5760">
        <w:rPr>
          <w:rFonts w:ascii="Arial" w:hAnsi="Arial" w:cs="Arial"/>
          <w:sz w:val="22"/>
          <w:szCs w:val="22"/>
          <w:lang w:eastAsia="en-AU"/>
        </w:rPr>
        <w:t>Darwin Airport (</w:t>
      </w:r>
      <w:proofErr w:type="spellStart"/>
      <w:r w:rsidRPr="00DB5760">
        <w:rPr>
          <w:rFonts w:ascii="Arial" w:hAnsi="Arial" w:cs="Arial"/>
          <w:sz w:val="22"/>
          <w:szCs w:val="22"/>
          <w:lang w:eastAsia="en-AU"/>
        </w:rPr>
        <w:t>BoM</w:t>
      </w:r>
      <w:proofErr w:type="spellEnd"/>
      <w:r w:rsidRPr="00DB5760">
        <w:rPr>
          <w:rFonts w:ascii="Arial" w:hAnsi="Arial" w:cs="Arial"/>
          <w:sz w:val="22"/>
          <w:szCs w:val="22"/>
          <w:lang w:eastAsia="en-AU"/>
        </w:rPr>
        <w:t xml:space="preserve"> ID: 070014): 2008</w:t>
      </w: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lastRenderedPageBreak/>
        <w:t>Figure 6 and 7 show the monthly variation of temperature and relative humidity for each state/territory.</w:t>
      </w:r>
    </w:p>
    <w:p w:rsidR="00DB5760" w:rsidRPr="00DB5760" w:rsidRDefault="00DB5760" w:rsidP="009E3C67">
      <w:pPr>
        <w:spacing w:line="360" w:lineRule="auto"/>
        <w:jc w:val="center"/>
        <w:rPr>
          <w:rFonts w:ascii="Arial" w:hAnsi="Arial" w:cs="Arial"/>
          <w:sz w:val="22"/>
          <w:szCs w:val="22"/>
          <w:lang w:eastAsia="en-AU"/>
        </w:rPr>
      </w:pPr>
      <w:r w:rsidRPr="00DB5760">
        <w:rPr>
          <w:rFonts w:ascii="Arial" w:hAnsi="Arial" w:cs="Arial"/>
          <w:noProof/>
          <w:sz w:val="22"/>
          <w:szCs w:val="22"/>
          <w:lang w:eastAsia="en-AU"/>
        </w:rPr>
        <w:drawing>
          <wp:inline distT="0" distB="0" distL="0" distR="0">
            <wp:extent cx="4951155" cy="288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155" cy="2880000"/>
                    </a:xfrm>
                    <a:prstGeom prst="rect">
                      <a:avLst/>
                    </a:prstGeom>
                    <a:noFill/>
                    <a:ln>
                      <a:noFill/>
                    </a:ln>
                  </pic:spPr>
                </pic:pic>
              </a:graphicData>
            </a:graphic>
          </wp:inline>
        </w:drawing>
      </w:r>
    </w:p>
    <w:p w:rsidR="00DB5760" w:rsidRPr="009E3C67" w:rsidRDefault="00DB5760" w:rsidP="00DB5760">
      <w:pPr>
        <w:spacing w:line="360" w:lineRule="auto"/>
        <w:jc w:val="both"/>
        <w:rPr>
          <w:rFonts w:ascii="Arial" w:hAnsi="Arial" w:cs="Arial"/>
          <w:sz w:val="22"/>
          <w:szCs w:val="22"/>
          <w:lang w:val="en-US" w:eastAsia="en-AU"/>
        </w:rPr>
      </w:pPr>
      <w:r w:rsidRPr="00DB5760">
        <w:rPr>
          <w:rFonts w:ascii="Arial" w:hAnsi="Arial" w:cs="Arial"/>
          <w:b/>
          <w:sz w:val="22"/>
          <w:szCs w:val="22"/>
          <w:lang w:val="en-US" w:eastAsia="en-AU"/>
        </w:rPr>
        <w:t xml:space="preserve">Figure 6 </w:t>
      </w:r>
      <w:r w:rsidRPr="009E3C67">
        <w:rPr>
          <w:rFonts w:ascii="Arial" w:hAnsi="Arial" w:cs="Arial"/>
          <w:sz w:val="22"/>
          <w:szCs w:val="22"/>
          <w:lang w:val="en-US" w:eastAsia="en-AU"/>
        </w:rPr>
        <w:t>Average monthly ambient temperature by jurisdiction</w:t>
      </w:r>
    </w:p>
    <w:p w:rsidR="00DB5760" w:rsidRPr="00DB5760" w:rsidRDefault="00DB5760" w:rsidP="009E3C67">
      <w:pPr>
        <w:spacing w:line="360" w:lineRule="auto"/>
        <w:jc w:val="center"/>
        <w:rPr>
          <w:rFonts w:ascii="Arial" w:hAnsi="Arial" w:cs="Arial"/>
          <w:sz w:val="22"/>
          <w:szCs w:val="22"/>
          <w:lang w:eastAsia="en-AU"/>
        </w:rPr>
      </w:pPr>
      <w:r w:rsidRPr="00DB5760">
        <w:rPr>
          <w:rFonts w:ascii="Arial" w:hAnsi="Arial" w:cs="Arial"/>
          <w:noProof/>
          <w:sz w:val="22"/>
          <w:szCs w:val="22"/>
          <w:lang w:eastAsia="en-AU"/>
        </w:rPr>
        <w:drawing>
          <wp:inline distT="0" distB="0" distL="0" distR="0">
            <wp:extent cx="4951155" cy="288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155" cy="2880000"/>
                    </a:xfrm>
                    <a:prstGeom prst="rect">
                      <a:avLst/>
                    </a:prstGeom>
                    <a:noFill/>
                    <a:ln>
                      <a:noFill/>
                    </a:ln>
                  </pic:spPr>
                </pic:pic>
              </a:graphicData>
            </a:graphic>
          </wp:inline>
        </w:drawing>
      </w:r>
    </w:p>
    <w:p w:rsidR="00DB5760" w:rsidRPr="009E3C67" w:rsidRDefault="00DB5760" w:rsidP="00DB5760">
      <w:pPr>
        <w:spacing w:line="360" w:lineRule="auto"/>
        <w:jc w:val="both"/>
        <w:rPr>
          <w:rFonts w:ascii="Arial" w:hAnsi="Arial" w:cs="Arial"/>
          <w:sz w:val="22"/>
          <w:szCs w:val="22"/>
          <w:lang w:val="en-US" w:eastAsia="en-AU"/>
        </w:rPr>
      </w:pPr>
      <w:r w:rsidRPr="00DB5760">
        <w:rPr>
          <w:rFonts w:ascii="Arial" w:hAnsi="Arial" w:cs="Arial"/>
          <w:b/>
          <w:sz w:val="22"/>
          <w:szCs w:val="22"/>
          <w:lang w:val="en-US" w:eastAsia="en-AU"/>
        </w:rPr>
        <w:t xml:space="preserve">Figure </w:t>
      </w:r>
      <w:proofErr w:type="gramStart"/>
      <w:r w:rsidRPr="00DB5760">
        <w:rPr>
          <w:rFonts w:ascii="Arial" w:hAnsi="Arial" w:cs="Arial"/>
          <w:b/>
          <w:sz w:val="22"/>
          <w:szCs w:val="22"/>
          <w:lang w:val="en-US" w:eastAsia="en-AU"/>
        </w:rPr>
        <w:t xml:space="preserve">7 </w:t>
      </w:r>
      <w:r w:rsidRPr="009E3C67">
        <w:rPr>
          <w:rFonts w:ascii="Arial" w:hAnsi="Arial" w:cs="Arial"/>
          <w:sz w:val="22"/>
          <w:szCs w:val="22"/>
          <w:lang w:val="en-US" w:eastAsia="en-AU"/>
        </w:rPr>
        <w:t>Average monthly relative humidity</w:t>
      </w:r>
      <w:proofErr w:type="gramEnd"/>
      <w:r w:rsidRPr="009E3C67">
        <w:rPr>
          <w:rFonts w:ascii="Arial" w:hAnsi="Arial" w:cs="Arial"/>
          <w:sz w:val="22"/>
          <w:szCs w:val="22"/>
          <w:lang w:val="en-US" w:eastAsia="en-AU"/>
        </w:rPr>
        <w:t xml:space="preserve"> by jurisdiction</w:t>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t xml:space="preserve">The above graphs show that there is substantial spatial variability in temperature and relative humidity within </w:t>
      </w:r>
      <w:r w:rsidR="007C0641">
        <w:rPr>
          <w:rFonts w:ascii="Arial" w:hAnsi="Arial" w:cs="Arial"/>
          <w:sz w:val="22"/>
          <w:szCs w:val="22"/>
          <w:lang w:eastAsia="en-AU"/>
        </w:rPr>
        <w:t>s</w:t>
      </w:r>
      <w:r w:rsidRPr="00DB5760">
        <w:rPr>
          <w:rFonts w:ascii="Arial" w:hAnsi="Arial" w:cs="Arial"/>
          <w:sz w:val="22"/>
          <w:szCs w:val="22"/>
          <w:lang w:eastAsia="en-AU"/>
        </w:rPr>
        <w:t>tates</w:t>
      </w:r>
      <w:r w:rsidR="007C0641">
        <w:rPr>
          <w:rFonts w:ascii="Arial" w:hAnsi="Arial" w:cs="Arial"/>
          <w:sz w:val="22"/>
          <w:szCs w:val="22"/>
          <w:lang w:eastAsia="en-AU"/>
        </w:rPr>
        <w:t xml:space="preserve"> and territories</w:t>
      </w:r>
      <w:r w:rsidRPr="00DB5760">
        <w:rPr>
          <w:rFonts w:ascii="Arial" w:hAnsi="Arial" w:cs="Arial"/>
          <w:sz w:val="22"/>
          <w:szCs w:val="22"/>
          <w:lang w:eastAsia="en-AU"/>
        </w:rPr>
        <w:t xml:space="preserve">, and even across certain larger centres such as Brisbane and Sydney, where the range in temperatures and relative humidity (i.e. lower minima in winter and higher maxima in summer) is generally greater in the western suburbs than the eastern suburbs. Consequently, a dataset based on a single station per city cannot be representative of all areas within a </w:t>
      </w:r>
      <w:r w:rsidR="007C0641">
        <w:rPr>
          <w:rFonts w:ascii="Arial" w:hAnsi="Arial" w:cs="Arial"/>
          <w:sz w:val="22"/>
          <w:szCs w:val="22"/>
          <w:lang w:eastAsia="en-AU"/>
        </w:rPr>
        <w:t>s</w:t>
      </w:r>
      <w:r w:rsidRPr="00DB5760">
        <w:rPr>
          <w:rFonts w:ascii="Arial" w:hAnsi="Arial" w:cs="Arial"/>
          <w:sz w:val="22"/>
          <w:szCs w:val="22"/>
          <w:lang w:eastAsia="en-AU"/>
        </w:rPr>
        <w:t>tate</w:t>
      </w:r>
      <w:r w:rsidR="007C0641">
        <w:rPr>
          <w:rFonts w:ascii="Arial" w:hAnsi="Arial" w:cs="Arial"/>
          <w:sz w:val="22"/>
          <w:szCs w:val="22"/>
          <w:lang w:eastAsia="en-AU"/>
        </w:rPr>
        <w:t xml:space="preserve"> or territory</w:t>
      </w:r>
      <w:r w:rsidRPr="00DB5760">
        <w:rPr>
          <w:rFonts w:ascii="Arial" w:hAnsi="Arial" w:cs="Arial"/>
          <w:sz w:val="22"/>
          <w:szCs w:val="22"/>
          <w:lang w:eastAsia="en-AU"/>
        </w:rPr>
        <w:t xml:space="preserve">. </w:t>
      </w:r>
    </w:p>
    <w:p w:rsidR="00DB5760" w:rsidRPr="00DB5760" w:rsidRDefault="00DB5760" w:rsidP="00DB5760">
      <w:pPr>
        <w:spacing w:line="360" w:lineRule="auto"/>
        <w:jc w:val="both"/>
        <w:rPr>
          <w:rFonts w:ascii="Arial" w:hAnsi="Arial" w:cs="Arial"/>
          <w:sz w:val="22"/>
          <w:szCs w:val="22"/>
          <w:lang w:eastAsia="en-AU"/>
        </w:rPr>
      </w:pPr>
    </w:p>
    <w:p w:rsidR="00DB5760" w:rsidRPr="00DB5760" w:rsidRDefault="00DB5760" w:rsidP="00DB5760">
      <w:pPr>
        <w:spacing w:line="360" w:lineRule="auto"/>
        <w:jc w:val="both"/>
        <w:rPr>
          <w:rFonts w:ascii="Arial" w:hAnsi="Arial" w:cs="Arial"/>
          <w:sz w:val="22"/>
          <w:szCs w:val="22"/>
          <w:lang w:eastAsia="en-AU"/>
        </w:rPr>
      </w:pPr>
      <w:r w:rsidRPr="00DB5760">
        <w:rPr>
          <w:rFonts w:ascii="Arial" w:hAnsi="Arial" w:cs="Arial"/>
          <w:sz w:val="22"/>
          <w:szCs w:val="22"/>
          <w:lang w:eastAsia="en-AU"/>
        </w:rPr>
        <w:lastRenderedPageBreak/>
        <w:t xml:space="preserve">It should be noted that COPERT Australia can be run for smaller and more homogeneous areas with respect to climate (e.g. splitting the states in smaller modelling areas). However, this modelling work is outside the scope of this project. To develop </w:t>
      </w:r>
      <w:r w:rsidR="007C0641">
        <w:rPr>
          <w:rFonts w:ascii="Arial" w:hAnsi="Arial" w:cs="Arial"/>
          <w:sz w:val="22"/>
          <w:szCs w:val="22"/>
          <w:lang w:eastAsia="en-AU"/>
        </w:rPr>
        <w:t>motor vehicle</w:t>
      </w:r>
      <w:r w:rsidR="007C0641" w:rsidRPr="00DB5760">
        <w:rPr>
          <w:rFonts w:ascii="Arial" w:hAnsi="Arial" w:cs="Arial"/>
          <w:sz w:val="22"/>
          <w:szCs w:val="22"/>
          <w:lang w:eastAsia="en-AU"/>
        </w:rPr>
        <w:t xml:space="preserve"> </w:t>
      </w:r>
      <w:r w:rsidRPr="00DB5760">
        <w:rPr>
          <w:rFonts w:ascii="Arial" w:hAnsi="Arial" w:cs="Arial"/>
          <w:sz w:val="22"/>
          <w:szCs w:val="22"/>
          <w:lang w:eastAsia="en-AU"/>
        </w:rPr>
        <w:t>emission factors for such smaller areas (e.g. local government areas), it is recommended that local meteorological data are used as an input to COPERT. The NMVEI will reflect the main climate differences between the states and territories.</w:t>
      </w:r>
    </w:p>
    <w:p w:rsidR="00DB5760" w:rsidRPr="009E3C67" w:rsidRDefault="00DB5760" w:rsidP="009E3C67">
      <w:pPr>
        <w:spacing w:line="360" w:lineRule="auto"/>
        <w:jc w:val="both"/>
        <w:rPr>
          <w:rFonts w:ascii="Arial" w:hAnsi="Arial" w:cs="Arial"/>
          <w:sz w:val="22"/>
          <w:szCs w:val="22"/>
          <w:lang w:eastAsia="en-AU"/>
        </w:rPr>
      </w:pPr>
    </w:p>
    <w:p w:rsidR="009E3C67" w:rsidRPr="009E3C67" w:rsidRDefault="009E3C67" w:rsidP="009E3C67">
      <w:pPr>
        <w:pStyle w:val="Heading2"/>
        <w:tabs>
          <w:tab w:val="clear" w:pos="720"/>
        </w:tabs>
        <w:spacing w:line="360" w:lineRule="auto"/>
        <w:ind w:left="567" w:hanging="567"/>
        <w:rPr>
          <w:rFonts w:ascii="Arial" w:hAnsi="Arial" w:cs="Arial"/>
          <w:sz w:val="22"/>
          <w:szCs w:val="22"/>
        </w:rPr>
      </w:pPr>
      <w:bookmarkStart w:id="23" w:name="_Toc394993196"/>
      <w:r w:rsidRPr="009E3C67">
        <w:rPr>
          <w:rFonts w:ascii="Arial" w:hAnsi="Arial" w:cs="Arial"/>
          <w:sz w:val="22"/>
          <w:szCs w:val="22"/>
        </w:rPr>
        <w:t>Driving and traffic conditions</w:t>
      </w:r>
      <w:bookmarkEnd w:id="23"/>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COPERT Australia defines three road types, namely “urban”, “rural” and “highway”, which broadly characterise driving and traffic conditions. It uses average speed to quantify driving conditions. Average speed is used as a proxy for congestion levels in state road networks.</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Accurate determination of the proportion of total travel in “urban”, “rural” and “highway” conditions, and actual definition of these conditions in terms of average speed of travel</w:t>
      </w:r>
      <w:r w:rsidR="007C0641">
        <w:rPr>
          <w:rFonts w:ascii="Arial" w:hAnsi="Arial" w:cs="Arial"/>
          <w:sz w:val="22"/>
          <w:szCs w:val="22"/>
          <w:lang w:eastAsia="en-AU"/>
        </w:rPr>
        <w:t>,</w:t>
      </w:r>
      <w:r w:rsidRPr="009E3C67">
        <w:rPr>
          <w:rFonts w:ascii="Arial" w:hAnsi="Arial" w:cs="Arial"/>
          <w:sz w:val="22"/>
          <w:szCs w:val="22"/>
          <w:lang w:eastAsia="en-AU"/>
        </w:rPr>
        <w:t xml:space="preserve"> is challenging. This is because the available information on traffic performance uses different and more aggregated definitions, which are also loosely defined. </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For example, the ABS SMVU (ABS, 2011a) reports total VKT by state and by vehicle type, and uses the categories “capital city”, “other urban areas”, “other areas” and “interstate” to split the data. However, these data are not directly useful for the assignment of VKT contributions to the three COPERT Australia road types. For example, the ABS urban area definition will include a range of road types such as residential roads, arterial roads and highways. Furthermore, the SMVU does not include data on average driving speeds in the ABS categories. These issues apply to other potentially useful data sources (e.g. DCCEE, 2012).</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jc w:val="both"/>
        <w:rPr>
          <w:rFonts w:ascii="Arial" w:hAnsi="Arial" w:cs="Arial"/>
          <w:sz w:val="22"/>
          <w:szCs w:val="22"/>
          <w:lang w:eastAsia="en-AU"/>
        </w:rPr>
      </w:pPr>
      <w:proofErr w:type="spellStart"/>
      <w:r w:rsidRPr="009E3C67">
        <w:rPr>
          <w:rFonts w:ascii="Arial" w:hAnsi="Arial" w:cs="Arial"/>
          <w:sz w:val="22"/>
          <w:szCs w:val="22"/>
          <w:lang w:eastAsia="en-AU"/>
        </w:rPr>
        <w:t>Austroads</w:t>
      </w:r>
      <w:proofErr w:type="spellEnd"/>
      <w:r w:rsidRPr="009E3C67">
        <w:rPr>
          <w:rFonts w:ascii="Arial" w:hAnsi="Arial" w:cs="Arial"/>
          <w:sz w:val="22"/>
          <w:szCs w:val="22"/>
          <w:lang w:eastAsia="en-AU"/>
        </w:rPr>
        <w:t xml:space="preserve"> (2013) includes information on the network performance of major Australian cities. The network average speed provided by the state agencies is based on travel time monitoring data. The data are assumed to reflect a true representative sample of routes and travel environments within the metropolitan area and reflect the arterial road network (i.e. highways, primary and secondary arterials). The publication of this performance information enables Australian state and territory and New Zealand road authorities to benchmark at both national and international level. The time-series data provides information on the average daily travel speed in urban areas in NSW, Victoria, Queensland, WA, </w:t>
      </w:r>
      <w:r w:rsidR="007C0641">
        <w:rPr>
          <w:rFonts w:ascii="Arial" w:hAnsi="Arial" w:cs="Arial"/>
          <w:sz w:val="22"/>
          <w:szCs w:val="22"/>
          <w:lang w:eastAsia="en-AU"/>
        </w:rPr>
        <w:t>SA</w:t>
      </w:r>
      <w:r w:rsidRPr="009E3C67">
        <w:rPr>
          <w:rFonts w:ascii="Arial" w:hAnsi="Arial" w:cs="Arial"/>
          <w:sz w:val="22"/>
          <w:szCs w:val="22"/>
          <w:lang w:eastAsia="en-AU"/>
        </w:rPr>
        <w:t xml:space="preserve"> and ACT, but not in Tasmania and the </w:t>
      </w:r>
      <w:r w:rsidR="007C0641">
        <w:rPr>
          <w:rFonts w:ascii="Arial" w:hAnsi="Arial" w:cs="Arial"/>
          <w:sz w:val="22"/>
          <w:szCs w:val="22"/>
          <w:lang w:eastAsia="en-AU"/>
        </w:rPr>
        <w:t>NT</w:t>
      </w:r>
      <w:r w:rsidRPr="009E3C67">
        <w:rPr>
          <w:rFonts w:ascii="Arial" w:hAnsi="Arial" w:cs="Arial"/>
          <w:sz w:val="22"/>
          <w:szCs w:val="22"/>
          <w:lang w:eastAsia="en-AU"/>
        </w:rPr>
        <w:t xml:space="preserve">, as is shown in Figure 8. </w:t>
      </w:r>
    </w:p>
    <w:p w:rsidR="009E3C67" w:rsidRDefault="009E3C67" w:rsidP="009E3C67">
      <w:pPr>
        <w:spacing w:line="360" w:lineRule="auto"/>
        <w:jc w:val="center"/>
        <w:rPr>
          <w:rFonts w:ascii="Arial" w:hAnsi="Arial" w:cs="Arial"/>
          <w:b/>
          <w:sz w:val="22"/>
          <w:szCs w:val="22"/>
          <w:lang w:val="en-US" w:eastAsia="en-AU"/>
        </w:rPr>
      </w:pPr>
      <w:r w:rsidRPr="009E3C67">
        <w:rPr>
          <w:rFonts w:ascii="Arial" w:hAnsi="Arial" w:cs="Arial"/>
          <w:b/>
          <w:noProof/>
          <w:sz w:val="22"/>
          <w:szCs w:val="22"/>
          <w:lang w:eastAsia="en-AU"/>
        </w:rPr>
        <w:lastRenderedPageBreak/>
        <w:drawing>
          <wp:inline distT="0" distB="0" distL="0" distR="0">
            <wp:extent cx="5780873" cy="33626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5746" cy="3365467"/>
                    </a:xfrm>
                    <a:prstGeom prst="rect">
                      <a:avLst/>
                    </a:prstGeom>
                    <a:noFill/>
                    <a:ln>
                      <a:noFill/>
                    </a:ln>
                  </pic:spPr>
                </pic:pic>
              </a:graphicData>
            </a:graphic>
          </wp:inline>
        </w:drawing>
      </w:r>
    </w:p>
    <w:p w:rsidR="009E3C67" w:rsidRPr="009E3C67" w:rsidRDefault="009E3C67" w:rsidP="009E3C67">
      <w:pPr>
        <w:spacing w:line="360" w:lineRule="auto"/>
        <w:rPr>
          <w:rFonts w:ascii="Arial" w:hAnsi="Arial" w:cs="Arial"/>
          <w:b/>
          <w:sz w:val="22"/>
          <w:szCs w:val="22"/>
          <w:lang w:val="en-US" w:eastAsia="en-AU"/>
        </w:rPr>
      </w:pPr>
      <w:r w:rsidRPr="009E3C67">
        <w:rPr>
          <w:rFonts w:ascii="Arial" w:hAnsi="Arial" w:cs="Arial"/>
          <w:b/>
          <w:sz w:val="22"/>
          <w:szCs w:val="22"/>
          <w:lang w:val="en-US" w:eastAsia="en-AU"/>
        </w:rPr>
        <w:t xml:space="preserve">Figure 8 </w:t>
      </w:r>
      <w:r w:rsidRPr="009E3C67">
        <w:rPr>
          <w:rFonts w:ascii="Arial" w:hAnsi="Arial" w:cs="Arial"/>
          <w:sz w:val="22"/>
          <w:szCs w:val="22"/>
          <w:lang w:val="en-US" w:eastAsia="en-AU"/>
        </w:rPr>
        <w:t>Average urban network speeds</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The figure shows that average urban speed has remained fairly constant over the years for each state, and, on average, dropped from about 46 km/h in 1998 to 42 km/h in 2012. There are differences between the states with the ACT having the lowest average network speeds (around 32 km/h) and WA having the highest (around 48 km/h). This demonstrates that urban </w:t>
      </w:r>
      <w:proofErr w:type="gramStart"/>
      <w:r w:rsidRPr="009E3C67">
        <w:rPr>
          <w:rFonts w:ascii="Arial" w:hAnsi="Arial" w:cs="Arial"/>
          <w:sz w:val="22"/>
          <w:szCs w:val="22"/>
          <w:lang w:eastAsia="en-AU"/>
        </w:rPr>
        <w:t>structure,</w:t>
      </w:r>
      <w:proofErr w:type="gramEnd"/>
      <w:r w:rsidRPr="009E3C67">
        <w:rPr>
          <w:rFonts w:ascii="Arial" w:hAnsi="Arial" w:cs="Arial"/>
          <w:sz w:val="22"/>
          <w:szCs w:val="22"/>
          <w:lang w:eastAsia="en-AU"/>
        </w:rPr>
        <w:t xml:space="preserve"> travel demand and road network will affect local/regional traffic conditions. </w:t>
      </w:r>
      <w:r w:rsidR="007C0641">
        <w:rPr>
          <w:rFonts w:ascii="Arial" w:hAnsi="Arial" w:cs="Arial"/>
          <w:sz w:val="22"/>
          <w:szCs w:val="22"/>
          <w:lang w:eastAsia="en-AU"/>
        </w:rPr>
        <w:t>Th</w:t>
      </w:r>
      <w:r w:rsidR="00591B4A">
        <w:rPr>
          <w:rFonts w:ascii="Arial" w:hAnsi="Arial" w:cs="Arial"/>
          <w:sz w:val="22"/>
          <w:szCs w:val="22"/>
          <w:lang w:eastAsia="en-AU"/>
        </w:rPr>
        <w:t>ese</w:t>
      </w:r>
      <w:r w:rsidR="007C0641" w:rsidRPr="009E3C67">
        <w:rPr>
          <w:rFonts w:ascii="Arial" w:hAnsi="Arial" w:cs="Arial"/>
          <w:sz w:val="22"/>
          <w:szCs w:val="22"/>
          <w:lang w:eastAsia="en-AU"/>
        </w:rPr>
        <w:t xml:space="preserve"> </w:t>
      </w:r>
      <w:r w:rsidRPr="009E3C67">
        <w:rPr>
          <w:rFonts w:ascii="Arial" w:hAnsi="Arial" w:cs="Arial"/>
          <w:sz w:val="22"/>
          <w:szCs w:val="22"/>
          <w:lang w:eastAsia="en-AU"/>
        </w:rPr>
        <w:t>data, however, cannot be used for COPERT Australia for two reasons:</w:t>
      </w:r>
    </w:p>
    <w:p w:rsidR="009E3C67" w:rsidRPr="009E3C67" w:rsidRDefault="009E3C67" w:rsidP="009E3C67">
      <w:pPr>
        <w:jc w:val="both"/>
        <w:rPr>
          <w:rFonts w:ascii="Arial" w:hAnsi="Arial" w:cs="Arial"/>
          <w:sz w:val="22"/>
          <w:szCs w:val="22"/>
          <w:lang w:eastAsia="en-AU"/>
        </w:rPr>
      </w:pPr>
    </w:p>
    <w:p w:rsidR="009E3C67" w:rsidRPr="009E3C67" w:rsidRDefault="009E3C67" w:rsidP="009E3C67">
      <w:pPr>
        <w:numPr>
          <w:ilvl w:val="0"/>
          <w:numId w:val="41"/>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The network speeds cannot be split into the required COPERT Australia road types.</w:t>
      </w:r>
    </w:p>
    <w:p w:rsidR="009E3C67" w:rsidRPr="009E3C67" w:rsidRDefault="009E3C67" w:rsidP="009E3C67">
      <w:pPr>
        <w:numPr>
          <w:ilvl w:val="0"/>
          <w:numId w:val="41"/>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 xml:space="preserve">COPERT Australia emission factors (g/km) have a different spatial resolution, i.e. they reflect driving and emissions on short road segments (about 100m) and not travel journeys (several </w:t>
      </w:r>
      <w:r w:rsidR="0024102A" w:rsidRPr="009E3C67">
        <w:rPr>
          <w:rFonts w:ascii="Arial" w:hAnsi="Arial" w:cs="Arial"/>
          <w:sz w:val="22"/>
          <w:szCs w:val="22"/>
          <w:lang w:eastAsia="en-AU"/>
        </w:rPr>
        <w:t>kilometres</w:t>
      </w:r>
      <w:r w:rsidRPr="009E3C67">
        <w:rPr>
          <w:rFonts w:ascii="Arial" w:hAnsi="Arial" w:cs="Arial"/>
          <w:sz w:val="22"/>
          <w:szCs w:val="22"/>
          <w:lang w:eastAsia="en-AU"/>
        </w:rPr>
        <w:t>, typically).</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In fact, COPERT Australia is designed to interface readily with output from (macroscopic) transport models (Smit and </w:t>
      </w:r>
      <w:proofErr w:type="spellStart"/>
      <w:r w:rsidRPr="009E3C67">
        <w:rPr>
          <w:rFonts w:ascii="Arial" w:hAnsi="Arial" w:cs="Arial"/>
          <w:sz w:val="22"/>
          <w:szCs w:val="22"/>
          <w:lang w:eastAsia="en-AU"/>
        </w:rPr>
        <w:t>Ntziachristos</w:t>
      </w:r>
      <w:proofErr w:type="spellEnd"/>
      <w:r w:rsidRPr="009E3C67">
        <w:rPr>
          <w:rFonts w:ascii="Arial" w:hAnsi="Arial" w:cs="Arial"/>
          <w:sz w:val="22"/>
          <w:szCs w:val="22"/>
          <w:lang w:eastAsia="en-AU"/>
        </w:rPr>
        <w:t xml:space="preserve">, 2012). These models provide detailed information for thousands of road segments (“links”) in major urban networks on traffic volumes by basic vehicle type (e.g. LDV and HDV), time of day (e.g. </w:t>
      </w:r>
      <w:r w:rsidR="007C0641">
        <w:rPr>
          <w:rFonts w:ascii="Arial" w:hAnsi="Arial" w:cs="Arial"/>
          <w:sz w:val="22"/>
          <w:szCs w:val="22"/>
          <w:lang w:eastAsia="en-AU"/>
        </w:rPr>
        <w:t>morning</w:t>
      </w:r>
      <w:r w:rsidR="007C0641" w:rsidRPr="009E3C67">
        <w:rPr>
          <w:rFonts w:ascii="Arial" w:hAnsi="Arial" w:cs="Arial"/>
          <w:sz w:val="22"/>
          <w:szCs w:val="22"/>
          <w:lang w:eastAsia="en-AU"/>
        </w:rPr>
        <w:t xml:space="preserve"> </w:t>
      </w:r>
      <w:r w:rsidRPr="009E3C67">
        <w:rPr>
          <w:rFonts w:ascii="Arial" w:hAnsi="Arial" w:cs="Arial"/>
          <w:sz w:val="22"/>
          <w:szCs w:val="22"/>
          <w:lang w:eastAsia="en-AU"/>
        </w:rPr>
        <w:t xml:space="preserve">peak, </w:t>
      </w:r>
      <w:r w:rsidR="007C0641">
        <w:rPr>
          <w:rFonts w:ascii="Arial" w:hAnsi="Arial" w:cs="Arial"/>
          <w:sz w:val="22"/>
          <w:szCs w:val="22"/>
          <w:lang w:eastAsia="en-AU"/>
        </w:rPr>
        <w:t>afternoon</w:t>
      </w:r>
      <w:r w:rsidRPr="009E3C67">
        <w:rPr>
          <w:rFonts w:ascii="Arial" w:hAnsi="Arial" w:cs="Arial"/>
          <w:sz w:val="22"/>
          <w:szCs w:val="22"/>
          <w:lang w:eastAsia="en-AU"/>
        </w:rPr>
        <w:t xml:space="preserve"> peak, off-peak and night-time), congestion level (average speed) and other useful data (e.g. speed limits).</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State transport agencies and transport departments typically develop and use these transport models for major urban areas. This information can be used to compute average network speed and the share of the three driving modes “urban”, “rural” and “highway”. </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lastRenderedPageBreak/>
        <w:t>A number of jurisdictions provided detailed output data from strategic transport models:</w:t>
      </w:r>
    </w:p>
    <w:p w:rsidR="009E3C67" w:rsidRPr="009E3C67" w:rsidRDefault="009E3C67" w:rsidP="009E3C67">
      <w:pPr>
        <w:jc w:val="both"/>
        <w:rPr>
          <w:rFonts w:ascii="Arial" w:hAnsi="Arial" w:cs="Arial"/>
          <w:sz w:val="22"/>
          <w:szCs w:val="22"/>
          <w:lang w:eastAsia="en-AU"/>
        </w:rPr>
      </w:pP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NSW Greater Metropolitan Area (GMA): 60,269 road links</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South East Queensland (SEQ): 44,892 road links</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Adelaide: 11,834 road links</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Perth: 10,454 road links</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Th</w:t>
      </w:r>
      <w:r w:rsidR="007C0641">
        <w:rPr>
          <w:rFonts w:ascii="Arial" w:hAnsi="Arial" w:cs="Arial"/>
          <w:sz w:val="22"/>
          <w:szCs w:val="22"/>
          <w:lang w:eastAsia="en-AU"/>
        </w:rPr>
        <w:t>is</w:t>
      </w:r>
      <w:r w:rsidRPr="009E3C67">
        <w:rPr>
          <w:rFonts w:ascii="Arial" w:hAnsi="Arial" w:cs="Arial"/>
          <w:sz w:val="22"/>
          <w:szCs w:val="22"/>
          <w:lang w:eastAsia="en-AU"/>
        </w:rPr>
        <w:t xml:space="preserve"> data </w:t>
      </w:r>
      <w:r w:rsidR="007C0641">
        <w:rPr>
          <w:rFonts w:ascii="Arial" w:hAnsi="Arial" w:cs="Arial"/>
          <w:sz w:val="22"/>
          <w:szCs w:val="22"/>
          <w:lang w:eastAsia="en-AU"/>
        </w:rPr>
        <w:t>was</w:t>
      </w:r>
      <w:r w:rsidR="007C0641" w:rsidRPr="009E3C67">
        <w:rPr>
          <w:rFonts w:ascii="Arial" w:hAnsi="Arial" w:cs="Arial"/>
          <w:sz w:val="22"/>
          <w:szCs w:val="22"/>
          <w:lang w:eastAsia="en-AU"/>
        </w:rPr>
        <w:t xml:space="preserve"> </w:t>
      </w:r>
      <w:r w:rsidRPr="009E3C67">
        <w:rPr>
          <w:rFonts w:ascii="Arial" w:hAnsi="Arial" w:cs="Arial"/>
          <w:sz w:val="22"/>
          <w:szCs w:val="22"/>
          <w:lang w:eastAsia="en-AU"/>
        </w:rPr>
        <w:t xml:space="preserve">analysed to create road speed distributions showing the percentage of total network VKT for each average speed bin, as is shown in the figure below. </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center"/>
        <w:rPr>
          <w:rFonts w:ascii="Arial" w:hAnsi="Arial" w:cs="Arial"/>
          <w:b/>
          <w:sz w:val="22"/>
          <w:szCs w:val="22"/>
          <w:lang w:val="en-US" w:eastAsia="en-AU"/>
        </w:rPr>
      </w:pPr>
      <w:r w:rsidRPr="009E3C67">
        <w:rPr>
          <w:rFonts w:ascii="Arial" w:hAnsi="Arial" w:cs="Arial"/>
          <w:b/>
          <w:noProof/>
          <w:sz w:val="22"/>
          <w:szCs w:val="22"/>
          <w:lang w:eastAsia="en-AU"/>
        </w:rPr>
        <w:drawing>
          <wp:inline distT="0" distB="0" distL="0" distR="0">
            <wp:extent cx="5486400" cy="27152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705" cy="2724770"/>
                    </a:xfrm>
                    <a:prstGeom prst="rect">
                      <a:avLst/>
                    </a:prstGeom>
                    <a:noFill/>
                    <a:ln>
                      <a:noFill/>
                    </a:ln>
                  </pic:spPr>
                </pic:pic>
              </a:graphicData>
            </a:graphic>
          </wp:inline>
        </w:drawing>
      </w:r>
    </w:p>
    <w:p w:rsidR="009E3C67" w:rsidRPr="009E3C67" w:rsidRDefault="009E3C67" w:rsidP="009E3C67">
      <w:pPr>
        <w:spacing w:line="360" w:lineRule="auto"/>
        <w:rPr>
          <w:rFonts w:ascii="Arial" w:hAnsi="Arial" w:cs="Arial"/>
          <w:b/>
          <w:sz w:val="22"/>
          <w:szCs w:val="22"/>
          <w:lang w:val="en-US" w:eastAsia="en-AU"/>
        </w:rPr>
      </w:pPr>
      <w:r w:rsidRPr="009E3C67">
        <w:rPr>
          <w:rFonts w:ascii="Arial" w:hAnsi="Arial" w:cs="Arial"/>
          <w:b/>
          <w:sz w:val="22"/>
          <w:szCs w:val="22"/>
          <w:lang w:val="en-US" w:eastAsia="en-AU"/>
        </w:rPr>
        <w:t xml:space="preserve">Figure 9 </w:t>
      </w:r>
      <w:r w:rsidRPr="009E3C67">
        <w:rPr>
          <w:rFonts w:ascii="Arial" w:hAnsi="Arial" w:cs="Arial"/>
          <w:sz w:val="22"/>
          <w:szCs w:val="22"/>
          <w:lang w:val="en-US" w:eastAsia="en-AU"/>
        </w:rPr>
        <w:t>Average urban network speeds</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The speed ranges for the three driving modes are (arbitrarily) defined as 0-64 km/h for “urban”, 65-94 km/h for “rural” and &gt; 95 km/h for “highway”. Following these definitions, the following average network speeds and VKT shares were computed:</w:t>
      </w:r>
    </w:p>
    <w:p w:rsidR="009E3C67" w:rsidRPr="009E3C67" w:rsidRDefault="009E3C67" w:rsidP="009E3C67">
      <w:pPr>
        <w:jc w:val="both"/>
        <w:rPr>
          <w:rFonts w:ascii="Arial" w:hAnsi="Arial" w:cs="Arial"/>
          <w:sz w:val="22"/>
          <w:szCs w:val="22"/>
          <w:lang w:eastAsia="en-AU"/>
        </w:rPr>
      </w:pP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GMA: “urban” (41 km/h; 78%), “rural” (75 km/h; 17%), “highway” (99 km/h; 4%)</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SEQ: “urban” (46 km/h; 56%), “rural” (82 km/h; 22%), “highway” (101 km/h; 22%)</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Adelaide: “urban” (51 km/h; 66%), “rural” (78 km/h; 26%), “highway” (106 km/h; 8%)</w:t>
      </w:r>
    </w:p>
    <w:p w:rsidR="009E3C67" w:rsidRPr="009E3C67" w:rsidRDefault="009E3C67" w:rsidP="009E3C67">
      <w:pPr>
        <w:numPr>
          <w:ilvl w:val="0"/>
          <w:numId w:val="40"/>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Perth: “urban” (46 km/h; 62%), “rural” (76 km/h; 37%), “highway” (97 km/h; 1%)</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Again, there are substantial differences between the metropolitan areas. The proportion of high speed “highway” driving is significantly higher in SEQ (22%) as compared with GMA, Adelaide and Perth (1-8%). However, other sources indicate that other Australian cities may have similarly higher proportions of highway driving. For example, </w:t>
      </w:r>
      <w:proofErr w:type="spellStart"/>
      <w:r w:rsidRPr="009E3C67">
        <w:rPr>
          <w:rFonts w:ascii="Arial" w:hAnsi="Arial" w:cs="Arial"/>
          <w:sz w:val="22"/>
          <w:szCs w:val="22"/>
          <w:lang w:eastAsia="en-AU"/>
        </w:rPr>
        <w:t>Vicroads</w:t>
      </w:r>
      <w:proofErr w:type="spellEnd"/>
      <w:r w:rsidRPr="009E3C67">
        <w:rPr>
          <w:rFonts w:ascii="Arial" w:hAnsi="Arial" w:cs="Arial"/>
          <w:sz w:val="22"/>
          <w:szCs w:val="22"/>
          <w:lang w:eastAsia="en-AU"/>
        </w:rPr>
        <w:t xml:space="preserve"> (2011) reports that 25% of travel occurs on highways in the Melbourne metropolitan area. Total fuel consumption for a road network can be predicted in two ways:</w:t>
      </w:r>
    </w:p>
    <w:p w:rsidR="009E3C67" w:rsidRPr="009E3C67" w:rsidRDefault="009E3C67" w:rsidP="009E3C67">
      <w:pPr>
        <w:jc w:val="both"/>
        <w:rPr>
          <w:rFonts w:ascii="Arial" w:hAnsi="Arial" w:cs="Arial"/>
          <w:sz w:val="22"/>
          <w:szCs w:val="22"/>
          <w:lang w:eastAsia="en-AU"/>
        </w:rPr>
      </w:pPr>
    </w:p>
    <w:p w:rsidR="009E3C67" w:rsidRPr="009E3C67" w:rsidRDefault="009E3C67" w:rsidP="009E3C67">
      <w:pPr>
        <w:numPr>
          <w:ilvl w:val="0"/>
          <w:numId w:val="42"/>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Computing fuel consumption for each road link (</w:t>
      </w:r>
      <w:r w:rsidR="0024102A" w:rsidRPr="009E3C67">
        <w:rPr>
          <w:rFonts w:ascii="Arial" w:hAnsi="Arial" w:cs="Arial"/>
          <w:sz w:val="22"/>
          <w:szCs w:val="22"/>
          <w:lang w:eastAsia="en-AU"/>
        </w:rPr>
        <w:t>bottom</w:t>
      </w:r>
      <w:r w:rsidRPr="009E3C67">
        <w:rPr>
          <w:rFonts w:ascii="Arial" w:hAnsi="Arial" w:cs="Arial"/>
          <w:sz w:val="22"/>
          <w:szCs w:val="22"/>
          <w:lang w:eastAsia="en-AU"/>
        </w:rPr>
        <w:t xml:space="preserve"> up), then aggregating to network level.</w:t>
      </w:r>
    </w:p>
    <w:p w:rsidR="009E3C67" w:rsidRPr="009E3C67" w:rsidRDefault="009E3C67" w:rsidP="009E3C67">
      <w:pPr>
        <w:numPr>
          <w:ilvl w:val="0"/>
          <w:numId w:val="42"/>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Using the average network speeds for each road type in COPERT Australia and run the software.</w:t>
      </w:r>
    </w:p>
    <w:p w:rsid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The last approach is used in this study. However, comparison of these two values showed that a lower average network speed for “urban” should be used in COPERT Australia to reproduce the </w:t>
      </w:r>
      <w:r w:rsidR="0024102A" w:rsidRPr="009E3C67">
        <w:rPr>
          <w:rFonts w:ascii="Arial" w:hAnsi="Arial" w:cs="Arial"/>
          <w:sz w:val="22"/>
          <w:szCs w:val="22"/>
          <w:lang w:eastAsia="en-AU"/>
        </w:rPr>
        <w:t>bottom</w:t>
      </w:r>
      <w:r w:rsidRPr="009E3C67">
        <w:rPr>
          <w:rFonts w:ascii="Arial" w:hAnsi="Arial" w:cs="Arial"/>
          <w:sz w:val="22"/>
          <w:szCs w:val="22"/>
          <w:lang w:eastAsia="en-AU"/>
        </w:rPr>
        <w:t xml:space="preserve">-up network predictions. This effect is caused by the non-linear relationship between emission factors (g/km) and average speed. Therefore an “equivalent” average speed was computed that accounts for this underestimation effect, as well as for a similar (and additional) underestimation effect of real-world speed distributions on road links (Smit, </w:t>
      </w:r>
      <w:proofErr w:type="spellStart"/>
      <w:r w:rsidRPr="009E3C67">
        <w:rPr>
          <w:rFonts w:ascii="Arial" w:hAnsi="Arial" w:cs="Arial"/>
          <w:sz w:val="22"/>
          <w:szCs w:val="22"/>
          <w:lang w:eastAsia="en-AU"/>
        </w:rPr>
        <w:t>Poelman</w:t>
      </w:r>
      <w:proofErr w:type="spellEnd"/>
      <w:r w:rsidRPr="009E3C67">
        <w:rPr>
          <w:rFonts w:ascii="Arial" w:hAnsi="Arial" w:cs="Arial"/>
          <w:sz w:val="22"/>
          <w:szCs w:val="22"/>
          <w:lang w:eastAsia="en-AU"/>
        </w:rPr>
        <w:t xml:space="preserve">, and </w:t>
      </w:r>
      <w:proofErr w:type="spellStart"/>
      <w:r w:rsidRPr="009E3C67">
        <w:rPr>
          <w:rFonts w:ascii="Arial" w:hAnsi="Arial" w:cs="Arial"/>
          <w:sz w:val="22"/>
          <w:szCs w:val="22"/>
          <w:lang w:eastAsia="en-AU"/>
        </w:rPr>
        <w:t>Schrijver</w:t>
      </w:r>
      <w:proofErr w:type="spellEnd"/>
      <w:r w:rsidRPr="009E3C67">
        <w:rPr>
          <w:rFonts w:ascii="Arial" w:hAnsi="Arial" w:cs="Arial"/>
          <w:sz w:val="22"/>
          <w:szCs w:val="22"/>
          <w:lang w:eastAsia="en-AU"/>
        </w:rPr>
        <w:t>, 2008). The COPERT “equivalent” average speed for urban conditions is about 5-10 km/h lower than the aggregated average speed (VKT weighted average) that is derived from analysis of macroscopic transport model output.</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One potential issue is the </w:t>
      </w:r>
      <w:r w:rsidR="0024102A" w:rsidRPr="009E3C67">
        <w:rPr>
          <w:rFonts w:ascii="Arial" w:hAnsi="Arial" w:cs="Arial"/>
          <w:sz w:val="22"/>
          <w:szCs w:val="22"/>
          <w:lang w:eastAsia="en-AU"/>
        </w:rPr>
        <w:t>representativeness</w:t>
      </w:r>
      <w:r w:rsidRPr="009E3C67">
        <w:rPr>
          <w:rFonts w:ascii="Arial" w:hAnsi="Arial" w:cs="Arial"/>
          <w:sz w:val="22"/>
          <w:szCs w:val="22"/>
          <w:lang w:eastAsia="en-AU"/>
        </w:rPr>
        <w:t xml:space="preserve"> of the capital city road network for the whole of the state. It is possible, for example, that a significantly larger proportion of rural and highway driving occurs outside the metropolitan areas. However, no further information could be located for the jurisdictions.</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The available data sources (ABS, 2011a; </w:t>
      </w:r>
      <w:proofErr w:type="spellStart"/>
      <w:r w:rsidRPr="009E3C67">
        <w:rPr>
          <w:rFonts w:ascii="Arial" w:hAnsi="Arial" w:cs="Arial"/>
          <w:sz w:val="22"/>
          <w:szCs w:val="22"/>
          <w:lang w:eastAsia="en-AU"/>
        </w:rPr>
        <w:t>Vicroads</w:t>
      </w:r>
      <w:proofErr w:type="spellEnd"/>
      <w:r w:rsidRPr="009E3C67">
        <w:rPr>
          <w:rFonts w:ascii="Arial" w:hAnsi="Arial" w:cs="Arial"/>
          <w:sz w:val="22"/>
          <w:szCs w:val="22"/>
          <w:lang w:eastAsia="en-AU"/>
        </w:rPr>
        <w:t xml:space="preserve">, 2011; DCCEE, 2012) clearly show that VKT shares by road type vary substantially between vehicle types. For example, medium commercial vehicles (MCVs, rigid trucks) and buses have a share of urban driving that is similar to light-duty vehicles (passenger cars, LCVs). Heavy duty trucks, on the other hand, have a distinctly larger share in “non-urban driving”, which is interpreted as “highway” conditions. This variation needs to be reflected in the COPERT input file. All available data sources were considered in the development of a final input table for COPERT Australia. A summary of the range of speeds and VKT shares is presented in Table 7. </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jc w:val="both"/>
        <w:rPr>
          <w:rFonts w:ascii="Arial" w:hAnsi="Arial" w:cs="Arial"/>
          <w:b/>
          <w:sz w:val="22"/>
          <w:szCs w:val="22"/>
          <w:lang w:val="en-US" w:eastAsia="en-AU"/>
        </w:rPr>
      </w:pPr>
      <w:r w:rsidRPr="009E3C67">
        <w:rPr>
          <w:rFonts w:ascii="Arial" w:hAnsi="Arial" w:cs="Arial"/>
          <w:b/>
          <w:sz w:val="22"/>
          <w:szCs w:val="22"/>
          <w:lang w:val="en-US" w:eastAsia="en-AU"/>
        </w:rPr>
        <w:t xml:space="preserve">Table 7 </w:t>
      </w:r>
      <w:r w:rsidRPr="009E3C67">
        <w:rPr>
          <w:rFonts w:ascii="Arial" w:hAnsi="Arial" w:cs="Arial"/>
          <w:sz w:val="22"/>
          <w:szCs w:val="22"/>
          <w:lang w:val="en-US" w:eastAsia="en-AU"/>
        </w:rPr>
        <w:t>Range of network traffic conditions in Australian jurisdictions</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275"/>
        <w:gridCol w:w="1419"/>
        <w:gridCol w:w="1275"/>
        <w:gridCol w:w="1275"/>
        <w:gridCol w:w="1275"/>
      </w:tblGrid>
      <w:tr w:rsidR="009E3C67" w:rsidRPr="009E3C67" w:rsidTr="009E3C67">
        <w:tc>
          <w:tcPr>
            <w:tcW w:w="1101" w:type="dxa"/>
            <w:vMerge w:val="restart"/>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Vehicle class</w:t>
            </w:r>
          </w:p>
        </w:tc>
        <w:tc>
          <w:tcPr>
            <w:tcW w:w="3969" w:type="dxa"/>
            <w:gridSpan w:val="3"/>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Equivalent average network speed (km/h)</w:t>
            </w:r>
          </w:p>
        </w:tc>
        <w:tc>
          <w:tcPr>
            <w:tcW w:w="3825" w:type="dxa"/>
            <w:gridSpan w:val="3"/>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VKT share (%)</w:t>
            </w:r>
          </w:p>
        </w:tc>
      </w:tr>
      <w:tr w:rsidR="009E3C67" w:rsidRPr="009E3C67" w:rsidTr="009E3C67">
        <w:tc>
          <w:tcPr>
            <w:tcW w:w="1101" w:type="dxa"/>
            <w:vMerge/>
            <w:shd w:val="pct15" w:color="auto" w:fill="auto"/>
          </w:tcPr>
          <w:p w:rsidR="009E3C67" w:rsidRPr="009E3C67" w:rsidRDefault="009E3C67" w:rsidP="009E3C67">
            <w:pPr>
              <w:jc w:val="both"/>
              <w:rPr>
                <w:rFonts w:ascii="Arial" w:hAnsi="Arial" w:cs="Arial"/>
                <w:lang w:val="en-US" w:eastAsia="en-AU"/>
              </w:rPr>
            </w:pPr>
          </w:p>
        </w:tc>
        <w:tc>
          <w:tcPr>
            <w:tcW w:w="1275"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Urban</w:t>
            </w:r>
          </w:p>
        </w:tc>
        <w:tc>
          <w:tcPr>
            <w:tcW w:w="1275"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Rural</w:t>
            </w:r>
          </w:p>
        </w:tc>
        <w:tc>
          <w:tcPr>
            <w:tcW w:w="1419"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Highway</w:t>
            </w:r>
          </w:p>
        </w:tc>
        <w:tc>
          <w:tcPr>
            <w:tcW w:w="1275"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Urban</w:t>
            </w:r>
          </w:p>
        </w:tc>
        <w:tc>
          <w:tcPr>
            <w:tcW w:w="1275"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Rural</w:t>
            </w:r>
          </w:p>
        </w:tc>
        <w:tc>
          <w:tcPr>
            <w:tcW w:w="1275" w:type="dxa"/>
            <w:shd w:val="pct15" w:color="auto" w:fill="auto"/>
          </w:tcPr>
          <w:p w:rsidR="009E3C67" w:rsidRPr="009E3C67" w:rsidRDefault="009E3C67" w:rsidP="009E3C67">
            <w:pPr>
              <w:jc w:val="both"/>
              <w:rPr>
                <w:rFonts w:ascii="Arial" w:hAnsi="Arial" w:cs="Arial"/>
                <w:lang w:val="en-US" w:eastAsia="en-AU"/>
              </w:rPr>
            </w:pPr>
            <w:r w:rsidRPr="009E3C67">
              <w:rPr>
                <w:rFonts w:ascii="Arial" w:hAnsi="Arial" w:cs="Arial"/>
                <w:lang w:val="en-US" w:eastAsia="en-AU"/>
              </w:rPr>
              <w:t>Highway</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PC</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100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80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5 - 25</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LCV</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100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80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5 - 20</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MCV</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90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80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5 - 20</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HCV</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90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80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5 - 20</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AT</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90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15 – 35</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0 - 70</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5 - 85</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BUS</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90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75</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5 - 30</w:t>
            </w:r>
          </w:p>
        </w:tc>
      </w:tr>
      <w:tr w:rsidR="009E3C67" w:rsidRPr="009E3C67" w:rsidTr="009E3C67">
        <w:tc>
          <w:tcPr>
            <w:tcW w:w="1101"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MCY</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30 – 40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75 - 80</w:t>
            </w:r>
          </w:p>
        </w:tc>
        <w:tc>
          <w:tcPr>
            <w:tcW w:w="1419"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100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60 – 70</w:t>
            </w:r>
          </w:p>
        </w:tc>
        <w:tc>
          <w:tcPr>
            <w:tcW w:w="1275" w:type="dxa"/>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0 - 35</w:t>
            </w:r>
          </w:p>
        </w:tc>
        <w:tc>
          <w:tcPr>
            <w:tcW w:w="1275" w:type="dxa"/>
            <w:shd w:val="clear" w:color="auto" w:fill="auto"/>
            <w:vAlign w:val="center"/>
          </w:tcPr>
          <w:p w:rsidR="009E3C67" w:rsidRPr="009E3C67" w:rsidRDefault="009E3C67" w:rsidP="009E3C67">
            <w:pPr>
              <w:jc w:val="both"/>
              <w:rPr>
                <w:rFonts w:ascii="Arial" w:hAnsi="Arial" w:cs="Arial"/>
                <w:lang w:eastAsia="en-AU"/>
              </w:rPr>
            </w:pPr>
            <w:r w:rsidRPr="009E3C67">
              <w:rPr>
                <w:rFonts w:ascii="Arial" w:hAnsi="Arial" w:cs="Arial"/>
                <w:lang w:eastAsia="en-AU"/>
              </w:rPr>
              <w:t>5 - 30</w:t>
            </w:r>
          </w:p>
        </w:tc>
      </w:tr>
    </w:tbl>
    <w:p w:rsidR="009E3C67" w:rsidRDefault="009E3C67" w:rsidP="009E3C67">
      <w:pPr>
        <w:rPr>
          <w:lang w:eastAsia="en-AU"/>
        </w:rPr>
      </w:pPr>
    </w:p>
    <w:p w:rsidR="009E3C67" w:rsidRDefault="009E3C67">
      <w:pPr>
        <w:rPr>
          <w:lang w:eastAsia="en-AU"/>
        </w:rPr>
      </w:pPr>
      <w:r>
        <w:rPr>
          <w:lang w:eastAsia="en-AU"/>
        </w:rPr>
        <w:br w:type="page"/>
      </w:r>
    </w:p>
    <w:p w:rsidR="009E3C67" w:rsidRPr="009E3C67" w:rsidRDefault="009E3C67" w:rsidP="009E3C67">
      <w:pPr>
        <w:pStyle w:val="Heading1"/>
        <w:tabs>
          <w:tab w:val="clear" w:pos="720"/>
        </w:tabs>
        <w:spacing w:line="360" w:lineRule="auto"/>
        <w:ind w:left="567" w:hanging="567"/>
        <w:rPr>
          <w:rFonts w:ascii="Arial" w:hAnsi="Arial" w:cs="Arial"/>
          <w:sz w:val="22"/>
          <w:szCs w:val="22"/>
        </w:rPr>
      </w:pPr>
      <w:bookmarkStart w:id="24" w:name="_Toc394993197"/>
      <w:r w:rsidRPr="009E3C67">
        <w:rPr>
          <w:rFonts w:ascii="Arial" w:hAnsi="Arial" w:cs="Arial"/>
          <w:sz w:val="22"/>
          <w:szCs w:val="22"/>
        </w:rPr>
        <w:lastRenderedPageBreak/>
        <w:t>RESULTS</w:t>
      </w:r>
      <w:bookmarkEnd w:id="24"/>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This section presents the results of the COPERT Australia runs using the input that was discussed in section 4. COPERT Australia creates a substantial amount of vehicle emissions information that can be analysed in various ways and with different levels of detail to address different research or policy questions. The software can create output in the form of either Excel spread-sheets or report (</w:t>
      </w:r>
      <w:proofErr w:type="spellStart"/>
      <w:r w:rsidRPr="009E3C67">
        <w:rPr>
          <w:rFonts w:ascii="Arial" w:hAnsi="Arial" w:cs="Arial"/>
          <w:sz w:val="22"/>
          <w:szCs w:val="22"/>
        </w:rPr>
        <w:t>pdf</w:t>
      </w:r>
      <w:proofErr w:type="spellEnd"/>
      <w:r w:rsidRPr="009E3C67">
        <w:rPr>
          <w:rFonts w:ascii="Arial" w:hAnsi="Arial" w:cs="Arial"/>
          <w:sz w:val="22"/>
          <w:szCs w:val="22"/>
        </w:rPr>
        <w:t xml:space="preserve">) format with different options regarding the required breakdown of emissions. An example of a report is shown in Figure </w:t>
      </w:r>
      <w:r w:rsidR="007C0641">
        <w:rPr>
          <w:rFonts w:ascii="Arial" w:hAnsi="Arial" w:cs="Arial"/>
          <w:sz w:val="22"/>
          <w:szCs w:val="22"/>
        </w:rPr>
        <w:t>10</w:t>
      </w:r>
      <w:r w:rsidRPr="009E3C67">
        <w:rPr>
          <w:rFonts w:ascii="Arial" w:hAnsi="Arial" w:cs="Arial"/>
          <w:sz w:val="22"/>
          <w:szCs w:val="22"/>
        </w:rPr>
        <w:t>.</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center"/>
        <w:rPr>
          <w:rFonts w:ascii="Arial" w:hAnsi="Arial" w:cs="Arial"/>
          <w:b/>
          <w:sz w:val="22"/>
          <w:szCs w:val="22"/>
          <w:lang w:val="en-US"/>
        </w:rPr>
      </w:pPr>
      <w:r w:rsidRPr="009E3C67">
        <w:rPr>
          <w:rFonts w:ascii="Arial" w:hAnsi="Arial" w:cs="Arial"/>
          <w:noProof/>
          <w:sz w:val="22"/>
          <w:szCs w:val="22"/>
          <w:lang w:eastAsia="en-AU"/>
        </w:rPr>
        <w:drawing>
          <wp:inline distT="0" distB="0" distL="0" distR="0">
            <wp:extent cx="4755749" cy="5744497"/>
            <wp:effectExtent l="0" t="0" r="698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4754895" cy="5743466"/>
                    </a:xfrm>
                    <a:prstGeom prst="rect">
                      <a:avLst/>
                    </a:prstGeom>
                  </pic:spPr>
                </pic:pic>
              </a:graphicData>
            </a:graphic>
          </wp:inline>
        </w:drawing>
      </w:r>
    </w:p>
    <w:p w:rsidR="009E3C67" w:rsidRPr="009E3C67" w:rsidRDefault="009E3C67" w:rsidP="009E3C67">
      <w:pPr>
        <w:spacing w:line="360" w:lineRule="auto"/>
        <w:jc w:val="both"/>
        <w:rPr>
          <w:rFonts w:ascii="Arial" w:hAnsi="Arial" w:cs="Arial"/>
          <w:b/>
          <w:sz w:val="22"/>
          <w:szCs w:val="22"/>
          <w:lang w:val="en-US"/>
        </w:rPr>
      </w:pPr>
      <w:r w:rsidRPr="009E3C67">
        <w:rPr>
          <w:rFonts w:ascii="Arial" w:hAnsi="Arial" w:cs="Arial"/>
          <w:b/>
          <w:sz w:val="22"/>
          <w:szCs w:val="22"/>
          <w:lang w:val="en-US"/>
        </w:rPr>
        <w:t xml:space="preserve">Figure 10 </w:t>
      </w:r>
      <w:r w:rsidRPr="009E3C67">
        <w:rPr>
          <w:rFonts w:ascii="Arial" w:hAnsi="Arial" w:cs="Arial"/>
          <w:sz w:val="22"/>
          <w:szCs w:val="22"/>
          <w:lang w:val="en-US"/>
        </w:rPr>
        <w:t>Example of COPERT Australia output report</w:t>
      </w:r>
    </w:p>
    <w:p w:rsidR="009E3C67" w:rsidRPr="009E3C67" w:rsidRDefault="009E3C67" w:rsidP="009E3C67">
      <w:pPr>
        <w:spacing w:line="360" w:lineRule="auto"/>
        <w:jc w:val="both"/>
        <w:rPr>
          <w:rFonts w:ascii="Arial" w:hAnsi="Arial" w:cs="Arial"/>
          <w:sz w:val="22"/>
          <w:szCs w:val="22"/>
          <w:lang w:eastAsia="en-AU"/>
        </w:rPr>
      </w:pPr>
    </w:p>
    <w:p w:rsidR="009E3C67" w:rsidRDefault="009E3C67">
      <w:pPr>
        <w:rPr>
          <w:rFonts w:ascii="Arial" w:hAnsi="Arial" w:cs="Arial"/>
          <w:b/>
          <w:kern w:val="28"/>
          <w:sz w:val="22"/>
          <w:szCs w:val="22"/>
          <w:lang w:eastAsia="en-AU"/>
        </w:rPr>
      </w:pPr>
      <w:r>
        <w:rPr>
          <w:rFonts w:ascii="Arial" w:hAnsi="Arial" w:cs="Arial"/>
          <w:sz w:val="22"/>
          <w:szCs w:val="22"/>
        </w:rPr>
        <w:br w:type="page"/>
      </w:r>
    </w:p>
    <w:p w:rsidR="009E3C67" w:rsidRPr="009E3C67" w:rsidRDefault="009E3C67" w:rsidP="009E3C67">
      <w:pPr>
        <w:pStyle w:val="Heading2"/>
        <w:tabs>
          <w:tab w:val="clear" w:pos="720"/>
        </w:tabs>
        <w:spacing w:line="360" w:lineRule="auto"/>
        <w:ind w:left="567" w:hanging="567"/>
        <w:rPr>
          <w:rFonts w:ascii="Arial" w:hAnsi="Arial" w:cs="Arial"/>
          <w:sz w:val="22"/>
          <w:szCs w:val="22"/>
        </w:rPr>
      </w:pPr>
      <w:bookmarkStart w:id="25" w:name="_Toc394993198"/>
      <w:r w:rsidRPr="009E3C67">
        <w:rPr>
          <w:rFonts w:ascii="Arial" w:hAnsi="Arial" w:cs="Arial"/>
          <w:sz w:val="22"/>
          <w:szCs w:val="22"/>
        </w:rPr>
        <w:lastRenderedPageBreak/>
        <w:t>Total annual emissions – industry versus motor vehicles</w:t>
      </w:r>
      <w:bookmarkEnd w:id="25"/>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COPERT Australia provides emissions for 116 air pollutants and greenhouse gases, as shown in </w:t>
      </w:r>
      <w:r w:rsidR="007C0641">
        <w:rPr>
          <w:rFonts w:ascii="Arial" w:hAnsi="Arial" w:cs="Arial"/>
          <w:sz w:val="22"/>
          <w:szCs w:val="22"/>
        </w:rPr>
        <w:t>T</w:t>
      </w:r>
      <w:r w:rsidRPr="009E3C67">
        <w:rPr>
          <w:rFonts w:ascii="Arial" w:hAnsi="Arial" w:cs="Arial"/>
          <w:sz w:val="22"/>
          <w:szCs w:val="22"/>
        </w:rPr>
        <w:t xml:space="preserve">able 8. </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pStyle w:val="FootnoteText"/>
        <w:spacing w:line="360" w:lineRule="auto"/>
        <w:jc w:val="both"/>
        <w:rPr>
          <w:rFonts w:ascii="Arial" w:hAnsi="Arial" w:cs="Arial"/>
          <w:b/>
          <w:sz w:val="22"/>
          <w:szCs w:val="22"/>
          <w:lang w:val="en-US"/>
        </w:rPr>
      </w:pPr>
      <w:r w:rsidRPr="009E3C67">
        <w:rPr>
          <w:rFonts w:ascii="Arial" w:hAnsi="Arial" w:cs="Arial"/>
          <w:b/>
          <w:sz w:val="22"/>
          <w:szCs w:val="22"/>
          <w:lang w:val="en-US"/>
        </w:rPr>
        <w:t xml:space="preserve">Table 8 </w:t>
      </w:r>
      <w:r w:rsidRPr="009E3C67">
        <w:rPr>
          <w:rFonts w:ascii="Arial" w:hAnsi="Arial" w:cs="Arial"/>
          <w:sz w:val="22"/>
          <w:szCs w:val="22"/>
          <w:lang w:val="en-US"/>
        </w:rPr>
        <w:t>List of pollutants for which COPERT Australia predicts emissions</w:t>
      </w:r>
    </w:p>
    <w:tbl>
      <w:tblPr>
        <w:tblStyle w:val="TableGrid"/>
        <w:tblW w:w="0" w:type="auto"/>
        <w:tblBorders>
          <w:insideH w:val="none" w:sz="0" w:space="0" w:color="auto"/>
          <w:insideV w:val="none" w:sz="0" w:space="0" w:color="auto"/>
        </w:tblBorders>
        <w:tblLook w:val="04A0"/>
      </w:tblPr>
      <w:tblGrid>
        <w:gridCol w:w="3142"/>
        <w:gridCol w:w="3143"/>
        <w:gridCol w:w="3143"/>
      </w:tblGrid>
      <w:tr w:rsidR="008B6130" w:rsidRPr="007467CD" w:rsidTr="008B6130">
        <w:tc>
          <w:tcPr>
            <w:tcW w:w="3142" w:type="dxa"/>
          </w:tcPr>
          <w:p w:rsidR="008B6130" w:rsidRPr="007467CD" w:rsidRDefault="008B6130" w:rsidP="008B6130">
            <w:r w:rsidRPr="007467CD">
              <w:rPr>
                <w:rFonts w:ascii="Arial" w:hAnsi="Arial" w:cs="Arial"/>
                <w:color w:val="000000"/>
                <w:sz w:val="22"/>
                <w:szCs w:val="22"/>
              </w:rPr>
              <w:t xml:space="preserve">1,2,3 </w:t>
            </w:r>
            <w:proofErr w:type="spellStart"/>
            <w:r w:rsidRPr="007467CD">
              <w:rPr>
                <w:rFonts w:ascii="Arial" w:hAnsi="Arial" w:cs="Arial"/>
                <w:color w:val="000000"/>
                <w:sz w:val="22"/>
                <w:szCs w:val="22"/>
              </w:rPr>
              <w:t>trimethylbenzene</w:t>
            </w:r>
            <w:proofErr w:type="spellEnd"/>
          </w:p>
        </w:tc>
        <w:tc>
          <w:tcPr>
            <w:tcW w:w="3143" w:type="dxa"/>
          </w:tcPr>
          <w:p w:rsidR="008B6130" w:rsidRPr="007467CD" w:rsidRDefault="008B6130" w:rsidP="008B6130">
            <w:r w:rsidRPr="007467CD">
              <w:rPr>
                <w:rFonts w:ascii="Arial" w:hAnsi="Arial" w:cs="Arial"/>
                <w:color w:val="000000"/>
                <w:sz w:val="22"/>
                <w:szCs w:val="22"/>
              </w:rPr>
              <w:t xml:space="preserve">1,2,4 </w:t>
            </w:r>
            <w:proofErr w:type="spellStart"/>
            <w:r w:rsidRPr="007467CD">
              <w:rPr>
                <w:rFonts w:ascii="Arial" w:hAnsi="Arial" w:cs="Arial"/>
                <w:color w:val="000000"/>
                <w:sz w:val="22"/>
                <w:szCs w:val="22"/>
              </w:rPr>
              <w:t>trimethylbenzene</w:t>
            </w:r>
            <w:proofErr w:type="spellEnd"/>
          </w:p>
        </w:tc>
        <w:tc>
          <w:tcPr>
            <w:tcW w:w="3143" w:type="dxa"/>
          </w:tcPr>
          <w:p w:rsidR="008B6130" w:rsidRPr="007467CD" w:rsidRDefault="008B6130" w:rsidP="008B6130">
            <w:r w:rsidRPr="007467CD">
              <w:rPr>
                <w:rFonts w:ascii="Arial" w:hAnsi="Arial" w:cs="Arial"/>
                <w:color w:val="000000"/>
                <w:sz w:val="22"/>
                <w:szCs w:val="22"/>
              </w:rPr>
              <w:t xml:space="preserve">1,3,5 </w:t>
            </w:r>
            <w:proofErr w:type="spellStart"/>
            <w:r w:rsidRPr="007467CD">
              <w:rPr>
                <w:rFonts w:ascii="Arial" w:hAnsi="Arial" w:cs="Arial"/>
                <w:color w:val="000000"/>
                <w:sz w:val="22"/>
                <w:szCs w:val="22"/>
              </w:rPr>
              <w:t>trimethylbenzene</w:t>
            </w:r>
            <w:proofErr w:type="spellEnd"/>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1,3-butadiene</w:t>
            </w:r>
          </w:p>
        </w:tc>
        <w:tc>
          <w:tcPr>
            <w:tcW w:w="3143" w:type="dxa"/>
          </w:tcPr>
          <w:p w:rsidR="008B6130" w:rsidRPr="007467CD" w:rsidRDefault="008B6130" w:rsidP="008B6130">
            <w:r w:rsidRPr="007467CD">
              <w:rPr>
                <w:rFonts w:ascii="Arial" w:hAnsi="Arial" w:cs="Arial"/>
                <w:color w:val="000000"/>
                <w:sz w:val="22"/>
                <w:szCs w:val="22"/>
              </w:rPr>
              <w:t>1-butene</w:t>
            </w:r>
          </w:p>
        </w:tc>
        <w:tc>
          <w:tcPr>
            <w:tcW w:w="3143" w:type="dxa"/>
          </w:tcPr>
          <w:p w:rsidR="008B6130" w:rsidRPr="007467CD" w:rsidRDefault="008B6130" w:rsidP="008B6130">
            <w:r w:rsidRPr="007467CD">
              <w:rPr>
                <w:rFonts w:ascii="Arial" w:hAnsi="Arial" w:cs="Arial"/>
                <w:color w:val="000000"/>
                <w:sz w:val="22"/>
                <w:szCs w:val="22"/>
              </w:rPr>
              <w:t>1-butine</w:t>
            </w:r>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1-hexene</w:t>
            </w:r>
          </w:p>
        </w:tc>
        <w:tc>
          <w:tcPr>
            <w:tcW w:w="3143" w:type="dxa"/>
          </w:tcPr>
          <w:p w:rsidR="008B6130" w:rsidRPr="007467CD" w:rsidRDefault="008B6130" w:rsidP="008B6130">
            <w:r w:rsidRPr="007467CD">
              <w:rPr>
                <w:rFonts w:ascii="Arial" w:hAnsi="Arial" w:cs="Arial"/>
                <w:color w:val="000000"/>
                <w:sz w:val="22"/>
                <w:szCs w:val="22"/>
              </w:rPr>
              <w:t>1-pentene</w:t>
            </w:r>
          </w:p>
        </w:tc>
        <w:tc>
          <w:tcPr>
            <w:tcW w:w="3143" w:type="dxa"/>
          </w:tcPr>
          <w:p w:rsidR="008B6130" w:rsidRPr="007467CD" w:rsidRDefault="008B6130" w:rsidP="008B6130">
            <w:r w:rsidRPr="007467CD">
              <w:rPr>
                <w:rFonts w:ascii="Arial" w:hAnsi="Arial" w:cs="Arial"/>
                <w:color w:val="000000"/>
                <w:sz w:val="22"/>
                <w:szCs w:val="22"/>
              </w:rPr>
              <w:t>2-butene</w:t>
            </w:r>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2-methylheptane</w:t>
            </w:r>
          </w:p>
        </w:tc>
        <w:tc>
          <w:tcPr>
            <w:tcW w:w="3143" w:type="dxa"/>
          </w:tcPr>
          <w:p w:rsidR="008B6130" w:rsidRPr="007467CD" w:rsidRDefault="008B6130" w:rsidP="008B6130">
            <w:r w:rsidRPr="007467CD">
              <w:rPr>
                <w:rFonts w:ascii="Arial" w:hAnsi="Arial" w:cs="Arial"/>
                <w:color w:val="000000"/>
                <w:sz w:val="22"/>
                <w:szCs w:val="22"/>
              </w:rPr>
              <w:t>2-methylhexane</w:t>
            </w:r>
          </w:p>
        </w:tc>
        <w:tc>
          <w:tcPr>
            <w:tcW w:w="3143" w:type="dxa"/>
          </w:tcPr>
          <w:p w:rsidR="008B6130" w:rsidRPr="007467CD" w:rsidRDefault="008B6130" w:rsidP="008B6130">
            <w:r w:rsidRPr="007467CD">
              <w:rPr>
                <w:rFonts w:ascii="Arial" w:hAnsi="Arial" w:cs="Arial"/>
                <w:color w:val="000000"/>
                <w:sz w:val="22"/>
                <w:szCs w:val="22"/>
              </w:rPr>
              <w:t>2-methylpentane</w:t>
            </w:r>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2-pentene</w:t>
            </w:r>
          </w:p>
        </w:tc>
        <w:tc>
          <w:tcPr>
            <w:tcW w:w="3143" w:type="dxa"/>
          </w:tcPr>
          <w:p w:rsidR="008B6130" w:rsidRPr="007467CD" w:rsidRDefault="008B6130" w:rsidP="008B6130">
            <w:r w:rsidRPr="007467CD">
              <w:rPr>
                <w:rFonts w:ascii="Arial" w:hAnsi="Arial" w:cs="Arial"/>
                <w:color w:val="000000"/>
                <w:sz w:val="22"/>
                <w:szCs w:val="22"/>
              </w:rPr>
              <w:t>3,6-dimethyl-phenanthrene</w:t>
            </w:r>
          </w:p>
        </w:tc>
        <w:tc>
          <w:tcPr>
            <w:tcW w:w="3143" w:type="dxa"/>
          </w:tcPr>
          <w:p w:rsidR="008B6130" w:rsidRPr="007467CD" w:rsidRDefault="008B6130" w:rsidP="008B6130">
            <w:r w:rsidRPr="007467CD">
              <w:rPr>
                <w:rFonts w:ascii="Arial" w:hAnsi="Arial" w:cs="Arial"/>
                <w:color w:val="000000"/>
                <w:sz w:val="22"/>
                <w:szCs w:val="22"/>
              </w:rPr>
              <w:t>3-methylheptane</w:t>
            </w:r>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3-methylhexane</w:t>
            </w:r>
          </w:p>
        </w:tc>
        <w:tc>
          <w:tcPr>
            <w:tcW w:w="3143" w:type="dxa"/>
          </w:tcPr>
          <w:p w:rsidR="008B6130" w:rsidRPr="007467CD" w:rsidRDefault="008B6130" w:rsidP="008B6130">
            <w:r w:rsidRPr="007467CD">
              <w:rPr>
                <w:rFonts w:ascii="Arial" w:hAnsi="Arial" w:cs="Arial"/>
                <w:color w:val="000000"/>
                <w:sz w:val="22"/>
                <w:szCs w:val="22"/>
              </w:rPr>
              <w:t>3-methylpentane</w:t>
            </w:r>
          </w:p>
        </w:tc>
        <w:tc>
          <w:tcPr>
            <w:tcW w:w="3143" w:type="dxa"/>
          </w:tcPr>
          <w:p w:rsidR="008B6130" w:rsidRPr="007467CD" w:rsidRDefault="008B6130" w:rsidP="008B6130">
            <w:proofErr w:type="spellStart"/>
            <w:r w:rsidRPr="007467CD">
              <w:rPr>
                <w:rFonts w:ascii="Arial" w:hAnsi="Arial" w:cs="Arial"/>
                <w:color w:val="000000"/>
                <w:sz w:val="22"/>
                <w:szCs w:val="22"/>
              </w:rPr>
              <w:t>acenaphthylene</w:t>
            </w:r>
            <w:proofErr w:type="spellEnd"/>
          </w:p>
        </w:tc>
      </w:tr>
      <w:tr w:rsidR="008B6130" w:rsidRPr="007467CD" w:rsidTr="008B6130">
        <w:tc>
          <w:tcPr>
            <w:tcW w:w="3142" w:type="dxa"/>
          </w:tcPr>
          <w:p w:rsidR="008B6130" w:rsidRPr="007467CD" w:rsidRDefault="008B6130" w:rsidP="008B6130">
            <w:proofErr w:type="spellStart"/>
            <w:r w:rsidRPr="007467CD">
              <w:rPr>
                <w:rFonts w:ascii="Arial" w:hAnsi="Arial" w:cs="Arial"/>
                <w:color w:val="000000"/>
                <w:sz w:val="22"/>
                <w:szCs w:val="22"/>
              </w:rPr>
              <w:t>acenapthene</w:t>
            </w:r>
            <w:proofErr w:type="spellEnd"/>
          </w:p>
        </w:tc>
        <w:tc>
          <w:tcPr>
            <w:tcW w:w="3143" w:type="dxa"/>
          </w:tcPr>
          <w:p w:rsidR="008B6130" w:rsidRPr="007467CD" w:rsidRDefault="008B6130" w:rsidP="008B6130">
            <w:proofErr w:type="spellStart"/>
            <w:r w:rsidRPr="007467CD">
              <w:rPr>
                <w:rFonts w:ascii="Arial" w:hAnsi="Arial" w:cs="Arial"/>
                <w:color w:val="000000"/>
                <w:sz w:val="22"/>
                <w:szCs w:val="22"/>
              </w:rPr>
              <w:t>acetaldahyde</w:t>
            </w:r>
            <w:proofErr w:type="spellEnd"/>
          </w:p>
        </w:tc>
        <w:tc>
          <w:tcPr>
            <w:tcW w:w="3143" w:type="dxa"/>
          </w:tcPr>
          <w:p w:rsidR="008B6130" w:rsidRPr="007467CD" w:rsidRDefault="008B6130" w:rsidP="008B6130">
            <w:r w:rsidRPr="007467CD">
              <w:rPr>
                <w:rFonts w:ascii="Arial" w:hAnsi="Arial" w:cs="Arial"/>
                <w:color w:val="000000"/>
                <w:sz w:val="22"/>
                <w:szCs w:val="22"/>
              </w:rPr>
              <w:t>acetone</w:t>
            </w:r>
          </w:p>
        </w:tc>
      </w:tr>
      <w:tr w:rsidR="008B6130" w:rsidRPr="007467CD" w:rsidTr="008B6130">
        <w:tc>
          <w:tcPr>
            <w:tcW w:w="3142" w:type="dxa"/>
          </w:tcPr>
          <w:p w:rsidR="008B6130" w:rsidRPr="007467CD" w:rsidRDefault="008B6130" w:rsidP="008B6130">
            <w:r w:rsidRPr="007467CD">
              <w:rPr>
                <w:rFonts w:ascii="Arial" w:hAnsi="Arial" w:cs="Arial"/>
                <w:color w:val="000000"/>
                <w:sz w:val="22"/>
                <w:szCs w:val="22"/>
              </w:rPr>
              <w:t>acetylene</w:t>
            </w:r>
          </w:p>
        </w:tc>
        <w:tc>
          <w:tcPr>
            <w:tcW w:w="3143" w:type="dxa"/>
          </w:tcPr>
          <w:p w:rsidR="008B6130" w:rsidRPr="007467CD" w:rsidRDefault="008B6130" w:rsidP="008B6130">
            <w:proofErr w:type="spellStart"/>
            <w:r w:rsidRPr="007467CD">
              <w:rPr>
                <w:rFonts w:ascii="Arial" w:hAnsi="Arial" w:cs="Arial"/>
                <w:color w:val="000000"/>
                <w:sz w:val="22"/>
                <w:szCs w:val="22"/>
              </w:rPr>
              <w:t>acrolein</w:t>
            </w:r>
            <w:proofErr w:type="spellEnd"/>
          </w:p>
        </w:tc>
        <w:tc>
          <w:tcPr>
            <w:tcW w:w="3143" w:type="dxa"/>
          </w:tcPr>
          <w:p w:rsidR="008B6130" w:rsidRPr="007467CD" w:rsidRDefault="008B6130" w:rsidP="008B6130">
            <w:proofErr w:type="spellStart"/>
            <w:r w:rsidRPr="007467CD">
              <w:rPr>
                <w:rFonts w:ascii="Arial" w:hAnsi="Arial" w:cs="Arial"/>
                <w:color w:val="000000"/>
                <w:sz w:val="22"/>
                <w:szCs w:val="22"/>
              </w:rPr>
              <w:t>alkanes</w:t>
            </w:r>
            <w:proofErr w:type="spellEnd"/>
            <w:r w:rsidRPr="007467CD">
              <w:rPr>
                <w:rFonts w:ascii="Arial" w:hAnsi="Arial" w:cs="Arial"/>
                <w:color w:val="000000"/>
                <w:sz w:val="22"/>
                <w:szCs w:val="22"/>
              </w:rPr>
              <w:t xml:space="preserve"> C</w:t>
            </w:r>
            <w:r w:rsidRPr="007467CD">
              <w:rPr>
                <w:rFonts w:ascii="Arial" w:hAnsi="Arial" w:cs="Arial"/>
                <w:color w:val="000000"/>
                <w:sz w:val="22"/>
                <w:szCs w:val="22"/>
                <w:vertAlign w:val="subscript"/>
              </w:rPr>
              <w:t>&gt;13</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alkanes</w:t>
            </w:r>
            <w:proofErr w:type="spellEnd"/>
            <w:r w:rsidRPr="007467CD">
              <w:rPr>
                <w:rFonts w:ascii="Arial" w:hAnsi="Arial" w:cs="Arial"/>
                <w:color w:val="000000"/>
                <w:sz w:val="22"/>
                <w:szCs w:val="22"/>
              </w:rPr>
              <w:t xml:space="preserve"> C</w:t>
            </w:r>
            <w:r w:rsidRPr="007467CD">
              <w:rPr>
                <w:rFonts w:ascii="Arial" w:hAnsi="Arial" w:cs="Arial"/>
                <w:color w:val="000000"/>
                <w:sz w:val="22"/>
                <w:szCs w:val="22"/>
                <w:vertAlign w:val="subscript"/>
              </w:rPr>
              <w:t>10</w:t>
            </w:r>
            <w:r w:rsidRPr="007467CD">
              <w:rPr>
                <w:rFonts w:ascii="Arial" w:hAnsi="Arial" w:cs="Arial"/>
                <w:color w:val="000000"/>
                <w:sz w:val="22"/>
                <w:szCs w:val="22"/>
              </w:rPr>
              <w:t>-C</w:t>
            </w:r>
            <w:r w:rsidRPr="007467CD">
              <w:rPr>
                <w:rFonts w:ascii="Arial" w:hAnsi="Arial" w:cs="Arial"/>
                <w:color w:val="000000"/>
                <w:sz w:val="22"/>
                <w:szCs w:val="22"/>
                <w:vertAlign w:val="subscript"/>
              </w:rPr>
              <w:t>12</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anthanthrene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anthracene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aromatics C</w:t>
            </w:r>
            <w:r w:rsidRPr="007467CD">
              <w:rPr>
                <w:rFonts w:ascii="Arial" w:hAnsi="Arial" w:cs="Arial"/>
                <w:color w:val="000000"/>
                <w:sz w:val="22"/>
                <w:szCs w:val="22"/>
                <w:vertAlign w:val="subscript"/>
              </w:rPr>
              <w:t>&gt;13</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aromatics C</w:t>
            </w:r>
            <w:r w:rsidRPr="007467CD">
              <w:rPr>
                <w:rFonts w:ascii="Arial" w:hAnsi="Arial" w:cs="Arial"/>
                <w:color w:val="000000"/>
                <w:sz w:val="22"/>
                <w:szCs w:val="22"/>
                <w:vertAlign w:val="subscript"/>
              </w:rPr>
              <w:t>10</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aromatics C</w:t>
            </w:r>
            <w:r w:rsidRPr="007467CD">
              <w:rPr>
                <w:rFonts w:ascii="Arial" w:hAnsi="Arial" w:cs="Arial"/>
                <w:color w:val="000000"/>
                <w:sz w:val="22"/>
                <w:szCs w:val="22"/>
                <w:vertAlign w:val="subscript"/>
              </w:rPr>
              <w:t>9</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benzaldehyde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benzene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(a)</w:t>
            </w:r>
            <w:proofErr w:type="spellStart"/>
            <w:r w:rsidRPr="007467CD">
              <w:rPr>
                <w:rFonts w:ascii="Arial" w:hAnsi="Arial" w:cs="Arial"/>
                <w:color w:val="000000"/>
                <w:sz w:val="22"/>
                <w:szCs w:val="22"/>
              </w:rPr>
              <w:t>anthracene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(a)</w:t>
            </w:r>
            <w:proofErr w:type="spellStart"/>
            <w:r w:rsidRPr="007467CD">
              <w:rPr>
                <w:rFonts w:ascii="Arial" w:hAnsi="Arial" w:cs="Arial"/>
                <w:color w:val="000000"/>
                <w:sz w:val="22"/>
                <w:szCs w:val="22"/>
              </w:rPr>
              <w:t>pyrene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(b)</w:t>
            </w:r>
            <w:proofErr w:type="spellStart"/>
            <w:r w:rsidRPr="007467CD">
              <w:rPr>
                <w:rFonts w:ascii="Arial" w:hAnsi="Arial" w:cs="Arial"/>
                <w:color w:val="000000"/>
                <w:sz w:val="22"/>
                <w:szCs w:val="22"/>
              </w:rPr>
              <w:t>fluoranthene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(b)</w:t>
            </w:r>
            <w:proofErr w:type="spellStart"/>
            <w:r w:rsidRPr="007467CD">
              <w:rPr>
                <w:rFonts w:ascii="Arial" w:hAnsi="Arial" w:cs="Arial"/>
                <w:color w:val="000000"/>
                <w:sz w:val="22"/>
                <w:szCs w:val="22"/>
              </w:rPr>
              <w:t>fluorene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(e)</w:t>
            </w:r>
            <w:proofErr w:type="spellStart"/>
            <w:r w:rsidRPr="007467CD">
              <w:rPr>
                <w:rFonts w:ascii="Arial" w:hAnsi="Arial" w:cs="Arial"/>
                <w:color w:val="000000"/>
                <w:sz w:val="22"/>
                <w:szCs w:val="22"/>
              </w:rPr>
              <w:t>pyrene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ghi</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perylene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(j)</w:t>
            </w:r>
            <w:proofErr w:type="spellStart"/>
            <w:r w:rsidRPr="007467CD">
              <w:rPr>
                <w:rFonts w:ascii="Arial" w:hAnsi="Arial" w:cs="Arial"/>
                <w:color w:val="000000"/>
                <w:sz w:val="22"/>
                <w:szCs w:val="22"/>
              </w:rPr>
              <w:t>fluoranthene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benzo</w:t>
            </w:r>
            <w:proofErr w:type="spellEnd"/>
            <w:r w:rsidRPr="007467CD">
              <w:rPr>
                <w:rFonts w:ascii="Arial" w:hAnsi="Arial" w:cs="Arial"/>
                <w:color w:val="000000"/>
                <w:sz w:val="22"/>
                <w:szCs w:val="22"/>
              </w:rPr>
              <w:t>(k)</w:t>
            </w:r>
            <w:proofErr w:type="spellStart"/>
            <w:r w:rsidRPr="007467CD">
              <w:rPr>
                <w:rFonts w:ascii="Arial" w:hAnsi="Arial" w:cs="Arial"/>
                <w:color w:val="000000"/>
                <w:sz w:val="22"/>
                <w:szCs w:val="22"/>
              </w:rPr>
              <w:t>fluoranthene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butane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butyraldehyde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cadmium</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CH</w:t>
            </w:r>
            <w:r w:rsidRPr="007467CD">
              <w:rPr>
                <w:rFonts w:ascii="Arial" w:hAnsi="Arial" w:cs="Arial"/>
                <w:color w:val="000000"/>
                <w:sz w:val="22"/>
                <w:szCs w:val="22"/>
                <w:vertAlign w:val="subscript"/>
              </w:rPr>
              <w:t>4</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chromium</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chrysene</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CO</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CO</w:t>
            </w:r>
            <w:r w:rsidRPr="007467CD">
              <w:rPr>
                <w:rFonts w:ascii="Arial" w:hAnsi="Arial" w:cs="Arial"/>
                <w:color w:val="000000"/>
                <w:sz w:val="22"/>
                <w:szCs w:val="22"/>
                <w:vertAlign w:val="subscript"/>
              </w:rPr>
              <w:t>2</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copper</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coronene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crotonaldehyde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cycloalkanes</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decane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dibenzo</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a,j</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anthacene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dibenzo</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a,l</w:t>
            </w:r>
            <w:proofErr w:type="spellEnd"/>
            <w:r w:rsidRPr="007467CD">
              <w:rPr>
                <w:rFonts w:ascii="Arial" w:hAnsi="Arial" w:cs="Arial"/>
                <w:color w:val="000000"/>
                <w:sz w:val="22"/>
                <w:szCs w:val="22"/>
              </w:rPr>
              <w:t>)</w:t>
            </w:r>
            <w:proofErr w:type="spellStart"/>
            <w:r w:rsidRPr="007467CD">
              <w:rPr>
                <w:rFonts w:ascii="Arial" w:hAnsi="Arial" w:cs="Arial"/>
                <w:color w:val="000000"/>
                <w:sz w:val="22"/>
                <w:szCs w:val="22"/>
              </w:rPr>
              <w:t>pyrene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dibenzo</w:t>
            </w:r>
            <w:proofErr w:type="spellEnd"/>
            <w:r w:rsidRPr="007467CD">
              <w:rPr>
                <w:rFonts w:ascii="Arial" w:hAnsi="Arial" w:cs="Arial"/>
                <w:color w:val="000000"/>
                <w:sz w:val="22"/>
                <w:szCs w:val="22"/>
              </w:rPr>
              <w:t>(ah)</w:t>
            </w:r>
            <w:proofErr w:type="spellStart"/>
            <w:r w:rsidRPr="007467CD">
              <w:rPr>
                <w:rFonts w:ascii="Arial" w:hAnsi="Arial" w:cs="Arial"/>
                <w:color w:val="000000"/>
                <w:sz w:val="22"/>
                <w:szCs w:val="22"/>
              </w:rPr>
              <w:t>anthracene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dimethylhexene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dioxins</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EC (elemental carbon)</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ethane</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ethylbenzene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ethylene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fluoranthene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fluorene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formaldehyde</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fuel consumption</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furans</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heptane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hexanal</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hexane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indeno</w:t>
            </w:r>
            <w:proofErr w:type="spellEnd"/>
            <w:r w:rsidRPr="007467CD">
              <w:rPr>
                <w:rFonts w:ascii="Arial" w:hAnsi="Arial" w:cs="Arial"/>
                <w:color w:val="000000"/>
                <w:sz w:val="22"/>
                <w:szCs w:val="22"/>
              </w:rPr>
              <w:t>(1,2,3-cd)</w:t>
            </w:r>
            <w:proofErr w:type="spellStart"/>
            <w:r w:rsidRPr="007467CD">
              <w:rPr>
                <w:rFonts w:ascii="Arial" w:hAnsi="Arial" w:cs="Arial"/>
                <w:color w:val="000000"/>
                <w:sz w:val="22"/>
                <w:szCs w:val="22"/>
              </w:rPr>
              <w:t>pyrene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cs="Arial"/>
                <w:color w:val="000000"/>
                <w:sz w:val="22"/>
                <w:szCs w:val="22"/>
              </w:rPr>
              <w:t>I</w:t>
            </w:r>
            <w:r w:rsidRPr="007467CD">
              <w:rPr>
                <w:rFonts w:ascii="Arial" w:hAnsi="Arial" w:cs="Arial"/>
                <w:color w:val="000000"/>
                <w:sz w:val="22"/>
                <w:szCs w:val="22"/>
              </w:rPr>
              <w:t>sobutanaldehyde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isobutane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isobutene</w:t>
            </w:r>
          </w:p>
        </w:tc>
        <w:tc>
          <w:tcPr>
            <w:tcW w:w="3143" w:type="dxa"/>
          </w:tcPr>
          <w:p w:rsidR="008B6130" w:rsidRPr="007467CD" w:rsidRDefault="008B6130" w:rsidP="008B6130">
            <w:pPr>
              <w:rPr>
                <w:rFonts w:cs="Arial"/>
                <w:color w:val="000000"/>
                <w:sz w:val="22"/>
                <w:szCs w:val="22"/>
              </w:rPr>
            </w:pPr>
            <w:proofErr w:type="spellStart"/>
            <w:r w:rsidRPr="007467CD">
              <w:rPr>
                <w:rFonts w:ascii="Arial" w:hAnsi="Arial" w:cs="Arial"/>
                <w:color w:val="000000"/>
                <w:sz w:val="22"/>
                <w:szCs w:val="22"/>
              </w:rPr>
              <w:t>isopentane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i-valeraldehyde</w:t>
            </w:r>
            <w:proofErr w:type="spellEnd"/>
          </w:p>
        </w:tc>
        <w:tc>
          <w:tcPr>
            <w:tcW w:w="3143" w:type="dxa"/>
          </w:tcPr>
          <w:p w:rsidR="008B6130" w:rsidRPr="00323203" w:rsidRDefault="008B6130" w:rsidP="008B6130">
            <w:pPr>
              <w:rPr>
                <w:rFonts w:ascii="Arial" w:hAnsi="Arial" w:cs="Arial"/>
                <w:color w:val="000000"/>
                <w:sz w:val="22"/>
                <w:szCs w:val="22"/>
              </w:rPr>
            </w:pPr>
            <w:r w:rsidRPr="00323203">
              <w:rPr>
                <w:rFonts w:ascii="Arial" w:hAnsi="Arial" w:cs="Arial"/>
                <w:color w:val="000000"/>
                <w:sz w:val="22"/>
                <w:szCs w:val="22"/>
              </w:rPr>
              <w:t>lead</w:t>
            </w:r>
          </w:p>
        </w:tc>
        <w:tc>
          <w:tcPr>
            <w:tcW w:w="3143" w:type="dxa"/>
          </w:tcPr>
          <w:p w:rsidR="008B6130" w:rsidRPr="007467CD" w:rsidRDefault="008B6130" w:rsidP="008B6130">
            <w:pPr>
              <w:rPr>
                <w:rFonts w:cs="Arial"/>
                <w:color w:val="000000"/>
                <w:sz w:val="22"/>
                <w:szCs w:val="22"/>
              </w:rPr>
            </w:pPr>
            <w:proofErr w:type="spellStart"/>
            <w:r w:rsidRPr="007467CD">
              <w:rPr>
                <w:rFonts w:ascii="Arial" w:hAnsi="Arial" w:cs="Arial"/>
                <w:color w:val="000000"/>
                <w:sz w:val="22"/>
                <w:szCs w:val="22"/>
              </w:rPr>
              <w:t>m,p-xylene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methacrolein</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methylethlketone</w:t>
            </w:r>
            <w:proofErr w:type="spellEnd"/>
          </w:p>
        </w:tc>
        <w:tc>
          <w:tcPr>
            <w:tcW w:w="3143" w:type="dxa"/>
          </w:tcPr>
          <w:p w:rsidR="008B6130" w:rsidRPr="007467CD" w:rsidRDefault="008B6130" w:rsidP="008B6130">
            <w:pPr>
              <w:rPr>
                <w:rFonts w:cs="Arial"/>
                <w:color w:val="000000"/>
                <w:sz w:val="22"/>
                <w:szCs w:val="22"/>
              </w:rPr>
            </w:pPr>
            <w:r w:rsidRPr="007467CD">
              <w:rPr>
                <w:rFonts w:ascii="Arial" w:hAnsi="Arial" w:cs="Arial"/>
                <w:color w:val="000000"/>
                <w:sz w:val="22"/>
                <w:szCs w:val="22"/>
              </w:rPr>
              <w:t>m-</w:t>
            </w:r>
            <w:proofErr w:type="spellStart"/>
            <w:r w:rsidRPr="007467CD">
              <w:rPr>
                <w:rFonts w:ascii="Arial" w:hAnsi="Arial" w:cs="Arial"/>
                <w:color w:val="000000"/>
                <w:sz w:val="22"/>
                <w:szCs w:val="22"/>
              </w:rPr>
              <w:t>tolualdehyde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N</w:t>
            </w:r>
            <w:r w:rsidRPr="007467CD">
              <w:rPr>
                <w:rFonts w:ascii="Arial" w:hAnsi="Arial" w:cs="Arial"/>
                <w:color w:val="000000"/>
                <w:sz w:val="22"/>
                <w:szCs w:val="22"/>
                <w:vertAlign w:val="subscript"/>
              </w:rPr>
              <w:t>2</w:t>
            </w:r>
            <w:r w:rsidRPr="007467CD">
              <w:rPr>
                <w:rFonts w:ascii="Arial" w:hAnsi="Arial" w:cs="Arial"/>
                <w:color w:val="000000"/>
                <w:sz w:val="22"/>
                <w:szCs w:val="22"/>
              </w:rPr>
              <w:t>O</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napthalene</w:t>
            </w:r>
            <w:proofErr w:type="spellEnd"/>
          </w:p>
        </w:tc>
        <w:tc>
          <w:tcPr>
            <w:tcW w:w="3143" w:type="dxa"/>
          </w:tcPr>
          <w:p w:rsidR="008B6130" w:rsidRPr="007467CD" w:rsidRDefault="008B6130" w:rsidP="008B6130">
            <w:pPr>
              <w:rPr>
                <w:rFonts w:cs="Arial"/>
                <w:color w:val="000000"/>
                <w:sz w:val="22"/>
                <w:szCs w:val="22"/>
              </w:rPr>
            </w:pPr>
            <w:r w:rsidRPr="007467CD">
              <w:rPr>
                <w:rFonts w:ascii="Arial" w:hAnsi="Arial" w:cs="Arial"/>
                <w:color w:val="000000"/>
                <w:sz w:val="22"/>
                <w:szCs w:val="22"/>
              </w:rPr>
              <w:t>NH</w:t>
            </w:r>
            <w:r w:rsidRPr="007467CD">
              <w:rPr>
                <w:rFonts w:ascii="Arial" w:hAnsi="Arial" w:cs="Arial"/>
                <w:color w:val="000000"/>
                <w:sz w:val="22"/>
                <w:szCs w:val="22"/>
                <w:vertAlign w:val="subscript"/>
              </w:rPr>
              <w:t>3</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nickel</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NMVOC</w:t>
            </w:r>
          </w:p>
        </w:tc>
        <w:tc>
          <w:tcPr>
            <w:tcW w:w="3143" w:type="dxa"/>
          </w:tcPr>
          <w:p w:rsidR="008B6130" w:rsidRPr="007467CD" w:rsidRDefault="008B6130" w:rsidP="008B6130">
            <w:pPr>
              <w:rPr>
                <w:rFonts w:cs="Arial"/>
                <w:color w:val="000000"/>
                <w:sz w:val="22"/>
                <w:szCs w:val="22"/>
              </w:rPr>
            </w:pPr>
            <w:r w:rsidRPr="007467CD">
              <w:rPr>
                <w:rFonts w:ascii="Arial" w:hAnsi="Arial" w:cs="Arial"/>
                <w:color w:val="000000"/>
                <w:sz w:val="22"/>
                <w:szCs w:val="22"/>
              </w:rPr>
              <w:t>NO</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NO</w:t>
            </w:r>
            <w:r w:rsidRPr="007467CD">
              <w:rPr>
                <w:rFonts w:ascii="Arial" w:hAnsi="Arial" w:cs="Arial"/>
                <w:color w:val="000000"/>
                <w:sz w:val="22"/>
                <w:szCs w:val="22"/>
                <w:vertAlign w:val="subscript"/>
              </w:rPr>
              <w:t>2</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nonane</w:t>
            </w:r>
            <w:proofErr w:type="spellEnd"/>
          </w:p>
        </w:tc>
        <w:tc>
          <w:tcPr>
            <w:tcW w:w="3143" w:type="dxa"/>
          </w:tcPr>
          <w:p w:rsidR="008B6130" w:rsidRPr="007467CD" w:rsidRDefault="008B6130" w:rsidP="008B6130">
            <w:pPr>
              <w:rPr>
                <w:rFonts w:cs="Arial"/>
                <w:color w:val="000000"/>
                <w:sz w:val="22"/>
                <w:szCs w:val="22"/>
              </w:rPr>
            </w:pPr>
            <w:proofErr w:type="spellStart"/>
            <w:r w:rsidRPr="007467CD">
              <w:rPr>
                <w:rFonts w:ascii="Arial" w:hAnsi="Arial" w:cs="Arial"/>
                <w:color w:val="000000"/>
                <w:sz w:val="22"/>
                <w:szCs w:val="22"/>
              </w:rPr>
              <w:t>NO</w:t>
            </w:r>
            <w:r w:rsidRPr="007467CD">
              <w:rPr>
                <w:rFonts w:ascii="Arial" w:hAnsi="Arial" w:cs="Arial"/>
                <w:color w:val="000000"/>
                <w:sz w:val="22"/>
                <w:szCs w:val="22"/>
                <w:vertAlign w:val="subscript"/>
              </w:rPr>
              <w:t>x</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octane</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OM (organic matter)</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o-</w:t>
            </w:r>
            <w:proofErr w:type="spellStart"/>
            <w:r w:rsidRPr="007467CD">
              <w:rPr>
                <w:rFonts w:ascii="Arial" w:hAnsi="Arial" w:cs="Arial"/>
                <w:color w:val="000000"/>
                <w:sz w:val="22"/>
                <w:szCs w:val="22"/>
              </w:rPr>
              <w:t>tolualdehyde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o-</w:t>
            </w:r>
            <w:proofErr w:type="spellStart"/>
            <w:r w:rsidRPr="007467CD">
              <w:rPr>
                <w:rFonts w:ascii="Arial" w:hAnsi="Arial" w:cs="Arial"/>
                <w:color w:val="000000"/>
                <w:sz w:val="22"/>
                <w:szCs w:val="22"/>
              </w:rPr>
              <w:t>xylene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pentane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perylene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phenanthrene</w:t>
            </w:r>
            <w:proofErr w:type="spellEnd"/>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PM</w:t>
            </w:r>
            <w:r w:rsidRPr="007467CD">
              <w:rPr>
                <w:rFonts w:ascii="Arial" w:hAnsi="Arial" w:cs="Arial"/>
                <w:color w:val="000000"/>
                <w:sz w:val="22"/>
                <w:szCs w:val="22"/>
                <w:vertAlign w:val="subscript"/>
              </w:rPr>
              <w:t>10</w:t>
            </w:r>
            <w:r w:rsidRPr="007467CD">
              <w:rPr>
                <w:rFonts w:ascii="Arial" w:hAnsi="Arial" w:cs="Arial"/>
                <w:color w:val="000000"/>
                <w:sz w:val="22"/>
                <w:szCs w:val="22"/>
              </w:rPr>
              <w:t xml:space="preserve"> exhaust</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PM</w:t>
            </w:r>
            <w:r w:rsidRPr="007467CD">
              <w:rPr>
                <w:rFonts w:ascii="Arial" w:hAnsi="Arial" w:cs="Arial"/>
                <w:color w:val="000000"/>
                <w:sz w:val="22"/>
                <w:szCs w:val="22"/>
                <w:vertAlign w:val="subscript"/>
              </w:rPr>
              <w:t>10</w:t>
            </w:r>
            <w:r w:rsidRPr="007467CD">
              <w:rPr>
                <w:rFonts w:ascii="Arial" w:hAnsi="Arial" w:cs="Arial"/>
                <w:color w:val="000000"/>
                <w:sz w:val="22"/>
                <w:szCs w:val="22"/>
              </w:rPr>
              <w:t xml:space="preserve"> non-exhaust</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PM</w:t>
            </w:r>
            <w:r w:rsidRPr="007467CD">
              <w:rPr>
                <w:rFonts w:ascii="Arial" w:hAnsi="Arial" w:cs="Arial"/>
                <w:color w:val="000000"/>
                <w:sz w:val="22"/>
                <w:szCs w:val="22"/>
                <w:vertAlign w:val="subscript"/>
              </w:rPr>
              <w:t>2.5</w:t>
            </w:r>
            <w:r w:rsidRPr="007467CD">
              <w:rPr>
                <w:rFonts w:ascii="Arial" w:hAnsi="Arial" w:cs="Arial"/>
                <w:color w:val="000000"/>
                <w:sz w:val="22"/>
                <w:szCs w:val="22"/>
              </w:rPr>
              <w:t xml:space="preserve"> exhaust</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PM</w:t>
            </w:r>
            <w:r w:rsidRPr="007467CD">
              <w:rPr>
                <w:rFonts w:ascii="Arial" w:hAnsi="Arial" w:cs="Arial"/>
                <w:color w:val="000000"/>
                <w:sz w:val="22"/>
                <w:szCs w:val="22"/>
                <w:vertAlign w:val="subscript"/>
              </w:rPr>
              <w:t>2.5</w:t>
            </w:r>
            <w:r w:rsidRPr="007467CD">
              <w:rPr>
                <w:rFonts w:ascii="Arial" w:hAnsi="Arial" w:cs="Arial"/>
                <w:color w:val="000000"/>
                <w:sz w:val="22"/>
                <w:szCs w:val="22"/>
              </w:rPr>
              <w:t xml:space="preserve"> non-exhaust</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propadiene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propane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propine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propionaldehyde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propylene</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p-</w:t>
            </w:r>
            <w:proofErr w:type="spellStart"/>
            <w:r w:rsidRPr="007467CD">
              <w:rPr>
                <w:rFonts w:ascii="Arial" w:hAnsi="Arial" w:cs="Arial"/>
                <w:color w:val="000000"/>
                <w:sz w:val="22"/>
                <w:szCs w:val="22"/>
              </w:rPr>
              <w:t>tolualdehyde</w:t>
            </w:r>
            <w:proofErr w:type="spellEnd"/>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pyrene</w:t>
            </w:r>
            <w:proofErr w:type="spellEnd"/>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selenium</w:t>
            </w:r>
          </w:p>
        </w:tc>
        <w:tc>
          <w:tcPr>
            <w:tcW w:w="3143"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SO</w:t>
            </w:r>
            <w:r w:rsidRPr="007467CD">
              <w:rPr>
                <w:rFonts w:ascii="Arial" w:hAnsi="Arial" w:cs="Arial"/>
                <w:color w:val="000000"/>
                <w:sz w:val="22"/>
                <w:szCs w:val="22"/>
                <w:vertAlign w:val="subscript"/>
              </w:rPr>
              <w:t>2</w:t>
            </w:r>
          </w:p>
        </w:tc>
        <w:tc>
          <w:tcPr>
            <w:tcW w:w="3143" w:type="dxa"/>
          </w:tcPr>
          <w:p w:rsidR="008B6130" w:rsidRPr="007467CD" w:rsidRDefault="008B6130" w:rsidP="008B6130">
            <w:pPr>
              <w:rPr>
                <w:rFonts w:ascii="Arial" w:hAnsi="Arial" w:cs="Arial"/>
                <w:color w:val="000000"/>
                <w:sz w:val="22"/>
                <w:szCs w:val="22"/>
              </w:rPr>
            </w:pPr>
            <w:r w:rsidRPr="007467CD">
              <w:rPr>
                <w:rFonts w:cs="Arial"/>
                <w:color w:val="000000"/>
                <w:sz w:val="22"/>
                <w:szCs w:val="22"/>
              </w:rPr>
              <w:t>S</w:t>
            </w:r>
            <w:r w:rsidRPr="007467CD">
              <w:rPr>
                <w:rFonts w:ascii="Arial" w:hAnsi="Arial" w:cs="Arial"/>
                <w:color w:val="000000"/>
                <w:sz w:val="22"/>
                <w:szCs w:val="22"/>
              </w:rPr>
              <w:t>tyrene</w:t>
            </w:r>
          </w:p>
        </w:tc>
      </w:tr>
      <w:tr w:rsidR="008B6130" w:rsidRPr="007467CD" w:rsidTr="008B6130">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toluene</w:t>
            </w:r>
          </w:p>
        </w:tc>
        <w:tc>
          <w:tcPr>
            <w:tcW w:w="3143" w:type="dxa"/>
          </w:tcPr>
          <w:p w:rsidR="008B6130" w:rsidRPr="007467CD" w:rsidRDefault="008B6130" w:rsidP="008B6130">
            <w:pPr>
              <w:rPr>
                <w:rFonts w:ascii="Arial" w:hAnsi="Arial" w:cs="Arial"/>
                <w:color w:val="000000"/>
                <w:sz w:val="22"/>
                <w:szCs w:val="22"/>
              </w:rPr>
            </w:pPr>
            <w:proofErr w:type="spellStart"/>
            <w:r w:rsidRPr="007467CD">
              <w:rPr>
                <w:rFonts w:ascii="Arial" w:hAnsi="Arial" w:cs="Arial"/>
                <w:color w:val="000000"/>
                <w:sz w:val="22"/>
                <w:szCs w:val="22"/>
              </w:rPr>
              <w:t>triphenylene</w:t>
            </w:r>
            <w:proofErr w:type="spellEnd"/>
          </w:p>
        </w:tc>
        <w:tc>
          <w:tcPr>
            <w:tcW w:w="3143" w:type="dxa"/>
          </w:tcPr>
          <w:p w:rsidR="008B6130" w:rsidRPr="007467CD" w:rsidRDefault="008B6130" w:rsidP="008B6130">
            <w:pPr>
              <w:rPr>
                <w:rFonts w:cs="Arial"/>
                <w:color w:val="000000"/>
                <w:sz w:val="22"/>
                <w:szCs w:val="22"/>
              </w:rPr>
            </w:pPr>
            <w:proofErr w:type="spellStart"/>
            <w:r w:rsidRPr="007467CD">
              <w:rPr>
                <w:rFonts w:ascii="Arial" w:hAnsi="Arial" w:cs="Arial"/>
                <w:color w:val="000000"/>
                <w:sz w:val="22"/>
                <w:szCs w:val="22"/>
              </w:rPr>
              <w:t>valeraldehyde</w:t>
            </w:r>
            <w:proofErr w:type="spellEnd"/>
          </w:p>
        </w:tc>
      </w:tr>
      <w:tr w:rsidR="008B6130" w:rsidTr="007467CD">
        <w:tc>
          <w:tcPr>
            <w:tcW w:w="3142" w:type="dxa"/>
          </w:tcPr>
          <w:p w:rsidR="008B6130" w:rsidRPr="007467CD" w:rsidRDefault="008B6130" w:rsidP="008B6130">
            <w:pPr>
              <w:rPr>
                <w:rFonts w:ascii="Arial" w:hAnsi="Arial" w:cs="Arial"/>
                <w:color w:val="000000"/>
                <w:sz w:val="22"/>
                <w:szCs w:val="22"/>
              </w:rPr>
            </w:pPr>
            <w:r w:rsidRPr="007467CD">
              <w:rPr>
                <w:rFonts w:ascii="Arial" w:hAnsi="Arial" w:cs="Arial"/>
                <w:color w:val="000000"/>
                <w:sz w:val="22"/>
                <w:szCs w:val="22"/>
              </w:rPr>
              <w:t>VOC</w:t>
            </w:r>
            <w:r w:rsidR="00591B4A">
              <w:rPr>
                <w:rFonts w:ascii="Arial" w:hAnsi="Arial" w:cs="Arial"/>
                <w:color w:val="000000"/>
                <w:sz w:val="22"/>
                <w:szCs w:val="22"/>
              </w:rPr>
              <w:t>s</w:t>
            </w:r>
          </w:p>
        </w:tc>
        <w:tc>
          <w:tcPr>
            <w:tcW w:w="3143" w:type="dxa"/>
            <w:shd w:val="clear" w:color="auto" w:fill="FFFFFF" w:themeFill="background1"/>
          </w:tcPr>
          <w:p w:rsidR="008B6130" w:rsidRPr="008B6130" w:rsidRDefault="008B6130" w:rsidP="008B6130">
            <w:pPr>
              <w:rPr>
                <w:rFonts w:ascii="Arial" w:hAnsi="Arial" w:cs="Arial"/>
                <w:color w:val="000000"/>
                <w:sz w:val="22"/>
                <w:szCs w:val="22"/>
              </w:rPr>
            </w:pPr>
            <w:r w:rsidRPr="007467CD">
              <w:rPr>
                <w:rFonts w:ascii="Arial" w:hAnsi="Arial" w:cs="Arial"/>
                <w:color w:val="000000"/>
                <w:sz w:val="22"/>
                <w:szCs w:val="22"/>
              </w:rPr>
              <w:t>zinc</w:t>
            </w:r>
          </w:p>
        </w:tc>
        <w:tc>
          <w:tcPr>
            <w:tcW w:w="3143" w:type="dxa"/>
          </w:tcPr>
          <w:p w:rsidR="008B6130" w:rsidRPr="009E3C67" w:rsidRDefault="008B6130" w:rsidP="008B6130">
            <w:pPr>
              <w:rPr>
                <w:rFonts w:cs="Arial"/>
                <w:color w:val="000000"/>
                <w:sz w:val="22"/>
                <w:szCs w:val="22"/>
              </w:rPr>
            </w:pPr>
          </w:p>
        </w:tc>
      </w:tr>
    </w:tbl>
    <w:p w:rsidR="008B6130" w:rsidRPr="00EF53FF" w:rsidRDefault="008B6130" w:rsidP="008B6130"/>
    <w:p w:rsidR="0026648F" w:rsidRDefault="0026648F">
      <w:pPr>
        <w:rPr>
          <w:rFonts w:ascii="Arial" w:hAnsi="Arial" w:cs="Arial"/>
          <w:sz w:val="22"/>
          <w:szCs w:val="22"/>
        </w:rPr>
      </w:pPr>
      <w:r>
        <w:rPr>
          <w:rFonts w:ascii="Arial" w:hAnsi="Arial" w:cs="Arial"/>
          <w:sz w:val="22"/>
          <w:szCs w:val="22"/>
        </w:rPr>
        <w:br w:type="page"/>
      </w: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However, the focus of this study is on developing motor vehicle emission estimates for the NPI, which has its own list of 93 pollutants. COPERT does not predict emissions for all 93 NPI pollutants as not all of them are relevant for road transport.</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An overview of total emissions from industry (as reported by the NPI) and estimates of total motor vehicle emissions from this study is shown in Table 9 for all (29) relevant NPI air pollutants. The table also shows the contribution of motor vehicles to the combined total emissions of industry and road transport in the last column.</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Table 9 shows that motor vehicles and industry have quite a different emissions profile. Motor vehicle emissions are insignificant (&lt; 5%) for some pollutants as compared with industry (e.g. heavy metals, SO</w:t>
      </w:r>
      <w:r w:rsidRPr="009E3C67">
        <w:rPr>
          <w:rFonts w:ascii="Arial" w:hAnsi="Arial" w:cs="Arial"/>
          <w:sz w:val="22"/>
          <w:szCs w:val="22"/>
          <w:vertAlign w:val="subscript"/>
        </w:rPr>
        <w:t>2</w:t>
      </w:r>
      <w:r w:rsidRPr="009E3C67">
        <w:rPr>
          <w:rFonts w:ascii="Arial" w:hAnsi="Arial" w:cs="Arial"/>
          <w:sz w:val="22"/>
          <w:szCs w:val="22"/>
        </w:rPr>
        <w:t>, PM</w:t>
      </w:r>
      <w:r w:rsidRPr="009E3C67">
        <w:rPr>
          <w:rFonts w:ascii="Arial" w:hAnsi="Arial" w:cs="Arial"/>
          <w:sz w:val="22"/>
          <w:szCs w:val="22"/>
          <w:vertAlign w:val="subscript"/>
        </w:rPr>
        <w:t>10</w:t>
      </w:r>
      <w:r w:rsidRPr="009E3C67">
        <w:rPr>
          <w:rFonts w:ascii="Arial" w:hAnsi="Arial" w:cs="Arial"/>
          <w:sz w:val="22"/>
          <w:szCs w:val="22"/>
        </w:rPr>
        <w:t xml:space="preserve">), but for other pollutants it is the other way around (e.g. </w:t>
      </w:r>
      <w:r w:rsidR="00323203">
        <w:rPr>
          <w:rFonts w:ascii="Arial" w:hAnsi="Arial" w:cs="Arial"/>
          <w:sz w:val="22"/>
          <w:szCs w:val="22"/>
        </w:rPr>
        <w:br/>
      </w:r>
      <w:r w:rsidRPr="009E3C67">
        <w:rPr>
          <w:rFonts w:ascii="Arial" w:hAnsi="Arial" w:cs="Arial"/>
          <w:sz w:val="22"/>
          <w:szCs w:val="22"/>
        </w:rPr>
        <w:t>1</w:t>
      </w:r>
      <w:proofErr w:type="gramStart"/>
      <w:r w:rsidRPr="009E3C67">
        <w:rPr>
          <w:rFonts w:ascii="Arial" w:hAnsi="Arial" w:cs="Arial"/>
          <w:sz w:val="22"/>
          <w:szCs w:val="22"/>
        </w:rPr>
        <w:t>,3</w:t>
      </w:r>
      <w:proofErr w:type="gramEnd"/>
      <w:r w:rsidRPr="009E3C67">
        <w:rPr>
          <w:rFonts w:ascii="Arial" w:hAnsi="Arial" w:cs="Arial"/>
          <w:sz w:val="22"/>
          <w:szCs w:val="22"/>
        </w:rPr>
        <w:t xml:space="preserve">-Butadiene, PAHs, benzene, </w:t>
      </w:r>
      <w:proofErr w:type="spellStart"/>
      <w:r w:rsidRPr="009E3C67">
        <w:rPr>
          <w:rFonts w:ascii="Arial" w:hAnsi="Arial" w:cs="Arial"/>
          <w:sz w:val="22"/>
          <w:szCs w:val="22"/>
        </w:rPr>
        <w:t>acrolein</w:t>
      </w:r>
      <w:proofErr w:type="spellEnd"/>
      <w:r w:rsidRPr="009E3C67">
        <w:rPr>
          <w:rFonts w:ascii="Arial" w:hAnsi="Arial" w:cs="Arial"/>
          <w:sz w:val="22"/>
          <w:szCs w:val="22"/>
        </w:rPr>
        <w:t xml:space="preserve">, toluene). For the criteria pollutants, motor </w:t>
      </w:r>
      <w:proofErr w:type="gramStart"/>
      <w:r w:rsidRPr="009E3C67">
        <w:rPr>
          <w:rFonts w:ascii="Arial" w:hAnsi="Arial" w:cs="Arial"/>
          <w:sz w:val="22"/>
          <w:szCs w:val="22"/>
        </w:rPr>
        <w:t>vehicle contribute</w:t>
      </w:r>
      <w:proofErr w:type="gramEnd"/>
      <w:r w:rsidRPr="009E3C67">
        <w:rPr>
          <w:rFonts w:ascii="Arial" w:hAnsi="Arial" w:cs="Arial"/>
          <w:sz w:val="22"/>
          <w:szCs w:val="22"/>
        </w:rPr>
        <w:t xml:space="preserve"> significantly to CO, </w:t>
      </w:r>
      <w:proofErr w:type="spellStart"/>
      <w:r w:rsidRPr="009E3C67">
        <w:rPr>
          <w:rFonts w:ascii="Arial" w:hAnsi="Arial" w:cs="Arial"/>
          <w:sz w:val="22"/>
          <w:szCs w:val="22"/>
        </w:rPr>
        <w:t>NO</w:t>
      </w:r>
      <w:r w:rsidRPr="009E3C67">
        <w:rPr>
          <w:rFonts w:ascii="Arial" w:hAnsi="Arial" w:cs="Arial"/>
          <w:sz w:val="22"/>
          <w:szCs w:val="22"/>
          <w:vertAlign w:val="subscript"/>
        </w:rPr>
        <w:t>x</w:t>
      </w:r>
      <w:proofErr w:type="spellEnd"/>
      <w:r w:rsidRPr="009E3C67">
        <w:rPr>
          <w:rFonts w:ascii="Arial" w:hAnsi="Arial" w:cs="Arial"/>
          <w:sz w:val="22"/>
          <w:szCs w:val="22"/>
        </w:rPr>
        <w:t xml:space="preserve"> and PM</w:t>
      </w:r>
      <w:r w:rsidRPr="009E3C67">
        <w:rPr>
          <w:rFonts w:ascii="Arial" w:hAnsi="Arial" w:cs="Arial"/>
          <w:sz w:val="22"/>
          <w:szCs w:val="22"/>
          <w:vertAlign w:val="subscript"/>
        </w:rPr>
        <w:t>2.5</w:t>
      </w:r>
      <w:r w:rsidRPr="009E3C67">
        <w:rPr>
          <w:rFonts w:ascii="Arial" w:hAnsi="Arial" w:cs="Arial"/>
          <w:sz w:val="22"/>
          <w:szCs w:val="22"/>
        </w:rPr>
        <w:t>, but not significantly to total emissions of SO</w:t>
      </w:r>
      <w:r w:rsidRPr="009E3C67">
        <w:rPr>
          <w:rFonts w:ascii="Arial" w:hAnsi="Arial" w:cs="Arial"/>
          <w:sz w:val="22"/>
          <w:szCs w:val="22"/>
          <w:vertAlign w:val="subscript"/>
        </w:rPr>
        <w:t>2</w:t>
      </w:r>
      <w:r w:rsidRPr="009E3C67">
        <w:rPr>
          <w:rFonts w:ascii="Arial" w:hAnsi="Arial" w:cs="Arial"/>
          <w:sz w:val="22"/>
          <w:szCs w:val="22"/>
        </w:rPr>
        <w:t xml:space="preserve"> and PM</w:t>
      </w:r>
      <w:r w:rsidRPr="009E3C67">
        <w:rPr>
          <w:rFonts w:ascii="Arial" w:hAnsi="Arial" w:cs="Arial"/>
          <w:sz w:val="22"/>
          <w:szCs w:val="22"/>
          <w:vertAlign w:val="subscript"/>
        </w:rPr>
        <w:t>10</w:t>
      </w:r>
      <w:r w:rsidRPr="009E3C67">
        <w:rPr>
          <w:rFonts w:ascii="Arial" w:hAnsi="Arial" w:cs="Arial"/>
          <w:sz w:val="22"/>
          <w:szCs w:val="22"/>
        </w:rPr>
        <w:t xml:space="preserve">. For some pollutant total annual motor vehicle emissions are of similar magnitude as for industry (e.g. TVOCs, styrene, </w:t>
      </w:r>
      <w:proofErr w:type="gramStart"/>
      <w:r w:rsidRPr="009E3C67">
        <w:rPr>
          <w:rFonts w:ascii="Arial" w:hAnsi="Arial" w:cs="Arial"/>
          <w:sz w:val="22"/>
          <w:szCs w:val="22"/>
        </w:rPr>
        <w:t>n</w:t>
      </w:r>
      <w:proofErr w:type="gramEnd"/>
      <w:r w:rsidRPr="009E3C67">
        <w:rPr>
          <w:rFonts w:ascii="Arial" w:hAnsi="Arial" w:cs="Arial"/>
          <w:sz w:val="22"/>
          <w:szCs w:val="22"/>
        </w:rPr>
        <w:t>-hexane).</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It is emphasi</w:t>
      </w:r>
      <w:r w:rsidR="00323203">
        <w:rPr>
          <w:rFonts w:ascii="Arial" w:hAnsi="Arial" w:cs="Arial"/>
          <w:sz w:val="22"/>
          <w:szCs w:val="22"/>
        </w:rPr>
        <w:t>s</w:t>
      </w:r>
      <w:r w:rsidRPr="009E3C67">
        <w:rPr>
          <w:rFonts w:ascii="Arial" w:hAnsi="Arial" w:cs="Arial"/>
          <w:sz w:val="22"/>
          <w:szCs w:val="22"/>
        </w:rPr>
        <w:t xml:space="preserve">ed, however, that total annual emission levels are not the same as exposure levels. The actual contribution of motor vehicle emissions to population exposure (and thus health effects) is typically much larger than for industrial sources (e.g. </w:t>
      </w:r>
      <w:proofErr w:type="spellStart"/>
      <w:r w:rsidRPr="009E3C67">
        <w:rPr>
          <w:rFonts w:ascii="Arial" w:hAnsi="Arial" w:cs="Arial"/>
          <w:sz w:val="22"/>
          <w:szCs w:val="22"/>
        </w:rPr>
        <w:t>Caiazzo</w:t>
      </w:r>
      <w:proofErr w:type="spellEnd"/>
      <w:r w:rsidRPr="009E3C67">
        <w:rPr>
          <w:rFonts w:ascii="Arial" w:hAnsi="Arial" w:cs="Arial"/>
          <w:sz w:val="22"/>
          <w:szCs w:val="22"/>
        </w:rPr>
        <w:t xml:space="preserve"> et al., 2013). This is because motor vehicle emissions are released close to ground level and in close proximity to where people live and work. In contrast, industrial emissions are typically emitted through vents and stacks, and are generally separated from populated areas. This means that industrial emissions are often significantly diluted before they reach the population.</w:t>
      </w:r>
    </w:p>
    <w:p w:rsidR="009E3C67" w:rsidRPr="009E3C67" w:rsidRDefault="009E3C67" w:rsidP="009E3C67">
      <w:pPr>
        <w:spacing w:line="360" w:lineRule="auto"/>
        <w:jc w:val="both"/>
        <w:rPr>
          <w:rFonts w:ascii="Arial" w:hAnsi="Arial" w:cs="Arial"/>
          <w:sz w:val="22"/>
          <w:szCs w:val="22"/>
        </w:rPr>
      </w:pPr>
    </w:p>
    <w:p w:rsidR="0026648F" w:rsidRDefault="0026648F">
      <w:pPr>
        <w:rPr>
          <w:rFonts w:ascii="Arial" w:hAnsi="Arial" w:cs="Arial"/>
          <w:b/>
          <w:sz w:val="22"/>
          <w:szCs w:val="22"/>
          <w:lang w:val="en-US"/>
        </w:rPr>
      </w:pPr>
      <w:r>
        <w:rPr>
          <w:rFonts w:ascii="Arial" w:hAnsi="Arial" w:cs="Arial"/>
          <w:b/>
          <w:sz w:val="22"/>
          <w:szCs w:val="22"/>
          <w:lang w:val="en-US"/>
        </w:rPr>
        <w:br w:type="page"/>
      </w:r>
    </w:p>
    <w:p w:rsidR="009E3C67" w:rsidRPr="009E3C67" w:rsidRDefault="009E3C67" w:rsidP="009E3C67">
      <w:pPr>
        <w:pStyle w:val="FootnoteText"/>
        <w:spacing w:line="360" w:lineRule="auto"/>
        <w:jc w:val="both"/>
        <w:rPr>
          <w:rFonts w:ascii="Arial" w:hAnsi="Arial" w:cs="Arial"/>
          <w:sz w:val="22"/>
          <w:szCs w:val="22"/>
          <w:lang w:val="en-US"/>
        </w:rPr>
      </w:pPr>
      <w:r w:rsidRPr="009E3C67">
        <w:rPr>
          <w:rFonts w:ascii="Arial" w:hAnsi="Arial" w:cs="Arial"/>
          <w:b/>
          <w:sz w:val="22"/>
          <w:szCs w:val="22"/>
          <w:lang w:val="en-US"/>
        </w:rPr>
        <w:lastRenderedPageBreak/>
        <w:t xml:space="preserve">Table 9 </w:t>
      </w:r>
      <w:r w:rsidRPr="009E3C67">
        <w:rPr>
          <w:rFonts w:ascii="Arial" w:hAnsi="Arial" w:cs="Arial"/>
          <w:sz w:val="22"/>
          <w:szCs w:val="22"/>
          <w:lang w:val="en-US"/>
        </w:rPr>
        <w:t xml:space="preserve">Total annual Australian </w:t>
      </w:r>
      <w:r w:rsidR="00D3232A">
        <w:rPr>
          <w:rFonts w:ascii="Arial" w:hAnsi="Arial" w:cs="Arial"/>
          <w:sz w:val="22"/>
          <w:szCs w:val="22"/>
          <w:lang w:val="en-US"/>
        </w:rPr>
        <w:t xml:space="preserve">NPI </w:t>
      </w:r>
      <w:r w:rsidRPr="009E3C67">
        <w:rPr>
          <w:rFonts w:ascii="Arial" w:hAnsi="Arial" w:cs="Arial"/>
          <w:sz w:val="22"/>
          <w:szCs w:val="22"/>
          <w:lang w:val="en-US"/>
        </w:rPr>
        <w:t xml:space="preserve">emissions (kg/yr) for industry and motor vehicles (2010)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2"/>
        <w:gridCol w:w="1757"/>
        <w:gridCol w:w="1644"/>
        <w:gridCol w:w="1928"/>
      </w:tblGrid>
      <w:tr w:rsidR="009E3C67" w:rsidRPr="009E3C67" w:rsidTr="009E3C67">
        <w:tc>
          <w:tcPr>
            <w:tcW w:w="3742" w:type="dxa"/>
            <w:shd w:val="solid" w:color="BFBFBF" w:themeColor="background1" w:themeShade="BF" w:fill="auto"/>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Pollutant</w:t>
            </w:r>
          </w:p>
        </w:tc>
        <w:tc>
          <w:tcPr>
            <w:tcW w:w="1757" w:type="dxa"/>
            <w:shd w:val="solid" w:color="BFBFBF" w:themeColor="background1" w:themeShade="BF" w:fill="auto"/>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NPI industry</w:t>
            </w:r>
          </w:p>
        </w:tc>
        <w:tc>
          <w:tcPr>
            <w:tcW w:w="1644" w:type="dxa"/>
            <w:shd w:val="solid" w:color="BFBFBF" w:themeColor="background1" w:themeShade="BF" w:fill="auto"/>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NMVEI</w:t>
            </w:r>
          </w:p>
        </w:tc>
        <w:tc>
          <w:tcPr>
            <w:tcW w:w="1928" w:type="dxa"/>
            <w:shd w:val="solid" w:color="BFBFBF" w:themeColor="background1" w:themeShade="BF" w:fill="auto"/>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MV Contribution</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Acetaldehyde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411,765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886,969</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68.29%</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Acetone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691,837</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301,465</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30.35%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Acrolein</w:t>
            </w:r>
            <w:proofErr w:type="spellEnd"/>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11</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314,000</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100.00%</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Ammonia</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120,860,415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6,313,888</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4.96%</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Benzene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1,197,423</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4,099,173</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77.39%</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1,3-Butadiene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14,635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971,856</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98.52%</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Cadmium</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32,053</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237</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0.73%</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Carbon monoxide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1,388,700,000</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936,869,323</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40.29%</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Chromium</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590,406</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502</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0.08%</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Copper</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677,884</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794</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0.12%</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Cyclohexane</w:t>
            </w:r>
            <w:proofErr w:type="spellEnd"/>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473,055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664,516</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58.42%</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Dioxins/Furans (</w:t>
            </w:r>
            <w:proofErr w:type="spellStart"/>
            <w:r w:rsidRPr="009E3C67">
              <w:rPr>
                <w:rFonts w:ascii="Arial" w:hAnsi="Arial" w:cs="Arial"/>
                <w:color w:val="000000"/>
                <w:sz w:val="22"/>
                <w:szCs w:val="22"/>
              </w:rPr>
              <w:t>i</w:t>
            </w:r>
            <w:proofErr w:type="spellEnd"/>
            <w:r w:rsidRPr="009E3C67">
              <w:rPr>
                <w:rFonts w:ascii="Arial" w:hAnsi="Arial" w:cs="Arial"/>
                <w:color w:val="000000"/>
                <w:sz w:val="22"/>
                <w:szCs w:val="22"/>
              </w:rPr>
              <w:t>-TEQ)</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0.194</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0.005</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2.75%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Ethylbenzene</w:t>
            </w:r>
            <w:proofErr w:type="spellEnd"/>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138,330</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3,116,430</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95.75%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Formaldehyde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2,922,758</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2,005,013</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40.69%</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Lead</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687,463</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17,171</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2.44%</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Methylethylketone</w:t>
            </w:r>
            <w:proofErr w:type="spellEnd"/>
            <w:r w:rsidRPr="009E3C67">
              <w:rPr>
                <w:rFonts w:ascii="Arial" w:hAnsi="Arial" w:cs="Arial"/>
                <w:color w:val="000000"/>
                <w:sz w:val="22"/>
                <w:szCs w:val="22"/>
              </w:rPr>
              <w:t xml:space="preserve"> (MEK)</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700,618</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77,818</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10.00%</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n-Hexane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1,709,621</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1,322,489</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43.62%</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Nickel</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772,525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267</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0.03%</w:t>
            </w:r>
          </w:p>
        </w:tc>
      </w:tr>
      <w:tr w:rsidR="009E3C67" w:rsidRPr="009E3C67" w:rsidTr="009E3C67">
        <w:tc>
          <w:tcPr>
            <w:tcW w:w="3742" w:type="dxa"/>
            <w:vAlign w:val="center"/>
          </w:tcPr>
          <w:p w:rsidR="009E3C67" w:rsidRPr="009E3C67" w:rsidRDefault="009E3C67" w:rsidP="00B95E0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Oxides of Nitrogen</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1,396,900,000</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305,601,721</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17.95%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PAHs (</w:t>
            </w:r>
            <w:proofErr w:type="spellStart"/>
            <w:r w:rsidRPr="009E3C67">
              <w:rPr>
                <w:rFonts w:ascii="Arial" w:hAnsi="Arial" w:cs="Arial"/>
                <w:color w:val="000000"/>
                <w:sz w:val="22"/>
                <w:szCs w:val="22"/>
              </w:rPr>
              <w:t>BaP</w:t>
            </w:r>
            <w:proofErr w:type="spellEnd"/>
            <w:r w:rsidRPr="009E3C67">
              <w:rPr>
                <w:rFonts w:ascii="Arial" w:hAnsi="Arial" w:cs="Arial"/>
                <w:color w:val="000000"/>
                <w:sz w:val="22"/>
                <w:szCs w:val="22"/>
              </w:rPr>
              <w:t>-equivalents)</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23,709</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627</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2.58%</w:t>
            </w:r>
          </w:p>
        </w:tc>
      </w:tr>
      <w:tr w:rsidR="009E3C67" w:rsidRPr="009E3C67" w:rsidTr="009E3C67">
        <w:tc>
          <w:tcPr>
            <w:tcW w:w="3742" w:type="dxa"/>
            <w:vAlign w:val="center"/>
          </w:tcPr>
          <w:p w:rsidR="009E3C67" w:rsidRPr="009E3C67" w:rsidRDefault="009E3C67" w:rsidP="00B95E0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 xml:space="preserve">Particulate Matter </w:t>
            </w:r>
            <w:r w:rsidR="00B95E07" w:rsidRPr="00DB5760">
              <w:rPr>
                <w:rFonts w:ascii="Arial" w:hAnsi="Arial" w:cs="Arial"/>
              </w:rPr>
              <w:sym w:font="Symbol" w:char="F0A3"/>
            </w:r>
            <w:r w:rsidRPr="009E3C67">
              <w:rPr>
                <w:rFonts w:ascii="Arial" w:hAnsi="Arial" w:cs="Arial"/>
                <w:color w:val="000000"/>
                <w:sz w:val="22"/>
                <w:szCs w:val="22"/>
              </w:rPr>
              <w:t xml:space="preserve"> 10.0 </w:t>
            </w:r>
            <w:r w:rsidR="00B95E07">
              <w:rPr>
                <w:rFonts w:ascii="Arial" w:hAnsi="Arial" w:cs="Arial"/>
                <w:color w:val="000000"/>
                <w:sz w:val="22"/>
                <w:szCs w:val="22"/>
              </w:rPr>
              <w:t>µ</w:t>
            </w:r>
            <w:r w:rsidRPr="009E3C67">
              <w:rPr>
                <w:rFonts w:ascii="Arial" w:hAnsi="Arial" w:cs="Arial"/>
                <w:color w:val="000000"/>
                <w:sz w:val="22"/>
                <w:szCs w:val="22"/>
              </w:rPr>
              <w:t>m</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1,238,329,933</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14,461,823</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1.15%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 xml:space="preserve">Particulate Matter </w:t>
            </w:r>
            <w:r w:rsidR="00B95E07" w:rsidRPr="00DB5760">
              <w:rPr>
                <w:rFonts w:ascii="Arial" w:hAnsi="Arial" w:cs="Arial"/>
              </w:rPr>
              <w:sym w:font="Symbol" w:char="F0A3"/>
            </w:r>
            <w:r w:rsidRPr="009E3C67">
              <w:rPr>
                <w:rFonts w:ascii="Arial" w:hAnsi="Arial" w:cs="Arial"/>
                <w:color w:val="000000"/>
                <w:sz w:val="22"/>
                <w:szCs w:val="22"/>
              </w:rPr>
              <w:t xml:space="preserve"> 2.5 </w:t>
            </w:r>
            <w:r w:rsidR="00B95E07">
              <w:rPr>
                <w:rFonts w:ascii="Arial" w:hAnsi="Arial" w:cs="Arial"/>
                <w:color w:val="000000"/>
                <w:sz w:val="22"/>
                <w:szCs w:val="22"/>
              </w:rPr>
              <w:t>µ</w:t>
            </w:r>
            <w:r w:rsidRPr="009E3C67">
              <w:rPr>
                <w:rFonts w:ascii="Arial" w:hAnsi="Arial" w:cs="Arial"/>
                <w:color w:val="000000"/>
                <w:sz w:val="22"/>
                <w:szCs w:val="22"/>
              </w:rPr>
              <w:t>m</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56,532,376</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11,684,995</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17.13%</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Selenium</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6,348</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0.06%</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Styrene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393,246</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470,431</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54.47%</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Sulfur</w:t>
            </w:r>
            <w:proofErr w:type="spellEnd"/>
            <w:r w:rsidRPr="009E3C67">
              <w:rPr>
                <w:rFonts w:ascii="Arial" w:hAnsi="Arial" w:cs="Arial"/>
                <w:color w:val="000000"/>
                <w:sz w:val="22"/>
                <w:szCs w:val="22"/>
              </w:rPr>
              <w:t xml:space="preserve"> dioxide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2,509,400,000</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1,310,884</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0.05%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Toluene</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2,525,696</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8,243,841</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76.55%</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Total Volatile Organic Compounds</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157,006,103</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107,329,985</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40.60%</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proofErr w:type="spellStart"/>
            <w:r w:rsidRPr="009E3C67">
              <w:rPr>
                <w:rFonts w:ascii="Arial" w:hAnsi="Arial" w:cs="Arial"/>
                <w:color w:val="000000"/>
                <w:sz w:val="22"/>
                <w:szCs w:val="22"/>
              </w:rPr>
              <w:t>Xylenes</w:t>
            </w:r>
            <w:proofErr w:type="spellEnd"/>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1,882,125</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8,085</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0.43%</w:t>
            </w:r>
          </w:p>
        </w:tc>
      </w:tr>
      <w:tr w:rsidR="009E3C67" w:rsidRPr="009E3C67" w:rsidTr="009E3C67">
        <w:tc>
          <w:tcPr>
            <w:tcW w:w="3742"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Zinc</w:t>
            </w:r>
          </w:p>
        </w:tc>
        <w:tc>
          <w:tcPr>
            <w:tcW w:w="1757"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1,597,971</w:t>
            </w:r>
          </w:p>
        </w:tc>
        <w:tc>
          <w:tcPr>
            <w:tcW w:w="1644"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47,352</w:t>
            </w:r>
          </w:p>
        </w:tc>
        <w:tc>
          <w:tcPr>
            <w:tcW w:w="1928" w:type="dxa"/>
            <w:vAlign w:val="center"/>
          </w:tcPr>
          <w:p w:rsidR="009E3C67" w:rsidRPr="009E3C67" w:rsidRDefault="009E3C67" w:rsidP="009E3C67">
            <w:pPr>
              <w:autoSpaceDE w:val="0"/>
              <w:autoSpaceDN w:val="0"/>
              <w:adjustRightInd w:val="0"/>
              <w:rPr>
                <w:rFonts w:ascii="Arial" w:hAnsi="Arial" w:cs="Arial"/>
                <w:color w:val="000000"/>
                <w:sz w:val="22"/>
                <w:szCs w:val="22"/>
              </w:rPr>
            </w:pPr>
            <w:r w:rsidRPr="009E3C67">
              <w:rPr>
                <w:rFonts w:ascii="Arial" w:hAnsi="Arial" w:cs="Arial"/>
                <w:color w:val="000000"/>
                <w:sz w:val="22"/>
                <w:szCs w:val="22"/>
              </w:rPr>
              <w:t>2.88%</w:t>
            </w:r>
          </w:p>
        </w:tc>
      </w:tr>
    </w:tbl>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pStyle w:val="Heading2"/>
        <w:tabs>
          <w:tab w:val="clear" w:pos="720"/>
        </w:tabs>
        <w:spacing w:line="360" w:lineRule="auto"/>
        <w:ind w:left="567" w:hanging="567"/>
        <w:rPr>
          <w:rFonts w:ascii="Arial" w:hAnsi="Arial" w:cs="Arial"/>
          <w:sz w:val="22"/>
          <w:szCs w:val="22"/>
        </w:rPr>
      </w:pPr>
      <w:bookmarkStart w:id="26" w:name="_Toc394993199"/>
      <w:r w:rsidRPr="009E3C67">
        <w:rPr>
          <w:rFonts w:ascii="Arial" w:hAnsi="Arial" w:cs="Arial"/>
          <w:sz w:val="22"/>
          <w:szCs w:val="22"/>
        </w:rPr>
        <w:t>Further analysis of sixteen air pollutants</w:t>
      </w:r>
      <w:bookmarkEnd w:id="26"/>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Sixteen air pollutants were selected for further analysis. </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4"/>
        </w:numPr>
        <w:spacing w:after="0" w:line="360" w:lineRule="auto"/>
        <w:ind w:left="567" w:hanging="567"/>
        <w:jc w:val="both"/>
        <w:rPr>
          <w:rFonts w:ascii="Arial" w:hAnsi="Arial" w:cs="Arial"/>
        </w:rPr>
      </w:pPr>
      <w:r w:rsidRPr="009E3C67">
        <w:rPr>
          <w:rFonts w:ascii="Arial" w:hAnsi="Arial" w:cs="Arial"/>
        </w:rPr>
        <w:t xml:space="preserve">commonly assessed air pollutants (CO, VOCs, </w:t>
      </w:r>
      <w:proofErr w:type="spellStart"/>
      <w:r w:rsidRPr="009E3C67">
        <w:rPr>
          <w:rFonts w:ascii="Arial" w:hAnsi="Arial" w:cs="Arial"/>
        </w:rPr>
        <w:t>NOx</w:t>
      </w:r>
      <w:proofErr w:type="spellEnd"/>
      <w:r w:rsidRPr="009E3C67">
        <w:rPr>
          <w:rFonts w:ascii="Arial" w:hAnsi="Arial" w:cs="Arial"/>
        </w:rPr>
        <w:t>, PM</w:t>
      </w:r>
      <w:r w:rsidRPr="009E3C67">
        <w:rPr>
          <w:rFonts w:ascii="Arial" w:hAnsi="Arial" w:cs="Arial"/>
          <w:vertAlign w:val="subscript"/>
        </w:rPr>
        <w:t>2.5</w:t>
      </w:r>
      <w:r w:rsidRPr="009E3C67">
        <w:rPr>
          <w:rFonts w:ascii="Arial" w:hAnsi="Arial" w:cs="Arial"/>
        </w:rPr>
        <w:t>)</w:t>
      </w:r>
    </w:p>
    <w:p w:rsidR="009E3C67" w:rsidRPr="009E3C67" w:rsidRDefault="009E3C67" w:rsidP="009E3C67">
      <w:pPr>
        <w:pStyle w:val="ListParagraph"/>
        <w:numPr>
          <w:ilvl w:val="0"/>
          <w:numId w:val="44"/>
        </w:numPr>
        <w:spacing w:after="0" w:line="360" w:lineRule="auto"/>
        <w:ind w:left="567" w:hanging="567"/>
        <w:jc w:val="both"/>
        <w:rPr>
          <w:rFonts w:ascii="Arial" w:hAnsi="Arial" w:cs="Arial"/>
        </w:rPr>
      </w:pPr>
      <w:r w:rsidRPr="009E3C67">
        <w:rPr>
          <w:rFonts w:ascii="Arial" w:hAnsi="Arial" w:cs="Arial"/>
        </w:rPr>
        <w:t xml:space="preserve">organic air toxics (benzene, formaldehyde, </w:t>
      </w:r>
      <w:proofErr w:type="spellStart"/>
      <w:r w:rsidRPr="009E3C67">
        <w:rPr>
          <w:rFonts w:ascii="Arial" w:hAnsi="Arial" w:cs="Arial"/>
        </w:rPr>
        <w:t>ethylbenzene</w:t>
      </w:r>
      <w:proofErr w:type="spellEnd"/>
      <w:r w:rsidRPr="009E3C67">
        <w:rPr>
          <w:rFonts w:ascii="Arial" w:hAnsi="Arial" w:cs="Arial"/>
        </w:rPr>
        <w:t xml:space="preserve">, toluene, </w:t>
      </w:r>
      <w:proofErr w:type="spellStart"/>
      <w:r w:rsidRPr="009E3C67">
        <w:rPr>
          <w:rFonts w:ascii="Arial" w:hAnsi="Arial" w:cs="Arial"/>
        </w:rPr>
        <w:t>xylenes</w:t>
      </w:r>
      <w:proofErr w:type="spellEnd"/>
      <w:r w:rsidRPr="009E3C67">
        <w:rPr>
          <w:rFonts w:ascii="Arial" w:hAnsi="Arial" w:cs="Arial"/>
        </w:rPr>
        <w:t xml:space="preserve">, </w:t>
      </w:r>
      <w:r w:rsidR="00323203">
        <w:rPr>
          <w:rFonts w:ascii="Arial" w:hAnsi="Arial" w:cs="Arial"/>
        </w:rPr>
        <w:br/>
      </w:r>
      <w:r w:rsidRPr="009E3C67">
        <w:rPr>
          <w:rFonts w:ascii="Arial" w:hAnsi="Arial" w:cs="Arial"/>
        </w:rPr>
        <w:t>1,3-butadiene, PAHs)</w:t>
      </w:r>
    </w:p>
    <w:p w:rsidR="009E3C67" w:rsidRPr="009E3C67" w:rsidRDefault="009E3C67" w:rsidP="009E3C67">
      <w:pPr>
        <w:pStyle w:val="ListParagraph"/>
        <w:numPr>
          <w:ilvl w:val="0"/>
          <w:numId w:val="44"/>
        </w:numPr>
        <w:spacing w:after="0" w:line="360" w:lineRule="auto"/>
        <w:ind w:left="567" w:hanging="567"/>
        <w:jc w:val="both"/>
        <w:rPr>
          <w:rFonts w:ascii="Arial" w:hAnsi="Arial" w:cs="Arial"/>
        </w:rPr>
      </w:pPr>
      <w:r w:rsidRPr="009E3C67">
        <w:rPr>
          <w:rFonts w:ascii="Arial" w:hAnsi="Arial" w:cs="Arial"/>
        </w:rPr>
        <w:t>inorganic air pollutants (NH</w:t>
      </w:r>
      <w:r w:rsidRPr="009E3C67">
        <w:rPr>
          <w:rFonts w:ascii="Arial" w:hAnsi="Arial" w:cs="Arial"/>
          <w:vertAlign w:val="subscript"/>
        </w:rPr>
        <w:t>3</w:t>
      </w:r>
      <w:r w:rsidRPr="009E3C67">
        <w:rPr>
          <w:rFonts w:ascii="Arial" w:hAnsi="Arial" w:cs="Arial"/>
        </w:rPr>
        <w:t>)</w:t>
      </w:r>
    </w:p>
    <w:p w:rsidR="009E3C67" w:rsidRPr="009E3C67" w:rsidRDefault="009E3C67" w:rsidP="009E3C67">
      <w:pPr>
        <w:pStyle w:val="ListParagraph"/>
        <w:numPr>
          <w:ilvl w:val="0"/>
          <w:numId w:val="44"/>
        </w:numPr>
        <w:spacing w:after="0" w:line="360" w:lineRule="auto"/>
        <w:ind w:left="567" w:hanging="567"/>
        <w:jc w:val="both"/>
        <w:rPr>
          <w:rFonts w:ascii="Arial" w:hAnsi="Arial" w:cs="Arial"/>
        </w:rPr>
      </w:pPr>
      <w:r w:rsidRPr="009E3C67">
        <w:rPr>
          <w:rFonts w:ascii="Arial" w:hAnsi="Arial" w:cs="Arial"/>
        </w:rPr>
        <w:t>dioxins/furans</w:t>
      </w:r>
      <w:r w:rsidR="00D3232A">
        <w:rPr>
          <w:rFonts w:ascii="Arial" w:hAnsi="Arial" w:cs="Arial"/>
        </w:rPr>
        <w:t>, and</w:t>
      </w:r>
    </w:p>
    <w:p w:rsidR="009E3C67" w:rsidRPr="009E3C67" w:rsidRDefault="009E3C67" w:rsidP="009E3C67">
      <w:pPr>
        <w:pStyle w:val="ListParagraph"/>
        <w:numPr>
          <w:ilvl w:val="0"/>
          <w:numId w:val="44"/>
        </w:numPr>
        <w:spacing w:after="0" w:line="360" w:lineRule="auto"/>
        <w:ind w:left="567" w:hanging="567"/>
        <w:jc w:val="both"/>
        <w:rPr>
          <w:rFonts w:ascii="Arial" w:hAnsi="Arial" w:cs="Arial"/>
        </w:rPr>
      </w:pPr>
      <w:proofErr w:type="gramStart"/>
      <w:r w:rsidRPr="009E3C67">
        <w:rPr>
          <w:rFonts w:ascii="Arial" w:hAnsi="Arial" w:cs="Arial"/>
        </w:rPr>
        <w:t>heavy</w:t>
      </w:r>
      <w:proofErr w:type="gramEnd"/>
      <w:r w:rsidRPr="009E3C67">
        <w:rPr>
          <w:rFonts w:ascii="Arial" w:hAnsi="Arial" w:cs="Arial"/>
        </w:rPr>
        <w:t xml:space="preserve"> metals (cadmium, lead, zinc)</w:t>
      </w:r>
      <w:r w:rsidR="00D3232A">
        <w:rPr>
          <w:rFonts w:ascii="Arial" w:hAnsi="Arial" w:cs="Arial"/>
        </w:rPr>
        <w:t>.</w:t>
      </w:r>
    </w:p>
    <w:p w:rsidR="009E3C67" w:rsidRDefault="009E3C67" w:rsidP="009E3C67">
      <w:pPr>
        <w:spacing w:line="360" w:lineRule="auto"/>
        <w:jc w:val="both"/>
        <w:rPr>
          <w:rFonts w:ascii="Arial" w:hAnsi="Arial" w:cs="Arial"/>
          <w:sz w:val="22"/>
          <w:szCs w:val="22"/>
        </w:rPr>
      </w:pPr>
    </w:p>
    <w:p w:rsidR="0026648F" w:rsidRDefault="0026648F">
      <w:pPr>
        <w:rPr>
          <w:rFonts w:ascii="Arial" w:hAnsi="Arial" w:cs="Arial"/>
          <w:sz w:val="22"/>
          <w:szCs w:val="22"/>
        </w:rPr>
      </w:pPr>
      <w:r>
        <w:rPr>
          <w:rFonts w:ascii="Arial" w:hAnsi="Arial" w:cs="Arial"/>
          <w:sz w:val="22"/>
          <w:szCs w:val="22"/>
        </w:rPr>
        <w:br w:type="page"/>
      </w: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The following aspects are analysed and the results are presented in this section.</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3"/>
        </w:numPr>
        <w:spacing w:after="0" w:line="360" w:lineRule="auto"/>
        <w:ind w:left="567" w:hanging="567"/>
        <w:jc w:val="both"/>
        <w:rPr>
          <w:rFonts w:ascii="Arial" w:hAnsi="Arial" w:cs="Arial"/>
        </w:rPr>
      </w:pPr>
      <w:r w:rsidRPr="009E3C67">
        <w:rPr>
          <w:rFonts w:ascii="Arial" w:hAnsi="Arial" w:cs="Arial"/>
        </w:rPr>
        <w:t>Contribution of motor vehicle emissions to total reported NPI industry emissions.</w:t>
      </w:r>
    </w:p>
    <w:p w:rsidR="009E3C67" w:rsidRPr="009E3C67" w:rsidRDefault="009E3C67" w:rsidP="009E3C67">
      <w:pPr>
        <w:pStyle w:val="ListParagraph"/>
        <w:numPr>
          <w:ilvl w:val="0"/>
          <w:numId w:val="43"/>
        </w:numPr>
        <w:spacing w:after="0" w:line="360" w:lineRule="auto"/>
        <w:ind w:left="567" w:hanging="567"/>
        <w:jc w:val="both"/>
        <w:rPr>
          <w:rFonts w:ascii="Arial" w:hAnsi="Arial" w:cs="Arial"/>
        </w:rPr>
      </w:pPr>
      <w:r w:rsidRPr="009E3C67">
        <w:rPr>
          <w:rFonts w:ascii="Arial" w:hAnsi="Arial" w:cs="Arial"/>
        </w:rPr>
        <w:t>Contribution of different States/Territories to total motor vehicle emissions.</w:t>
      </w:r>
    </w:p>
    <w:p w:rsidR="009E3C67" w:rsidRPr="009E3C67" w:rsidRDefault="009E3C67" w:rsidP="009E3C67">
      <w:pPr>
        <w:pStyle w:val="ListParagraph"/>
        <w:numPr>
          <w:ilvl w:val="0"/>
          <w:numId w:val="43"/>
        </w:numPr>
        <w:spacing w:after="0" w:line="360" w:lineRule="auto"/>
        <w:ind w:left="567" w:hanging="567"/>
        <w:jc w:val="both"/>
        <w:rPr>
          <w:rFonts w:ascii="Arial" w:hAnsi="Arial" w:cs="Arial"/>
        </w:rPr>
      </w:pPr>
      <w:r w:rsidRPr="009E3C67">
        <w:rPr>
          <w:rFonts w:ascii="Arial" w:hAnsi="Arial" w:cs="Arial"/>
        </w:rPr>
        <w:t>Contribution of different types of emissions to total motor vehicle emissions.</w:t>
      </w:r>
    </w:p>
    <w:p w:rsidR="009E3C67" w:rsidRPr="009E3C67" w:rsidRDefault="009E3C67" w:rsidP="009E3C67">
      <w:pPr>
        <w:pStyle w:val="ListParagraph"/>
        <w:numPr>
          <w:ilvl w:val="0"/>
          <w:numId w:val="43"/>
        </w:numPr>
        <w:spacing w:after="0" w:line="360" w:lineRule="auto"/>
        <w:ind w:left="567" w:hanging="567"/>
        <w:jc w:val="both"/>
        <w:rPr>
          <w:rFonts w:ascii="Arial" w:hAnsi="Arial" w:cs="Arial"/>
        </w:rPr>
      </w:pPr>
      <w:r w:rsidRPr="009E3C67">
        <w:rPr>
          <w:rFonts w:ascii="Arial" w:hAnsi="Arial" w:cs="Arial"/>
        </w:rPr>
        <w:t>Contribution of different vehicle types to total motor vehicle emissions.</w:t>
      </w:r>
    </w:p>
    <w:p w:rsid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The results are graphically shown in pie charts and bar plots in Figure 11-14 on the following pages.</w:t>
      </w:r>
    </w:p>
    <w:p w:rsidR="009E3C67" w:rsidRPr="009E3C67" w:rsidRDefault="009E3C67" w:rsidP="009E3C67">
      <w:pPr>
        <w:jc w:val="both"/>
        <w:rPr>
          <w:rFonts w:ascii="Arial" w:hAnsi="Arial" w:cs="Arial"/>
          <w:sz w:val="22"/>
          <w:szCs w:val="22"/>
          <w:lang w:val="en-US"/>
        </w:rPr>
      </w:pPr>
      <w:r w:rsidRPr="009E3C67">
        <w:rPr>
          <w:rFonts w:ascii="Arial" w:hAnsi="Arial" w:cs="Arial"/>
          <w:b/>
          <w:noProof/>
          <w:sz w:val="22"/>
          <w:szCs w:val="22"/>
          <w:lang w:eastAsia="en-AU"/>
        </w:rPr>
        <w:drawing>
          <wp:inline distT="0" distB="0" distL="0" distR="0">
            <wp:extent cx="5688106" cy="5688106"/>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_MV-IND.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95925" cy="5695925"/>
                    </a:xfrm>
                    <a:prstGeom prst="rect">
                      <a:avLst/>
                    </a:prstGeom>
                  </pic:spPr>
                </pic:pic>
              </a:graphicData>
            </a:graphic>
          </wp:inline>
        </w:drawing>
      </w:r>
      <w:r w:rsidRPr="009E3C67">
        <w:rPr>
          <w:rFonts w:ascii="Arial" w:hAnsi="Arial" w:cs="Arial"/>
          <w:b/>
          <w:sz w:val="22"/>
          <w:szCs w:val="22"/>
          <w:lang w:val="en-US"/>
        </w:rPr>
        <w:t xml:space="preserve">Figure 11 </w:t>
      </w:r>
      <w:r w:rsidRPr="009E3C67">
        <w:rPr>
          <w:rFonts w:ascii="Arial" w:hAnsi="Arial" w:cs="Arial"/>
          <w:sz w:val="22"/>
          <w:szCs w:val="22"/>
        </w:rPr>
        <w:t>Contribution of motor vehicle (MV) and industry (IND) emissions to their combined total emissions</w:t>
      </w:r>
    </w:p>
    <w:p w:rsidR="0026648F" w:rsidRDefault="0026648F">
      <w:pPr>
        <w:rPr>
          <w:rFonts w:ascii="Arial" w:hAnsi="Arial" w:cs="Arial"/>
          <w:sz w:val="22"/>
          <w:szCs w:val="22"/>
        </w:rPr>
      </w:pPr>
      <w:r>
        <w:rPr>
          <w:rFonts w:ascii="Arial" w:hAnsi="Arial" w:cs="Arial"/>
          <w:sz w:val="22"/>
          <w:szCs w:val="22"/>
        </w:rPr>
        <w:br w:type="page"/>
      </w: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Figure 11 shows the contribution of industry and motor vehicles to their combined total emission levels for the 16 selected pollutants. The emissions data are also presented in Table 9, which was discussed before. The relative contributions of industry and motor vehicles are highly variable and the relevance of motor vehicle emissions depends on the pollutant that is considered. This is important data for the NPI as it puts total industry emissions in perspective of another significant source of air pollution.</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lang w:val="en-US"/>
        </w:rPr>
      </w:pPr>
      <w:r w:rsidRPr="009E3C67">
        <w:rPr>
          <w:rFonts w:ascii="Arial" w:hAnsi="Arial" w:cs="Arial"/>
          <w:b/>
          <w:noProof/>
          <w:sz w:val="22"/>
          <w:szCs w:val="22"/>
          <w:lang w:eastAsia="en-AU"/>
        </w:rPr>
        <w:drawing>
          <wp:inline distT="0" distB="0" distL="0" distR="0">
            <wp:extent cx="5731510" cy="57315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_states.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5731510"/>
                    </a:xfrm>
                    <a:prstGeom prst="rect">
                      <a:avLst/>
                    </a:prstGeom>
                  </pic:spPr>
                </pic:pic>
              </a:graphicData>
            </a:graphic>
          </wp:inline>
        </w:drawing>
      </w:r>
      <w:r w:rsidRPr="009E3C67">
        <w:rPr>
          <w:rFonts w:ascii="Arial" w:hAnsi="Arial" w:cs="Arial"/>
          <w:b/>
          <w:sz w:val="22"/>
          <w:szCs w:val="22"/>
          <w:lang w:val="en-US"/>
        </w:rPr>
        <w:t xml:space="preserve">Figure 12 </w:t>
      </w:r>
      <w:r w:rsidRPr="009E3C67">
        <w:rPr>
          <w:rFonts w:ascii="Arial" w:hAnsi="Arial" w:cs="Arial"/>
          <w:sz w:val="22"/>
          <w:szCs w:val="22"/>
        </w:rPr>
        <w:t xml:space="preserve">Contribution of </w:t>
      </w:r>
      <w:r w:rsidR="00D3232A">
        <w:rPr>
          <w:rFonts w:ascii="Arial" w:hAnsi="Arial" w:cs="Arial"/>
          <w:sz w:val="22"/>
          <w:szCs w:val="22"/>
        </w:rPr>
        <w:t>s</w:t>
      </w:r>
      <w:r w:rsidRPr="009E3C67">
        <w:rPr>
          <w:rFonts w:ascii="Arial" w:hAnsi="Arial" w:cs="Arial"/>
          <w:sz w:val="22"/>
          <w:szCs w:val="22"/>
        </w:rPr>
        <w:t>tates/</w:t>
      </w:r>
      <w:r w:rsidR="00D3232A">
        <w:rPr>
          <w:rFonts w:ascii="Arial" w:hAnsi="Arial" w:cs="Arial"/>
          <w:sz w:val="22"/>
          <w:szCs w:val="22"/>
        </w:rPr>
        <w:t>t</w:t>
      </w:r>
      <w:r w:rsidRPr="009E3C67">
        <w:rPr>
          <w:rFonts w:ascii="Arial" w:hAnsi="Arial" w:cs="Arial"/>
          <w:sz w:val="22"/>
          <w:szCs w:val="22"/>
        </w:rPr>
        <w:t>erritories to total motor vehicle emissions</w:t>
      </w:r>
    </w:p>
    <w:p w:rsid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Figure 12 shows the contribution of the different jurisdictions to total Australian motor vehicle emissions. NSW and Victoria make the largest contributions to total emissions, and combined together emit 50-60% of total national motor vehicle emissions. Queensland contributes about 20%, and WA and </w:t>
      </w:r>
      <w:r w:rsidR="00D3232A">
        <w:rPr>
          <w:rFonts w:ascii="Arial" w:hAnsi="Arial" w:cs="Arial"/>
          <w:sz w:val="22"/>
          <w:szCs w:val="22"/>
        </w:rPr>
        <w:t>SA</w:t>
      </w:r>
      <w:r w:rsidRPr="009E3C67">
        <w:rPr>
          <w:rFonts w:ascii="Arial" w:hAnsi="Arial" w:cs="Arial"/>
          <w:sz w:val="22"/>
          <w:szCs w:val="22"/>
        </w:rPr>
        <w:t xml:space="preserve"> contribute about 10% each. Tasmania, ACT and the NT combined</w:t>
      </w:r>
      <w:r w:rsidR="00D3232A">
        <w:rPr>
          <w:rFonts w:ascii="Arial" w:hAnsi="Arial" w:cs="Arial"/>
          <w:sz w:val="22"/>
          <w:szCs w:val="22"/>
        </w:rPr>
        <w:t>,</w:t>
      </w:r>
      <w:r w:rsidRPr="009E3C67">
        <w:rPr>
          <w:rFonts w:ascii="Arial" w:hAnsi="Arial" w:cs="Arial"/>
          <w:sz w:val="22"/>
          <w:szCs w:val="22"/>
        </w:rPr>
        <w:t xml:space="preserve"> make up about 5% of national motor vehicle emissions. These contributions are roughly in line </w:t>
      </w:r>
      <w:r w:rsidRPr="009E3C67">
        <w:rPr>
          <w:rFonts w:ascii="Arial" w:hAnsi="Arial" w:cs="Arial"/>
          <w:sz w:val="22"/>
          <w:szCs w:val="22"/>
        </w:rPr>
        <w:lastRenderedPageBreak/>
        <w:t>with the total vehicle population and VKT in each jurisdiction. Variations are caused by differences in fleet composition (fuel types, vehicle age, etc.), climate and fuel parameters.</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noProof/>
          <w:sz w:val="22"/>
          <w:szCs w:val="22"/>
          <w:lang w:eastAsia="en-AU"/>
        </w:rPr>
        <w:drawing>
          <wp:inline distT="0" distB="0" distL="0" distR="0">
            <wp:extent cx="5731510" cy="57315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_emission_type.pn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5731510"/>
                    </a:xfrm>
                    <a:prstGeom prst="rect">
                      <a:avLst/>
                    </a:prstGeom>
                  </pic:spPr>
                </pic:pic>
              </a:graphicData>
            </a:graphic>
          </wp:inline>
        </w:drawing>
      </w:r>
    </w:p>
    <w:p w:rsidR="009E3C67" w:rsidRDefault="009E3C67" w:rsidP="009E3C67">
      <w:pPr>
        <w:spacing w:line="360" w:lineRule="auto"/>
        <w:jc w:val="both"/>
        <w:rPr>
          <w:rFonts w:ascii="Arial" w:hAnsi="Arial" w:cs="Arial"/>
          <w:sz w:val="22"/>
          <w:szCs w:val="22"/>
        </w:rPr>
      </w:pPr>
      <w:r w:rsidRPr="009E3C67">
        <w:rPr>
          <w:rFonts w:ascii="Arial" w:hAnsi="Arial" w:cs="Arial"/>
          <w:b/>
          <w:sz w:val="22"/>
          <w:szCs w:val="22"/>
          <w:lang w:val="en-US"/>
        </w:rPr>
        <w:t xml:space="preserve">Figure 13 </w:t>
      </w:r>
      <w:r w:rsidRPr="009E3C67">
        <w:rPr>
          <w:rFonts w:ascii="Arial" w:hAnsi="Arial" w:cs="Arial"/>
          <w:sz w:val="22"/>
          <w:szCs w:val="22"/>
        </w:rPr>
        <w:t>Contribution of emission types to total motor vehicle emissions</w:t>
      </w:r>
    </w:p>
    <w:p w:rsidR="009E3C67" w:rsidRPr="009E3C67" w:rsidRDefault="009E3C67" w:rsidP="009E3C67">
      <w:pPr>
        <w:jc w:val="both"/>
        <w:rPr>
          <w:rFonts w:ascii="Arial" w:hAnsi="Arial" w:cs="Arial"/>
          <w:b/>
          <w:i/>
          <w:sz w:val="22"/>
          <w:szCs w:val="22"/>
          <w:lang w:val="en-US"/>
        </w:rPr>
      </w:pPr>
      <w:r w:rsidRPr="009E3C67">
        <w:rPr>
          <w:rFonts w:ascii="Arial" w:hAnsi="Arial" w:cs="Arial"/>
          <w:i/>
          <w:sz w:val="22"/>
          <w:szCs w:val="22"/>
        </w:rPr>
        <w:t>(“Hot” = hot running emissions, “Cold” = cold start emissions, “</w:t>
      </w:r>
      <w:proofErr w:type="spellStart"/>
      <w:r w:rsidRPr="009E3C67">
        <w:rPr>
          <w:rFonts w:ascii="Arial" w:hAnsi="Arial" w:cs="Arial"/>
          <w:i/>
          <w:sz w:val="22"/>
          <w:szCs w:val="22"/>
        </w:rPr>
        <w:t>Evap</w:t>
      </w:r>
      <w:proofErr w:type="spellEnd"/>
      <w:r w:rsidRPr="009E3C67">
        <w:rPr>
          <w:rFonts w:ascii="Arial" w:hAnsi="Arial" w:cs="Arial"/>
          <w:i/>
          <w:sz w:val="22"/>
          <w:szCs w:val="22"/>
        </w:rPr>
        <w:t>” = evaporative (VOC) emissions, “Non-</w:t>
      </w:r>
      <w:proofErr w:type="spellStart"/>
      <w:r w:rsidRPr="009E3C67">
        <w:rPr>
          <w:rFonts w:ascii="Arial" w:hAnsi="Arial" w:cs="Arial"/>
          <w:i/>
          <w:sz w:val="22"/>
          <w:szCs w:val="22"/>
        </w:rPr>
        <w:t>Exh</w:t>
      </w:r>
      <w:proofErr w:type="spellEnd"/>
      <w:r w:rsidRPr="009E3C67">
        <w:rPr>
          <w:rFonts w:ascii="Arial" w:hAnsi="Arial" w:cs="Arial"/>
          <w:i/>
          <w:sz w:val="22"/>
          <w:szCs w:val="22"/>
        </w:rPr>
        <w:t>” = non-exhaust (PM) emissions, “AC” = air-conditioning related emissions)</w:t>
      </w:r>
    </w:p>
    <w:p w:rsid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Figure 13 shows the contributions of the different types of emissions to total motor vehicle emissions in Australia. Note that the breakdown by emission type is not provided for all pollutants by COPERT Australia as standard output. Analysis of the breakdown of total emissions by ‘type of emission’ (hot, cold, evaporative, air-conditioning and non-exhaust) is important as type of emission has a strong spatial and temporal component, and therefore has implications for population exposure to air pollutants. </w:t>
      </w: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 xml:space="preserve">Hot running (exhaust) emissions occur when vehicles are moving and the engine and the emission control system (e.g. catalytic converter) have reached their typical operating temperatures. Cold start (exhaust) emissions also occur when vehicles are moving, </w:t>
      </w:r>
      <w:r w:rsidR="00D3232A">
        <w:rPr>
          <w:rFonts w:ascii="Arial" w:hAnsi="Arial" w:cs="Arial"/>
          <w:sz w:val="22"/>
          <w:szCs w:val="22"/>
        </w:rPr>
        <w:t>and</w:t>
      </w:r>
      <w:r w:rsidRPr="009E3C67">
        <w:rPr>
          <w:rFonts w:ascii="Arial" w:hAnsi="Arial" w:cs="Arial"/>
          <w:sz w:val="22"/>
          <w:szCs w:val="22"/>
        </w:rPr>
        <w:t xml:space="preserve"> when engines and catalysts are not (fully) warmed up and operate in a non-optimal manner. </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These additional emissions typically occur within the first few minutes of driving (Smit and </w:t>
      </w:r>
      <w:proofErr w:type="spellStart"/>
      <w:r w:rsidRPr="009E3C67">
        <w:rPr>
          <w:rFonts w:ascii="Arial" w:hAnsi="Arial" w:cs="Arial"/>
          <w:sz w:val="22"/>
          <w:szCs w:val="22"/>
        </w:rPr>
        <w:t>Ntziachristos</w:t>
      </w:r>
      <w:proofErr w:type="spellEnd"/>
      <w:r w:rsidRPr="009E3C67">
        <w:rPr>
          <w:rFonts w:ascii="Arial" w:hAnsi="Arial" w:cs="Arial"/>
          <w:sz w:val="22"/>
          <w:szCs w:val="22"/>
        </w:rPr>
        <w:t>, 2013b). Cold start emissions occur when vehicles are started such as in and around residential areas, parking lots and shopping centres. Evaporative emissions are non-exhaust hydrocarbon losses through the vehicle's fuel system, and occur mainly when vehicles are parked. Air-conditioning emissions are additional emissions due to operation of the air</w:t>
      </w:r>
      <w:r w:rsidR="0024102A">
        <w:rPr>
          <w:rFonts w:ascii="Arial" w:hAnsi="Arial" w:cs="Arial"/>
          <w:sz w:val="22"/>
          <w:szCs w:val="22"/>
        </w:rPr>
        <w:t>-</w:t>
      </w:r>
      <w:r w:rsidRPr="009E3C67">
        <w:rPr>
          <w:rFonts w:ascii="Arial" w:hAnsi="Arial" w:cs="Arial"/>
          <w:sz w:val="22"/>
          <w:szCs w:val="22"/>
        </w:rPr>
        <w:t>co</w:t>
      </w:r>
      <w:r w:rsidR="0024102A">
        <w:rPr>
          <w:rFonts w:ascii="Arial" w:hAnsi="Arial" w:cs="Arial"/>
          <w:sz w:val="22"/>
          <w:szCs w:val="22"/>
        </w:rPr>
        <w:t>n</w:t>
      </w:r>
      <w:r w:rsidRPr="009E3C67">
        <w:rPr>
          <w:rFonts w:ascii="Arial" w:hAnsi="Arial" w:cs="Arial"/>
          <w:sz w:val="22"/>
          <w:szCs w:val="22"/>
        </w:rPr>
        <w:t xml:space="preserve"> system. Non-exhaust (PM) emissions are emissions due to tyre, brake and road surface wear.</w:t>
      </w: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Figure 13 shows that:</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5"/>
        </w:numPr>
        <w:spacing w:after="0" w:line="360" w:lineRule="auto"/>
        <w:ind w:left="567" w:hanging="567"/>
        <w:jc w:val="both"/>
        <w:rPr>
          <w:rFonts w:ascii="Arial" w:hAnsi="Arial" w:cs="Arial"/>
        </w:rPr>
      </w:pPr>
      <w:r w:rsidRPr="009E3C67">
        <w:rPr>
          <w:rFonts w:ascii="Arial" w:hAnsi="Arial" w:cs="Arial"/>
        </w:rPr>
        <w:t>hot running emissions generally dominate total emissions</w:t>
      </w:r>
    </w:p>
    <w:p w:rsidR="009E3C67" w:rsidRPr="009E3C67" w:rsidRDefault="009E3C67" w:rsidP="009E3C67">
      <w:pPr>
        <w:pStyle w:val="ListParagraph"/>
        <w:numPr>
          <w:ilvl w:val="0"/>
          <w:numId w:val="45"/>
        </w:numPr>
        <w:spacing w:after="0" w:line="360" w:lineRule="auto"/>
        <w:ind w:left="567" w:hanging="567"/>
        <w:jc w:val="both"/>
        <w:rPr>
          <w:rFonts w:ascii="Arial" w:hAnsi="Arial" w:cs="Arial"/>
        </w:rPr>
      </w:pPr>
      <w:r w:rsidRPr="009E3C67">
        <w:rPr>
          <w:rFonts w:ascii="Arial" w:hAnsi="Arial" w:cs="Arial"/>
        </w:rPr>
        <w:t>cold start emissions are substantial for a number of pollutants (CO, VOCs)</w:t>
      </w:r>
    </w:p>
    <w:p w:rsidR="009E3C67" w:rsidRPr="009E3C67" w:rsidRDefault="009E3C67" w:rsidP="009E3C67">
      <w:pPr>
        <w:pStyle w:val="ListParagraph"/>
        <w:numPr>
          <w:ilvl w:val="0"/>
          <w:numId w:val="45"/>
        </w:numPr>
        <w:spacing w:after="0" w:line="360" w:lineRule="auto"/>
        <w:ind w:left="567" w:hanging="567"/>
        <w:jc w:val="both"/>
        <w:rPr>
          <w:rFonts w:ascii="Arial" w:hAnsi="Arial" w:cs="Arial"/>
        </w:rPr>
      </w:pPr>
      <w:r w:rsidRPr="009E3C67">
        <w:rPr>
          <w:rFonts w:ascii="Arial" w:hAnsi="Arial" w:cs="Arial"/>
        </w:rPr>
        <w:t>additional emissions due to air conditioning make only a small contribution to total emission levels</w:t>
      </w:r>
    </w:p>
    <w:p w:rsidR="009E3C67" w:rsidRPr="009E3C67" w:rsidRDefault="009E3C67" w:rsidP="009E3C67">
      <w:pPr>
        <w:pStyle w:val="ListParagraph"/>
        <w:numPr>
          <w:ilvl w:val="0"/>
          <w:numId w:val="45"/>
        </w:numPr>
        <w:spacing w:after="0" w:line="360" w:lineRule="auto"/>
        <w:ind w:left="567" w:hanging="567"/>
        <w:jc w:val="both"/>
        <w:rPr>
          <w:rFonts w:ascii="Arial" w:hAnsi="Arial" w:cs="Arial"/>
        </w:rPr>
      </w:pPr>
      <w:r w:rsidRPr="009E3C67">
        <w:rPr>
          <w:rFonts w:ascii="Arial" w:hAnsi="Arial" w:cs="Arial"/>
        </w:rPr>
        <w:t>evaporative VOC emissions are substantial (23%)</w:t>
      </w:r>
      <w:r w:rsidR="00D3232A">
        <w:rPr>
          <w:rFonts w:ascii="Arial" w:hAnsi="Arial" w:cs="Arial"/>
        </w:rPr>
        <w:t>, and</w:t>
      </w:r>
    </w:p>
    <w:p w:rsidR="009E3C67" w:rsidRPr="009E3C67" w:rsidRDefault="009E3C67" w:rsidP="009E3C67">
      <w:pPr>
        <w:pStyle w:val="ListParagraph"/>
        <w:numPr>
          <w:ilvl w:val="0"/>
          <w:numId w:val="45"/>
        </w:numPr>
        <w:spacing w:after="0" w:line="360" w:lineRule="auto"/>
        <w:ind w:left="567" w:hanging="567"/>
        <w:jc w:val="both"/>
        <w:rPr>
          <w:rFonts w:ascii="Arial" w:hAnsi="Arial" w:cs="Arial"/>
        </w:rPr>
      </w:pPr>
      <w:proofErr w:type="gramStart"/>
      <w:r w:rsidRPr="009E3C67">
        <w:rPr>
          <w:rFonts w:ascii="Arial" w:hAnsi="Arial" w:cs="Arial"/>
        </w:rPr>
        <w:t>non-exhaust</w:t>
      </w:r>
      <w:proofErr w:type="gramEnd"/>
      <w:r w:rsidRPr="009E3C67">
        <w:rPr>
          <w:rFonts w:ascii="Arial" w:hAnsi="Arial" w:cs="Arial"/>
        </w:rPr>
        <w:t xml:space="preserve"> PM emissions are substantial (26%)</w:t>
      </w:r>
      <w:r w:rsidR="00D3232A">
        <w:rPr>
          <w:rFonts w:ascii="Arial" w:hAnsi="Arial" w:cs="Arial"/>
        </w:rPr>
        <w:t>.</w:t>
      </w:r>
    </w:p>
    <w:p w:rsid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An analysis of the magnitude of different types of emissions can provide input and direction to policy development. For example </w:t>
      </w:r>
      <w:r w:rsidR="0024102A" w:rsidRPr="009E3C67">
        <w:rPr>
          <w:rFonts w:ascii="Arial" w:hAnsi="Arial" w:cs="Arial"/>
          <w:sz w:val="22"/>
          <w:szCs w:val="22"/>
        </w:rPr>
        <w:t>the</w:t>
      </w:r>
      <w:r w:rsidRPr="009E3C67">
        <w:rPr>
          <w:rFonts w:ascii="Arial" w:hAnsi="Arial" w:cs="Arial"/>
          <w:sz w:val="22"/>
          <w:szCs w:val="22"/>
        </w:rPr>
        <w:t xml:space="preserve"> results show that ‘residential/parking’ emissions are particularly important for CO and VOCs. This implies that policy measures that aim to reduce the number of trips (vehicle starts) will particularly affect emissions of these pollutants. In contrast, cold start emissions for </w:t>
      </w:r>
      <w:proofErr w:type="spellStart"/>
      <w:r w:rsidRPr="009E3C67">
        <w:rPr>
          <w:rFonts w:ascii="Arial" w:hAnsi="Arial" w:cs="Arial"/>
          <w:sz w:val="22"/>
          <w:szCs w:val="22"/>
        </w:rPr>
        <w:t>NO</w:t>
      </w:r>
      <w:r w:rsidRPr="009E3C67">
        <w:rPr>
          <w:rFonts w:ascii="Arial" w:hAnsi="Arial" w:cs="Arial"/>
          <w:sz w:val="22"/>
          <w:szCs w:val="22"/>
          <w:vertAlign w:val="subscript"/>
        </w:rPr>
        <w:t>x</w:t>
      </w:r>
      <w:proofErr w:type="spellEnd"/>
      <w:r w:rsidRPr="009E3C67">
        <w:rPr>
          <w:rFonts w:ascii="Arial" w:hAnsi="Arial" w:cs="Arial"/>
          <w:sz w:val="22"/>
          <w:szCs w:val="22"/>
        </w:rPr>
        <w:t xml:space="preserve"> and PM</w:t>
      </w:r>
      <w:r w:rsidRPr="009E3C67">
        <w:rPr>
          <w:rFonts w:ascii="Arial" w:hAnsi="Arial" w:cs="Arial"/>
          <w:sz w:val="22"/>
          <w:szCs w:val="22"/>
          <w:vertAlign w:val="subscript"/>
        </w:rPr>
        <w:t>2.5</w:t>
      </w:r>
      <w:r w:rsidRPr="009E3C67">
        <w:rPr>
          <w:rFonts w:ascii="Arial" w:hAnsi="Arial" w:cs="Arial"/>
          <w:sz w:val="22"/>
          <w:szCs w:val="22"/>
        </w:rPr>
        <w:t xml:space="preserve"> are significantly less important with a proportion of about 5% of total motor vehicle emissions. Reduction of VKT will have the largest effect on total emissions for all pollutants.</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Figure 14 shows the contribution of a few aggregated vehicle classes to total emission levels. Note that the breakdown by vehicle type is not provided for all pollutants by COPERT Australia as standard output. The vehicle classes are:</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6"/>
        </w:numPr>
        <w:spacing w:after="0" w:line="360" w:lineRule="auto"/>
        <w:ind w:left="567" w:hanging="567"/>
        <w:jc w:val="both"/>
        <w:rPr>
          <w:rFonts w:ascii="Arial" w:hAnsi="Arial" w:cs="Arial"/>
        </w:rPr>
      </w:pPr>
      <w:r w:rsidRPr="009E3C67">
        <w:rPr>
          <w:rFonts w:ascii="Arial" w:hAnsi="Arial" w:cs="Arial"/>
        </w:rPr>
        <w:t>petrol vehicles including petrol trucks and motor cycles</w:t>
      </w:r>
    </w:p>
    <w:p w:rsidR="009E3C67" w:rsidRPr="009E3C67" w:rsidRDefault="009E3C67" w:rsidP="009E3C67">
      <w:pPr>
        <w:pStyle w:val="ListParagraph"/>
        <w:numPr>
          <w:ilvl w:val="0"/>
          <w:numId w:val="46"/>
        </w:numPr>
        <w:spacing w:after="0" w:line="360" w:lineRule="auto"/>
        <w:ind w:left="567" w:hanging="567"/>
        <w:jc w:val="both"/>
        <w:rPr>
          <w:rFonts w:ascii="Arial" w:hAnsi="Arial" w:cs="Arial"/>
        </w:rPr>
      </w:pPr>
      <w:r w:rsidRPr="009E3C67">
        <w:rPr>
          <w:rFonts w:ascii="Arial" w:hAnsi="Arial" w:cs="Arial"/>
        </w:rPr>
        <w:t>E10 passenger vehicles</w:t>
      </w:r>
    </w:p>
    <w:p w:rsidR="009E3C67" w:rsidRPr="009E3C67" w:rsidRDefault="009E3C67" w:rsidP="009E3C67">
      <w:pPr>
        <w:pStyle w:val="ListParagraph"/>
        <w:numPr>
          <w:ilvl w:val="0"/>
          <w:numId w:val="46"/>
        </w:numPr>
        <w:spacing w:after="0" w:line="360" w:lineRule="auto"/>
        <w:ind w:left="567" w:hanging="567"/>
        <w:jc w:val="both"/>
        <w:rPr>
          <w:rFonts w:ascii="Arial" w:hAnsi="Arial" w:cs="Arial"/>
        </w:rPr>
      </w:pPr>
      <w:r w:rsidRPr="009E3C67">
        <w:rPr>
          <w:rFonts w:ascii="Arial" w:hAnsi="Arial" w:cs="Arial"/>
        </w:rPr>
        <w:t>LPG vehicles including cars and trucks</w:t>
      </w:r>
    </w:p>
    <w:p w:rsidR="009E3C67" w:rsidRPr="009E3C67" w:rsidRDefault="009E3C67" w:rsidP="009E3C67">
      <w:pPr>
        <w:pStyle w:val="ListParagraph"/>
        <w:numPr>
          <w:ilvl w:val="0"/>
          <w:numId w:val="46"/>
        </w:numPr>
        <w:spacing w:after="0" w:line="360" w:lineRule="auto"/>
        <w:ind w:left="567" w:hanging="567"/>
        <w:jc w:val="both"/>
        <w:rPr>
          <w:rFonts w:ascii="Arial" w:hAnsi="Arial" w:cs="Arial"/>
        </w:rPr>
      </w:pPr>
      <w:r w:rsidRPr="009E3C67">
        <w:rPr>
          <w:rFonts w:ascii="Arial" w:hAnsi="Arial" w:cs="Arial"/>
        </w:rPr>
        <w:t>light-duty diesel vehicles (LDDV)</w:t>
      </w:r>
      <w:r w:rsidR="00D3232A">
        <w:rPr>
          <w:rFonts w:ascii="Arial" w:hAnsi="Arial" w:cs="Arial"/>
        </w:rPr>
        <w:t>, and</w:t>
      </w:r>
    </w:p>
    <w:p w:rsidR="009E3C67" w:rsidRPr="009E3C67" w:rsidRDefault="009E3C67" w:rsidP="009E3C67">
      <w:pPr>
        <w:pStyle w:val="ListParagraph"/>
        <w:numPr>
          <w:ilvl w:val="0"/>
          <w:numId w:val="46"/>
        </w:numPr>
        <w:spacing w:after="0" w:line="360" w:lineRule="auto"/>
        <w:ind w:left="567" w:hanging="567"/>
        <w:jc w:val="both"/>
        <w:rPr>
          <w:rFonts w:ascii="Arial" w:hAnsi="Arial" w:cs="Arial"/>
        </w:rPr>
      </w:pPr>
      <w:proofErr w:type="gramStart"/>
      <w:r w:rsidRPr="009E3C67">
        <w:rPr>
          <w:rFonts w:ascii="Arial" w:hAnsi="Arial" w:cs="Arial"/>
        </w:rPr>
        <w:t>heavy-duty</w:t>
      </w:r>
      <w:proofErr w:type="gramEnd"/>
      <w:r w:rsidRPr="009E3C67">
        <w:rPr>
          <w:rFonts w:ascii="Arial" w:hAnsi="Arial" w:cs="Arial"/>
        </w:rPr>
        <w:t xml:space="preserve"> diesel vehicles (HDDV)</w:t>
      </w:r>
      <w:r w:rsidR="00D3232A">
        <w:rPr>
          <w:rFonts w:ascii="Arial" w:hAnsi="Arial" w:cs="Arial"/>
        </w:rPr>
        <w:t>.</w:t>
      </w: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 xml:space="preserve">Figure 14 shows that the importance of those vehicle classes varies substantially, depending on the air pollutant that is considered: </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7"/>
        </w:numPr>
        <w:spacing w:after="0" w:line="360" w:lineRule="auto"/>
        <w:ind w:left="567" w:hanging="567"/>
        <w:jc w:val="both"/>
        <w:rPr>
          <w:rFonts w:ascii="Arial" w:hAnsi="Arial" w:cs="Arial"/>
        </w:rPr>
      </w:pPr>
      <w:r w:rsidRPr="009E3C67">
        <w:rPr>
          <w:rFonts w:ascii="Arial" w:hAnsi="Arial" w:cs="Arial"/>
        </w:rPr>
        <w:t>petrol vehicles dominate emissions of CO, VOCs, NH</w:t>
      </w:r>
      <w:r w:rsidRPr="009E3C67">
        <w:rPr>
          <w:rFonts w:ascii="Arial" w:hAnsi="Arial" w:cs="Arial"/>
          <w:vertAlign w:val="subscript"/>
        </w:rPr>
        <w:t>3</w:t>
      </w:r>
      <w:r w:rsidRPr="009E3C67">
        <w:rPr>
          <w:rFonts w:ascii="Arial" w:hAnsi="Arial" w:cs="Arial"/>
        </w:rPr>
        <w:t xml:space="preserve"> and heavy metals </w:t>
      </w:r>
    </w:p>
    <w:p w:rsidR="009E3C67" w:rsidRPr="009E3C67" w:rsidRDefault="009E3C67" w:rsidP="009E3C67">
      <w:pPr>
        <w:pStyle w:val="ListParagraph"/>
        <w:numPr>
          <w:ilvl w:val="0"/>
          <w:numId w:val="47"/>
        </w:numPr>
        <w:spacing w:after="0" w:line="360" w:lineRule="auto"/>
        <w:ind w:left="567" w:hanging="567"/>
        <w:jc w:val="both"/>
        <w:rPr>
          <w:rFonts w:ascii="Arial" w:hAnsi="Arial" w:cs="Arial"/>
        </w:rPr>
      </w:pPr>
      <w:r w:rsidRPr="009E3C67">
        <w:rPr>
          <w:rFonts w:ascii="Arial" w:hAnsi="Arial" w:cs="Arial"/>
        </w:rPr>
        <w:t>E10 and LPG vehicles have roughly a similar emissions profile as petrol vehicles</w:t>
      </w:r>
    </w:p>
    <w:p w:rsidR="009E3C67" w:rsidRPr="009E3C67" w:rsidRDefault="009E3C67" w:rsidP="009E3C67">
      <w:pPr>
        <w:pStyle w:val="ListParagraph"/>
        <w:numPr>
          <w:ilvl w:val="0"/>
          <w:numId w:val="47"/>
        </w:numPr>
        <w:spacing w:after="0" w:line="360" w:lineRule="auto"/>
        <w:ind w:left="567" w:hanging="567"/>
        <w:jc w:val="both"/>
        <w:rPr>
          <w:rFonts w:ascii="Arial" w:hAnsi="Arial" w:cs="Arial"/>
        </w:rPr>
      </w:pPr>
      <w:r w:rsidRPr="009E3C67">
        <w:rPr>
          <w:rFonts w:ascii="Arial" w:hAnsi="Arial" w:cs="Arial"/>
        </w:rPr>
        <w:t>LPG and E10 contributions align with their proportion of total travel</w:t>
      </w:r>
      <w:r w:rsidRPr="009E3C67">
        <w:rPr>
          <w:rStyle w:val="FootnoteReference"/>
          <w:rFonts w:ascii="Arial" w:hAnsi="Arial" w:cs="Arial"/>
        </w:rPr>
        <w:footnoteReference w:id="7"/>
      </w:r>
      <w:r w:rsidR="00FF36E1">
        <w:rPr>
          <w:rFonts w:ascii="Arial" w:hAnsi="Arial" w:cs="Arial"/>
        </w:rPr>
        <w:t>, and</w:t>
      </w:r>
    </w:p>
    <w:p w:rsidR="009E3C67" w:rsidRPr="009E3C67" w:rsidRDefault="009E3C67" w:rsidP="009E3C67">
      <w:pPr>
        <w:pStyle w:val="ListParagraph"/>
        <w:numPr>
          <w:ilvl w:val="0"/>
          <w:numId w:val="47"/>
        </w:numPr>
        <w:spacing w:after="0" w:line="360" w:lineRule="auto"/>
        <w:ind w:left="567" w:hanging="567"/>
        <w:jc w:val="both"/>
        <w:rPr>
          <w:rFonts w:ascii="Arial" w:hAnsi="Arial" w:cs="Arial"/>
        </w:rPr>
      </w:pPr>
      <w:proofErr w:type="gramStart"/>
      <w:r w:rsidRPr="009E3C67">
        <w:rPr>
          <w:rFonts w:ascii="Arial" w:hAnsi="Arial" w:cs="Arial"/>
        </w:rPr>
        <w:t>diesel</w:t>
      </w:r>
      <w:proofErr w:type="gramEnd"/>
      <w:r w:rsidRPr="009E3C67">
        <w:rPr>
          <w:rFonts w:ascii="Arial" w:hAnsi="Arial" w:cs="Arial"/>
        </w:rPr>
        <w:t xml:space="preserve"> vehicles (LDDV and HDDV) dominate </w:t>
      </w:r>
      <w:r w:rsidR="00FF36E1">
        <w:rPr>
          <w:rFonts w:ascii="Arial" w:hAnsi="Arial" w:cs="Arial"/>
        </w:rPr>
        <w:t>motor vehicle</w:t>
      </w:r>
      <w:r w:rsidR="00FF36E1" w:rsidRPr="009E3C67">
        <w:rPr>
          <w:rFonts w:ascii="Arial" w:hAnsi="Arial" w:cs="Arial"/>
        </w:rPr>
        <w:t xml:space="preserve"> </w:t>
      </w:r>
      <w:r w:rsidRPr="009E3C67">
        <w:rPr>
          <w:rFonts w:ascii="Arial" w:hAnsi="Arial" w:cs="Arial"/>
        </w:rPr>
        <w:t>emissions of PM</w:t>
      </w:r>
      <w:r w:rsidRPr="009E3C67">
        <w:rPr>
          <w:rFonts w:ascii="Arial" w:hAnsi="Arial" w:cs="Arial"/>
          <w:vertAlign w:val="subscript"/>
        </w:rPr>
        <w:t>2.5</w:t>
      </w:r>
      <w:r w:rsidRPr="009E3C67">
        <w:rPr>
          <w:rFonts w:ascii="Arial" w:hAnsi="Arial" w:cs="Arial"/>
        </w:rPr>
        <w:t xml:space="preserve"> and </w:t>
      </w:r>
      <w:proofErr w:type="spellStart"/>
      <w:r w:rsidRPr="009E3C67">
        <w:rPr>
          <w:rFonts w:ascii="Arial" w:hAnsi="Arial" w:cs="Arial"/>
        </w:rPr>
        <w:t>NO</w:t>
      </w:r>
      <w:r w:rsidRPr="009E3C67">
        <w:rPr>
          <w:rFonts w:ascii="Arial" w:hAnsi="Arial" w:cs="Arial"/>
          <w:vertAlign w:val="subscript"/>
        </w:rPr>
        <w:t>x</w:t>
      </w:r>
      <w:proofErr w:type="spellEnd"/>
      <w:r w:rsidRPr="009E3C67">
        <w:rPr>
          <w:rFonts w:ascii="Arial" w:hAnsi="Arial" w:cs="Arial"/>
        </w:rPr>
        <w:t xml:space="preserve">. </w:t>
      </w:r>
    </w:p>
    <w:p w:rsid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rPr>
        <w:t xml:space="preserve">A much more detailed analysis of vehicle class contributions can be conducted. For example, the impact of different technology levels or vehicle age classes on total emissions can be derived from the COPERT Australia output. This can aid with cost-effective policy development and assessment of vehicle emission improvement programs (e.g. inspection and maintenance programs, </w:t>
      </w:r>
      <w:proofErr w:type="spellStart"/>
      <w:r w:rsidRPr="009E3C67">
        <w:rPr>
          <w:rFonts w:ascii="Arial" w:hAnsi="Arial" w:cs="Arial"/>
          <w:sz w:val="22"/>
          <w:szCs w:val="22"/>
        </w:rPr>
        <w:t>scrappage</w:t>
      </w:r>
      <w:proofErr w:type="spellEnd"/>
      <w:r w:rsidRPr="009E3C67">
        <w:rPr>
          <w:rFonts w:ascii="Arial" w:hAnsi="Arial" w:cs="Arial"/>
          <w:sz w:val="22"/>
          <w:szCs w:val="22"/>
        </w:rPr>
        <w:t xml:space="preserve"> programs, retrofit programs). This is however outside the scope of this project. </w:t>
      </w:r>
      <w:r w:rsidRPr="009E3C67">
        <w:rPr>
          <w:rFonts w:ascii="Arial" w:hAnsi="Arial" w:cs="Arial"/>
          <w:noProof/>
          <w:sz w:val="22"/>
          <w:szCs w:val="22"/>
          <w:lang w:eastAsia="en-AU"/>
        </w:rPr>
        <w:lastRenderedPageBreak/>
        <w:drawing>
          <wp:inline distT="0" distB="0" distL="0" distR="0">
            <wp:extent cx="5593976" cy="5593976"/>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_vehicle_class.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3976" cy="5593976"/>
                    </a:xfrm>
                    <a:prstGeom prst="rect">
                      <a:avLst/>
                    </a:prstGeom>
                  </pic:spPr>
                </pic:pic>
              </a:graphicData>
            </a:graphic>
          </wp:inline>
        </w:drawing>
      </w:r>
      <w:r w:rsidRPr="009E3C67">
        <w:rPr>
          <w:rFonts w:ascii="Arial" w:hAnsi="Arial" w:cs="Arial"/>
          <w:b/>
          <w:sz w:val="22"/>
          <w:szCs w:val="22"/>
          <w:lang w:val="en-US"/>
        </w:rPr>
        <w:t xml:space="preserve">Figure 14 </w:t>
      </w:r>
      <w:r w:rsidRPr="009E3C67">
        <w:rPr>
          <w:rFonts w:ascii="Arial" w:hAnsi="Arial" w:cs="Arial"/>
          <w:sz w:val="22"/>
          <w:szCs w:val="22"/>
        </w:rPr>
        <w:t>Contribution of vehicle types to total motor vehicle emissions</w:t>
      </w:r>
    </w:p>
    <w:p w:rsidR="00442CB5" w:rsidRDefault="00442CB5">
      <w:pPr>
        <w:rPr>
          <w:rFonts w:ascii="Arial" w:hAnsi="Arial" w:cs="Arial"/>
          <w:b/>
          <w:kern w:val="28"/>
          <w:sz w:val="22"/>
          <w:szCs w:val="22"/>
          <w:lang w:eastAsia="en-AU"/>
        </w:rPr>
      </w:pPr>
      <w:bookmarkStart w:id="27" w:name="_Toc394993200"/>
      <w:r>
        <w:rPr>
          <w:rFonts w:ascii="Arial" w:hAnsi="Arial" w:cs="Arial"/>
          <w:sz w:val="22"/>
          <w:szCs w:val="22"/>
        </w:rPr>
        <w:br w:type="page"/>
      </w:r>
    </w:p>
    <w:p w:rsidR="009E3C67" w:rsidRPr="009E3C67" w:rsidRDefault="009E3C67" w:rsidP="009E3C67">
      <w:pPr>
        <w:pStyle w:val="Heading2"/>
        <w:tabs>
          <w:tab w:val="clear" w:pos="720"/>
        </w:tabs>
        <w:spacing w:line="360" w:lineRule="auto"/>
        <w:ind w:left="567" w:hanging="567"/>
        <w:rPr>
          <w:rFonts w:ascii="Arial" w:hAnsi="Arial" w:cs="Arial"/>
          <w:sz w:val="22"/>
          <w:szCs w:val="22"/>
        </w:rPr>
      </w:pPr>
      <w:r w:rsidRPr="009E3C67">
        <w:rPr>
          <w:rFonts w:ascii="Arial" w:hAnsi="Arial" w:cs="Arial"/>
          <w:sz w:val="22"/>
          <w:szCs w:val="22"/>
        </w:rPr>
        <w:lastRenderedPageBreak/>
        <w:t>Greenhouse gas emissions</w:t>
      </w:r>
      <w:bookmarkEnd w:id="27"/>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The NPI does not require emissions information regarding greenhouse gases. However, COPERT Australia provides emission predictions for greenhouse gases CO</w:t>
      </w:r>
      <w:r w:rsidRPr="009E3C67">
        <w:rPr>
          <w:rFonts w:ascii="Arial" w:hAnsi="Arial" w:cs="Arial"/>
          <w:sz w:val="22"/>
          <w:szCs w:val="22"/>
          <w:vertAlign w:val="subscript"/>
        </w:rPr>
        <w:t>2</w:t>
      </w:r>
      <w:r w:rsidRPr="009E3C67">
        <w:rPr>
          <w:rFonts w:ascii="Arial" w:hAnsi="Arial" w:cs="Arial"/>
          <w:sz w:val="22"/>
          <w:szCs w:val="22"/>
        </w:rPr>
        <w:t>, N</w:t>
      </w:r>
      <w:r w:rsidRPr="009E3C67">
        <w:rPr>
          <w:rFonts w:ascii="Arial" w:hAnsi="Arial" w:cs="Arial"/>
          <w:sz w:val="22"/>
          <w:szCs w:val="22"/>
          <w:vertAlign w:val="subscript"/>
        </w:rPr>
        <w:t>2</w:t>
      </w:r>
      <w:r w:rsidRPr="009E3C67">
        <w:rPr>
          <w:rFonts w:ascii="Arial" w:hAnsi="Arial" w:cs="Arial"/>
          <w:sz w:val="22"/>
          <w:szCs w:val="22"/>
        </w:rPr>
        <w:t>O and CH</w:t>
      </w:r>
      <w:r w:rsidRPr="009E3C67">
        <w:rPr>
          <w:rFonts w:ascii="Arial" w:hAnsi="Arial" w:cs="Arial"/>
          <w:sz w:val="22"/>
          <w:szCs w:val="22"/>
          <w:vertAlign w:val="subscript"/>
        </w:rPr>
        <w:t>4</w:t>
      </w:r>
      <w:r w:rsidRPr="009E3C67">
        <w:rPr>
          <w:rFonts w:ascii="Arial" w:hAnsi="Arial" w:cs="Arial"/>
          <w:sz w:val="22"/>
          <w:szCs w:val="22"/>
        </w:rPr>
        <w:t xml:space="preserve">. Given the importance of greenhouse gas emissions, these emissions are presented in </w:t>
      </w:r>
      <w:r w:rsidR="00FF36E1">
        <w:rPr>
          <w:rFonts w:ascii="Arial" w:hAnsi="Arial" w:cs="Arial"/>
          <w:sz w:val="22"/>
          <w:szCs w:val="22"/>
        </w:rPr>
        <w:br/>
      </w:r>
      <w:r w:rsidRPr="009E3C67">
        <w:rPr>
          <w:rFonts w:ascii="Arial" w:hAnsi="Arial" w:cs="Arial"/>
          <w:sz w:val="22"/>
          <w:szCs w:val="22"/>
        </w:rPr>
        <w:t xml:space="preserve">Table 10. </w:t>
      </w:r>
    </w:p>
    <w:p w:rsidR="009E3C67" w:rsidRDefault="009E3C67">
      <w:pPr>
        <w:rPr>
          <w:rFonts w:ascii="Arial" w:hAnsi="Arial" w:cs="Arial"/>
          <w:b/>
          <w:sz w:val="22"/>
          <w:szCs w:val="22"/>
          <w:lang w:val="en-US"/>
        </w:rPr>
      </w:pPr>
    </w:p>
    <w:p w:rsidR="009E3C67" w:rsidRPr="009E3C67" w:rsidRDefault="009E3C67" w:rsidP="009E3C67">
      <w:pPr>
        <w:pStyle w:val="FootnoteText"/>
        <w:spacing w:line="360" w:lineRule="auto"/>
        <w:jc w:val="both"/>
        <w:rPr>
          <w:rFonts w:ascii="Arial" w:hAnsi="Arial" w:cs="Arial"/>
          <w:sz w:val="22"/>
          <w:szCs w:val="22"/>
          <w:lang w:val="en-US"/>
        </w:rPr>
      </w:pPr>
      <w:r w:rsidRPr="009E3C67">
        <w:rPr>
          <w:rFonts w:ascii="Arial" w:hAnsi="Arial" w:cs="Arial"/>
          <w:b/>
          <w:sz w:val="22"/>
          <w:szCs w:val="22"/>
          <w:lang w:val="en-US"/>
        </w:rPr>
        <w:t xml:space="preserve">Table 10 </w:t>
      </w:r>
      <w:r w:rsidRPr="009E3C67">
        <w:rPr>
          <w:rFonts w:ascii="Arial" w:hAnsi="Arial" w:cs="Arial"/>
          <w:sz w:val="22"/>
          <w:szCs w:val="22"/>
          <w:lang w:val="en-US"/>
        </w:rPr>
        <w:t>Total greenhouse gas emissions from motor vehicles (2010)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1"/>
        <w:gridCol w:w="1515"/>
        <w:gridCol w:w="1515"/>
        <w:gridCol w:w="1515"/>
        <w:gridCol w:w="1871"/>
      </w:tblGrid>
      <w:tr w:rsidR="009E3C67" w:rsidRPr="009E3C67" w:rsidTr="009E3C67">
        <w:tc>
          <w:tcPr>
            <w:tcW w:w="1731" w:type="dxa"/>
            <w:shd w:val="solid" w:color="BFBFBF" w:themeColor="background1" w:themeShade="BF" w:fill="auto"/>
            <w:vAlign w:val="center"/>
          </w:tcPr>
          <w:p w:rsidR="009E3C67" w:rsidRPr="009E3C67" w:rsidRDefault="009E3C67" w:rsidP="009E3C67">
            <w:pPr>
              <w:autoSpaceDE w:val="0"/>
              <w:autoSpaceDN w:val="0"/>
              <w:adjustRightInd w:val="0"/>
              <w:spacing w:line="360" w:lineRule="auto"/>
              <w:jc w:val="both"/>
              <w:rPr>
                <w:rFonts w:ascii="Arial" w:hAnsi="Arial" w:cs="Arial"/>
                <w:b/>
                <w:color w:val="000000"/>
                <w:sz w:val="22"/>
                <w:szCs w:val="22"/>
              </w:rPr>
            </w:pPr>
            <w:r w:rsidRPr="009E3C67">
              <w:rPr>
                <w:rFonts w:ascii="Arial" w:hAnsi="Arial" w:cs="Arial"/>
                <w:b/>
                <w:color w:val="000000"/>
                <w:sz w:val="22"/>
                <w:szCs w:val="22"/>
              </w:rPr>
              <w:t>State/Territory</w:t>
            </w:r>
          </w:p>
        </w:tc>
        <w:tc>
          <w:tcPr>
            <w:tcW w:w="1515" w:type="dxa"/>
            <w:shd w:val="solid" w:color="BFBFBF" w:themeColor="background1" w:themeShade="BF" w:fill="auto"/>
            <w:vAlign w:val="center"/>
          </w:tcPr>
          <w:p w:rsidR="009E3C67" w:rsidRPr="009E3C67" w:rsidRDefault="009E3C67" w:rsidP="009E3C67">
            <w:pPr>
              <w:autoSpaceDE w:val="0"/>
              <w:autoSpaceDN w:val="0"/>
              <w:adjustRightInd w:val="0"/>
              <w:spacing w:line="360" w:lineRule="auto"/>
              <w:jc w:val="both"/>
              <w:rPr>
                <w:rFonts w:ascii="Arial" w:hAnsi="Arial" w:cs="Arial"/>
                <w:b/>
                <w:color w:val="000000"/>
                <w:sz w:val="22"/>
                <w:szCs w:val="22"/>
              </w:rPr>
            </w:pPr>
            <w:r w:rsidRPr="009E3C67">
              <w:rPr>
                <w:rFonts w:ascii="Arial" w:hAnsi="Arial" w:cs="Arial"/>
                <w:b/>
                <w:color w:val="000000"/>
                <w:sz w:val="22"/>
                <w:szCs w:val="22"/>
              </w:rPr>
              <w:t>CO</w:t>
            </w:r>
            <w:r w:rsidRPr="009E3C67">
              <w:rPr>
                <w:rFonts w:ascii="Arial" w:hAnsi="Arial" w:cs="Arial"/>
                <w:b/>
                <w:color w:val="000000"/>
                <w:sz w:val="22"/>
                <w:szCs w:val="22"/>
                <w:vertAlign w:val="subscript"/>
              </w:rPr>
              <w:t>2</w:t>
            </w:r>
            <w:r w:rsidRPr="009E3C67">
              <w:rPr>
                <w:rFonts w:ascii="Arial" w:hAnsi="Arial" w:cs="Arial"/>
                <w:b/>
                <w:color w:val="000000"/>
                <w:sz w:val="22"/>
                <w:szCs w:val="22"/>
              </w:rPr>
              <w:t xml:space="preserve"> (tonne)</w:t>
            </w:r>
          </w:p>
        </w:tc>
        <w:tc>
          <w:tcPr>
            <w:tcW w:w="1515" w:type="dxa"/>
            <w:shd w:val="solid" w:color="BFBFBF" w:themeColor="background1" w:themeShade="BF" w:fill="auto"/>
            <w:vAlign w:val="center"/>
          </w:tcPr>
          <w:p w:rsidR="009E3C67" w:rsidRPr="009E3C67" w:rsidRDefault="009E3C67" w:rsidP="009E3C67">
            <w:pPr>
              <w:autoSpaceDE w:val="0"/>
              <w:autoSpaceDN w:val="0"/>
              <w:adjustRightInd w:val="0"/>
              <w:spacing w:line="360" w:lineRule="auto"/>
              <w:jc w:val="both"/>
              <w:rPr>
                <w:rFonts w:ascii="Arial" w:hAnsi="Arial" w:cs="Arial"/>
                <w:b/>
                <w:color w:val="000000"/>
                <w:sz w:val="22"/>
                <w:szCs w:val="22"/>
              </w:rPr>
            </w:pPr>
            <w:r w:rsidRPr="009E3C67">
              <w:rPr>
                <w:rFonts w:ascii="Arial" w:hAnsi="Arial" w:cs="Arial"/>
                <w:b/>
                <w:color w:val="000000"/>
                <w:sz w:val="22"/>
                <w:szCs w:val="22"/>
              </w:rPr>
              <w:t>CH</w:t>
            </w:r>
            <w:r w:rsidRPr="009E3C67">
              <w:rPr>
                <w:rFonts w:ascii="Arial" w:hAnsi="Arial" w:cs="Arial"/>
                <w:b/>
                <w:color w:val="000000"/>
                <w:sz w:val="22"/>
                <w:szCs w:val="22"/>
                <w:vertAlign w:val="subscript"/>
              </w:rPr>
              <w:t>4</w:t>
            </w:r>
            <w:r w:rsidRPr="009E3C67">
              <w:rPr>
                <w:rFonts w:ascii="Arial" w:hAnsi="Arial" w:cs="Arial"/>
                <w:b/>
                <w:color w:val="000000"/>
                <w:sz w:val="22"/>
                <w:szCs w:val="22"/>
              </w:rPr>
              <w:t xml:space="preserve"> (tonne)</w:t>
            </w:r>
          </w:p>
        </w:tc>
        <w:tc>
          <w:tcPr>
            <w:tcW w:w="1515" w:type="dxa"/>
            <w:shd w:val="solid" w:color="BFBFBF" w:themeColor="background1" w:themeShade="BF" w:fill="auto"/>
            <w:vAlign w:val="center"/>
          </w:tcPr>
          <w:p w:rsidR="009E3C67" w:rsidRPr="009E3C67" w:rsidRDefault="009E3C67" w:rsidP="009E3C67">
            <w:pPr>
              <w:autoSpaceDE w:val="0"/>
              <w:autoSpaceDN w:val="0"/>
              <w:adjustRightInd w:val="0"/>
              <w:spacing w:line="360" w:lineRule="auto"/>
              <w:jc w:val="both"/>
              <w:rPr>
                <w:rFonts w:ascii="Arial" w:hAnsi="Arial" w:cs="Arial"/>
                <w:b/>
                <w:color w:val="000000"/>
                <w:sz w:val="22"/>
                <w:szCs w:val="22"/>
              </w:rPr>
            </w:pPr>
            <w:r w:rsidRPr="009E3C67">
              <w:rPr>
                <w:rFonts w:ascii="Arial" w:hAnsi="Arial" w:cs="Arial"/>
                <w:b/>
                <w:color w:val="000000"/>
                <w:sz w:val="22"/>
                <w:szCs w:val="22"/>
              </w:rPr>
              <w:t>N</w:t>
            </w:r>
            <w:r w:rsidRPr="009E3C67">
              <w:rPr>
                <w:rFonts w:ascii="Arial" w:hAnsi="Arial" w:cs="Arial"/>
                <w:b/>
                <w:color w:val="000000"/>
                <w:sz w:val="22"/>
                <w:szCs w:val="22"/>
                <w:vertAlign w:val="subscript"/>
              </w:rPr>
              <w:t>2</w:t>
            </w:r>
            <w:r w:rsidRPr="009E3C67">
              <w:rPr>
                <w:rFonts w:ascii="Arial" w:hAnsi="Arial" w:cs="Arial"/>
                <w:b/>
                <w:color w:val="000000"/>
                <w:sz w:val="22"/>
                <w:szCs w:val="22"/>
              </w:rPr>
              <w:t>O (tonne)</w:t>
            </w:r>
          </w:p>
        </w:tc>
        <w:tc>
          <w:tcPr>
            <w:tcW w:w="1871" w:type="dxa"/>
            <w:shd w:val="solid" w:color="BFBFBF" w:themeColor="background1" w:themeShade="BF" w:fill="auto"/>
            <w:vAlign w:val="center"/>
          </w:tcPr>
          <w:p w:rsidR="009E3C67" w:rsidRPr="009E3C67" w:rsidRDefault="009E3C67" w:rsidP="009E3C67">
            <w:pPr>
              <w:autoSpaceDE w:val="0"/>
              <w:autoSpaceDN w:val="0"/>
              <w:adjustRightInd w:val="0"/>
              <w:spacing w:line="360" w:lineRule="auto"/>
              <w:jc w:val="both"/>
              <w:rPr>
                <w:rFonts w:ascii="Arial" w:hAnsi="Arial" w:cs="Arial"/>
                <w:b/>
                <w:color w:val="000000"/>
                <w:sz w:val="22"/>
                <w:szCs w:val="22"/>
              </w:rPr>
            </w:pPr>
            <w:r w:rsidRPr="009E3C67">
              <w:rPr>
                <w:rFonts w:ascii="Arial" w:hAnsi="Arial" w:cs="Arial"/>
                <w:b/>
                <w:color w:val="000000"/>
                <w:sz w:val="22"/>
                <w:szCs w:val="22"/>
              </w:rPr>
              <w:t>CO</w:t>
            </w:r>
            <w:r w:rsidRPr="009E3C67">
              <w:rPr>
                <w:rFonts w:ascii="Arial" w:hAnsi="Arial" w:cs="Arial"/>
                <w:b/>
                <w:color w:val="000000"/>
                <w:sz w:val="22"/>
                <w:szCs w:val="22"/>
                <w:vertAlign w:val="subscript"/>
              </w:rPr>
              <w:t>2</w:t>
            </w:r>
            <w:r w:rsidRPr="009E3C67">
              <w:rPr>
                <w:rFonts w:ascii="Arial" w:hAnsi="Arial" w:cs="Arial"/>
                <w:b/>
                <w:color w:val="000000"/>
                <w:sz w:val="22"/>
                <w:szCs w:val="22"/>
              </w:rPr>
              <w:t>-eq (tonne)</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NSW</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21,075,435</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3,054</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657</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21,375,147</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VIC</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19,932,801</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3,258</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760</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20,270,131</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QLD</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15,434,763</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1,912</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425</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15,626,430</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WA</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8,851,421</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1,205</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292</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8,979,425</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SA</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5,124,622</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896</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199</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5,214,310</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TAS</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1,585,091</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269</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57</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1,611,364</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ACT</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953,129</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163</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35</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969,174</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NT</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748,983</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79</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20</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757,642</w:t>
            </w:r>
          </w:p>
        </w:tc>
      </w:tr>
      <w:tr w:rsidR="009E3C67" w:rsidRPr="009E3C67" w:rsidTr="009E3C67">
        <w:tc>
          <w:tcPr>
            <w:tcW w:w="173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Australia</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73,706,245</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10,836</w:t>
            </w:r>
          </w:p>
        </w:tc>
        <w:tc>
          <w:tcPr>
            <w:tcW w:w="1515"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2,446</w:t>
            </w:r>
          </w:p>
        </w:tc>
        <w:tc>
          <w:tcPr>
            <w:tcW w:w="1871" w:type="dxa"/>
            <w:vAlign w:val="center"/>
          </w:tcPr>
          <w:p w:rsidR="009E3C67" w:rsidRPr="009E3C67" w:rsidRDefault="009E3C67" w:rsidP="009E3C67">
            <w:pPr>
              <w:autoSpaceDE w:val="0"/>
              <w:autoSpaceDN w:val="0"/>
              <w:adjustRightInd w:val="0"/>
              <w:jc w:val="both"/>
              <w:rPr>
                <w:rFonts w:ascii="Arial" w:hAnsi="Arial" w:cs="Arial"/>
                <w:color w:val="000000"/>
                <w:sz w:val="22"/>
                <w:szCs w:val="22"/>
              </w:rPr>
            </w:pPr>
            <w:r w:rsidRPr="009E3C67">
              <w:rPr>
                <w:rFonts w:ascii="Arial" w:hAnsi="Arial" w:cs="Arial"/>
                <w:color w:val="000000"/>
                <w:sz w:val="22"/>
                <w:szCs w:val="22"/>
              </w:rPr>
              <w:t>74,803,623</w:t>
            </w:r>
          </w:p>
        </w:tc>
      </w:tr>
    </w:tbl>
    <w:p w:rsidR="009E3C67" w:rsidRDefault="009E3C67" w:rsidP="009E3C67">
      <w:pPr>
        <w:spacing w:line="360" w:lineRule="auto"/>
        <w:jc w:val="both"/>
        <w:rPr>
          <w:rFonts w:ascii="Arial" w:hAnsi="Arial" w:cs="Arial"/>
          <w:sz w:val="22"/>
          <w:szCs w:val="22"/>
        </w:rPr>
      </w:pPr>
    </w:p>
    <w:p w:rsidR="004C1E7C"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Total </w:t>
      </w:r>
      <w:r w:rsidR="00FF36E1">
        <w:rPr>
          <w:rFonts w:ascii="Arial" w:hAnsi="Arial" w:cs="Arial"/>
          <w:sz w:val="22"/>
          <w:szCs w:val="22"/>
        </w:rPr>
        <w:t>greenhouse gas</w:t>
      </w:r>
      <w:r w:rsidR="00FF36E1" w:rsidRPr="009E3C67">
        <w:rPr>
          <w:rFonts w:ascii="Arial" w:hAnsi="Arial" w:cs="Arial"/>
          <w:sz w:val="22"/>
          <w:szCs w:val="22"/>
        </w:rPr>
        <w:t xml:space="preserve"> </w:t>
      </w:r>
      <w:r w:rsidRPr="009E3C67">
        <w:rPr>
          <w:rFonts w:ascii="Arial" w:hAnsi="Arial" w:cs="Arial"/>
          <w:sz w:val="22"/>
          <w:szCs w:val="22"/>
        </w:rPr>
        <w:t xml:space="preserve">emissions are estimated to be 74,804 </w:t>
      </w:r>
      <w:proofErr w:type="spellStart"/>
      <w:r w:rsidRPr="009E3C67">
        <w:rPr>
          <w:rFonts w:ascii="Arial" w:hAnsi="Arial" w:cs="Arial"/>
          <w:sz w:val="22"/>
          <w:szCs w:val="22"/>
        </w:rPr>
        <w:t>Gg</w:t>
      </w:r>
      <w:proofErr w:type="spellEnd"/>
      <w:r w:rsidRPr="009E3C67">
        <w:rPr>
          <w:rFonts w:ascii="Arial" w:hAnsi="Arial" w:cs="Arial"/>
          <w:sz w:val="22"/>
          <w:szCs w:val="22"/>
        </w:rPr>
        <w:t xml:space="preserve"> CO</w:t>
      </w:r>
      <w:r w:rsidRPr="004C1E7C">
        <w:rPr>
          <w:rFonts w:ascii="Arial" w:hAnsi="Arial" w:cs="Arial"/>
          <w:sz w:val="22"/>
          <w:szCs w:val="22"/>
          <w:vertAlign w:val="subscript"/>
        </w:rPr>
        <w:t>2</w:t>
      </w:r>
      <w:r w:rsidRPr="009E3C67">
        <w:rPr>
          <w:rFonts w:ascii="Arial" w:hAnsi="Arial" w:cs="Arial"/>
          <w:sz w:val="22"/>
          <w:szCs w:val="22"/>
        </w:rPr>
        <w:t xml:space="preserve">-eq, which is 1.5% higher than the value of 73,724 </w:t>
      </w:r>
      <w:proofErr w:type="spellStart"/>
      <w:r w:rsidRPr="009E3C67">
        <w:rPr>
          <w:rFonts w:ascii="Arial" w:hAnsi="Arial" w:cs="Arial"/>
          <w:sz w:val="22"/>
          <w:szCs w:val="22"/>
        </w:rPr>
        <w:t>Gg</w:t>
      </w:r>
      <w:proofErr w:type="spellEnd"/>
      <w:r w:rsidRPr="009E3C67">
        <w:rPr>
          <w:rFonts w:ascii="Arial" w:hAnsi="Arial" w:cs="Arial"/>
          <w:sz w:val="22"/>
          <w:szCs w:val="22"/>
        </w:rPr>
        <w:t xml:space="preserve"> reported by BITRE (2010)</w:t>
      </w:r>
      <w:r w:rsidR="004C1E7C">
        <w:rPr>
          <w:rFonts w:ascii="Arial" w:hAnsi="Arial" w:cs="Arial"/>
          <w:sz w:val="22"/>
          <w:szCs w:val="22"/>
        </w:rPr>
        <w:t xml:space="preserve"> and 2.7</w:t>
      </w:r>
      <w:r w:rsidR="004C1E7C" w:rsidRPr="009E3C67">
        <w:rPr>
          <w:rFonts w:ascii="Arial" w:hAnsi="Arial" w:cs="Arial"/>
          <w:sz w:val="22"/>
          <w:szCs w:val="22"/>
        </w:rPr>
        <w:t xml:space="preserve">% higher than the value of </w:t>
      </w:r>
      <w:r w:rsidR="004C1E7C">
        <w:rPr>
          <w:rFonts w:ascii="Arial" w:hAnsi="Arial" w:cs="Arial"/>
          <w:sz w:val="22"/>
          <w:szCs w:val="22"/>
        </w:rPr>
        <w:t>72,872</w:t>
      </w:r>
      <w:r w:rsidR="004C1E7C" w:rsidRPr="009E3C67">
        <w:rPr>
          <w:rFonts w:ascii="Arial" w:hAnsi="Arial" w:cs="Arial"/>
          <w:sz w:val="22"/>
          <w:szCs w:val="22"/>
        </w:rPr>
        <w:t xml:space="preserve"> </w:t>
      </w:r>
      <w:proofErr w:type="spellStart"/>
      <w:r w:rsidR="004C1E7C" w:rsidRPr="009E3C67">
        <w:rPr>
          <w:rFonts w:ascii="Arial" w:hAnsi="Arial" w:cs="Arial"/>
          <w:sz w:val="22"/>
          <w:szCs w:val="22"/>
        </w:rPr>
        <w:t>Gg</w:t>
      </w:r>
      <w:proofErr w:type="spellEnd"/>
      <w:r w:rsidR="004C1E7C" w:rsidRPr="009E3C67">
        <w:rPr>
          <w:rFonts w:ascii="Arial" w:hAnsi="Arial" w:cs="Arial"/>
          <w:sz w:val="22"/>
          <w:szCs w:val="22"/>
        </w:rPr>
        <w:t xml:space="preserve"> reported by</w:t>
      </w:r>
      <w:r w:rsidR="004C1E7C">
        <w:rPr>
          <w:rFonts w:ascii="Arial" w:hAnsi="Arial" w:cs="Arial"/>
          <w:sz w:val="22"/>
          <w:szCs w:val="22"/>
        </w:rPr>
        <w:t xml:space="preserve"> the </w:t>
      </w:r>
      <w:r w:rsidR="004C1E7C" w:rsidRPr="004C1E7C">
        <w:rPr>
          <w:rFonts w:ascii="Arial" w:hAnsi="Arial" w:cs="Arial"/>
          <w:sz w:val="22"/>
          <w:szCs w:val="22"/>
        </w:rPr>
        <w:t>National Inventory Report</w:t>
      </w:r>
      <w:r w:rsidR="004C1E7C">
        <w:rPr>
          <w:rFonts w:ascii="Arial" w:hAnsi="Arial" w:cs="Arial"/>
          <w:sz w:val="22"/>
          <w:szCs w:val="22"/>
        </w:rPr>
        <w:t xml:space="preserve"> for base year 2010 (</w:t>
      </w:r>
      <w:proofErr w:type="spellStart"/>
      <w:r w:rsidR="004C1E7C">
        <w:rPr>
          <w:rFonts w:ascii="Arial" w:hAnsi="Arial" w:cs="Arial"/>
          <w:sz w:val="22"/>
          <w:szCs w:val="22"/>
        </w:rPr>
        <w:t>CoA</w:t>
      </w:r>
      <w:proofErr w:type="spellEnd"/>
      <w:r w:rsidR="004C1E7C">
        <w:rPr>
          <w:rFonts w:ascii="Arial" w:hAnsi="Arial" w:cs="Arial"/>
          <w:sz w:val="22"/>
          <w:szCs w:val="22"/>
        </w:rPr>
        <w:t xml:space="preserve">, </w:t>
      </w:r>
      <w:r w:rsidR="004C1E7C" w:rsidRPr="004C1E7C">
        <w:rPr>
          <w:rFonts w:ascii="Arial" w:hAnsi="Arial" w:cs="Arial"/>
          <w:sz w:val="22"/>
          <w:szCs w:val="22"/>
        </w:rPr>
        <w:t>2012</w:t>
      </w:r>
      <w:r w:rsidR="004C1E7C">
        <w:rPr>
          <w:rFonts w:ascii="Arial" w:hAnsi="Arial" w:cs="Arial"/>
          <w:sz w:val="22"/>
          <w:szCs w:val="22"/>
        </w:rPr>
        <w:t>)</w:t>
      </w:r>
      <w:r w:rsidRPr="009E3C67">
        <w:rPr>
          <w:rFonts w:ascii="Arial" w:hAnsi="Arial" w:cs="Arial"/>
          <w:sz w:val="22"/>
          <w:szCs w:val="22"/>
        </w:rPr>
        <w:t>.</w:t>
      </w:r>
      <w:r w:rsidR="004C1E7C">
        <w:rPr>
          <w:rFonts w:ascii="Arial" w:hAnsi="Arial" w:cs="Arial"/>
          <w:sz w:val="22"/>
          <w:szCs w:val="22"/>
        </w:rPr>
        <w:t xml:space="preserve"> </w:t>
      </w:r>
    </w:p>
    <w:p w:rsidR="004C1E7C" w:rsidRDefault="004C1E7C"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Note that emissions of CFC/HFCs are not estimated by COPERT Australia and have to be estimated separately. Those </w:t>
      </w:r>
      <w:r w:rsidR="00FF36E1">
        <w:rPr>
          <w:rFonts w:ascii="Arial" w:hAnsi="Arial" w:cs="Arial"/>
          <w:sz w:val="22"/>
          <w:szCs w:val="22"/>
        </w:rPr>
        <w:t>greenhouse gas</w:t>
      </w:r>
      <w:r w:rsidR="00FF36E1" w:rsidRPr="009E3C67">
        <w:rPr>
          <w:rFonts w:ascii="Arial" w:hAnsi="Arial" w:cs="Arial"/>
          <w:sz w:val="22"/>
          <w:szCs w:val="22"/>
        </w:rPr>
        <w:t xml:space="preserve"> </w:t>
      </w:r>
      <w:r w:rsidRPr="009E3C67">
        <w:rPr>
          <w:rFonts w:ascii="Arial" w:hAnsi="Arial" w:cs="Arial"/>
          <w:sz w:val="22"/>
          <w:szCs w:val="22"/>
        </w:rPr>
        <w:t>emissions are related to the air conditioning system and can occur either by leakage or incidental releases (e.g. traffic accidents).</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A recent international study (IEA, 2011) examined fuel economy of light-duty vehicles in </w:t>
      </w:r>
      <w:r w:rsidR="00FF36E1">
        <w:rPr>
          <w:rFonts w:ascii="Arial" w:hAnsi="Arial" w:cs="Arial"/>
          <w:sz w:val="22"/>
          <w:szCs w:val="22"/>
        </w:rPr>
        <w:br/>
      </w:r>
      <w:r w:rsidRPr="009E3C67">
        <w:rPr>
          <w:rFonts w:ascii="Arial" w:hAnsi="Arial" w:cs="Arial"/>
          <w:sz w:val="22"/>
          <w:szCs w:val="22"/>
        </w:rPr>
        <w:t>43 countries around the world. Australia has the second highest CO</w:t>
      </w:r>
      <w:r w:rsidRPr="009E3C67">
        <w:rPr>
          <w:rFonts w:ascii="Arial" w:hAnsi="Arial" w:cs="Arial"/>
          <w:sz w:val="22"/>
          <w:szCs w:val="22"/>
          <w:vertAlign w:val="subscript"/>
        </w:rPr>
        <w:t>2</w:t>
      </w:r>
      <w:r w:rsidRPr="009E3C67">
        <w:rPr>
          <w:rFonts w:ascii="Arial" w:hAnsi="Arial" w:cs="Arial"/>
          <w:sz w:val="22"/>
          <w:szCs w:val="22"/>
        </w:rPr>
        <w:t xml:space="preserve"> emission per </w:t>
      </w:r>
      <w:r w:rsidR="0024102A" w:rsidRPr="009E3C67">
        <w:rPr>
          <w:rFonts w:ascii="Arial" w:hAnsi="Arial" w:cs="Arial"/>
          <w:sz w:val="22"/>
          <w:szCs w:val="22"/>
        </w:rPr>
        <w:t>kilometre</w:t>
      </w:r>
      <w:r w:rsidRPr="009E3C67">
        <w:rPr>
          <w:rFonts w:ascii="Arial" w:hAnsi="Arial" w:cs="Arial"/>
          <w:sz w:val="22"/>
          <w:szCs w:val="22"/>
        </w:rPr>
        <w:t xml:space="preserve"> of travel after the USA. European countries are reported to have LDV CO</w:t>
      </w:r>
      <w:r w:rsidRPr="009E3C67">
        <w:rPr>
          <w:rFonts w:ascii="Arial" w:hAnsi="Arial" w:cs="Arial"/>
          <w:sz w:val="22"/>
          <w:szCs w:val="22"/>
          <w:vertAlign w:val="subscript"/>
        </w:rPr>
        <w:t>2</w:t>
      </w:r>
      <w:r w:rsidRPr="009E3C67">
        <w:rPr>
          <w:rFonts w:ascii="Arial" w:hAnsi="Arial" w:cs="Arial"/>
          <w:sz w:val="22"/>
          <w:szCs w:val="22"/>
        </w:rPr>
        <w:t xml:space="preserve"> emission levels varying from 140 to 180 g CO</w:t>
      </w:r>
      <w:r w:rsidRPr="009E3C67">
        <w:rPr>
          <w:rFonts w:ascii="Arial" w:hAnsi="Arial" w:cs="Arial"/>
          <w:sz w:val="22"/>
          <w:szCs w:val="22"/>
          <w:vertAlign w:val="subscript"/>
        </w:rPr>
        <w:t>2</w:t>
      </w:r>
      <w:r w:rsidRPr="009E3C67">
        <w:rPr>
          <w:rFonts w:ascii="Arial" w:hAnsi="Arial" w:cs="Arial"/>
          <w:sz w:val="22"/>
          <w:szCs w:val="22"/>
        </w:rPr>
        <w:t xml:space="preserve">/km, Japan about 150 g/km, India about 140 g/km, Indonesia about 170 g/km and Argentina about 175 g/km. Australia has a reported emission of about 208 g/km and the USA about 212 g/km. However, those results are based on the legislative NEDC test cycle, which is known to substantially underestimate emission levels. </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t>In this study COPERT Australia predicts an average CO</w:t>
      </w:r>
      <w:r w:rsidRPr="009E3C67">
        <w:rPr>
          <w:rFonts w:ascii="Arial" w:hAnsi="Arial" w:cs="Arial"/>
          <w:sz w:val="22"/>
          <w:szCs w:val="22"/>
          <w:vertAlign w:val="subscript"/>
        </w:rPr>
        <w:t>2</w:t>
      </w:r>
      <w:r w:rsidRPr="009E3C67">
        <w:rPr>
          <w:rFonts w:ascii="Arial" w:hAnsi="Arial" w:cs="Arial"/>
          <w:sz w:val="22"/>
          <w:szCs w:val="22"/>
        </w:rPr>
        <w:t xml:space="preserve"> emission rate of 251 g/km for light-duty vehicles (cars, SUVs and LCVs), which is 21% higher than the values reported in GFEI (2011). This is similar to differences reported in other studies (e.g. Transport and Environment, 2013). The Australian fleet average emission rate is estimated to be 306 g CO</w:t>
      </w:r>
      <w:r w:rsidRPr="009E3C67">
        <w:rPr>
          <w:rFonts w:ascii="Arial" w:hAnsi="Arial" w:cs="Arial"/>
          <w:sz w:val="22"/>
          <w:szCs w:val="22"/>
          <w:vertAlign w:val="subscript"/>
        </w:rPr>
        <w:t>2</w:t>
      </w:r>
      <w:r w:rsidRPr="009E3C67">
        <w:rPr>
          <w:rFonts w:ascii="Arial" w:hAnsi="Arial" w:cs="Arial"/>
          <w:sz w:val="22"/>
          <w:szCs w:val="22"/>
        </w:rPr>
        <w:t>/km for 2010.</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pStyle w:val="Heading2"/>
        <w:tabs>
          <w:tab w:val="clear" w:pos="720"/>
        </w:tabs>
        <w:spacing w:line="360" w:lineRule="auto"/>
        <w:ind w:left="567" w:hanging="567"/>
        <w:rPr>
          <w:rFonts w:ascii="Arial" w:hAnsi="Arial" w:cs="Arial"/>
          <w:sz w:val="22"/>
          <w:szCs w:val="22"/>
        </w:rPr>
      </w:pPr>
      <w:bookmarkStart w:id="28" w:name="_Toc394993201"/>
      <w:r w:rsidRPr="009E3C67">
        <w:rPr>
          <w:rFonts w:ascii="Arial" w:hAnsi="Arial" w:cs="Arial"/>
          <w:sz w:val="22"/>
          <w:szCs w:val="22"/>
        </w:rPr>
        <w:lastRenderedPageBreak/>
        <w:t>NPI emissions and population exposure</w:t>
      </w:r>
      <w:bookmarkEnd w:id="28"/>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There is an increased international (and Australian) focus on the reduction of population exposure to air pollution and (health) risk (e.g. NEPC, 2011).  Due to the vicinity of roads to residential areas, population exposure to road transport pollution is often more important than other local sources. </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Although this is beyond the scope of this study, COPERT Australia can be used to generate vehicle emission factors (g/km), which can be combined with output from macroscopic transport models and/or other traffic data (e.g. traffic counts, travel time surveys) to generate time and space resolved traffic emissions data. This traffic emissions information can then be fed into air quality models, which simulate dispersion and chemical conversion processes to predict air pollution concentration levels, exposure and health risks in urban areas. </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This type of analysis can be used to identify air pollution ‘hot </w:t>
      </w:r>
      <w:proofErr w:type="gramStart"/>
      <w:r w:rsidRPr="009E3C67">
        <w:rPr>
          <w:rFonts w:ascii="Arial" w:hAnsi="Arial" w:cs="Arial"/>
          <w:sz w:val="22"/>
          <w:szCs w:val="22"/>
        </w:rPr>
        <w:t>spots’,</w:t>
      </w:r>
      <w:proofErr w:type="gramEnd"/>
      <w:r w:rsidRPr="009E3C67">
        <w:rPr>
          <w:rFonts w:ascii="Arial" w:hAnsi="Arial" w:cs="Arial"/>
          <w:sz w:val="22"/>
          <w:szCs w:val="22"/>
        </w:rPr>
        <w:t xml:space="preserve"> or even greenhouse gas emission hot spots. A population density overlay can then be added to assess if hot spots coincide with areas where people live. This information can then be used for policy development and focus assessment of specific traffic management measures.</w:t>
      </w:r>
    </w:p>
    <w:p w:rsidR="009E3C67" w:rsidRP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Although motor vehicle emissions are substantially affected by local driving conditions, vehicle mix, weather conditions and local fuel quality, traffic volume (VKT) – and its temporal variation – is generally the most important variable determining local emission levels. Local road emissions can therefore be roughly estimated using the following fleet average emission factors for a number of selected key pollutants:</w:t>
      </w:r>
    </w:p>
    <w:p w:rsidR="009E3C67" w:rsidRPr="009E3C67" w:rsidRDefault="009E3C67" w:rsidP="009E3C67">
      <w:pPr>
        <w:jc w:val="both"/>
        <w:rPr>
          <w:rFonts w:ascii="Arial" w:hAnsi="Arial" w:cs="Arial"/>
          <w:sz w:val="22"/>
          <w:szCs w:val="22"/>
        </w:rPr>
      </w:pPr>
    </w:p>
    <w:p w:rsidR="009E3C67" w:rsidRPr="009E3C67" w:rsidRDefault="009E3C67" w:rsidP="009E3C67">
      <w:pPr>
        <w:pStyle w:val="ListParagraph"/>
        <w:numPr>
          <w:ilvl w:val="0"/>
          <w:numId w:val="48"/>
        </w:numPr>
        <w:spacing w:after="0" w:line="360" w:lineRule="auto"/>
        <w:ind w:left="567" w:hanging="567"/>
        <w:jc w:val="both"/>
        <w:rPr>
          <w:rFonts w:ascii="Arial" w:hAnsi="Arial" w:cs="Arial"/>
        </w:rPr>
      </w:pPr>
      <w:r w:rsidRPr="009E3C67">
        <w:rPr>
          <w:rFonts w:ascii="Arial" w:hAnsi="Arial" w:cs="Arial"/>
        </w:rPr>
        <w:t>3.9</w:t>
      </w:r>
      <w:r w:rsidR="00C3265A">
        <w:rPr>
          <w:rFonts w:ascii="Arial" w:hAnsi="Arial" w:cs="Arial"/>
        </w:rPr>
        <w:t xml:space="preserve"> </w:t>
      </w:r>
      <w:r w:rsidRPr="009E3C67">
        <w:rPr>
          <w:rFonts w:ascii="Arial" w:hAnsi="Arial" w:cs="Arial"/>
        </w:rPr>
        <w:t>g CO per VKT</w:t>
      </w:r>
    </w:p>
    <w:p w:rsidR="009E3C67" w:rsidRPr="009E3C67" w:rsidRDefault="009E3C67" w:rsidP="009E3C67">
      <w:pPr>
        <w:pStyle w:val="ListParagraph"/>
        <w:numPr>
          <w:ilvl w:val="0"/>
          <w:numId w:val="48"/>
        </w:numPr>
        <w:spacing w:after="0" w:line="360" w:lineRule="auto"/>
        <w:ind w:left="567" w:hanging="567"/>
        <w:jc w:val="both"/>
        <w:rPr>
          <w:rFonts w:ascii="Arial" w:hAnsi="Arial" w:cs="Arial"/>
        </w:rPr>
      </w:pPr>
      <w:r w:rsidRPr="009E3C67">
        <w:rPr>
          <w:rFonts w:ascii="Arial" w:hAnsi="Arial" w:cs="Arial"/>
        </w:rPr>
        <w:t>1.3</w:t>
      </w:r>
      <w:r w:rsidR="00C3265A">
        <w:rPr>
          <w:rFonts w:ascii="Arial" w:hAnsi="Arial" w:cs="Arial"/>
        </w:rPr>
        <w:t xml:space="preserve"> </w:t>
      </w:r>
      <w:r w:rsidRPr="009E3C67">
        <w:rPr>
          <w:rFonts w:ascii="Arial" w:hAnsi="Arial" w:cs="Arial"/>
        </w:rPr>
        <w:t xml:space="preserve">g </w:t>
      </w:r>
      <w:proofErr w:type="spellStart"/>
      <w:r w:rsidRPr="009E3C67">
        <w:rPr>
          <w:rFonts w:ascii="Arial" w:hAnsi="Arial" w:cs="Arial"/>
        </w:rPr>
        <w:t>NO</w:t>
      </w:r>
      <w:r w:rsidRPr="009E3C67">
        <w:rPr>
          <w:rFonts w:ascii="Arial" w:hAnsi="Arial" w:cs="Arial"/>
          <w:vertAlign w:val="subscript"/>
        </w:rPr>
        <w:t>x</w:t>
      </w:r>
      <w:proofErr w:type="spellEnd"/>
      <w:r w:rsidRPr="009E3C67">
        <w:rPr>
          <w:rFonts w:ascii="Arial" w:hAnsi="Arial" w:cs="Arial"/>
        </w:rPr>
        <w:t xml:space="preserve"> per VKT</w:t>
      </w:r>
    </w:p>
    <w:p w:rsidR="009E3C67" w:rsidRPr="009E3C67" w:rsidRDefault="009E3C67" w:rsidP="009E3C67">
      <w:pPr>
        <w:pStyle w:val="ListParagraph"/>
        <w:numPr>
          <w:ilvl w:val="0"/>
          <w:numId w:val="48"/>
        </w:numPr>
        <w:spacing w:after="0" w:line="360" w:lineRule="auto"/>
        <w:ind w:left="567" w:hanging="567"/>
        <w:jc w:val="both"/>
        <w:rPr>
          <w:rFonts w:ascii="Arial" w:hAnsi="Arial" w:cs="Arial"/>
        </w:rPr>
      </w:pPr>
      <w:r w:rsidRPr="009E3C67">
        <w:rPr>
          <w:rFonts w:ascii="Arial" w:hAnsi="Arial" w:cs="Arial"/>
        </w:rPr>
        <w:t>0.4</w:t>
      </w:r>
      <w:r w:rsidR="00C3265A">
        <w:rPr>
          <w:rFonts w:ascii="Arial" w:hAnsi="Arial" w:cs="Arial"/>
        </w:rPr>
        <w:t xml:space="preserve"> </w:t>
      </w:r>
      <w:r w:rsidRPr="009E3C67">
        <w:rPr>
          <w:rFonts w:ascii="Arial" w:hAnsi="Arial" w:cs="Arial"/>
        </w:rPr>
        <w:t>g VOC per VKT</w:t>
      </w:r>
    </w:p>
    <w:p w:rsidR="009E3C67" w:rsidRPr="009E3C67" w:rsidRDefault="009E3C67" w:rsidP="009E3C67">
      <w:pPr>
        <w:pStyle w:val="ListParagraph"/>
        <w:numPr>
          <w:ilvl w:val="0"/>
          <w:numId w:val="48"/>
        </w:numPr>
        <w:spacing w:after="0" w:line="360" w:lineRule="auto"/>
        <w:ind w:left="567" w:hanging="567"/>
        <w:jc w:val="both"/>
        <w:rPr>
          <w:rFonts w:ascii="Arial" w:hAnsi="Arial" w:cs="Arial"/>
        </w:rPr>
      </w:pPr>
      <w:r w:rsidRPr="009E3C67">
        <w:rPr>
          <w:rFonts w:ascii="Arial" w:hAnsi="Arial" w:cs="Arial"/>
        </w:rPr>
        <w:t>49</w:t>
      </w:r>
      <w:r w:rsidR="00C3265A">
        <w:rPr>
          <w:rFonts w:ascii="Arial" w:hAnsi="Arial" w:cs="Arial"/>
        </w:rPr>
        <w:t xml:space="preserve"> </w:t>
      </w:r>
      <w:r w:rsidRPr="009E3C67">
        <w:rPr>
          <w:rFonts w:ascii="Arial" w:hAnsi="Arial" w:cs="Arial"/>
        </w:rPr>
        <w:t>mg PM</w:t>
      </w:r>
      <w:r w:rsidRPr="009E3C67">
        <w:rPr>
          <w:rFonts w:ascii="Arial" w:hAnsi="Arial" w:cs="Arial"/>
          <w:vertAlign w:val="subscript"/>
        </w:rPr>
        <w:t>2.5</w:t>
      </w:r>
      <w:r w:rsidRPr="009E3C67">
        <w:rPr>
          <w:rFonts w:ascii="Arial" w:hAnsi="Arial" w:cs="Arial"/>
        </w:rPr>
        <w:t xml:space="preserve"> per VKT</w:t>
      </w:r>
      <w:r w:rsidR="00FF36E1">
        <w:rPr>
          <w:rFonts w:ascii="Arial" w:hAnsi="Arial" w:cs="Arial"/>
        </w:rPr>
        <w:t>, and</w:t>
      </w:r>
    </w:p>
    <w:p w:rsidR="009E3C67" w:rsidRPr="009E3C67" w:rsidRDefault="009E3C67" w:rsidP="009E3C67">
      <w:pPr>
        <w:pStyle w:val="ListParagraph"/>
        <w:numPr>
          <w:ilvl w:val="0"/>
          <w:numId w:val="48"/>
        </w:numPr>
        <w:spacing w:after="0" w:line="360" w:lineRule="auto"/>
        <w:ind w:left="567" w:hanging="567"/>
        <w:jc w:val="both"/>
        <w:rPr>
          <w:rFonts w:ascii="Arial" w:hAnsi="Arial" w:cs="Arial"/>
        </w:rPr>
      </w:pPr>
      <w:r w:rsidRPr="009E3C67">
        <w:rPr>
          <w:rFonts w:ascii="Arial" w:hAnsi="Arial" w:cs="Arial"/>
        </w:rPr>
        <w:t>17</w:t>
      </w:r>
      <w:r w:rsidR="00C3265A">
        <w:rPr>
          <w:rFonts w:ascii="Arial" w:hAnsi="Arial" w:cs="Arial"/>
        </w:rPr>
        <w:t xml:space="preserve"> </w:t>
      </w:r>
      <w:r w:rsidRPr="009E3C67">
        <w:rPr>
          <w:rFonts w:ascii="Arial" w:hAnsi="Arial" w:cs="Arial"/>
        </w:rPr>
        <w:t>mg benzene per VKT</w:t>
      </w:r>
      <w:r w:rsidR="00FF36E1">
        <w:rPr>
          <w:rFonts w:ascii="Arial" w:hAnsi="Arial" w:cs="Arial"/>
        </w:rPr>
        <w:t>.</w:t>
      </w:r>
    </w:p>
    <w:p w:rsidR="009E3C67" w:rsidRDefault="009E3C67" w:rsidP="009E3C67">
      <w:pPr>
        <w:spacing w:line="360" w:lineRule="auto"/>
        <w:jc w:val="both"/>
        <w:rPr>
          <w:rFonts w:ascii="Arial" w:hAnsi="Arial" w:cs="Arial"/>
          <w:sz w:val="22"/>
          <w:szCs w:val="22"/>
        </w:rPr>
      </w:pPr>
    </w:p>
    <w:p w:rsidR="009E3C67" w:rsidRDefault="009E3C67" w:rsidP="009E3C67">
      <w:pPr>
        <w:spacing w:line="360" w:lineRule="auto"/>
        <w:jc w:val="both"/>
        <w:rPr>
          <w:rFonts w:ascii="Arial" w:hAnsi="Arial" w:cs="Arial"/>
          <w:sz w:val="22"/>
          <w:szCs w:val="22"/>
        </w:rPr>
      </w:pPr>
      <w:r w:rsidRPr="009E3C67">
        <w:rPr>
          <w:rFonts w:ascii="Arial" w:hAnsi="Arial" w:cs="Arial"/>
          <w:sz w:val="22"/>
          <w:szCs w:val="22"/>
        </w:rPr>
        <w:t xml:space="preserve">These emission factors have simply been computed as total annual fleet emissions divided by total travel (VKT/annum) for Australia for 2010. A first order estimate of total road emissions is provided by multiplying these highly aggregated emission factors with the number of vehicles and road length for each daytime period. Note that the emission factors only provide an average value for Australian conditions reflecting a mix of different levels of congestion, different fuel parameters, different climates, etc. </w:t>
      </w:r>
    </w:p>
    <w:p w:rsidR="009E3C67" w:rsidRPr="009E3C67" w:rsidRDefault="009E3C67" w:rsidP="009E3C67">
      <w:pPr>
        <w:spacing w:line="360" w:lineRule="auto"/>
        <w:jc w:val="both"/>
        <w:rPr>
          <w:rFonts w:ascii="Arial" w:hAnsi="Arial" w:cs="Arial"/>
          <w:sz w:val="22"/>
          <w:szCs w:val="22"/>
        </w:rPr>
      </w:pPr>
    </w:p>
    <w:p w:rsidR="009E3C67" w:rsidRPr="009E3C67" w:rsidRDefault="009E3C67" w:rsidP="009E3C67">
      <w:pPr>
        <w:spacing w:line="360" w:lineRule="auto"/>
        <w:jc w:val="both"/>
        <w:rPr>
          <w:rFonts w:ascii="Arial" w:hAnsi="Arial" w:cs="Arial"/>
          <w:sz w:val="22"/>
          <w:szCs w:val="22"/>
        </w:rPr>
      </w:pPr>
      <w:r w:rsidRPr="009E3C67">
        <w:rPr>
          <w:rFonts w:ascii="Arial" w:hAnsi="Arial" w:cs="Arial"/>
          <w:sz w:val="22"/>
          <w:szCs w:val="22"/>
        </w:rPr>
        <w:lastRenderedPageBreak/>
        <w:t>COPERT Australia can be used to develop more disaggregated emission factors</w:t>
      </w:r>
      <w:r w:rsidR="00FF36E1">
        <w:rPr>
          <w:rFonts w:ascii="Arial" w:hAnsi="Arial" w:cs="Arial"/>
          <w:sz w:val="22"/>
          <w:szCs w:val="22"/>
        </w:rPr>
        <w:t>, for example</w:t>
      </w:r>
      <w:r w:rsidRPr="009E3C67">
        <w:rPr>
          <w:rFonts w:ascii="Arial" w:hAnsi="Arial" w:cs="Arial"/>
          <w:sz w:val="22"/>
          <w:szCs w:val="22"/>
        </w:rPr>
        <w:t xml:space="preserve"> by vehicle class and congestion level (average speed) for local areas reflecting local meteorology and fuel quality. This is highly recommended to improve the accuracy of local emission estimates and to improve the spatial and temporal resolution of road transport emissions in urban areas. The input files created in this study can be downloaded and used to create detailed emission factors with COPERT Australia for each state</w:t>
      </w:r>
      <w:r w:rsidR="00FF36E1">
        <w:rPr>
          <w:rFonts w:ascii="Arial" w:hAnsi="Arial" w:cs="Arial"/>
          <w:sz w:val="22"/>
          <w:szCs w:val="22"/>
        </w:rPr>
        <w:t xml:space="preserve"> and territory</w:t>
      </w:r>
    </w:p>
    <w:p w:rsidR="009E3C67" w:rsidRDefault="009E3C67">
      <w:pPr>
        <w:rPr>
          <w:lang w:eastAsia="en-AU"/>
        </w:rPr>
      </w:pPr>
    </w:p>
    <w:p w:rsidR="009E3C67" w:rsidRPr="009E3C67" w:rsidRDefault="009E3C67" w:rsidP="009E3C67">
      <w:pPr>
        <w:pStyle w:val="Heading1"/>
        <w:tabs>
          <w:tab w:val="clear" w:pos="720"/>
        </w:tabs>
        <w:spacing w:line="360" w:lineRule="auto"/>
        <w:ind w:left="567" w:hanging="567"/>
        <w:rPr>
          <w:rFonts w:ascii="Arial" w:hAnsi="Arial" w:cs="Arial"/>
          <w:sz w:val="22"/>
          <w:szCs w:val="22"/>
        </w:rPr>
      </w:pPr>
      <w:bookmarkStart w:id="29" w:name="_Toc394993202"/>
      <w:r w:rsidRPr="009E3C67">
        <w:rPr>
          <w:rFonts w:ascii="Arial" w:hAnsi="Arial" w:cs="Arial"/>
          <w:sz w:val="22"/>
          <w:szCs w:val="22"/>
        </w:rPr>
        <w:t>DISCUSSIONS AND CONCLUSIONS</w:t>
      </w:r>
      <w:bookmarkEnd w:id="29"/>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This study developed a national motor vehicle emission inventory using the COPERT Australia software. A whole-of-Australia study ensures consistency in input data preparation and emission estimation methods. To account for differences in vehicle fleet mix, climate and fuel quality MVEIs were developed for each state/territory individually, and then aggregated to estimate total national emissions. </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COPERT Australia generates comprehensive vehicle emissions data. For example it estimates emissions for 226 vehicle classes, 116 pollutants and different types of emissions (hot running, cold start, evaporative, non-exhaust).  A major part of the work focussed on generating the detailed input data that are required for the emission simulations. </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The COPERT input data was calibrated through an iterative process to ensure that predicted fuel consumption by fuel type is equivalent to reported fuel use by credible independent sources. This calibration step is essential to the development of a robust NMVEI.</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The COPERT input files for each state/territory are available on request from the NPI </w:t>
      </w:r>
      <w:r w:rsidR="00FF36E1">
        <w:rPr>
          <w:rFonts w:ascii="Arial" w:hAnsi="Arial" w:cs="Arial"/>
          <w:sz w:val="22"/>
          <w:szCs w:val="22"/>
          <w:lang w:eastAsia="en-AU"/>
        </w:rPr>
        <w:t>team</w:t>
      </w:r>
      <w:r w:rsidR="00FF36E1" w:rsidRPr="009E3C67">
        <w:rPr>
          <w:rFonts w:ascii="Arial" w:hAnsi="Arial" w:cs="Arial"/>
          <w:sz w:val="22"/>
          <w:szCs w:val="22"/>
          <w:lang w:eastAsia="en-AU"/>
        </w:rPr>
        <w:t xml:space="preserve"> </w:t>
      </w:r>
      <w:r w:rsidRPr="009E3C67">
        <w:rPr>
          <w:rFonts w:ascii="Arial" w:hAnsi="Arial" w:cs="Arial"/>
          <w:sz w:val="22"/>
          <w:szCs w:val="22"/>
          <w:lang w:eastAsia="en-AU"/>
        </w:rPr>
        <w:t>(</w:t>
      </w:r>
      <w:hyperlink r:id="rId31" w:history="1">
        <w:r w:rsidRPr="009E3C67">
          <w:rPr>
            <w:rStyle w:val="Hyperlink"/>
            <w:rFonts w:ascii="Arial" w:hAnsi="Arial" w:cs="Arial"/>
            <w:sz w:val="22"/>
            <w:szCs w:val="22"/>
            <w:lang w:eastAsia="en-AU"/>
          </w:rPr>
          <w:t>npi@environment.gov.au</w:t>
        </w:r>
      </w:hyperlink>
      <w:r w:rsidRPr="009E3C67">
        <w:rPr>
          <w:rFonts w:ascii="Arial" w:hAnsi="Arial" w:cs="Arial"/>
          <w:sz w:val="22"/>
          <w:szCs w:val="22"/>
          <w:lang w:eastAsia="en-AU"/>
        </w:rPr>
        <w:t xml:space="preserve">) of the Australian Government Department of the Environment and will allow COPERT Australia users to conduct more detailed analyses to address specific policy or research questions or to develop motor vehicle emission factors for local area or road level impact assessments. </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The NMVEI shows that the relative contributions of industry and motor vehicle emissions are highly variable, and are dependent on the pollutant. Motor vehicles emissions in relation to industry emissions vary from dominant (</w:t>
      </w:r>
      <w:proofErr w:type="spellStart"/>
      <w:r w:rsidRPr="009E3C67">
        <w:rPr>
          <w:rFonts w:ascii="Arial" w:hAnsi="Arial" w:cs="Arial"/>
          <w:sz w:val="22"/>
          <w:szCs w:val="22"/>
          <w:lang w:eastAsia="en-AU"/>
        </w:rPr>
        <w:t>acrolein</w:t>
      </w:r>
      <w:proofErr w:type="spellEnd"/>
      <w:r w:rsidRPr="009E3C67">
        <w:rPr>
          <w:rFonts w:ascii="Arial" w:hAnsi="Arial" w:cs="Arial"/>
          <w:sz w:val="22"/>
          <w:szCs w:val="22"/>
          <w:lang w:eastAsia="en-AU"/>
        </w:rPr>
        <w:t xml:space="preserve">, benzene, etc.) to important (VOCs, </w:t>
      </w:r>
      <w:proofErr w:type="spellStart"/>
      <w:r w:rsidRPr="009E3C67">
        <w:rPr>
          <w:rFonts w:ascii="Arial" w:hAnsi="Arial" w:cs="Arial"/>
          <w:sz w:val="22"/>
          <w:szCs w:val="22"/>
          <w:lang w:eastAsia="en-AU"/>
        </w:rPr>
        <w:t>NO</w:t>
      </w:r>
      <w:r w:rsidRPr="009E3C67">
        <w:rPr>
          <w:rFonts w:ascii="Arial" w:hAnsi="Arial" w:cs="Arial"/>
          <w:sz w:val="22"/>
          <w:szCs w:val="22"/>
          <w:vertAlign w:val="subscript"/>
          <w:lang w:eastAsia="en-AU"/>
        </w:rPr>
        <w:t>x</w:t>
      </w:r>
      <w:proofErr w:type="spellEnd"/>
      <w:r w:rsidRPr="009E3C67">
        <w:rPr>
          <w:rFonts w:ascii="Arial" w:hAnsi="Arial" w:cs="Arial"/>
          <w:sz w:val="22"/>
          <w:szCs w:val="22"/>
          <w:lang w:eastAsia="en-AU"/>
        </w:rPr>
        <w:t>, PM</w:t>
      </w:r>
      <w:r w:rsidRPr="009E3C67">
        <w:rPr>
          <w:rFonts w:ascii="Arial" w:hAnsi="Arial" w:cs="Arial"/>
          <w:sz w:val="22"/>
          <w:szCs w:val="22"/>
          <w:vertAlign w:val="subscript"/>
          <w:lang w:eastAsia="en-AU"/>
        </w:rPr>
        <w:t>2.5</w:t>
      </w:r>
      <w:r w:rsidRPr="009E3C67">
        <w:rPr>
          <w:rFonts w:ascii="Arial" w:hAnsi="Arial" w:cs="Arial"/>
          <w:sz w:val="22"/>
          <w:szCs w:val="22"/>
          <w:lang w:eastAsia="en-AU"/>
        </w:rPr>
        <w:t>, etc.) to insignificant (SO</w:t>
      </w:r>
      <w:r w:rsidRPr="009E3C67">
        <w:rPr>
          <w:rFonts w:ascii="Arial" w:hAnsi="Arial" w:cs="Arial"/>
          <w:sz w:val="22"/>
          <w:szCs w:val="22"/>
          <w:vertAlign w:val="subscript"/>
          <w:lang w:eastAsia="en-AU"/>
        </w:rPr>
        <w:t>2</w:t>
      </w:r>
      <w:r w:rsidRPr="009E3C67">
        <w:rPr>
          <w:rFonts w:ascii="Arial" w:hAnsi="Arial" w:cs="Arial"/>
          <w:sz w:val="22"/>
          <w:szCs w:val="22"/>
          <w:lang w:eastAsia="en-AU"/>
        </w:rPr>
        <w:t xml:space="preserve">, selenium, etc.). </w:t>
      </w:r>
    </w:p>
    <w:p w:rsidR="009E3C67" w:rsidRPr="009E3C67" w:rsidRDefault="009E3C67" w:rsidP="009E3C67">
      <w:pPr>
        <w:spacing w:line="360" w:lineRule="auto"/>
        <w:jc w:val="both"/>
        <w:rPr>
          <w:rFonts w:ascii="Arial" w:hAnsi="Arial" w:cs="Arial"/>
          <w:sz w:val="22"/>
          <w:szCs w:val="22"/>
          <w:lang w:eastAsia="en-AU"/>
        </w:rPr>
      </w:pPr>
    </w:p>
    <w:p w:rsidR="00A5657C" w:rsidRDefault="00A5657C">
      <w:pPr>
        <w:rPr>
          <w:rFonts w:ascii="Arial" w:hAnsi="Arial" w:cs="Arial"/>
          <w:sz w:val="22"/>
          <w:szCs w:val="22"/>
          <w:lang w:eastAsia="en-AU"/>
        </w:rPr>
      </w:pPr>
      <w:r>
        <w:rPr>
          <w:rFonts w:ascii="Arial" w:hAnsi="Arial" w:cs="Arial"/>
          <w:sz w:val="22"/>
          <w:szCs w:val="22"/>
          <w:lang w:eastAsia="en-AU"/>
        </w:rPr>
        <w:br w:type="page"/>
      </w: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lastRenderedPageBreak/>
        <w:t>It should be emphasi</w:t>
      </w:r>
      <w:r w:rsidR="00FF36E1">
        <w:rPr>
          <w:rFonts w:ascii="Arial" w:hAnsi="Arial" w:cs="Arial"/>
          <w:sz w:val="22"/>
          <w:szCs w:val="22"/>
          <w:lang w:eastAsia="en-AU"/>
        </w:rPr>
        <w:t>s</w:t>
      </w:r>
      <w:r w:rsidRPr="009E3C67">
        <w:rPr>
          <w:rFonts w:ascii="Arial" w:hAnsi="Arial" w:cs="Arial"/>
          <w:sz w:val="22"/>
          <w:szCs w:val="22"/>
          <w:lang w:eastAsia="en-AU"/>
        </w:rPr>
        <w:t>ed that annual emissions from motor vehicles, as reported in this study and by the NPI, do not necessarily reflect community exposure to the air pollutants. The actual contribution of motor vehicle emissions to population exposure (and thus health effects) is likely to be substantially greater than equivalent emission levels from industrial sources. This is because motor vehicle emissions are released close to ground level and, typically, in close proximity to where people live and work. In contrast, industrial emissions are typically emitted through vents and stacks, and are generally located some distance from populated areas. This means that industrial emissions are often dispersed significantly before they reach the population. As a consequence, relatively minor levels of motor vehicle emissions can lead to significant exposure to pollutants and associated health impacts.</w:t>
      </w: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COPERT Australia modelling in this study shows that NSW and Victoria consistently make the largest contributions to total emissions for all pollutants (combined varying from about </w:t>
      </w:r>
      <w:r w:rsidR="00FF36E1">
        <w:rPr>
          <w:rFonts w:ascii="Arial" w:hAnsi="Arial" w:cs="Arial"/>
          <w:sz w:val="22"/>
          <w:szCs w:val="22"/>
          <w:lang w:eastAsia="en-AU"/>
        </w:rPr>
        <w:br/>
      </w:r>
      <w:r w:rsidRPr="009E3C67">
        <w:rPr>
          <w:rFonts w:ascii="Arial" w:hAnsi="Arial" w:cs="Arial"/>
          <w:sz w:val="22"/>
          <w:szCs w:val="22"/>
          <w:lang w:eastAsia="en-AU"/>
        </w:rPr>
        <w:t xml:space="preserve">50 to 60% of total national motor vehicle emissions), Queensland contributes about 20%, and WA and </w:t>
      </w:r>
      <w:r w:rsidR="00FF36E1">
        <w:rPr>
          <w:rFonts w:ascii="Arial" w:hAnsi="Arial" w:cs="Arial"/>
          <w:sz w:val="22"/>
          <w:szCs w:val="22"/>
          <w:lang w:eastAsia="en-AU"/>
        </w:rPr>
        <w:t>SA</w:t>
      </w:r>
      <w:r w:rsidRPr="009E3C67">
        <w:rPr>
          <w:rFonts w:ascii="Arial" w:hAnsi="Arial" w:cs="Arial"/>
          <w:sz w:val="22"/>
          <w:szCs w:val="22"/>
          <w:lang w:eastAsia="en-AU"/>
        </w:rPr>
        <w:t xml:space="preserve"> contribute about 10% each. Tasmania, ACT and the NT combined make up about 5% of national motor vehicle emissions. These contributions are roughly in line with the total vehicle population and total travel (VKT) in each jurisdiction. Variations are caused by differences in fleet composition (fuel types, vehicle age mix, etc.), climate and fuel parameters.</w:t>
      </w:r>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 xml:space="preserve">The NMVEI predicts that hot running emissions generally dominate total emissions from road transport, but that </w:t>
      </w:r>
      <w:proofErr w:type="spellStart"/>
      <w:r w:rsidRPr="009E3C67">
        <w:rPr>
          <w:rFonts w:ascii="Arial" w:hAnsi="Arial" w:cs="Arial"/>
          <w:sz w:val="22"/>
          <w:szCs w:val="22"/>
          <w:lang w:eastAsia="en-AU"/>
        </w:rPr>
        <w:t>cold</w:t>
      </w:r>
      <w:proofErr w:type="spellEnd"/>
      <w:r w:rsidRPr="009E3C67">
        <w:rPr>
          <w:rFonts w:ascii="Arial" w:hAnsi="Arial" w:cs="Arial"/>
          <w:sz w:val="22"/>
          <w:szCs w:val="22"/>
          <w:lang w:eastAsia="en-AU"/>
        </w:rPr>
        <w:t xml:space="preserve"> start emissions are significant for a number of pollutants (CO, VOCs). In addition evaporative VOC emissions and non-exhaust PM emissions are both significant contributors to total emissions (23% and 26%, respectively).</w:t>
      </w:r>
    </w:p>
    <w:p w:rsidR="009E3C67" w:rsidRPr="009E3C67" w:rsidRDefault="009E3C67" w:rsidP="009E3C67">
      <w:pPr>
        <w:spacing w:line="360" w:lineRule="auto"/>
        <w:jc w:val="both"/>
        <w:rPr>
          <w:rFonts w:ascii="Arial" w:hAnsi="Arial" w:cs="Arial"/>
          <w:sz w:val="22"/>
          <w:szCs w:val="22"/>
          <w:lang w:eastAsia="en-AU"/>
        </w:rPr>
      </w:pPr>
    </w:p>
    <w:p w:rsid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t>The NMVEI shows that the relative contribution of individual vehicle classes to emissions varies substantially, depending on the air pollutant that is considered. Petrol vehicles dominate emissions of CO, VOCs, NH</w:t>
      </w:r>
      <w:r w:rsidRPr="009E3C67">
        <w:rPr>
          <w:rFonts w:ascii="Arial" w:hAnsi="Arial" w:cs="Arial"/>
          <w:sz w:val="22"/>
          <w:szCs w:val="22"/>
          <w:vertAlign w:val="subscript"/>
          <w:lang w:eastAsia="en-AU"/>
        </w:rPr>
        <w:t>3</w:t>
      </w:r>
      <w:r w:rsidRPr="009E3C67">
        <w:rPr>
          <w:rFonts w:ascii="Arial" w:hAnsi="Arial" w:cs="Arial"/>
          <w:sz w:val="22"/>
          <w:szCs w:val="22"/>
          <w:lang w:eastAsia="en-AU"/>
        </w:rPr>
        <w:t xml:space="preserve"> and heavy metals whereas diesel vehicles (LDDV and HDDV) dominate </w:t>
      </w:r>
      <w:r w:rsidR="00FF36E1">
        <w:rPr>
          <w:rFonts w:ascii="Arial" w:hAnsi="Arial" w:cs="Arial"/>
          <w:sz w:val="22"/>
          <w:szCs w:val="22"/>
          <w:lang w:eastAsia="en-AU"/>
        </w:rPr>
        <w:t>motor vehicle</w:t>
      </w:r>
      <w:r w:rsidR="00FF36E1" w:rsidRPr="009E3C67">
        <w:rPr>
          <w:rFonts w:ascii="Arial" w:hAnsi="Arial" w:cs="Arial"/>
          <w:sz w:val="22"/>
          <w:szCs w:val="22"/>
          <w:lang w:eastAsia="en-AU"/>
        </w:rPr>
        <w:t xml:space="preserve"> </w:t>
      </w:r>
      <w:r w:rsidRPr="009E3C67">
        <w:rPr>
          <w:rFonts w:ascii="Arial" w:hAnsi="Arial" w:cs="Arial"/>
          <w:sz w:val="22"/>
          <w:szCs w:val="22"/>
          <w:lang w:eastAsia="en-AU"/>
        </w:rPr>
        <w:t>emissions of PM</w:t>
      </w:r>
      <w:r w:rsidRPr="009E3C67">
        <w:rPr>
          <w:rFonts w:ascii="Arial" w:hAnsi="Arial" w:cs="Arial"/>
          <w:sz w:val="22"/>
          <w:szCs w:val="22"/>
          <w:vertAlign w:val="subscript"/>
          <w:lang w:eastAsia="en-AU"/>
        </w:rPr>
        <w:t>2.5</w:t>
      </w:r>
      <w:r w:rsidRPr="009E3C67">
        <w:rPr>
          <w:rFonts w:ascii="Arial" w:hAnsi="Arial" w:cs="Arial"/>
          <w:sz w:val="22"/>
          <w:szCs w:val="22"/>
          <w:lang w:eastAsia="en-AU"/>
        </w:rPr>
        <w:t xml:space="preserve"> and </w:t>
      </w:r>
      <w:proofErr w:type="spellStart"/>
      <w:r w:rsidRPr="009E3C67">
        <w:rPr>
          <w:rFonts w:ascii="Arial" w:hAnsi="Arial" w:cs="Arial"/>
          <w:sz w:val="22"/>
          <w:szCs w:val="22"/>
          <w:lang w:eastAsia="en-AU"/>
        </w:rPr>
        <w:t>NO</w:t>
      </w:r>
      <w:r w:rsidRPr="009E3C67">
        <w:rPr>
          <w:rFonts w:ascii="Arial" w:hAnsi="Arial" w:cs="Arial"/>
          <w:sz w:val="22"/>
          <w:szCs w:val="22"/>
          <w:vertAlign w:val="subscript"/>
          <w:lang w:eastAsia="en-AU"/>
        </w:rPr>
        <w:t>x</w:t>
      </w:r>
      <w:proofErr w:type="spellEnd"/>
      <w:r w:rsidRPr="009E3C67">
        <w:rPr>
          <w:rFonts w:ascii="Arial" w:hAnsi="Arial" w:cs="Arial"/>
          <w:sz w:val="22"/>
          <w:szCs w:val="22"/>
          <w:lang w:eastAsia="en-AU"/>
        </w:rPr>
        <w:t xml:space="preserve">. </w:t>
      </w:r>
    </w:p>
    <w:p w:rsidR="009E3C67" w:rsidRPr="009E3C67" w:rsidRDefault="009E3C67" w:rsidP="009E3C67">
      <w:pPr>
        <w:spacing w:line="360" w:lineRule="auto"/>
        <w:jc w:val="both"/>
        <w:rPr>
          <w:rFonts w:ascii="Arial" w:hAnsi="Arial" w:cs="Arial"/>
          <w:sz w:val="22"/>
          <w:szCs w:val="22"/>
          <w:lang w:eastAsia="en-AU"/>
        </w:rPr>
      </w:pPr>
    </w:p>
    <w:p w:rsidR="00A5657C" w:rsidRDefault="00A5657C">
      <w:pPr>
        <w:rPr>
          <w:rFonts w:ascii="Arial" w:hAnsi="Arial" w:cs="Arial"/>
          <w:sz w:val="22"/>
          <w:szCs w:val="22"/>
          <w:lang w:eastAsia="en-AU"/>
        </w:rPr>
      </w:pPr>
      <w:r>
        <w:rPr>
          <w:rFonts w:ascii="Arial" w:hAnsi="Arial" w:cs="Arial"/>
          <w:sz w:val="22"/>
          <w:szCs w:val="22"/>
          <w:lang w:eastAsia="en-AU"/>
        </w:rPr>
        <w:br w:type="page"/>
      </w:r>
    </w:p>
    <w:p w:rsidR="009E3C67" w:rsidRPr="009E3C67" w:rsidRDefault="009E3C67" w:rsidP="009E3C67">
      <w:pPr>
        <w:spacing w:line="360" w:lineRule="auto"/>
        <w:jc w:val="both"/>
        <w:rPr>
          <w:rFonts w:ascii="Arial" w:hAnsi="Arial" w:cs="Arial"/>
          <w:sz w:val="22"/>
          <w:szCs w:val="22"/>
          <w:lang w:eastAsia="en-AU"/>
        </w:rPr>
      </w:pPr>
      <w:r w:rsidRPr="009E3C67">
        <w:rPr>
          <w:rFonts w:ascii="Arial" w:hAnsi="Arial" w:cs="Arial"/>
          <w:sz w:val="22"/>
          <w:szCs w:val="22"/>
          <w:lang w:eastAsia="en-AU"/>
        </w:rPr>
        <w:lastRenderedPageBreak/>
        <w:t>Future updates of the NMVEI would benefit from implementing the following recommendations:</w:t>
      </w:r>
    </w:p>
    <w:p w:rsidR="009E3C67" w:rsidRPr="009E3C67" w:rsidRDefault="009E3C67" w:rsidP="009E3C67">
      <w:pPr>
        <w:jc w:val="both"/>
        <w:rPr>
          <w:rFonts w:ascii="Arial" w:hAnsi="Arial" w:cs="Arial"/>
          <w:sz w:val="22"/>
          <w:szCs w:val="22"/>
          <w:lang w:eastAsia="en-AU"/>
        </w:rPr>
      </w:pP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analysis of state-specific vehicle registration data to improve the vehicle population breakdown</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collection and analysis of odometer and other information to improve age-mileage relationships</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 xml:space="preserve">verifying estimated Australian fuel parameters such as RVP with the </w:t>
      </w:r>
      <w:r w:rsidR="00FF36E1">
        <w:rPr>
          <w:rFonts w:ascii="Arial" w:hAnsi="Arial" w:cs="Arial"/>
          <w:sz w:val="22"/>
          <w:szCs w:val="22"/>
          <w:lang w:eastAsia="en-AU"/>
        </w:rPr>
        <w:t>Australian Institute of Petroleum</w:t>
      </w:r>
      <w:r w:rsidR="00FF36E1" w:rsidRPr="009E3C67">
        <w:rPr>
          <w:rFonts w:ascii="Arial" w:hAnsi="Arial" w:cs="Arial"/>
          <w:sz w:val="22"/>
          <w:szCs w:val="22"/>
          <w:lang w:eastAsia="en-AU"/>
        </w:rPr>
        <w:t xml:space="preserve"> </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addressing current gaps in Australian fuel quality data, such as heavy metal content</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further analysis of transport model data from cities that have not yet been included (e.g. Melbourne)</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r w:rsidRPr="009E3C67">
        <w:rPr>
          <w:rFonts w:ascii="Arial" w:hAnsi="Arial" w:cs="Arial"/>
          <w:sz w:val="22"/>
          <w:szCs w:val="22"/>
          <w:lang w:eastAsia="en-AU"/>
        </w:rPr>
        <w:t>further collection of travel (VKT) data on the highway system and in non-urban areas</w:t>
      </w:r>
      <w:r w:rsidR="00FF36E1">
        <w:rPr>
          <w:rFonts w:ascii="Arial" w:hAnsi="Arial" w:cs="Arial"/>
          <w:sz w:val="22"/>
          <w:szCs w:val="22"/>
          <w:lang w:eastAsia="en-AU"/>
        </w:rPr>
        <w:t>, and</w:t>
      </w:r>
    </w:p>
    <w:p w:rsidR="009E3C67" w:rsidRPr="009E3C67" w:rsidRDefault="009E3C67" w:rsidP="009E3C67">
      <w:pPr>
        <w:numPr>
          <w:ilvl w:val="0"/>
          <w:numId w:val="49"/>
        </w:numPr>
        <w:spacing w:line="360" w:lineRule="auto"/>
        <w:ind w:left="567" w:hanging="567"/>
        <w:jc w:val="both"/>
        <w:rPr>
          <w:rFonts w:ascii="Arial" w:hAnsi="Arial" w:cs="Arial"/>
          <w:sz w:val="22"/>
          <w:szCs w:val="22"/>
          <w:lang w:eastAsia="en-AU"/>
        </w:rPr>
      </w:pPr>
      <w:proofErr w:type="gramStart"/>
      <w:r w:rsidRPr="009E3C67">
        <w:rPr>
          <w:rFonts w:ascii="Arial" w:hAnsi="Arial" w:cs="Arial"/>
          <w:sz w:val="22"/>
          <w:szCs w:val="22"/>
          <w:lang w:eastAsia="en-AU"/>
        </w:rPr>
        <w:t>estimation</w:t>
      </w:r>
      <w:proofErr w:type="gramEnd"/>
      <w:r w:rsidRPr="009E3C67">
        <w:rPr>
          <w:rFonts w:ascii="Arial" w:hAnsi="Arial" w:cs="Arial"/>
          <w:sz w:val="22"/>
          <w:szCs w:val="22"/>
          <w:lang w:eastAsia="en-AU"/>
        </w:rPr>
        <w:t xml:space="preserve"> of NPI emissions that are currently not included in COPERT Australia (e.g. H</w:t>
      </w:r>
      <w:r w:rsidRPr="009E3C67">
        <w:rPr>
          <w:rFonts w:ascii="Arial" w:hAnsi="Arial" w:cs="Arial"/>
          <w:sz w:val="22"/>
          <w:szCs w:val="22"/>
          <w:vertAlign w:val="subscript"/>
          <w:lang w:eastAsia="en-AU"/>
        </w:rPr>
        <w:t>2</w:t>
      </w:r>
      <w:r w:rsidRPr="009E3C67">
        <w:rPr>
          <w:rFonts w:ascii="Arial" w:hAnsi="Arial" w:cs="Arial"/>
          <w:sz w:val="22"/>
          <w:szCs w:val="22"/>
          <w:lang w:eastAsia="en-AU"/>
        </w:rPr>
        <w:t>S, manganese)</w:t>
      </w:r>
      <w:r w:rsidR="00FF36E1">
        <w:rPr>
          <w:rFonts w:ascii="Arial" w:hAnsi="Arial" w:cs="Arial"/>
          <w:sz w:val="22"/>
          <w:szCs w:val="22"/>
          <w:lang w:eastAsia="en-AU"/>
        </w:rPr>
        <w:t>.</w:t>
      </w:r>
    </w:p>
    <w:p w:rsidR="009E3C67" w:rsidRDefault="009E3C67">
      <w:pPr>
        <w:rPr>
          <w:lang w:eastAsia="en-AU"/>
        </w:rPr>
      </w:pPr>
      <w:r>
        <w:rPr>
          <w:lang w:eastAsia="en-AU"/>
        </w:rPr>
        <w:br w:type="page"/>
      </w:r>
    </w:p>
    <w:p w:rsidR="009E3C67" w:rsidRPr="009E3C67" w:rsidRDefault="009E3C67" w:rsidP="009E3C67">
      <w:pPr>
        <w:pStyle w:val="Heading1"/>
        <w:tabs>
          <w:tab w:val="clear" w:pos="720"/>
        </w:tabs>
        <w:spacing w:line="360" w:lineRule="auto"/>
        <w:ind w:left="567" w:hanging="567"/>
        <w:rPr>
          <w:rFonts w:ascii="Arial" w:hAnsi="Arial" w:cs="Arial"/>
          <w:sz w:val="22"/>
          <w:szCs w:val="22"/>
        </w:rPr>
      </w:pPr>
      <w:bookmarkStart w:id="30" w:name="_Toc394993203"/>
      <w:r w:rsidRPr="009E3C67">
        <w:rPr>
          <w:rFonts w:ascii="Arial" w:hAnsi="Arial" w:cs="Arial"/>
          <w:sz w:val="22"/>
          <w:szCs w:val="22"/>
        </w:rPr>
        <w:lastRenderedPageBreak/>
        <w:t>REFERENCES</w:t>
      </w:r>
      <w:bookmarkEnd w:id="30"/>
    </w:p>
    <w:p w:rsidR="009E3C67" w:rsidRPr="009E3C67" w:rsidRDefault="009E3C67" w:rsidP="009E3C67">
      <w:pPr>
        <w:spacing w:line="360" w:lineRule="auto"/>
        <w:jc w:val="both"/>
        <w:rPr>
          <w:rFonts w:ascii="Arial" w:hAnsi="Arial" w:cs="Arial"/>
          <w:sz w:val="22"/>
          <w:szCs w:val="22"/>
          <w:lang w:eastAsia="en-AU"/>
        </w:rPr>
      </w:pP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ABS, 2011a.</w:t>
      </w:r>
      <w:proofErr w:type="gramEnd"/>
      <w:r w:rsidRPr="009E3C67">
        <w:rPr>
          <w:rFonts w:ascii="Arial" w:hAnsi="Arial" w:cs="Arial"/>
          <w:sz w:val="22"/>
          <w:szCs w:val="22"/>
        </w:rPr>
        <w:t xml:space="preserve"> Survey of Motor Vehicle Use:  Data Cubes, 12 months ended 31 October 2010.</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ABS, 2011b, Motor Vehicle Census, 9309.0, Australian Bureau of Statistics, 31 January 2011.</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ABS, 2012, Sales of New Motor Vehicles, 9314.0, Australian Bureau of Statistics, 31 January 2012.</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ARRB, 2008.</w:t>
      </w:r>
      <w:proofErr w:type="gramEnd"/>
      <w:r w:rsidRPr="009E3C67">
        <w:rPr>
          <w:rFonts w:ascii="Arial" w:hAnsi="Arial" w:cs="Arial"/>
          <w:sz w:val="22"/>
          <w:szCs w:val="22"/>
        </w:rPr>
        <w:t xml:space="preserve"> Australia’s New Car Fleet: Fuel Consumption Trade-Offs 1985-2005, </w:t>
      </w:r>
      <w:proofErr w:type="spellStart"/>
      <w:r w:rsidRPr="009E3C67">
        <w:rPr>
          <w:rFonts w:ascii="Arial" w:hAnsi="Arial" w:cs="Arial"/>
          <w:sz w:val="22"/>
          <w:szCs w:val="22"/>
        </w:rPr>
        <w:t>Thoresen</w:t>
      </w:r>
      <w:proofErr w:type="spellEnd"/>
      <w:r w:rsidRPr="009E3C67">
        <w:rPr>
          <w:rFonts w:ascii="Arial" w:hAnsi="Arial" w:cs="Arial"/>
          <w:sz w:val="22"/>
          <w:szCs w:val="22"/>
        </w:rPr>
        <w:t>, T., ARRB Group Ltd, Vermont South, Victoria, Australia, Research Report ARR 371, May 2008, ISBN 1 876592 53 2.</w:t>
      </w:r>
    </w:p>
    <w:p w:rsidR="009E3C67" w:rsidRPr="009E3C67" w:rsidRDefault="009E3C67" w:rsidP="009E3C67">
      <w:pPr>
        <w:spacing w:line="360" w:lineRule="auto"/>
        <w:ind w:left="567" w:hanging="567"/>
        <w:jc w:val="both"/>
        <w:rPr>
          <w:rFonts w:ascii="Arial" w:hAnsi="Arial" w:cs="Arial"/>
          <w:sz w:val="22"/>
          <w:szCs w:val="22"/>
        </w:rPr>
      </w:pPr>
      <w:proofErr w:type="spellStart"/>
      <w:proofErr w:type="gramStart"/>
      <w:r w:rsidRPr="009E3C67">
        <w:rPr>
          <w:rFonts w:ascii="Arial" w:hAnsi="Arial" w:cs="Arial"/>
          <w:sz w:val="22"/>
          <w:szCs w:val="22"/>
        </w:rPr>
        <w:t>Austroads</w:t>
      </w:r>
      <w:proofErr w:type="spellEnd"/>
      <w:r w:rsidRPr="009E3C67">
        <w:rPr>
          <w:rFonts w:ascii="Arial" w:hAnsi="Arial" w:cs="Arial"/>
          <w:sz w:val="22"/>
          <w:szCs w:val="22"/>
        </w:rPr>
        <w:t>, 2013.</w:t>
      </w:r>
      <w:proofErr w:type="gramEnd"/>
      <w:r w:rsidRPr="009E3C67">
        <w:rPr>
          <w:rFonts w:ascii="Arial" w:hAnsi="Arial" w:cs="Arial"/>
          <w:sz w:val="22"/>
          <w:szCs w:val="22"/>
        </w:rPr>
        <w:t xml:space="preserve"> </w:t>
      </w:r>
      <w:proofErr w:type="gramStart"/>
      <w:r w:rsidRPr="009E3C67">
        <w:rPr>
          <w:rFonts w:ascii="Arial" w:hAnsi="Arial" w:cs="Arial"/>
          <w:sz w:val="22"/>
          <w:szCs w:val="22"/>
        </w:rPr>
        <w:t>National Performance Indicators, accessed 15 December 2013, http://algin.net/austroads/site/index.asp?id=2.</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BITRE, 2009.</w:t>
      </w:r>
      <w:proofErr w:type="gramEnd"/>
      <w:r w:rsidRPr="009E3C67">
        <w:rPr>
          <w:rFonts w:ascii="Arial" w:hAnsi="Arial" w:cs="Arial"/>
          <w:sz w:val="22"/>
          <w:szCs w:val="22"/>
        </w:rPr>
        <w:t xml:space="preserve"> Fuel Consumption by New Passenger Vehicles in Australia 1979-2008, Information Sheet 30, ISSN 1440-9593. </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BITRE, 2010.</w:t>
      </w:r>
      <w:proofErr w:type="gramEnd"/>
      <w:r w:rsidRPr="009E3C67">
        <w:rPr>
          <w:rFonts w:ascii="Arial" w:hAnsi="Arial" w:cs="Arial"/>
          <w:sz w:val="22"/>
          <w:szCs w:val="22"/>
        </w:rPr>
        <w:t xml:space="preserve"> Long-Term projections of Australian Transport Emissions Base Case 2010, Australian Government, Department of Infrastructure and Transport, Bureau of Infrastructure, Transport and Regional Economics (BITRE), November 2010.</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BTCE, 1996a.</w:t>
      </w:r>
      <w:proofErr w:type="gramEnd"/>
      <w:r w:rsidRPr="009E3C67">
        <w:rPr>
          <w:rFonts w:ascii="Arial" w:hAnsi="Arial" w:cs="Arial"/>
          <w:sz w:val="22"/>
          <w:szCs w:val="22"/>
        </w:rPr>
        <w:t xml:space="preserve"> Costs of Reducing Greenhouse Gas Emissions from Australian Cars: An Application of the BTCE CARMOD Model, Working Paper 24, Bureau of Transport and Communications Economics (BTCE). </w:t>
      </w:r>
      <w:proofErr w:type="gramStart"/>
      <w:r w:rsidRPr="009E3C67">
        <w:rPr>
          <w:rFonts w:ascii="Arial" w:hAnsi="Arial" w:cs="Arial"/>
          <w:sz w:val="22"/>
          <w:szCs w:val="22"/>
        </w:rPr>
        <w:t>ISBN 0 642 24807 9.</w:t>
      </w:r>
      <w:proofErr w:type="gramEnd"/>
    </w:p>
    <w:p w:rsidR="00F96ABB" w:rsidRDefault="009E3C67" w:rsidP="0009598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BTCE, 1996b.</w:t>
      </w:r>
      <w:proofErr w:type="gramEnd"/>
      <w:r w:rsidRPr="009E3C67">
        <w:rPr>
          <w:rFonts w:ascii="Arial" w:hAnsi="Arial" w:cs="Arial"/>
          <w:sz w:val="22"/>
          <w:szCs w:val="22"/>
        </w:rPr>
        <w:t xml:space="preserve"> Costs of Reducing Greenhouse Gas Emissions from Australian Road Freight Vehicles: An Application of the BTCE TRUCKMOD Model, Working Paper 22, Bureau of Transport and Communications Economics (BTCE). </w:t>
      </w:r>
      <w:proofErr w:type="gramStart"/>
      <w:r w:rsidRPr="009E3C67">
        <w:rPr>
          <w:rFonts w:ascii="Arial" w:hAnsi="Arial" w:cs="Arial"/>
          <w:sz w:val="22"/>
          <w:szCs w:val="22"/>
        </w:rPr>
        <w:t>ISBN 0 642 24569 X.</w:t>
      </w:r>
      <w:proofErr w:type="gramEnd"/>
    </w:p>
    <w:p w:rsidR="00F96ABB" w:rsidRDefault="00F96ABB" w:rsidP="00095987">
      <w:pPr>
        <w:spacing w:line="360" w:lineRule="auto"/>
        <w:ind w:left="567" w:hanging="567"/>
        <w:jc w:val="both"/>
        <w:rPr>
          <w:rFonts w:ascii="Arial" w:hAnsi="Arial" w:cs="Arial"/>
          <w:sz w:val="22"/>
          <w:szCs w:val="22"/>
        </w:rPr>
      </w:pPr>
      <w:proofErr w:type="gramStart"/>
      <w:r>
        <w:rPr>
          <w:rFonts w:ascii="Arial" w:hAnsi="Arial" w:cs="Arial"/>
          <w:sz w:val="22"/>
          <w:szCs w:val="22"/>
        </w:rPr>
        <w:t>BTRE, 2002.</w:t>
      </w:r>
      <w:proofErr w:type="gramEnd"/>
      <w:r>
        <w:rPr>
          <w:rFonts w:ascii="Arial" w:hAnsi="Arial" w:cs="Arial"/>
          <w:sz w:val="22"/>
          <w:szCs w:val="22"/>
        </w:rPr>
        <w:t xml:space="preserve"> </w:t>
      </w:r>
      <w:r w:rsidRPr="00F96ABB">
        <w:rPr>
          <w:rFonts w:ascii="Arial" w:hAnsi="Arial" w:cs="Arial"/>
          <w:sz w:val="22"/>
          <w:szCs w:val="22"/>
        </w:rPr>
        <w:t>Greenhouse Gas Emissions from Transport: Australian Trends To 2020</w:t>
      </w:r>
      <w:r>
        <w:rPr>
          <w:rFonts w:ascii="Arial" w:hAnsi="Arial" w:cs="Arial"/>
          <w:sz w:val="22"/>
          <w:szCs w:val="22"/>
        </w:rPr>
        <w:t xml:space="preserve">, </w:t>
      </w:r>
      <w:r w:rsidRPr="00F96ABB">
        <w:rPr>
          <w:rFonts w:ascii="Arial" w:hAnsi="Arial" w:cs="Arial"/>
          <w:sz w:val="22"/>
          <w:szCs w:val="22"/>
        </w:rPr>
        <w:t>Bureau of Transport and Regional Economics</w:t>
      </w:r>
      <w:r>
        <w:rPr>
          <w:rFonts w:ascii="Arial" w:hAnsi="Arial" w:cs="Arial"/>
          <w:sz w:val="22"/>
          <w:szCs w:val="22"/>
        </w:rPr>
        <w:t>,</w:t>
      </w:r>
      <w:r w:rsidRPr="00F96ABB">
        <w:rPr>
          <w:rFonts w:ascii="Arial" w:hAnsi="Arial" w:cs="Arial"/>
          <w:sz w:val="22"/>
          <w:szCs w:val="22"/>
        </w:rPr>
        <w:t xml:space="preserve"> Report 107</w:t>
      </w:r>
      <w:r>
        <w:rPr>
          <w:rFonts w:ascii="Arial" w:hAnsi="Arial" w:cs="Arial"/>
          <w:sz w:val="22"/>
          <w:szCs w:val="22"/>
        </w:rPr>
        <w:t>.</w:t>
      </w:r>
    </w:p>
    <w:p w:rsidR="009E3C67" w:rsidRPr="009E3C67" w:rsidRDefault="00F96ABB" w:rsidP="009E3C67">
      <w:pPr>
        <w:spacing w:line="360" w:lineRule="auto"/>
        <w:ind w:left="567" w:hanging="567"/>
        <w:jc w:val="both"/>
        <w:rPr>
          <w:rFonts w:ascii="Arial" w:hAnsi="Arial" w:cs="Arial"/>
          <w:sz w:val="22"/>
          <w:szCs w:val="22"/>
        </w:rPr>
      </w:pPr>
      <w:proofErr w:type="gramStart"/>
      <w:r>
        <w:rPr>
          <w:rFonts w:ascii="Arial" w:hAnsi="Arial" w:cs="Arial"/>
          <w:sz w:val="22"/>
          <w:szCs w:val="22"/>
        </w:rPr>
        <w:t>BTRE, 2003.</w:t>
      </w:r>
      <w:proofErr w:type="gramEnd"/>
      <w:r>
        <w:rPr>
          <w:rFonts w:ascii="Arial" w:hAnsi="Arial" w:cs="Arial"/>
          <w:sz w:val="22"/>
          <w:szCs w:val="22"/>
        </w:rPr>
        <w:t xml:space="preserve"> </w:t>
      </w:r>
      <w:r w:rsidRPr="00F96ABB">
        <w:rPr>
          <w:rFonts w:ascii="Arial" w:hAnsi="Arial" w:cs="Arial"/>
          <w:sz w:val="22"/>
          <w:szCs w:val="22"/>
        </w:rPr>
        <w:t>Urban Pollutant Emissions from Motor Vehicles: Australian Trends to 2020</w:t>
      </w:r>
      <w:r>
        <w:rPr>
          <w:rFonts w:ascii="Arial" w:hAnsi="Arial" w:cs="Arial"/>
          <w:sz w:val="22"/>
          <w:szCs w:val="22"/>
        </w:rPr>
        <w:t xml:space="preserve">, </w:t>
      </w:r>
      <w:r w:rsidRPr="00F96ABB">
        <w:rPr>
          <w:rFonts w:ascii="Arial" w:hAnsi="Arial" w:cs="Arial"/>
          <w:sz w:val="22"/>
          <w:szCs w:val="22"/>
        </w:rPr>
        <w:t>Bureau of Transport and Regional Economics</w:t>
      </w:r>
      <w:r>
        <w:rPr>
          <w:rFonts w:ascii="Arial" w:hAnsi="Arial" w:cs="Arial"/>
          <w:sz w:val="22"/>
          <w:szCs w:val="22"/>
        </w:rPr>
        <w:t>.</w:t>
      </w:r>
      <w:r w:rsidR="00143600">
        <w:rPr>
          <w:rFonts w:ascii="Arial" w:hAnsi="Arial" w:cs="Arial"/>
          <w:sz w:val="22"/>
          <w:szCs w:val="22"/>
        </w:rPr>
        <w:t xml:space="preserve"> </w:t>
      </w:r>
      <w:proofErr w:type="spellStart"/>
      <w:proofErr w:type="gramStart"/>
      <w:r w:rsidR="009E3C67" w:rsidRPr="009E3C67">
        <w:rPr>
          <w:rFonts w:ascii="Arial" w:hAnsi="Arial" w:cs="Arial"/>
          <w:sz w:val="22"/>
          <w:szCs w:val="22"/>
        </w:rPr>
        <w:t>Caiazzo</w:t>
      </w:r>
      <w:proofErr w:type="spellEnd"/>
      <w:r w:rsidR="009E3C67" w:rsidRPr="009E3C67">
        <w:rPr>
          <w:rFonts w:ascii="Arial" w:hAnsi="Arial" w:cs="Arial"/>
          <w:sz w:val="22"/>
          <w:szCs w:val="22"/>
        </w:rPr>
        <w:t xml:space="preserve">, F., Ashok, A., </w:t>
      </w:r>
      <w:proofErr w:type="spellStart"/>
      <w:r w:rsidR="009E3C67" w:rsidRPr="009E3C67">
        <w:rPr>
          <w:rFonts w:ascii="Arial" w:hAnsi="Arial" w:cs="Arial"/>
          <w:sz w:val="22"/>
          <w:szCs w:val="22"/>
        </w:rPr>
        <w:t>Waitz</w:t>
      </w:r>
      <w:proofErr w:type="spellEnd"/>
      <w:r w:rsidR="009E3C67" w:rsidRPr="009E3C67">
        <w:rPr>
          <w:rFonts w:ascii="Arial" w:hAnsi="Arial" w:cs="Arial"/>
          <w:sz w:val="22"/>
          <w:szCs w:val="22"/>
        </w:rPr>
        <w:t xml:space="preserve">, I.A., </w:t>
      </w:r>
      <w:proofErr w:type="spellStart"/>
      <w:r w:rsidR="009E3C67" w:rsidRPr="009E3C67">
        <w:rPr>
          <w:rFonts w:ascii="Arial" w:hAnsi="Arial" w:cs="Arial"/>
          <w:sz w:val="22"/>
          <w:szCs w:val="22"/>
        </w:rPr>
        <w:t>Yim</w:t>
      </w:r>
      <w:proofErr w:type="spellEnd"/>
      <w:r w:rsidR="009E3C67" w:rsidRPr="009E3C67">
        <w:rPr>
          <w:rFonts w:ascii="Arial" w:hAnsi="Arial" w:cs="Arial"/>
          <w:sz w:val="22"/>
          <w:szCs w:val="22"/>
        </w:rPr>
        <w:t>, S.H.L., Barrett, S.H.R., Air pollution and early deaths in the United States.</w:t>
      </w:r>
      <w:proofErr w:type="gramEnd"/>
      <w:r w:rsidR="009E3C67" w:rsidRPr="009E3C67">
        <w:rPr>
          <w:rFonts w:ascii="Arial" w:hAnsi="Arial" w:cs="Arial"/>
          <w:sz w:val="22"/>
          <w:szCs w:val="22"/>
        </w:rPr>
        <w:t xml:space="preserve"> Part I: Quantifying the impact of major sectors in 2005, Atmospheric Environment, 79, 198-208.</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Cohen, D.D., </w:t>
      </w:r>
      <w:proofErr w:type="spellStart"/>
      <w:r w:rsidRPr="009E3C67">
        <w:rPr>
          <w:rFonts w:ascii="Arial" w:hAnsi="Arial" w:cs="Arial"/>
          <w:sz w:val="22"/>
          <w:szCs w:val="22"/>
        </w:rPr>
        <w:t>Gulson</w:t>
      </w:r>
      <w:proofErr w:type="spellEnd"/>
      <w:r w:rsidRPr="009E3C67">
        <w:rPr>
          <w:rFonts w:ascii="Arial" w:hAnsi="Arial" w:cs="Arial"/>
          <w:sz w:val="22"/>
          <w:szCs w:val="22"/>
        </w:rPr>
        <w:t xml:space="preserve">, B.L., Davis, J.M., </w:t>
      </w:r>
      <w:proofErr w:type="spellStart"/>
      <w:r w:rsidRPr="009E3C67">
        <w:rPr>
          <w:rFonts w:ascii="Arial" w:hAnsi="Arial" w:cs="Arial"/>
          <w:sz w:val="22"/>
          <w:szCs w:val="22"/>
        </w:rPr>
        <w:t>Stelcer</w:t>
      </w:r>
      <w:proofErr w:type="spellEnd"/>
      <w:r w:rsidRPr="009E3C67">
        <w:rPr>
          <w:rFonts w:ascii="Arial" w:hAnsi="Arial" w:cs="Arial"/>
          <w:sz w:val="22"/>
          <w:szCs w:val="22"/>
        </w:rPr>
        <w:t xml:space="preserve">, E., </w:t>
      </w:r>
      <w:proofErr w:type="spellStart"/>
      <w:r w:rsidRPr="009E3C67">
        <w:rPr>
          <w:rFonts w:ascii="Arial" w:hAnsi="Arial" w:cs="Arial"/>
          <w:sz w:val="22"/>
          <w:szCs w:val="22"/>
        </w:rPr>
        <w:t>Garton</w:t>
      </w:r>
      <w:proofErr w:type="spellEnd"/>
      <w:r w:rsidRPr="009E3C67">
        <w:rPr>
          <w:rFonts w:ascii="Arial" w:hAnsi="Arial" w:cs="Arial"/>
          <w:sz w:val="22"/>
          <w:szCs w:val="22"/>
        </w:rPr>
        <w:t xml:space="preserve">, D., </w:t>
      </w:r>
      <w:proofErr w:type="spellStart"/>
      <w:r w:rsidRPr="009E3C67">
        <w:rPr>
          <w:rFonts w:ascii="Arial" w:hAnsi="Arial" w:cs="Arial"/>
          <w:sz w:val="22"/>
          <w:szCs w:val="22"/>
        </w:rPr>
        <w:t>Hawas</w:t>
      </w:r>
      <w:proofErr w:type="spellEnd"/>
      <w:r w:rsidRPr="009E3C67">
        <w:rPr>
          <w:rFonts w:ascii="Arial" w:hAnsi="Arial" w:cs="Arial"/>
          <w:sz w:val="22"/>
          <w:szCs w:val="22"/>
        </w:rPr>
        <w:t xml:space="preserve">, O., Taylor, A., 2005. Fine-particle </w:t>
      </w:r>
      <w:proofErr w:type="spellStart"/>
      <w:r w:rsidRPr="009E3C67">
        <w:rPr>
          <w:rFonts w:ascii="Arial" w:hAnsi="Arial" w:cs="Arial"/>
          <w:sz w:val="22"/>
          <w:szCs w:val="22"/>
        </w:rPr>
        <w:t>Mn</w:t>
      </w:r>
      <w:proofErr w:type="spellEnd"/>
      <w:r w:rsidRPr="009E3C67">
        <w:rPr>
          <w:rFonts w:ascii="Arial" w:hAnsi="Arial" w:cs="Arial"/>
          <w:sz w:val="22"/>
          <w:szCs w:val="22"/>
        </w:rPr>
        <w:t xml:space="preserve"> and other metals linked to the introduction of MMT into gasoline in Sydney, Australia: results of a natural experiment, Atmospheric Environment, 39, 6885-6896.</w:t>
      </w:r>
    </w:p>
    <w:p w:rsidR="004C1E7C" w:rsidRDefault="004C1E7C" w:rsidP="009E3C67">
      <w:pPr>
        <w:spacing w:line="360" w:lineRule="auto"/>
        <w:ind w:left="567" w:hanging="567"/>
        <w:jc w:val="both"/>
        <w:rPr>
          <w:rFonts w:ascii="Arial" w:hAnsi="Arial" w:cs="Arial"/>
          <w:sz w:val="22"/>
          <w:szCs w:val="22"/>
        </w:rPr>
      </w:pPr>
      <w:proofErr w:type="spellStart"/>
      <w:proofErr w:type="gramStart"/>
      <w:r>
        <w:rPr>
          <w:rFonts w:ascii="Arial" w:hAnsi="Arial" w:cs="Arial"/>
          <w:sz w:val="22"/>
          <w:szCs w:val="22"/>
        </w:rPr>
        <w:t>CoA</w:t>
      </w:r>
      <w:proofErr w:type="spellEnd"/>
      <w:r w:rsidRPr="004C1E7C">
        <w:rPr>
          <w:rFonts w:ascii="Arial" w:hAnsi="Arial" w:cs="Arial"/>
          <w:sz w:val="22"/>
          <w:szCs w:val="22"/>
        </w:rPr>
        <w:t>, 2014.</w:t>
      </w:r>
      <w:proofErr w:type="gramEnd"/>
      <w:r w:rsidRPr="004C1E7C">
        <w:rPr>
          <w:rFonts w:ascii="Arial" w:hAnsi="Arial" w:cs="Arial"/>
          <w:sz w:val="22"/>
          <w:szCs w:val="22"/>
        </w:rPr>
        <w:t xml:space="preserve"> National Inventory Report 2012 Volume 1</w:t>
      </w:r>
      <w:r>
        <w:rPr>
          <w:rFonts w:ascii="Arial" w:hAnsi="Arial" w:cs="Arial"/>
          <w:sz w:val="22"/>
          <w:szCs w:val="22"/>
        </w:rPr>
        <w:t xml:space="preserve">, </w:t>
      </w:r>
      <w:r w:rsidRPr="004C1E7C">
        <w:rPr>
          <w:rFonts w:ascii="Arial" w:hAnsi="Arial" w:cs="Arial"/>
          <w:sz w:val="22"/>
          <w:szCs w:val="22"/>
        </w:rPr>
        <w:t>Commonwealth of Australia</w:t>
      </w:r>
      <w:r>
        <w:rPr>
          <w:rFonts w:ascii="Arial" w:hAnsi="Arial" w:cs="Arial"/>
          <w:sz w:val="22"/>
          <w:szCs w:val="22"/>
        </w:rPr>
        <w:t xml:space="preserve"> (</w:t>
      </w:r>
      <w:proofErr w:type="spellStart"/>
      <w:r>
        <w:rPr>
          <w:rFonts w:ascii="Arial" w:hAnsi="Arial" w:cs="Arial"/>
          <w:sz w:val="22"/>
          <w:szCs w:val="22"/>
        </w:rPr>
        <w:t>CoA</w:t>
      </w:r>
      <w:proofErr w:type="spellEnd"/>
      <w:r>
        <w:rPr>
          <w:rFonts w:ascii="Arial" w:hAnsi="Arial" w:cs="Arial"/>
          <w:sz w:val="22"/>
          <w:szCs w:val="22"/>
        </w:rPr>
        <w:t xml:space="preserve">), </w:t>
      </w:r>
      <w:r w:rsidRPr="004C1E7C">
        <w:rPr>
          <w:rFonts w:ascii="Arial" w:hAnsi="Arial" w:cs="Arial"/>
          <w:sz w:val="22"/>
          <w:szCs w:val="22"/>
        </w:rPr>
        <w:t>http://www.environment.gov.au/system/files/resources/6b894230-f15f-4a69-a50c-5577fecc8bc2/files/national-inventory-report-2012-vol1.pdf</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DCCEE, 2012.</w:t>
      </w:r>
      <w:proofErr w:type="gramEnd"/>
      <w:r w:rsidRPr="009E3C67">
        <w:rPr>
          <w:rFonts w:ascii="Arial" w:hAnsi="Arial" w:cs="Arial"/>
          <w:sz w:val="22"/>
          <w:szCs w:val="22"/>
        </w:rPr>
        <w:t xml:space="preserve"> </w:t>
      </w:r>
      <w:proofErr w:type="gramStart"/>
      <w:r w:rsidRPr="009E3C67">
        <w:rPr>
          <w:rFonts w:ascii="Arial" w:hAnsi="Arial" w:cs="Arial"/>
          <w:sz w:val="22"/>
          <w:szCs w:val="22"/>
        </w:rPr>
        <w:t>Australian National Greenhouse Accounts, Department of Climate Change and Energy Efficiency (DCCEE), April 2012, ISBN 978 1 922003 28 7.</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lastRenderedPageBreak/>
        <w:t>DEWHA, 2008.</w:t>
      </w:r>
      <w:proofErr w:type="gramEnd"/>
      <w:r w:rsidRPr="009E3C67">
        <w:rPr>
          <w:rFonts w:ascii="Arial" w:hAnsi="Arial" w:cs="Arial"/>
          <w:sz w:val="22"/>
          <w:szCs w:val="22"/>
        </w:rPr>
        <w:t xml:space="preserve"> </w:t>
      </w:r>
      <w:proofErr w:type="gramStart"/>
      <w:r w:rsidRPr="009E3C67">
        <w:rPr>
          <w:rFonts w:ascii="Arial" w:hAnsi="Arial" w:cs="Arial"/>
          <w:sz w:val="22"/>
          <w:szCs w:val="22"/>
        </w:rPr>
        <w:t>Evaluating the Health Impacts of Ethanol Blend Petrol, Commonwealth of Australia, Department of Environment, Water, Heritage and the Arts (DEWHA), Final Report KW48/17/F3.3F, June 2008.</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DoE, 2014.</w:t>
      </w:r>
      <w:proofErr w:type="gramEnd"/>
      <w:r w:rsidRPr="009E3C67">
        <w:rPr>
          <w:rFonts w:ascii="Arial" w:hAnsi="Arial" w:cs="Arial"/>
          <w:sz w:val="22"/>
          <w:szCs w:val="22"/>
        </w:rPr>
        <w:t xml:space="preserve"> </w:t>
      </w:r>
      <w:proofErr w:type="gramStart"/>
      <w:r w:rsidRPr="009E3C67">
        <w:rPr>
          <w:rFonts w:ascii="Arial" w:hAnsi="Arial" w:cs="Arial"/>
          <w:sz w:val="22"/>
          <w:szCs w:val="22"/>
        </w:rPr>
        <w:t>Fuel Quality Standards, Australian Government, Department of Environment, http://www.environment.gov.au/topics/environment-protection/fuel-quality/standards.</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DTRS, 2001.</w:t>
      </w:r>
      <w:proofErr w:type="gramEnd"/>
      <w:r w:rsidRPr="009E3C67">
        <w:rPr>
          <w:rFonts w:ascii="Arial" w:hAnsi="Arial" w:cs="Arial"/>
          <w:sz w:val="22"/>
          <w:szCs w:val="22"/>
        </w:rPr>
        <w:t xml:space="preserve"> Comparative Vehicle Emissions Study, Department of Transport and Regional Services (DTRS), February 2001.</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 xml:space="preserve">Eggleston, H.S., </w:t>
      </w:r>
      <w:proofErr w:type="spellStart"/>
      <w:r w:rsidRPr="009E3C67">
        <w:rPr>
          <w:rFonts w:ascii="Arial" w:hAnsi="Arial" w:cs="Arial"/>
          <w:sz w:val="22"/>
          <w:szCs w:val="22"/>
        </w:rPr>
        <w:t>Gaudioso</w:t>
      </w:r>
      <w:proofErr w:type="spellEnd"/>
      <w:r w:rsidRPr="009E3C67">
        <w:rPr>
          <w:rFonts w:ascii="Arial" w:hAnsi="Arial" w:cs="Arial"/>
          <w:sz w:val="22"/>
          <w:szCs w:val="22"/>
        </w:rPr>
        <w:t xml:space="preserve">, D., </w:t>
      </w:r>
      <w:proofErr w:type="spellStart"/>
      <w:r w:rsidRPr="009E3C67">
        <w:rPr>
          <w:rFonts w:ascii="Arial" w:hAnsi="Arial" w:cs="Arial"/>
          <w:sz w:val="22"/>
          <w:szCs w:val="22"/>
        </w:rPr>
        <w:t>Gorissen</w:t>
      </w:r>
      <w:proofErr w:type="spellEnd"/>
      <w:r w:rsidRPr="009E3C67">
        <w:rPr>
          <w:rFonts w:ascii="Arial" w:hAnsi="Arial" w:cs="Arial"/>
          <w:sz w:val="22"/>
          <w:szCs w:val="22"/>
        </w:rPr>
        <w:t xml:space="preserve">, N., </w:t>
      </w:r>
      <w:proofErr w:type="spellStart"/>
      <w:r w:rsidRPr="009E3C67">
        <w:rPr>
          <w:rFonts w:ascii="Arial" w:hAnsi="Arial" w:cs="Arial"/>
          <w:sz w:val="22"/>
          <w:szCs w:val="22"/>
        </w:rPr>
        <w:t>Joumard</w:t>
      </w:r>
      <w:proofErr w:type="spellEnd"/>
      <w:r w:rsidRPr="009E3C67">
        <w:rPr>
          <w:rFonts w:ascii="Arial" w:hAnsi="Arial" w:cs="Arial"/>
          <w:sz w:val="22"/>
          <w:szCs w:val="22"/>
        </w:rPr>
        <w:t xml:space="preserve">, R., </w:t>
      </w:r>
      <w:proofErr w:type="spellStart"/>
      <w:r w:rsidRPr="009E3C67">
        <w:rPr>
          <w:rFonts w:ascii="Arial" w:hAnsi="Arial" w:cs="Arial"/>
          <w:sz w:val="22"/>
          <w:szCs w:val="22"/>
        </w:rPr>
        <w:t>Rijkeboer</w:t>
      </w:r>
      <w:proofErr w:type="spellEnd"/>
      <w:r w:rsidRPr="009E3C67">
        <w:rPr>
          <w:rFonts w:ascii="Arial" w:hAnsi="Arial" w:cs="Arial"/>
          <w:sz w:val="22"/>
          <w:szCs w:val="22"/>
        </w:rPr>
        <w:t xml:space="preserve">, R.C., Samaras, Z. &amp; </w:t>
      </w:r>
      <w:proofErr w:type="spellStart"/>
      <w:r w:rsidRPr="009E3C67">
        <w:rPr>
          <w:rFonts w:ascii="Arial" w:hAnsi="Arial" w:cs="Arial"/>
          <w:sz w:val="22"/>
          <w:szCs w:val="22"/>
        </w:rPr>
        <w:t>Zierock</w:t>
      </w:r>
      <w:proofErr w:type="spellEnd"/>
      <w:r w:rsidRPr="009E3C67">
        <w:rPr>
          <w:rFonts w:ascii="Arial" w:hAnsi="Arial" w:cs="Arial"/>
          <w:sz w:val="22"/>
          <w:szCs w:val="22"/>
        </w:rPr>
        <w:t>, K.-H.</w:t>
      </w:r>
      <w:proofErr w:type="gramEnd"/>
      <w:r w:rsidRPr="009E3C67">
        <w:rPr>
          <w:rFonts w:ascii="Arial" w:hAnsi="Arial" w:cs="Arial"/>
          <w:sz w:val="22"/>
          <w:szCs w:val="22"/>
        </w:rPr>
        <w:t xml:space="preserve"> (1993) CORINAIR Working Group on Emission Factors for Calculating 1990 Emissions from Road Traffic, Volume 1: Methodology and Emission Factors, Final Report, Commission of the European Communities, ECSC-EEC-EAEC, Brussels, Luxembourg, ISBN 92 826 5771 X.</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FCAI, 2012, VFACTS National Report – New Vehicle Sales, Federal Chamber of Automotive Industries (FCAI), December 2012.</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FORS, 1996.</w:t>
      </w:r>
      <w:proofErr w:type="gramEnd"/>
      <w:r w:rsidRPr="009E3C67">
        <w:rPr>
          <w:rFonts w:ascii="Arial" w:hAnsi="Arial" w:cs="Arial"/>
          <w:sz w:val="22"/>
          <w:szCs w:val="22"/>
        </w:rPr>
        <w:t xml:space="preserve"> Motor Vehicle Pollution in Australia – National In-Service Vehicle Emissions Study, Federal Office of Road Safety (FORS), May 1996.</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Gas Energy Australia, 2013.</w:t>
      </w:r>
      <w:proofErr w:type="gramEnd"/>
      <w:r w:rsidRPr="009E3C67">
        <w:rPr>
          <w:rFonts w:ascii="Arial" w:hAnsi="Arial" w:cs="Arial"/>
          <w:sz w:val="22"/>
          <w:szCs w:val="22"/>
        </w:rPr>
        <w:t xml:space="preserve"> pers.</w:t>
      </w:r>
      <w:r w:rsidR="00143600">
        <w:rPr>
          <w:rFonts w:ascii="Arial" w:hAnsi="Arial" w:cs="Arial"/>
          <w:sz w:val="22"/>
          <w:szCs w:val="22"/>
        </w:rPr>
        <w:t xml:space="preserve"> comm.</w:t>
      </w:r>
      <w:r w:rsidRPr="009E3C67">
        <w:rPr>
          <w:rFonts w:ascii="Arial" w:hAnsi="Arial" w:cs="Arial"/>
          <w:sz w:val="22"/>
          <w:szCs w:val="22"/>
        </w:rPr>
        <w:t xml:space="preserve"> John Griffiths with Robin Smit, September 2013.</w:t>
      </w:r>
    </w:p>
    <w:p w:rsidR="009E3C67" w:rsidRPr="009E3C67" w:rsidRDefault="009E3C67" w:rsidP="009E3C67">
      <w:pPr>
        <w:spacing w:line="360" w:lineRule="auto"/>
        <w:ind w:left="567" w:hanging="567"/>
        <w:jc w:val="both"/>
        <w:rPr>
          <w:rFonts w:ascii="Arial" w:hAnsi="Arial" w:cs="Arial"/>
          <w:sz w:val="22"/>
          <w:szCs w:val="22"/>
        </w:rPr>
      </w:pPr>
      <w:proofErr w:type="spellStart"/>
      <w:r w:rsidRPr="009E3C67">
        <w:rPr>
          <w:rFonts w:ascii="Arial" w:hAnsi="Arial" w:cs="Arial"/>
          <w:sz w:val="22"/>
          <w:szCs w:val="22"/>
        </w:rPr>
        <w:t>Gkatzoflias</w:t>
      </w:r>
      <w:proofErr w:type="spellEnd"/>
      <w:r w:rsidRPr="009E3C67">
        <w:rPr>
          <w:rFonts w:ascii="Arial" w:hAnsi="Arial" w:cs="Arial"/>
          <w:sz w:val="22"/>
          <w:szCs w:val="22"/>
        </w:rPr>
        <w:t xml:space="preserve">, D., </w:t>
      </w:r>
      <w:proofErr w:type="spellStart"/>
      <w:r w:rsidRPr="009E3C67">
        <w:rPr>
          <w:rFonts w:ascii="Arial" w:hAnsi="Arial" w:cs="Arial"/>
          <w:sz w:val="22"/>
          <w:szCs w:val="22"/>
        </w:rPr>
        <w:t>Kouridis</w:t>
      </w:r>
      <w:proofErr w:type="spellEnd"/>
      <w:r w:rsidRPr="009E3C67">
        <w:rPr>
          <w:rFonts w:ascii="Arial" w:hAnsi="Arial" w:cs="Arial"/>
          <w:sz w:val="22"/>
          <w:szCs w:val="22"/>
        </w:rPr>
        <w:t xml:space="preserve">, C., </w:t>
      </w:r>
      <w:proofErr w:type="spellStart"/>
      <w:r w:rsidRPr="009E3C67">
        <w:rPr>
          <w:rFonts w:ascii="Arial" w:hAnsi="Arial" w:cs="Arial"/>
          <w:sz w:val="22"/>
          <w:szCs w:val="22"/>
        </w:rPr>
        <w:t>Ntziachristos</w:t>
      </w:r>
      <w:proofErr w:type="spellEnd"/>
      <w:r w:rsidRPr="009E3C67">
        <w:rPr>
          <w:rFonts w:ascii="Arial" w:hAnsi="Arial" w:cs="Arial"/>
          <w:sz w:val="22"/>
          <w:szCs w:val="22"/>
        </w:rPr>
        <w:t xml:space="preserve">, L., 2011. </w:t>
      </w:r>
      <w:proofErr w:type="gramStart"/>
      <w:r w:rsidRPr="009E3C67">
        <w:rPr>
          <w:rFonts w:ascii="Arial" w:hAnsi="Arial" w:cs="Arial"/>
          <w:sz w:val="22"/>
          <w:szCs w:val="22"/>
        </w:rPr>
        <w:t>Description of New Elements in COPERT 4 v9.0, EMISIA SA Report No 11.RE.005.V1.</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IEA, 2011.</w:t>
      </w:r>
      <w:proofErr w:type="gramEnd"/>
      <w:r w:rsidRPr="009E3C67">
        <w:rPr>
          <w:rFonts w:ascii="Arial" w:hAnsi="Arial" w:cs="Arial"/>
          <w:sz w:val="22"/>
          <w:szCs w:val="22"/>
        </w:rPr>
        <w:t xml:space="preserve"> International comparison of light-duty vehicle fuel economy and related characteristics, Global Fuel Economy Initiative (GFEI), International Energy Agency (IEA), Working Paper 5/10, Prepared by F. </w:t>
      </w:r>
      <w:proofErr w:type="spellStart"/>
      <w:r w:rsidRPr="009E3C67">
        <w:rPr>
          <w:rFonts w:ascii="Arial" w:hAnsi="Arial" w:cs="Arial"/>
          <w:sz w:val="22"/>
          <w:szCs w:val="22"/>
        </w:rPr>
        <w:t>Cuenot</w:t>
      </w:r>
      <w:proofErr w:type="spellEnd"/>
      <w:r w:rsidRPr="009E3C67">
        <w:rPr>
          <w:rFonts w:ascii="Arial" w:hAnsi="Arial" w:cs="Arial"/>
          <w:sz w:val="22"/>
          <w:szCs w:val="22"/>
        </w:rPr>
        <w:t xml:space="preserve"> and L. Fulton, Paris, France.</w:t>
      </w:r>
    </w:p>
    <w:p w:rsidR="009E3C67" w:rsidRPr="009E3C67" w:rsidRDefault="009E3C67" w:rsidP="009E3C67">
      <w:pPr>
        <w:spacing w:line="360" w:lineRule="auto"/>
        <w:ind w:left="567" w:hanging="567"/>
        <w:jc w:val="both"/>
        <w:rPr>
          <w:rFonts w:ascii="Arial" w:hAnsi="Arial" w:cs="Arial"/>
          <w:sz w:val="22"/>
          <w:szCs w:val="22"/>
        </w:rPr>
      </w:pPr>
      <w:proofErr w:type="spellStart"/>
      <w:r w:rsidRPr="009E3C67">
        <w:rPr>
          <w:rFonts w:ascii="Arial" w:hAnsi="Arial" w:cs="Arial"/>
          <w:sz w:val="22"/>
          <w:szCs w:val="22"/>
        </w:rPr>
        <w:t>Mellios</w:t>
      </w:r>
      <w:proofErr w:type="spellEnd"/>
      <w:r w:rsidRPr="009E3C67">
        <w:rPr>
          <w:rFonts w:ascii="Arial" w:hAnsi="Arial" w:cs="Arial"/>
          <w:sz w:val="22"/>
          <w:szCs w:val="22"/>
        </w:rPr>
        <w:t xml:space="preserve">, G., Smit, R., </w:t>
      </w:r>
      <w:proofErr w:type="spellStart"/>
      <w:r w:rsidRPr="009E3C67">
        <w:rPr>
          <w:rFonts w:ascii="Arial" w:hAnsi="Arial" w:cs="Arial"/>
          <w:sz w:val="22"/>
          <w:szCs w:val="22"/>
        </w:rPr>
        <w:t>Ntziachristos</w:t>
      </w:r>
      <w:proofErr w:type="spellEnd"/>
      <w:r w:rsidRPr="009E3C67">
        <w:rPr>
          <w:rFonts w:ascii="Arial" w:hAnsi="Arial" w:cs="Arial"/>
          <w:sz w:val="22"/>
          <w:szCs w:val="22"/>
        </w:rPr>
        <w:t xml:space="preserve">, L., 2013. Evaporative emissions: developing Australian emission algorithms, </w:t>
      </w:r>
      <w:r w:rsidRPr="009E3C67">
        <w:rPr>
          <w:rFonts w:ascii="Arial" w:hAnsi="Arial" w:cs="Arial"/>
          <w:i/>
          <w:sz w:val="22"/>
          <w:szCs w:val="22"/>
        </w:rPr>
        <w:t>Proceedings of the CASANZ Conference</w:t>
      </w:r>
      <w:r w:rsidRPr="009E3C67">
        <w:rPr>
          <w:rFonts w:ascii="Arial" w:hAnsi="Arial" w:cs="Arial"/>
          <w:sz w:val="22"/>
          <w:szCs w:val="22"/>
        </w:rPr>
        <w:t>, Sydney, 7-11 September 2013.</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NEPC, 2011.</w:t>
      </w:r>
      <w:proofErr w:type="gramEnd"/>
      <w:r w:rsidRPr="009E3C67">
        <w:rPr>
          <w:rFonts w:ascii="Arial" w:hAnsi="Arial" w:cs="Arial"/>
          <w:sz w:val="22"/>
          <w:szCs w:val="22"/>
        </w:rPr>
        <w:t xml:space="preserve"> </w:t>
      </w:r>
      <w:proofErr w:type="gramStart"/>
      <w:r w:rsidRPr="009E3C67">
        <w:rPr>
          <w:rFonts w:ascii="Arial" w:hAnsi="Arial" w:cs="Arial"/>
          <w:sz w:val="22"/>
          <w:szCs w:val="22"/>
        </w:rPr>
        <w:t>National Environment Protection (Ambient Air Quality) Measure Review, May 2011, National Environment Protection Council Service Corporation (NEPC).</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NSW EPA, 2012.</w:t>
      </w:r>
      <w:proofErr w:type="gramEnd"/>
      <w:r w:rsidRPr="009E3C67">
        <w:rPr>
          <w:rFonts w:ascii="Arial" w:hAnsi="Arial" w:cs="Arial"/>
          <w:sz w:val="22"/>
          <w:szCs w:val="22"/>
        </w:rPr>
        <w:t xml:space="preserve"> Air Emissions Inventory for the Greater Metropolitan Region in New South Wales, 2008 Calendar Year, On-Road Mobile Emissions: Results, NSW Environment Protection Authority (NSW EPA), Technical Report 7, August 2012.</w:t>
      </w:r>
    </w:p>
    <w:p w:rsidR="009E3C67" w:rsidRPr="009E3C67" w:rsidRDefault="009E3C67" w:rsidP="009E3C67">
      <w:pPr>
        <w:spacing w:line="360" w:lineRule="auto"/>
        <w:ind w:left="567" w:hanging="567"/>
        <w:jc w:val="both"/>
        <w:rPr>
          <w:rFonts w:ascii="Arial" w:hAnsi="Arial" w:cs="Arial"/>
          <w:sz w:val="22"/>
          <w:szCs w:val="22"/>
        </w:rPr>
      </w:pPr>
      <w:proofErr w:type="spellStart"/>
      <w:proofErr w:type="gramStart"/>
      <w:r w:rsidRPr="009E3C67">
        <w:rPr>
          <w:rFonts w:ascii="Arial" w:hAnsi="Arial" w:cs="Arial"/>
          <w:sz w:val="22"/>
          <w:szCs w:val="22"/>
        </w:rPr>
        <w:t>Ntziachristos</w:t>
      </w:r>
      <w:proofErr w:type="spellEnd"/>
      <w:r w:rsidRPr="009E3C67">
        <w:rPr>
          <w:rFonts w:ascii="Arial" w:hAnsi="Arial" w:cs="Arial"/>
          <w:sz w:val="22"/>
          <w:szCs w:val="22"/>
        </w:rPr>
        <w:t xml:space="preserve">, L., Samaras, Z., </w:t>
      </w:r>
      <w:proofErr w:type="spellStart"/>
      <w:r w:rsidRPr="009E3C67">
        <w:rPr>
          <w:rFonts w:ascii="Arial" w:hAnsi="Arial" w:cs="Arial"/>
          <w:sz w:val="22"/>
          <w:szCs w:val="22"/>
        </w:rPr>
        <w:t>Kouridis</w:t>
      </w:r>
      <w:proofErr w:type="spellEnd"/>
      <w:r w:rsidRPr="009E3C67">
        <w:rPr>
          <w:rFonts w:ascii="Arial" w:hAnsi="Arial" w:cs="Arial"/>
          <w:sz w:val="22"/>
          <w:szCs w:val="22"/>
        </w:rPr>
        <w:t xml:space="preserve">, C., Hassel, D., McCrae, I., Hickman, J., </w:t>
      </w:r>
      <w:proofErr w:type="spellStart"/>
      <w:r w:rsidRPr="009E3C67">
        <w:rPr>
          <w:rFonts w:ascii="Arial" w:hAnsi="Arial" w:cs="Arial"/>
          <w:sz w:val="22"/>
          <w:szCs w:val="22"/>
        </w:rPr>
        <w:t>Zierock</w:t>
      </w:r>
      <w:proofErr w:type="spellEnd"/>
      <w:r w:rsidRPr="009E3C67">
        <w:rPr>
          <w:rFonts w:ascii="Arial" w:hAnsi="Arial" w:cs="Arial"/>
          <w:sz w:val="22"/>
          <w:szCs w:val="22"/>
        </w:rPr>
        <w:t xml:space="preserve">, K.H., Keller, M., Andre, M., </w:t>
      </w:r>
      <w:proofErr w:type="spellStart"/>
      <w:r w:rsidRPr="009E3C67">
        <w:rPr>
          <w:rFonts w:ascii="Arial" w:hAnsi="Arial" w:cs="Arial"/>
          <w:sz w:val="22"/>
          <w:szCs w:val="22"/>
        </w:rPr>
        <w:t>Winther</w:t>
      </w:r>
      <w:proofErr w:type="spellEnd"/>
      <w:r w:rsidRPr="009E3C67">
        <w:rPr>
          <w:rFonts w:ascii="Arial" w:hAnsi="Arial" w:cs="Arial"/>
          <w:sz w:val="22"/>
          <w:szCs w:val="22"/>
        </w:rPr>
        <w:t xml:space="preserve">, M., </w:t>
      </w:r>
      <w:proofErr w:type="spellStart"/>
      <w:r w:rsidRPr="009E3C67">
        <w:rPr>
          <w:rFonts w:ascii="Arial" w:hAnsi="Arial" w:cs="Arial"/>
          <w:sz w:val="22"/>
          <w:szCs w:val="22"/>
        </w:rPr>
        <w:t>Gorissen</w:t>
      </w:r>
      <w:proofErr w:type="spellEnd"/>
      <w:r w:rsidRPr="009E3C67">
        <w:rPr>
          <w:rFonts w:ascii="Arial" w:hAnsi="Arial" w:cs="Arial"/>
          <w:sz w:val="22"/>
          <w:szCs w:val="22"/>
        </w:rPr>
        <w:t xml:space="preserve">, N., Boulter, P., </w:t>
      </w:r>
      <w:proofErr w:type="spellStart"/>
      <w:r w:rsidRPr="009E3C67">
        <w:rPr>
          <w:rFonts w:ascii="Arial" w:hAnsi="Arial" w:cs="Arial"/>
          <w:sz w:val="22"/>
          <w:szCs w:val="22"/>
        </w:rPr>
        <w:t>Joumard</w:t>
      </w:r>
      <w:proofErr w:type="spellEnd"/>
      <w:r w:rsidRPr="009E3C67">
        <w:rPr>
          <w:rFonts w:ascii="Arial" w:hAnsi="Arial" w:cs="Arial"/>
          <w:sz w:val="22"/>
          <w:szCs w:val="22"/>
        </w:rPr>
        <w:t xml:space="preserve">, R., </w:t>
      </w:r>
      <w:proofErr w:type="spellStart"/>
      <w:r w:rsidRPr="009E3C67">
        <w:rPr>
          <w:rFonts w:ascii="Arial" w:hAnsi="Arial" w:cs="Arial"/>
          <w:sz w:val="22"/>
          <w:szCs w:val="22"/>
        </w:rPr>
        <w:t>Rijkeboer</w:t>
      </w:r>
      <w:proofErr w:type="spellEnd"/>
      <w:r w:rsidRPr="009E3C67">
        <w:rPr>
          <w:rFonts w:ascii="Arial" w:hAnsi="Arial" w:cs="Arial"/>
          <w:sz w:val="22"/>
          <w:szCs w:val="22"/>
        </w:rPr>
        <w:t xml:space="preserve">, R., </w:t>
      </w:r>
      <w:proofErr w:type="spellStart"/>
      <w:r w:rsidRPr="009E3C67">
        <w:rPr>
          <w:rFonts w:ascii="Arial" w:hAnsi="Arial" w:cs="Arial"/>
          <w:sz w:val="22"/>
          <w:szCs w:val="22"/>
        </w:rPr>
        <w:t>Geivanidis</w:t>
      </w:r>
      <w:proofErr w:type="spellEnd"/>
      <w:r w:rsidRPr="009E3C67">
        <w:rPr>
          <w:rFonts w:ascii="Arial" w:hAnsi="Arial" w:cs="Arial"/>
          <w:sz w:val="22"/>
          <w:szCs w:val="22"/>
        </w:rPr>
        <w:t xml:space="preserve">, S., </w:t>
      </w:r>
      <w:proofErr w:type="spellStart"/>
      <w:r w:rsidRPr="009E3C67">
        <w:rPr>
          <w:rFonts w:ascii="Arial" w:hAnsi="Arial" w:cs="Arial"/>
          <w:sz w:val="22"/>
          <w:szCs w:val="22"/>
        </w:rPr>
        <w:t>Hausberger</w:t>
      </w:r>
      <w:proofErr w:type="spellEnd"/>
      <w:r w:rsidRPr="009E3C67">
        <w:rPr>
          <w:rFonts w:ascii="Arial" w:hAnsi="Arial" w:cs="Arial"/>
          <w:sz w:val="22"/>
          <w:szCs w:val="22"/>
        </w:rPr>
        <w:t>, S., 2012.</w:t>
      </w:r>
      <w:proofErr w:type="gramEnd"/>
      <w:r w:rsidRPr="009E3C67">
        <w:rPr>
          <w:rFonts w:ascii="Arial" w:hAnsi="Arial" w:cs="Arial"/>
          <w:sz w:val="22"/>
          <w:szCs w:val="22"/>
        </w:rPr>
        <w:t xml:space="preserve"> EMEP/EEA emission inventory guidebook 2009 (passenger cars, light-duty trucks, heavy-duty vehicles including buses and motorcycles), update May 2012.</w:t>
      </w:r>
    </w:p>
    <w:p w:rsidR="009E3C67" w:rsidRPr="009E3C67" w:rsidRDefault="009E3C67" w:rsidP="009E3C67">
      <w:pPr>
        <w:spacing w:line="360" w:lineRule="auto"/>
        <w:ind w:left="567" w:hanging="567"/>
        <w:jc w:val="both"/>
        <w:rPr>
          <w:rFonts w:ascii="Arial" w:hAnsi="Arial" w:cs="Arial"/>
          <w:sz w:val="22"/>
          <w:szCs w:val="22"/>
        </w:rPr>
      </w:pPr>
      <w:proofErr w:type="spellStart"/>
      <w:proofErr w:type="gramStart"/>
      <w:r w:rsidRPr="009E3C67">
        <w:rPr>
          <w:rFonts w:ascii="Arial" w:hAnsi="Arial" w:cs="Arial"/>
          <w:sz w:val="22"/>
          <w:szCs w:val="22"/>
        </w:rPr>
        <w:t>Ntziachristos</w:t>
      </w:r>
      <w:proofErr w:type="spellEnd"/>
      <w:r w:rsidRPr="009E3C67">
        <w:rPr>
          <w:rFonts w:ascii="Arial" w:hAnsi="Arial" w:cs="Arial"/>
          <w:sz w:val="22"/>
          <w:szCs w:val="22"/>
        </w:rPr>
        <w:t xml:space="preserve">, L., Samaras, C., Smit, R., </w:t>
      </w:r>
      <w:proofErr w:type="spellStart"/>
      <w:r w:rsidRPr="009E3C67">
        <w:rPr>
          <w:rFonts w:ascii="Arial" w:hAnsi="Arial" w:cs="Arial"/>
          <w:sz w:val="22"/>
          <w:szCs w:val="22"/>
        </w:rPr>
        <w:t>Tooker</w:t>
      </w:r>
      <w:proofErr w:type="spellEnd"/>
      <w:r w:rsidRPr="009E3C67">
        <w:rPr>
          <w:rFonts w:ascii="Arial" w:hAnsi="Arial" w:cs="Arial"/>
          <w:sz w:val="22"/>
          <w:szCs w:val="22"/>
        </w:rPr>
        <w:t xml:space="preserve">, T., </w:t>
      </w:r>
      <w:proofErr w:type="spellStart"/>
      <w:r w:rsidRPr="009E3C67">
        <w:rPr>
          <w:rFonts w:ascii="Arial" w:hAnsi="Arial" w:cs="Arial"/>
          <w:sz w:val="22"/>
          <w:szCs w:val="22"/>
        </w:rPr>
        <w:t>Mellios</w:t>
      </w:r>
      <w:proofErr w:type="spellEnd"/>
      <w:r w:rsidRPr="009E3C67">
        <w:rPr>
          <w:rFonts w:ascii="Arial" w:hAnsi="Arial" w:cs="Arial"/>
          <w:sz w:val="22"/>
          <w:szCs w:val="22"/>
        </w:rPr>
        <w:t>, G., 2013.</w:t>
      </w:r>
      <w:proofErr w:type="gramEnd"/>
      <w:r w:rsidRPr="009E3C67">
        <w:rPr>
          <w:rFonts w:ascii="Arial" w:hAnsi="Arial" w:cs="Arial"/>
          <w:sz w:val="22"/>
          <w:szCs w:val="22"/>
        </w:rPr>
        <w:t xml:space="preserve"> </w:t>
      </w:r>
      <w:proofErr w:type="gramStart"/>
      <w:r w:rsidRPr="009E3C67">
        <w:rPr>
          <w:rFonts w:ascii="Arial" w:hAnsi="Arial" w:cs="Arial"/>
          <w:sz w:val="22"/>
          <w:szCs w:val="22"/>
        </w:rPr>
        <w:t xml:space="preserve">Air pollutant and greenhouse gas road transport inventory using COPERT Australia, </w:t>
      </w:r>
      <w:r w:rsidRPr="009E3C67">
        <w:rPr>
          <w:rFonts w:ascii="Arial" w:hAnsi="Arial" w:cs="Arial"/>
          <w:i/>
          <w:sz w:val="22"/>
          <w:szCs w:val="22"/>
        </w:rPr>
        <w:t>Proceedings of the CASANZ Conference</w:t>
      </w:r>
      <w:r w:rsidRPr="009E3C67">
        <w:rPr>
          <w:rFonts w:ascii="Arial" w:hAnsi="Arial" w:cs="Arial"/>
          <w:sz w:val="22"/>
          <w:szCs w:val="22"/>
        </w:rPr>
        <w:t>, Sydney, 7-11 September 2013.</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lastRenderedPageBreak/>
        <w:t>Pacific Environment, 2014.</w:t>
      </w:r>
      <w:proofErr w:type="gramEnd"/>
      <w:r w:rsidRPr="009E3C67">
        <w:rPr>
          <w:rFonts w:ascii="Arial" w:hAnsi="Arial" w:cs="Arial"/>
          <w:sz w:val="22"/>
          <w:szCs w:val="22"/>
        </w:rPr>
        <w:t xml:space="preserve"> </w:t>
      </w:r>
      <w:proofErr w:type="gramStart"/>
      <w:r w:rsidRPr="009E3C67">
        <w:rPr>
          <w:rFonts w:ascii="Arial" w:hAnsi="Arial" w:cs="Arial"/>
          <w:sz w:val="22"/>
          <w:szCs w:val="22"/>
        </w:rPr>
        <w:t>Reformatting Bureau of Meteorology data for input into the COPERT Australia transport emissions model, Job ID 8870.</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QLD EPA, 2003.</w:t>
      </w:r>
      <w:proofErr w:type="gramEnd"/>
      <w:r w:rsidRPr="009E3C67">
        <w:rPr>
          <w:rFonts w:ascii="Arial" w:hAnsi="Arial" w:cs="Arial"/>
          <w:sz w:val="22"/>
          <w:szCs w:val="22"/>
        </w:rPr>
        <w:t xml:space="preserve"> Air Emissions Inventory South East Queensland Region, Queensland Environment Protection Authority (QLD EPA).</w:t>
      </w:r>
    </w:p>
    <w:p w:rsidR="009E3C67" w:rsidRPr="009E3C67" w:rsidRDefault="009E3C67" w:rsidP="009E3C67">
      <w:pPr>
        <w:spacing w:line="360" w:lineRule="auto"/>
        <w:ind w:left="567" w:hanging="567"/>
        <w:jc w:val="both"/>
        <w:rPr>
          <w:rFonts w:ascii="Arial" w:hAnsi="Arial" w:cs="Arial"/>
          <w:sz w:val="22"/>
          <w:szCs w:val="22"/>
        </w:rPr>
      </w:pPr>
      <w:proofErr w:type="spellStart"/>
      <w:proofErr w:type="gramStart"/>
      <w:r w:rsidRPr="009E3C67">
        <w:rPr>
          <w:rFonts w:ascii="Arial" w:hAnsi="Arial" w:cs="Arial"/>
          <w:sz w:val="22"/>
          <w:szCs w:val="22"/>
        </w:rPr>
        <w:t>Rosevaer</w:t>
      </w:r>
      <w:proofErr w:type="spellEnd"/>
      <w:r w:rsidRPr="009E3C67">
        <w:rPr>
          <w:rFonts w:ascii="Arial" w:hAnsi="Arial" w:cs="Arial"/>
          <w:sz w:val="22"/>
          <w:szCs w:val="22"/>
        </w:rPr>
        <w:t>, 2013.</w:t>
      </w:r>
      <w:proofErr w:type="gramEnd"/>
      <w:r w:rsidRPr="009E3C67">
        <w:rPr>
          <w:rFonts w:ascii="Arial" w:hAnsi="Arial" w:cs="Arial"/>
          <w:sz w:val="22"/>
          <w:szCs w:val="22"/>
        </w:rPr>
        <w:t xml:space="preserve"> </w:t>
      </w:r>
      <w:proofErr w:type="gramStart"/>
      <w:r w:rsidRPr="009E3C67">
        <w:rPr>
          <w:rFonts w:ascii="Arial" w:hAnsi="Arial" w:cs="Arial"/>
          <w:sz w:val="22"/>
          <w:szCs w:val="22"/>
        </w:rPr>
        <w:t>Quality Dynamics in the Light Vehicle Fleet, 16 September 2013, Outcome Management Services, New Zealand.</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RTA, 2009.</w:t>
      </w:r>
      <w:proofErr w:type="gramEnd"/>
      <w:r w:rsidRPr="009E3C67">
        <w:rPr>
          <w:rFonts w:ascii="Arial" w:hAnsi="Arial" w:cs="Arial"/>
          <w:sz w:val="22"/>
          <w:szCs w:val="22"/>
        </w:rPr>
        <w:t xml:space="preserve"> Second National In-Service Emissions Study (NISE2) Light Duty Petrol Vehicle Emissions Testing, by Roads and Traffic Authority of NSW, RTA.07.2828.0309, March 2009.</w:t>
      </w:r>
    </w:p>
    <w:p w:rsidR="009E3C67" w:rsidRPr="009E3C67" w:rsidRDefault="009E3C67" w:rsidP="009E3C67">
      <w:pPr>
        <w:spacing w:line="360" w:lineRule="auto"/>
        <w:ind w:left="567" w:hanging="567"/>
        <w:jc w:val="both"/>
        <w:rPr>
          <w:rFonts w:ascii="Arial" w:hAnsi="Arial" w:cs="Arial"/>
          <w:sz w:val="22"/>
          <w:szCs w:val="22"/>
        </w:rPr>
      </w:pPr>
      <w:proofErr w:type="spellStart"/>
      <w:r w:rsidRPr="009E3C67">
        <w:rPr>
          <w:rFonts w:ascii="Arial" w:hAnsi="Arial" w:cs="Arial"/>
          <w:sz w:val="22"/>
          <w:szCs w:val="22"/>
        </w:rPr>
        <w:t>Skutenko</w:t>
      </w:r>
      <w:proofErr w:type="spellEnd"/>
      <w:r w:rsidRPr="009E3C67">
        <w:rPr>
          <w:rFonts w:ascii="Arial" w:hAnsi="Arial" w:cs="Arial"/>
          <w:sz w:val="22"/>
          <w:szCs w:val="22"/>
        </w:rPr>
        <w:t xml:space="preserve">, D., Cosgrove, D. and Mitchell, D., 2006. </w:t>
      </w:r>
      <w:proofErr w:type="gramStart"/>
      <w:r w:rsidRPr="009E3C67">
        <w:rPr>
          <w:rFonts w:ascii="Arial" w:hAnsi="Arial" w:cs="Arial"/>
          <w:sz w:val="22"/>
          <w:szCs w:val="22"/>
        </w:rPr>
        <w:t>Survey of Motor Vehicle Use – An Investigation into Coherence, ABS Research Paper 9208.0.55.005.</w:t>
      </w:r>
      <w:proofErr w:type="gramEnd"/>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McBroom, J., 2009a. </w:t>
      </w:r>
      <w:proofErr w:type="gramStart"/>
      <w:r w:rsidRPr="009E3C67">
        <w:rPr>
          <w:rFonts w:ascii="Arial" w:hAnsi="Arial" w:cs="Arial"/>
          <w:sz w:val="22"/>
          <w:szCs w:val="22"/>
        </w:rPr>
        <w:t>Use of overseas emission models to predict traffic emissions in urban areas - Technical Note, Road and Transport Research, 18 (3), 52-60.</w:t>
      </w:r>
      <w:proofErr w:type="gramEnd"/>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McBroom, J., 2009b. </w:t>
      </w:r>
      <w:proofErr w:type="gramStart"/>
      <w:r w:rsidRPr="009E3C67">
        <w:rPr>
          <w:rFonts w:ascii="Arial" w:hAnsi="Arial" w:cs="Arial"/>
          <w:sz w:val="22"/>
          <w:szCs w:val="22"/>
        </w:rPr>
        <w:t>Use of microscopic simulation models to predict traffic emissions – Technical Note, Road and Transport Research, 18 (2), 49-54.</w:t>
      </w:r>
      <w:proofErr w:type="gramEnd"/>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2013. A procedure to verify large modal vehicle emissions databases, </w:t>
      </w:r>
      <w:r w:rsidRPr="009E3C67">
        <w:rPr>
          <w:rFonts w:ascii="Arial" w:hAnsi="Arial" w:cs="Arial"/>
          <w:i/>
          <w:sz w:val="22"/>
          <w:szCs w:val="22"/>
        </w:rPr>
        <w:t>Proceedings of the CASANZ Conference</w:t>
      </w:r>
      <w:r w:rsidRPr="009E3C67">
        <w:rPr>
          <w:rFonts w:ascii="Arial" w:hAnsi="Arial" w:cs="Arial"/>
          <w:sz w:val="22"/>
          <w:szCs w:val="22"/>
        </w:rPr>
        <w:t>, Sydney, 7-11 September 2013.</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w:t>
      </w:r>
      <w:proofErr w:type="spellStart"/>
      <w:r w:rsidRPr="009E3C67">
        <w:rPr>
          <w:rFonts w:ascii="Arial" w:hAnsi="Arial" w:cs="Arial"/>
          <w:sz w:val="22"/>
          <w:szCs w:val="22"/>
        </w:rPr>
        <w:t>Ntziachristos</w:t>
      </w:r>
      <w:proofErr w:type="spellEnd"/>
      <w:r w:rsidRPr="009E3C67">
        <w:rPr>
          <w:rFonts w:ascii="Arial" w:hAnsi="Arial" w:cs="Arial"/>
          <w:sz w:val="22"/>
          <w:szCs w:val="22"/>
        </w:rPr>
        <w:t xml:space="preserve">, L., 2012. COPERT Australia: Developing Improved Average Speed Vehicle Emission Algorithms for the Australian Fleet, </w:t>
      </w:r>
      <w:r w:rsidRPr="009E3C67">
        <w:rPr>
          <w:rFonts w:ascii="Arial" w:hAnsi="Arial" w:cs="Arial"/>
          <w:i/>
          <w:sz w:val="22"/>
          <w:szCs w:val="22"/>
        </w:rPr>
        <w:t>19</w:t>
      </w:r>
      <w:r w:rsidRPr="009E3C67">
        <w:rPr>
          <w:rFonts w:ascii="Arial" w:hAnsi="Arial" w:cs="Arial"/>
          <w:i/>
          <w:sz w:val="22"/>
          <w:szCs w:val="22"/>
          <w:vertAlign w:val="superscript"/>
        </w:rPr>
        <w:t>th</w:t>
      </w:r>
      <w:r w:rsidRPr="009E3C67">
        <w:rPr>
          <w:rFonts w:ascii="Arial" w:hAnsi="Arial" w:cs="Arial"/>
          <w:i/>
          <w:sz w:val="22"/>
          <w:szCs w:val="22"/>
        </w:rPr>
        <w:t xml:space="preserve"> International Transport and Air Pollution Conference</w:t>
      </w:r>
      <w:r w:rsidRPr="009E3C67">
        <w:rPr>
          <w:rFonts w:ascii="Arial" w:hAnsi="Arial" w:cs="Arial"/>
          <w:sz w:val="22"/>
          <w:szCs w:val="22"/>
        </w:rPr>
        <w:t>, Thessaloniki, Greece, 26-27 November 2012.</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w:t>
      </w:r>
      <w:proofErr w:type="spellStart"/>
      <w:r w:rsidRPr="009E3C67">
        <w:rPr>
          <w:rFonts w:ascii="Arial" w:hAnsi="Arial" w:cs="Arial"/>
          <w:sz w:val="22"/>
          <w:szCs w:val="22"/>
        </w:rPr>
        <w:t>Ntziachristos</w:t>
      </w:r>
      <w:proofErr w:type="spellEnd"/>
      <w:r w:rsidRPr="009E3C67">
        <w:rPr>
          <w:rFonts w:ascii="Arial" w:hAnsi="Arial" w:cs="Arial"/>
          <w:sz w:val="22"/>
          <w:szCs w:val="22"/>
        </w:rPr>
        <w:t xml:space="preserve">, L., 2013a. COPERT Australia: </w:t>
      </w:r>
      <w:proofErr w:type="gramStart"/>
      <w:r w:rsidRPr="009E3C67">
        <w:rPr>
          <w:rFonts w:ascii="Arial" w:hAnsi="Arial" w:cs="Arial"/>
          <w:sz w:val="22"/>
          <w:szCs w:val="22"/>
        </w:rPr>
        <w:t>a new</w:t>
      </w:r>
      <w:proofErr w:type="gramEnd"/>
      <w:r w:rsidRPr="009E3C67">
        <w:rPr>
          <w:rFonts w:ascii="Arial" w:hAnsi="Arial" w:cs="Arial"/>
          <w:sz w:val="22"/>
          <w:szCs w:val="22"/>
        </w:rPr>
        <w:t xml:space="preserve"> software to estimate vehicle emissions in Australia, </w:t>
      </w:r>
      <w:r w:rsidRPr="009E3C67">
        <w:rPr>
          <w:rFonts w:ascii="Arial" w:hAnsi="Arial" w:cs="Arial"/>
          <w:i/>
          <w:sz w:val="22"/>
          <w:szCs w:val="22"/>
        </w:rPr>
        <w:t>Australasian Transport Research Forum 2013</w:t>
      </w:r>
      <w:r w:rsidRPr="009E3C67">
        <w:rPr>
          <w:rFonts w:ascii="Arial" w:hAnsi="Arial" w:cs="Arial"/>
          <w:sz w:val="22"/>
          <w:szCs w:val="22"/>
        </w:rPr>
        <w:t>, 2 - 4 October 2013, Brisbane, Australia.</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w:t>
      </w:r>
      <w:proofErr w:type="spellStart"/>
      <w:r w:rsidRPr="009E3C67">
        <w:rPr>
          <w:rFonts w:ascii="Arial" w:hAnsi="Arial" w:cs="Arial"/>
          <w:sz w:val="22"/>
          <w:szCs w:val="22"/>
        </w:rPr>
        <w:t>Ntziachristos</w:t>
      </w:r>
      <w:proofErr w:type="spellEnd"/>
      <w:r w:rsidRPr="009E3C67">
        <w:rPr>
          <w:rFonts w:ascii="Arial" w:hAnsi="Arial" w:cs="Arial"/>
          <w:sz w:val="22"/>
          <w:szCs w:val="22"/>
        </w:rPr>
        <w:t xml:space="preserve">, L., 2013b. Cold start emission modelling for the Australian petrol fleet, </w:t>
      </w:r>
      <w:r w:rsidRPr="009E3C67">
        <w:rPr>
          <w:rFonts w:ascii="Arial" w:hAnsi="Arial" w:cs="Arial"/>
          <w:i/>
          <w:sz w:val="22"/>
          <w:szCs w:val="22"/>
        </w:rPr>
        <w:t>Air Quality and Climate Change</w:t>
      </w:r>
      <w:r w:rsidRPr="009E3C67">
        <w:rPr>
          <w:rFonts w:ascii="Arial" w:hAnsi="Arial" w:cs="Arial"/>
          <w:sz w:val="22"/>
          <w:szCs w:val="22"/>
        </w:rPr>
        <w:t>, 47 (3).</w:t>
      </w:r>
    </w:p>
    <w:p w:rsidR="009E3C67" w:rsidRPr="009E3C67" w:rsidRDefault="009E3C67" w:rsidP="009E3C67">
      <w:pPr>
        <w:spacing w:line="360" w:lineRule="auto"/>
        <w:ind w:left="567" w:hanging="567"/>
        <w:jc w:val="both"/>
        <w:rPr>
          <w:rFonts w:ascii="Arial" w:hAnsi="Arial" w:cs="Arial"/>
          <w:sz w:val="22"/>
          <w:szCs w:val="22"/>
        </w:rPr>
      </w:pPr>
      <w:r w:rsidRPr="009E3C67">
        <w:rPr>
          <w:rFonts w:ascii="Arial" w:hAnsi="Arial" w:cs="Arial"/>
          <w:sz w:val="22"/>
          <w:szCs w:val="22"/>
        </w:rPr>
        <w:t xml:space="preserve">Smit, R., </w:t>
      </w:r>
      <w:proofErr w:type="spellStart"/>
      <w:r w:rsidRPr="009E3C67">
        <w:rPr>
          <w:rFonts w:ascii="Arial" w:hAnsi="Arial" w:cs="Arial"/>
          <w:sz w:val="22"/>
          <w:szCs w:val="22"/>
        </w:rPr>
        <w:t>Casas</w:t>
      </w:r>
      <w:proofErr w:type="spellEnd"/>
      <w:r w:rsidRPr="009E3C67">
        <w:rPr>
          <w:rFonts w:ascii="Arial" w:hAnsi="Arial" w:cs="Arial"/>
          <w:sz w:val="22"/>
          <w:szCs w:val="22"/>
        </w:rPr>
        <w:t xml:space="preserve">, J., </w:t>
      </w:r>
      <w:proofErr w:type="spellStart"/>
      <w:r w:rsidRPr="009E3C67">
        <w:rPr>
          <w:rFonts w:ascii="Arial" w:hAnsi="Arial" w:cs="Arial"/>
          <w:sz w:val="22"/>
          <w:szCs w:val="22"/>
        </w:rPr>
        <w:t>Torday</w:t>
      </w:r>
      <w:proofErr w:type="spellEnd"/>
      <w:r w:rsidRPr="009E3C67">
        <w:rPr>
          <w:rFonts w:ascii="Arial" w:hAnsi="Arial" w:cs="Arial"/>
          <w:sz w:val="22"/>
          <w:szCs w:val="22"/>
        </w:rPr>
        <w:t xml:space="preserve">. </w:t>
      </w:r>
      <w:proofErr w:type="gramStart"/>
      <w:r w:rsidRPr="009E3C67">
        <w:rPr>
          <w:rFonts w:ascii="Arial" w:hAnsi="Arial" w:cs="Arial"/>
          <w:sz w:val="22"/>
          <w:szCs w:val="22"/>
        </w:rPr>
        <w:t>A., 2013.</w:t>
      </w:r>
      <w:proofErr w:type="gramEnd"/>
      <w:r w:rsidRPr="009E3C67">
        <w:rPr>
          <w:rFonts w:ascii="Arial" w:hAnsi="Arial" w:cs="Arial"/>
          <w:sz w:val="22"/>
          <w:szCs w:val="22"/>
        </w:rPr>
        <w:t xml:space="preserve"> </w:t>
      </w:r>
      <w:proofErr w:type="gramStart"/>
      <w:r w:rsidRPr="009E3C67">
        <w:rPr>
          <w:rFonts w:ascii="Arial" w:hAnsi="Arial" w:cs="Arial"/>
          <w:sz w:val="22"/>
          <w:szCs w:val="22"/>
        </w:rPr>
        <w:t xml:space="preserve">Simulating fuel consumption and vehicle emissions in an Australian context, </w:t>
      </w:r>
      <w:r w:rsidRPr="009E3C67">
        <w:rPr>
          <w:rFonts w:ascii="Arial" w:hAnsi="Arial" w:cs="Arial"/>
          <w:i/>
          <w:sz w:val="22"/>
          <w:szCs w:val="22"/>
        </w:rPr>
        <w:t>Australasian Transport Research Forum 2013</w:t>
      </w:r>
      <w:r w:rsidRPr="009E3C67">
        <w:rPr>
          <w:rFonts w:ascii="Arial" w:hAnsi="Arial" w:cs="Arial"/>
          <w:sz w:val="22"/>
          <w:szCs w:val="22"/>
        </w:rPr>
        <w:t>, 2 - 4 October 2013, Brisbane, Australia.</w:t>
      </w:r>
      <w:proofErr w:type="gramEnd"/>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 xml:space="preserve">Smit, R., </w:t>
      </w:r>
      <w:proofErr w:type="spellStart"/>
      <w:r w:rsidRPr="009E3C67">
        <w:rPr>
          <w:rFonts w:ascii="Arial" w:hAnsi="Arial" w:cs="Arial"/>
          <w:sz w:val="22"/>
          <w:szCs w:val="22"/>
        </w:rPr>
        <w:t>Poelman</w:t>
      </w:r>
      <w:proofErr w:type="spellEnd"/>
      <w:r w:rsidRPr="009E3C67">
        <w:rPr>
          <w:rFonts w:ascii="Arial" w:hAnsi="Arial" w:cs="Arial"/>
          <w:sz w:val="22"/>
          <w:szCs w:val="22"/>
        </w:rPr>
        <w:t xml:space="preserve">, M. &amp; </w:t>
      </w:r>
      <w:proofErr w:type="spellStart"/>
      <w:r w:rsidRPr="009E3C67">
        <w:rPr>
          <w:rFonts w:ascii="Arial" w:hAnsi="Arial" w:cs="Arial"/>
          <w:sz w:val="22"/>
          <w:szCs w:val="22"/>
        </w:rPr>
        <w:t>Schrijver</w:t>
      </w:r>
      <w:proofErr w:type="spellEnd"/>
      <w:r w:rsidRPr="009E3C67">
        <w:rPr>
          <w:rFonts w:ascii="Arial" w:hAnsi="Arial" w:cs="Arial"/>
          <w:sz w:val="22"/>
          <w:szCs w:val="22"/>
        </w:rPr>
        <w:t>, J., 2008.</w:t>
      </w:r>
      <w:proofErr w:type="gramEnd"/>
      <w:r w:rsidRPr="009E3C67">
        <w:rPr>
          <w:rFonts w:ascii="Arial" w:hAnsi="Arial" w:cs="Arial"/>
          <w:sz w:val="22"/>
          <w:szCs w:val="22"/>
        </w:rPr>
        <w:t xml:space="preserve"> Improved road traffic emission inventories by adding mean speed distributions, Atmospheric Environment, 42 (5), 916-926.</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TER, 2014.</w:t>
      </w:r>
      <w:proofErr w:type="gramEnd"/>
      <w:r w:rsidRPr="009E3C67">
        <w:rPr>
          <w:rFonts w:ascii="Arial" w:hAnsi="Arial" w:cs="Arial"/>
          <w:sz w:val="22"/>
          <w:szCs w:val="22"/>
        </w:rPr>
        <w:t xml:space="preserve"> FCM: a New Australian Fleet Model for Vehicle Emission Assessment, Transport Emission Research (TER), by Robin Smit, Report FCM.14.1, C</w:t>
      </w:r>
      <w:r w:rsidR="00143600">
        <w:rPr>
          <w:rFonts w:ascii="Arial" w:hAnsi="Arial" w:cs="Arial"/>
          <w:sz w:val="22"/>
          <w:szCs w:val="22"/>
        </w:rPr>
        <w:t xml:space="preserve">lontarf, Australia, </w:t>
      </w:r>
      <w:proofErr w:type="gramStart"/>
      <w:r w:rsidR="00143600">
        <w:rPr>
          <w:rFonts w:ascii="Arial" w:hAnsi="Arial" w:cs="Arial"/>
          <w:sz w:val="22"/>
          <w:szCs w:val="22"/>
        </w:rPr>
        <w:t>1</w:t>
      </w:r>
      <w:proofErr w:type="gramEnd"/>
      <w:r w:rsidR="00143600">
        <w:rPr>
          <w:rFonts w:ascii="Arial" w:hAnsi="Arial" w:cs="Arial"/>
          <w:sz w:val="22"/>
          <w:szCs w:val="22"/>
        </w:rPr>
        <w:t xml:space="preserve"> </w:t>
      </w:r>
      <w:r w:rsidRPr="009E3C67">
        <w:rPr>
          <w:rFonts w:ascii="Arial" w:hAnsi="Arial" w:cs="Arial"/>
          <w:sz w:val="22"/>
          <w:szCs w:val="22"/>
        </w:rPr>
        <w:t>February 2014 (unpublished).</w:t>
      </w:r>
    </w:p>
    <w:p w:rsidR="009E3C67" w:rsidRPr="009E3C67" w:rsidRDefault="009E3C67" w:rsidP="009E3C67">
      <w:pPr>
        <w:spacing w:line="360" w:lineRule="auto"/>
        <w:ind w:left="567" w:hanging="567"/>
        <w:jc w:val="both"/>
        <w:rPr>
          <w:rFonts w:ascii="Arial" w:hAnsi="Arial" w:cs="Arial"/>
          <w:sz w:val="22"/>
          <w:szCs w:val="22"/>
        </w:rPr>
      </w:pPr>
      <w:proofErr w:type="gramStart"/>
      <w:r w:rsidRPr="009E3C67">
        <w:rPr>
          <w:rFonts w:ascii="Arial" w:hAnsi="Arial" w:cs="Arial"/>
          <w:sz w:val="22"/>
          <w:szCs w:val="22"/>
        </w:rPr>
        <w:t>Transport and Environment, 2013.</w:t>
      </w:r>
      <w:proofErr w:type="gramEnd"/>
      <w:r w:rsidRPr="009E3C67">
        <w:rPr>
          <w:rFonts w:ascii="Arial" w:hAnsi="Arial" w:cs="Arial"/>
          <w:sz w:val="22"/>
          <w:szCs w:val="22"/>
        </w:rPr>
        <w:t xml:space="preserve"> Mind the Gap! Why official car fuel economy figures don’t match up to reality, March 2013.</w:t>
      </w:r>
    </w:p>
    <w:p w:rsidR="009E3C67" w:rsidRPr="009E3C67" w:rsidRDefault="009E3C67" w:rsidP="00A5657C">
      <w:pPr>
        <w:spacing w:line="360" w:lineRule="auto"/>
        <w:ind w:left="567" w:hanging="567"/>
        <w:jc w:val="both"/>
        <w:rPr>
          <w:lang w:eastAsia="en-AU"/>
        </w:rPr>
      </w:pPr>
      <w:proofErr w:type="spellStart"/>
      <w:proofErr w:type="gramStart"/>
      <w:r w:rsidRPr="009E3C67">
        <w:rPr>
          <w:rFonts w:ascii="Arial" w:hAnsi="Arial" w:cs="Arial"/>
          <w:sz w:val="22"/>
          <w:szCs w:val="22"/>
        </w:rPr>
        <w:t>Vicroads</w:t>
      </w:r>
      <w:proofErr w:type="spellEnd"/>
      <w:r w:rsidRPr="009E3C67">
        <w:rPr>
          <w:rFonts w:ascii="Arial" w:hAnsi="Arial" w:cs="Arial"/>
          <w:sz w:val="22"/>
          <w:szCs w:val="22"/>
        </w:rPr>
        <w:t>, 2011.</w:t>
      </w:r>
      <w:proofErr w:type="gramEnd"/>
      <w:r w:rsidRPr="009E3C67">
        <w:rPr>
          <w:rFonts w:ascii="Arial" w:hAnsi="Arial" w:cs="Arial"/>
          <w:sz w:val="22"/>
          <w:szCs w:val="22"/>
        </w:rPr>
        <w:t xml:space="preserve"> Traffic Monitor 2009/2010, May 2011, http://www.vicroads.vic.gov.au/Home/Moreinfoandservices/RoadManagementAndDesign/RoadUseAndPerformance/NetworkPerformanceMonitoring.</w:t>
      </w:r>
      <w:r w:rsidRPr="009E3C67">
        <w:rPr>
          <w:rFonts w:ascii="Arial" w:hAnsi="Arial" w:cs="Arial"/>
        </w:rPr>
        <w:t>htm</w:t>
      </w:r>
    </w:p>
    <w:sectPr w:rsidR="009E3C67" w:rsidRPr="009E3C67" w:rsidSect="009F230E">
      <w:pgSz w:w="11907" w:h="16840" w:code="9"/>
      <w:pgMar w:top="1276" w:right="1275" w:bottom="1134" w:left="1418" w:header="28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C5" w:rsidRDefault="001847C5">
      <w:r>
        <w:separator/>
      </w:r>
    </w:p>
  </w:endnote>
  <w:endnote w:type="continuationSeparator" w:id="0">
    <w:p w:rsidR="001847C5" w:rsidRDefault="001847C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B5" w:rsidRDefault="00442CB5">
    <w:pPr>
      <w:pStyle w:val="Footer"/>
      <w:pBdr>
        <w:bottom w:val="single" w:sz="12" w:space="1" w:color="auto"/>
      </w:pBdr>
      <w:rPr>
        <w:rFonts w:ascii="Arial" w:hAnsi="Arial" w:cs="Arial"/>
        <w:i/>
        <w:sz w:val="18"/>
        <w:szCs w:val="18"/>
      </w:rPr>
    </w:pPr>
  </w:p>
  <w:p w:rsidR="00442CB5" w:rsidRPr="00A66CE9" w:rsidRDefault="00442CB5">
    <w:pPr>
      <w:pStyle w:val="Footer"/>
      <w:rPr>
        <w:rFonts w:ascii="Arial" w:hAnsi="Arial" w:cs="Arial"/>
        <w:sz w:val="18"/>
        <w:szCs w:val="18"/>
      </w:rPr>
    </w:pPr>
    <w:proofErr w:type="spellStart"/>
    <w:r w:rsidRPr="00A66CE9">
      <w:rPr>
        <w:rFonts w:ascii="Arial" w:hAnsi="Arial" w:cs="Arial"/>
        <w:i/>
        <w:sz w:val="18"/>
        <w:szCs w:val="18"/>
      </w:rPr>
      <w:t>UniQuest</w:t>
    </w:r>
    <w:proofErr w:type="spellEnd"/>
    <w:r w:rsidRPr="00A66CE9">
      <w:rPr>
        <w:rFonts w:ascii="Arial" w:hAnsi="Arial" w:cs="Arial"/>
        <w:i/>
        <w:sz w:val="18"/>
        <w:szCs w:val="18"/>
      </w:rPr>
      <w:t xml:space="preserve"> File Reference:</w:t>
    </w:r>
    <w:r w:rsidRPr="00A66CE9">
      <w:rPr>
        <w:rFonts w:ascii="Arial" w:hAnsi="Arial" w:cs="Arial"/>
        <w:sz w:val="18"/>
        <w:szCs w:val="18"/>
      </w:rPr>
      <w:t xml:space="preserve"> </w:t>
    </w:r>
    <w:r w:rsidRPr="0029536A">
      <w:rPr>
        <w:rFonts w:ascii="Arial" w:hAnsi="Arial" w:cs="Arial"/>
        <w:i/>
        <w:sz w:val="18"/>
        <w:szCs w:val="18"/>
      </w:rPr>
      <w:t>C</w:t>
    </w:r>
    <w:r>
      <w:rPr>
        <w:rFonts w:ascii="Arial" w:hAnsi="Arial" w:cs="Arial"/>
        <w:i/>
        <w:sz w:val="18"/>
        <w:szCs w:val="18"/>
      </w:rPr>
      <w:t>01772 – Final Report</w:t>
    </w:r>
    <w:r>
      <w:rPr>
        <w:rFonts w:ascii="Arial" w:hAnsi="Arial" w:cs="Arial"/>
        <w:sz w:val="18"/>
        <w:szCs w:val="18"/>
      </w:rPr>
      <w:tab/>
    </w:r>
    <w:r>
      <w:rPr>
        <w:rFonts w:ascii="Arial" w:hAnsi="Arial" w:cs="Arial"/>
        <w:sz w:val="18"/>
        <w:szCs w:val="18"/>
      </w:rPr>
      <w:tab/>
      <w:t xml:space="preserve">Page </w:t>
    </w:r>
    <w:r w:rsidR="0051350F" w:rsidRPr="0029536A">
      <w:rPr>
        <w:rStyle w:val="PageNumber"/>
        <w:rFonts w:ascii="Arial" w:hAnsi="Arial" w:cs="Arial"/>
        <w:sz w:val="18"/>
      </w:rPr>
      <w:fldChar w:fldCharType="begin"/>
    </w:r>
    <w:r w:rsidRPr="0029536A">
      <w:rPr>
        <w:rStyle w:val="PageNumber"/>
        <w:rFonts w:ascii="Arial" w:hAnsi="Arial" w:cs="Arial"/>
        <w:sz w:val="18"/>
      </w:rPr>
      <w:instrText xml:space="preserve"> PAGE </w:instrText>
    </w:r>
    <w:r w:rsidR="0051350F" w:rsidRPr="0029536A">
      <w:rPr>
        <w:rStyle w:val="PageNumber"/>
        <w:rFonts w:ascii="Arial" w:hAnsi="Arial" w:cs="Arial"/>
        <w:sz w:val="18"/>
      </w:rPr>
      <w:fldChar w:fldCharType="separate"/>
    </w:r>
    <w:r w:rsidR="00856F9F">
      <w:rPr>
        <w:rStyle w:val="PageNumber"/>
        <w:rFonts w:ascii="Arial" w:hAnsi="Arial" w:cs="Arial"/>
        <w:noProof/>
        <w:sz w:val="18"/>
      </w:rPr>
      <w:t>45</w:t>
    </w:r>
    <w:r w:rsidR="0051350F" w:rsidRPr="0029536A">
      <w:rPr>
        <w:rStyle w:val="PageNumbe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C5" w:rsidRDefault="001847C5">
      <w:r>
        <w:separator/>
      </w:r>
    </w:p>
  </w:footnote>
  <w:footnote w:type="continuationSeparator" w:id="0">
    <w:p w:rsidR="001847C5" w:rsidRDefault="001847C5">
      <w:r>
        <w:continuationSeparator/>
      </w:r>
    </w:p>
  </w:footnote>
  <w:footnote w:id="1">
    <w:p w:rsidR="00442CB5" w:rsidRPr="009F230E" w:rsidRDefault="00442CB5" w:rsidP="00BD2DAF">
      <w:pPr>
        <w:pStyle w:val="FootnoteText"/>
        <w:spacing w:before="60" w:line="240" w:lineRule="atLeast"/>
        <w:rPr>
          <w:rFonts w:ascii="Arial" w:hAnsi="Arial" w:cs="Arial"/>
          <w:sz w:val="18"/>
          <w:szCs w:val="18"/>
        </w:rPr>
      </w:pPr>
      <w:r w:rsidRPr="009F230E">
        <w:rPr>
          <w:rStyle w:val="FootnoteReference"/>
          <w:rFonts w:ascii="Arial" w:hAnsi="Arial" w:cs="Arial"/>
          <w:szCs w:val="18"/>
        </w:rPr>
        <w:footnoteRef/>
      </w:r>
      <w:r w:rsidRPr="009F230E">
        <w:rPr>
          <w:rFonts w:ascii="Arial" w:hAnsi="Arial" w:cs="Arial"/>
          <w:szCs w:val="18"/>
        </w:rPr>
        <w:t xml:space="preserve"> </w:t>
      </w:r>
      <w:r w:rsidRPr="009F230E">
        <w:rPr>
          <w:rFonts w:ascii="Arial" w:hAnsi="Arial" w:cs="Arial"/>
          <w:sz w:val="18"/>
          <w:szCs w:val="18"/>
        </w:rPr>
        <w:t>It is noted that lower heating values (LHVs) would be the appropriate heating values to use for road transport as there is no heat recovery in this sector. For consistency with Australian government data, HHVs had to be used.</w:t>
      </w:r>
    </w:p>
    <w:p w:rsidR="00442CB5" w:rsidRPr="00B7526A" w:rsidRDefault="00442CB5" w:rsidP="00BD2DAF">
      <w:pPr>
        <w:pStyle w:val="FootnoteText"/>
        <w:spacing w:before="60" w:line="240" w:lineRule="atLeast"/>
      </w:pPr>
    </w:p>
  </w:footnote>
  <w:footnote w:id="2">
    <w:p w:rsidR="00442CB5" w:rsidRPr="009F230E" w:rsidRDefault="00442CB5" w:rsidP="009F230E">
      <w:pPr>
        <w:pStyle w:val="FootnoteText"/>
        <w:spacing w:before="60" w:line="240" w:lineRule="atLeast"/>
        <w:rPr>
          <w:rFonts w:ascii="Arial Narrow" w:hAnsi="Arial Narrow"/>
          <w:sz w:val="18"/>
          <w:szCs w:val="18"/>
        </w:rPr>
      </w:pPr>
      <w:r w:rsidRPr="00DB5760">
        <w:rPr>
          <w:rStyle w:val="FootnoteReference"/>
          <w:rFonts w:ascii="Arial Narrow" w:hAnsi="Arial Narrow"/>
          <w:szCs w:val="18"/>
        </w:rPr>
        <w:footnoteRef/>
      </w:r>
      <w:r w:rsidRPr="00DB5760">
        <w:rPr>
          <w:rFonts w:ascii="Arial Narrow" w:hAnsi="Arial Narrow"/>
          <w:szCs w:val="18"/>
        </w:rPr>
        <w:t xml:space="preserve"> </w:t>
      </w:r>
      <w:r w:rsidRPr="009F230E">
        <w:rPr>
          <w:rFonts w:ascii="Arial Narrow" w:hAnsi="Arial Narrow"/>
          <w:sz w:val="18"/>
          <w:szCs w:val="18"/>
        </w:rPr>
        <w:t xml:space="preserve">E10 is a mixture of petrol with 10 volume percent of ethanol added. It is noted that E10 does not exactly contain 10% ethanol. Under the NSW </w:t>
      </w:r>
      <w:proofErr w:type="spellStart"/>
      <w:r w:rsidRPr="009F230E">
        <w:rPr>
          <w:rFonts w:ascii="Arial Narrow" w:hAnsi="Arial Narrow"/>
          <w:sz w:val="18"/>
          <w:szCs w:val="18"/>
        </w:rPr>
        <w:t>Biofuels</w:t>
      </w:r>
      <w:proofErr w:type="spellEnd"/>
      <w:r w:rsidRPr="009F230E">
        <w:rPr>
          <w:rFonts w:ascii="Arial Narrow" w:hAnsi="Arial Narrow"/>
          <w:sz w:val="18"/>
          <w:szCs w:val="18"/>
        </w:rPr>
        <w:t xml:space="preserve"> Regulation 2007, E10 should contain not less than 9% ethanol, while the National Petrol Fuel Quality Standard imposes a maximum of 10% ethanol (volume basis). The NSW Government tested E10 for ethanol content, and the results indicate that, on average, E10 contains 9.5% ethanol on a volume basis (NSW Government, 2014). This corresponds to 10.2% on a mass basis.</w:t>
      </w:r>
    </w:p>
  </w:footnote>
  <w:footnote w:id="3">
    <w:p w:rsidR="00442CB5" w:rsidRPr="009F230E" w:rsidRDefault="00442CB5" w:rsidP="009F230E">
      <w:pPr>
        <w:spacing w:before="60" w:line="240" w:lineRule="atLeast"/>
        <w:rPr>
          <w:sz w:val="18"/>
          <w:szCs w:val="18"/>
        </w:rPr>
      </w:pPr>
      <w:r w:rsidRPr="00DB5760">
        <w:rPr>
          <w:rStyle w:val="FootnoteReference"/>
          <w:szCs w:val="18"/>
        </w:rPr>
        <w:footnoteRef/>
      </w:r>
      <w:r w:rsidRPr="00DB5760">
        <w:rPr>
          <w:szCs w:val="18"/>
        </w:rPr>
        <w:t xml:space="preserve"> </w:t>
      </w:r>
      <w:r w:rsidRPr="009F230E">
        <w:rPr>
          <w:rFonts w:ascii="Arial Narrow" w:hAnsi="Arial Narrow"/>
          <w:sz w:val="18"/>
          <w:szCs w:val="18"/>
        </w:rPr>
        <w:t xml:space="preserve">Note that E10 use varies greatly by state. NSW has a </w:t>
      </w:r>
      <w:proofErr w:type="spellStart"/>
      <w:r w:rsidRPr="009F230E">
        <w:rPr>
          <w:rFonts w:ascii="Arial Narrow" w:hAnsi="Arial Narrow"/>
          <w:sz w:val="18"/>
          <w:szCs w:val="18"/>
        </w:rPr>
        <w:t>biofuel</w:t>
      </w:r>
      <w:proofErr w:type="spellEnd"/>
      <w:r w:rsidRPr="009F230E">
        <w:rPr>
          <w:rFonts w:ascii="Arial Narrow" w:hAnsi="Arial Narrow"/>
          <w:sz w:val="18"/>
          <w:szCs w:val="18"/>
        </w:rPr>
        <w:t xml:space="preserve"> mandate of 6% and 2% for ethanol and biodiesel (2011 and beyond), respectively, and has the largest use of ethanol. Next are Queensland, Victoria and Canberra. The other states are not reported to use E10. Total E10 use in Australia accounts for 15% of total petrol/E10 use.</w:t>
      </w:r>
    </w:p>
  </w:footnote>
  <w:footnote w:id="4">
    <w:p w:rsidR="00442CB5" w:rsidRPr="009F230E" w:rsidRDefault="00442CB5" w:rsidP="009F230E">
      <w:pPr>
        <w:spacing w:before="60" w:line="240" w:lineRule="atLeast"/>
        <w:rPr>
          <w:rFonts w:ascii="Arial Narrow" w:hAnsi="Arial Narrow"/>
          <w:sz w:val="18"/>
          <w:szCs w:val="18"/>
        </w:rPr>
      </w:pPr>
      <w:r w:rsidRPr="00DB5760">
        <w:rPr>
          <w:rStyle w:val="FootnoteReference"/>
          <w:rFonts w:ascii="Arial Narrow" w:hAnsi="Arial Narrow"/>
          <w:szCs w:val="18"/>
        </w:rPr>
        <w:footnoteRef/>
      </w:r>
      <w:r w:rsidRPr="00DB5760">
        <w:rPr>
          <w:rFonts w:ascii="Arial Narrow" w:hAnsi="Arial Narrow"/>
          <w:szCs w:val="18"/>
        </w:rPr>
        <w:t xml:space="preserve"> </w:t>
      </w:r>
      <w:r w:rsidRPr="009F230E">
        <w:rPr>
          <w:rFonts w:ascii="Arial Narrow" w:hAnsi="Arial Narrow"/>
          <w:sz w:val="18"/>
          <w:szCs w:val="18"/>
        </w:rPr>
        <w:t xml:space="preserve">2.4 PJ of natural gas was used in the transport sector in the 2010-2011 financial </w:t>
      </w:r>
      <w:proofErr w:type="gramStart"/>
      <w:r w:rsidRPr="009F230E">
        <w:rPr>
          <w:rFonts w:ascii="Arial Narrow" w:hAnsi="Arial Narrow"/>
          <w:sz w:val="18"/>
          <w:szCs w:val="18"/>
        </w:rPr>
        <w:t>year</w:t>
      </w:r>
      <w:proofErr w:type="gramEnd"/>
      <w:r w:rsidRPr="009F230E">
        <w:rPr>
          <w:rFonts w:ascii="Arial Narrow" w:hAnsi="Arial Narrow"/>
          <w:sz w:val="18"/>
          <w:szCs w:val="18"/>
        </w:rPr>
        <w:t>, which is only 0.3% of total natural gas consumption in Australia. The majority of NG is used in the mining and industry sectors. CNG is mainly used in local bus fleets in the five largest states.</w:t>
      </w:r>
    </w:p>
  </w:footnote>
  <w:footnote w:id="5">
    <w:p w:rsidR="00442CB5" w:rsidRPr="009F230E" w:rsidRDefault="00442CB5" w:rsidP="009F230E">
      <w:pPr>
        <w:pStyle w:val="FootnoteText"/>
        <w:spacing w:before="60" w:line="240" w:lineRule="atLeast"/>
        <w:rPr>
          <w:rFonts w:ascii="Arial Narrow" w:hAnsi="Arial Narrow"/>
          <w:sz w:val="18"/>
          <w:szCs w:val="18"/>
        </w:rPr>
      </w:pPr>
      <w:r w:rsidRPr="00DB5760">
        <w:rPr>
          <w:rStyle w:val="FootnoteReference"/>
          <w:rFonts w:ascii="Arial Narrow" w:hAnsi="Arial Narrow"/>
          <w:szCs w:val="18"/>
        </w:rPr>
        <w:footnoteRef/>
      </w:r>
      <w:r w:rsidRPr="00DB5760">
        <w:rPr>
          <w:rFonts w:ascii="Arial Narrow" w:hAnsi="Arial Narrow"/>
          <w:szCs w:val="18"/>
        </w:rPr>
        <w:t xml:space="preserve"> </w:t>
      </w:r>
      <w:r w:rsidRPr="009F230E">
        <w:rPr>
          <w:rFonts w:ascii="Arial Narrow" w:hAnsi="Arial Narrow"/>
          <w:sz w:val="18"/>
          <w:szCs w:val="18"/>
        </w:rPr>
        <w:t>Typically, biodiesel is available in commercial quantities to customers, rather than being available at public browsers.</w:t>
      </w:r>
    </w:p>
    <w:p w:rsidR="00442CB5" w:rsidRPr="00892CAF" w:rsidRDefault="00442CB5" w:rsidP="009F230E">
      <w:pPr>
        <w:pStyle w:val="FootnoteText"/>
        <w:spacing w:before="60" w:line="240" w:lineRule="atLeast"/>
        <w:rPr>
          <w:rFonts w:ascii="Arial Narrow" w:hAnsi="Arial Narrow"/>
          <w:sz w:val="18"/>
          <w:szCs w:val="18"/>
        </w:rPr>
      </w:pPr>
    </w:p>
  </w:footnote>
  <w:footnote w:id="6">
    <w:p w:rsidR="00442CB5" w:rsidRDefault="00442CB5">
      <w:pPr>
        <w:pStyle w:val="FootnoteText"/>
      </w:pPr>
      <w:r>
        <w:rPr>
          <w:rStyle w:val="FootnoteReference"/>
        </w:rPr>
        <w:footnoteRef/>
      </w:r>
      <w:r>
        <w:t xml:space="preserve"> </w:t>
      </w:r>
      <w:r w:rsidRPr="00BD2DAF">
        <w:rPr>
          <w:rFonts w:ascii="Arial" w:hAnsi="Arial" w:cs="Arial"/>
          <w:sz w:val="22"/>
          <w:szCs w:val="22"/>
        </w:rPr>
        <w:t>http://www.environment.gov.au/protection/fuel-quality/compliance/monitoring/national-fuel-sampling-programme</w:t>
      </w:r>
    </w:p>
  </w:footnote>
  <w:footnote w:id="7">
    <w:p w:rsidR="00442CB5" w:rsidRPr="003B04AB" w:rsidRDefault="00442CB5" w:rsidP="009E3C67">
      <w:pPr>
        <w:pStyle w:val="FootnoteText"/>
      </w:pPr>
      <w:r>
        <w:rPr>
          <w:rStyle w:val="FootnoteReference"/>
        </w:rPr>
        <w:footnoteRef/>
      </w:r>
      <w:r>
        <w:t xml:space="preserve"> </w:t>
      </w:r>
      <w:proofErr w:type="gramStart"/>
      <w:r w:rsidRPr="009E3C67">
        <w:rPr>
          <w:rFonts w:ascii="Arial" w:hAnsi="Arial" w:cs="Arial"/>
        </w:rPr>
        <w:t>About 7% and 10% of total VKT, respectively.</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B5" w:rsidRPr="00A66CE9" w:rsidRDefault="00442CB5">
    <w:pPr>
      <w:pStyle w:val="Header"/>
      <w:rPr>
        <w:rFonts w:ascii="Arial" w:hAnsi="Arial" w:cs="Arial"/>
        <w:i/>
        <w:sz w:val="18"/>
        <w:szCs w:val="18"/>
      </w:rPr>
    </w:pPr>
    <w:r w:rsidRPr="00A66CE9">
      <w:rPr>
        <w:rFonts w:ascii="Arial" w:hAnsi="Arial" w:cs="Arial"/>
        <w:i/>
        <w:sz w:val="18"/>
        <w:szCs w:val="18"/>
      </w:rPr>
      <w:t>Report For:</w:t>
    </w:r>
    <w:r>
      <w:rPr>
        <w:rFonts w:ascii="Arial" w:hAnsi="Arial" w:cs="Arial"/>
        <w:i/>
        <w:sz w:val="18"/>
        <w:szCs w:val="18"/>
      </w:rPr>
      <w:t xml:space="preserve"> Department of the Environment</w:t>
    </w:r>
  </w:p>
  <w:p w:rsidR="00442CB5" w:rsidRDefault="00442CB5">
    <w:pPr>
      <w:pStyle w:val="Header"/>
    </w:pPr>
    <w:r w:rsidRPr="00A66CE9">
      <w:rPr>
        <w:rFonts w:ascii="Arial" w:hAnsi="Arial" w:cs="Arial"/>
        <w:i/>
        <w:sz w:val="18"/>
        <w:szCs w:val="18"/>
      </w:rPr>
      <w:t>Re:</w:t>
    </w:r>
    <w:r>
      <w:rPr>
        <w:rFonts w:ascii="Arial" w:hAnsi="Arial" w:cs="Arial"/>
        <w:i/>
        <w:sz w:val="18"/>
        <w:szCs w:val="18"/>
      </w:rPr>
      <w:t xml:space="preserve"> Australian Motor Vehicle Emission Inventory for the National Pollutant Inventory (NPI)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2B9"/>
    <w:multiLevelType w:val="hybridMultilevel"/>
    <w:tmpl w:val="F24E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DC5460"/>
    <w:multiLevelType w:val="multilevel"/>
    <w:tmpl w:val="71C8879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0BFF722C"/>
    <w:multiLevelType w:val="hybridMultilevel"/>
    <w:tmpl w:val="A0AEB302"/>
    <w:lvl w:ilvl="0" w:tplc="D960C502">
      <w:numFmt w:val="none"/>
      <w:lvlText w:val=""/>
      <w:lvlJc w:val="left"/>
      <w:pPr>
        <w:tabs>
          <w:tab w:val="num" w:pos="360"/>
        </w:tabs>
      </w:pPr>
      <w:rPr>
        <w:rFonts w:cs="Times New Roman"/>
      </w:rPr>
    </w:lvl>
    <w:lvl w:ilvl="1" w:tplc="7924E62A" w:tentative="1">
      <w:start w:val="1"/>
      <w:numFmt w:val="lowerLetter"/>
      <w:lvlText w:val="%2."/>
      <w:lvlJc w:val="left"/>
      <w:pPr>
        <w:tabs>
          <w:tab w:val="num" w:pos="1440"/>
        </w:tabs>
        <w:ind w:left="1440" w:hanging="360"/>
      </w:pPr>
      <w:rPr>
        <w:rFonts w:cs="Times New Roman"/>
      </w:rPr>
    </w:lvl>
    <w:lvl w:ilvl="2" w:tplc="803AABC8" w:tentative="1">
      <w:start w:val="1"/>
      <w:numFmt w:val="lowerRoman"/>
      <w:lvlText w:val="%3."/>
      <w:lvlJc w:val="right"/>
      <w:pPr>
        <w:tabs>
          <w:tab w:val="num" w:pos="2160"/>
        </w:tabs>
        <w:ind w:left="2160" w:hanging="180"/>
      </w:pPr>
      <w:rPr>
        <w:rFonts w:cs="Times New Roman"/>
      </w:rPr>
    </w:lvl>
    <w:lvl w:ilvl="3" w:tplc="90244598" w:tentative="1">
      <w:start w:val="1"/>
      <w:numFmt w:val="decimal"/>
      <w:lvlText w:val="%4."/>
      <w:lvlJc w:val="left"/>
      <w:pPr>
        <w:tabs>
          <w:tab w:val="num" w:pos="2880"/>
        </w:tabs>
        <w:ind w:left="2880" w:hanging="360"/>
      </w:pPr>
      <w:rPr>
        <w:rFonts w:cs="Times New Roman"/>
      </w:rPr>
    </w:lvl>
    <w:lvl w:ilvl="4" w:tplc="683420FE" w:tentative="1">
      <w:start w:val="1"/>
      <w:numFmt w:val="lowerLetter"/>
      <w:lvlText w:val="%5."/>
      <w:lvlJc w:val="left"/>
      <w:pPr>
        <w:tabs>
          <w:tab w:val="num" w:pos="3600"/>
        </w:tabs>
        <w:ind w:left="3600" w:hanging="360"/>
      </w:pPr>
      <w:rPr>
        <w:rFonts w:cs="Times New Roman"/>
      </w:rPr>
    </w:lvl>
    <w:lvl w:ilvl="5" w:tplc="F45651FA" w:tentative="1">
      <w:start w:val="1"/>
      <w:numFmt w:val="lowerRoman"/>
      <w:lvlText w:val="%6."/>
      <w:lvlJc w:val="right"/>
      <w:pPr>
        <w:tabs>
          <w:tab w:val="num" w:pos="4320"/>
        </w:tabs>
        <w:ind w:left="4320" w:hanging="180"/>
      </w:pPr>
      <w:rPr>
        <w:rFonts w:cs="Times New Roman"/>
      </w:rPr>
    </w:lvl>
    <w:lvl w:ilvl="6" w:tplc="5692B044" w:tentative="1">
      <w:start w:val="1"/>
      <w:numFmt w:val="decimal"/>
      <w:lvlText w:val="%7."/>
      <w:lvlJc w:val="left"/>
      <w:pPr>
        <w:tabs>
          <w:tab w:val="num" w:pos="5040"/>
        </w:tabs>
        <w:ind w:left="5040" w:hanging="360"/>
      </w:pPr>
      <w:rPr>
        <w:rFonts w:cs="Times New Roman"/>
      </w:rPr>
    </w:lvl>
    <w:lvl w:ilvl="7" w:tplc="AFE42B80" w:tentative="1">
      <w:start w:val="1"/>
      <w:numFmt w:val="lowerLetter"/>
      <w:lvlText w:val="%8."/>
      <w:lvlJc w:val="left"/>
      <w:pPr>
        <w:tabs>
          <w:tab w:val="num" w:pos="5760"/>
        </w:tabs>
        <w:ind w:left="5760" w:hanging="360"/>
      </w:pPr>
      <w:rPr>
        <w:rFonts w:cs="Times New Roman"/>
      </w:rPr>
    </w:lvl>
    <w:lvl w:ilvl="8" w:tplc="5714FECC" w:tentative="1">
      <w:start w:val="1"/>
      <w:numFmt w:val="lowerRoman"/>
      <w:lvlText w:val="%9."/>
      <w:lvlJc w:val="right"/>
      <w:pPr>
        <w:tabs>
          <w:tab w:val="num" w:pos="6480"/>
        </w:tabs>
        <w:ind w:left="6480" w:hanging="180"/>
      </w:pPr>
      <w:rPr>
        <w:rFonts w:cs="Times New Roman"/>
      </w:rPr>
    </w:lvl>
  </w:abstractNum>
  <w:abstractNum w:abstractNumId="3">
    <w:nsid w:val="0C874E28"/>
    <w:multiLevelType w:val="multilevel"/>
    <w:tmpl w:val="39FCF7AC"/>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0DD66C3E"/>
    <w:multiLevelType w:val="multilevel"/>
    <w:tmpl w:val="F73C4690"/>
    <w:lvl w:ilvl="0">
      <w:start w:val="2"/>
      <w:numFmt w:val="decimal"/>
      <w:lvlText w:val="%1.1"/>
      <w:lvlJc w:val="left"/>
      <w:pPr>
        <w:tabs>
          <w:tab w:val="num" w:pos="360"/>
        </w:tabs>
        <w:ind w:left="360" w:hanging="360"/>
      </w:pPr>
      <w:rPr>
        <w:rFonts w:cs="Times New Roman" w:hint="default"/>
      </w:rPr>
    </w:lvl>
    <w:lvl w:ilvl="1">
      <w:start w:val="3"/>
      <w:numFmt w:val="decimal"/>
      <w:lvlText w:val="%2%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DF64141"/>
    <w:multiLevelType w:val="hybridMultilevel"/>
    <w:tmpl w:val="2AFC74DC"/>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nsid w:val="0E2B4C8A"/>
    <w:multiLevelType w:val="hybridMultilevel"/>
    <w:tmpl w:val="3EBC3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B2382"/>
    <w:multiLevelType w:val="multilevel"/>
    <w:tmpl w:val="FE1E4F40"/>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rPr>
    </w:lvl>
    <w:lvl w:ilvl="2">
      <w:start w:val="1"/>
      <w:numFmt w:val="decimal"/>
      <w:lvlText w:val="%1.%2.%3."/>
      <w:lvlJc w:val="left"/>
      <w:pPr>
        <w:tabs>
          <w:tab w:val="num" w:pos="737"/>
        </w:tabs>
        <w:ind w:left="737" w:hanging="73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107E6ED9"/>
    <w:multiLevelType w:val="multilevel"/>
    <w:tmpl w:val="A894D050"/>
    <w:lvl w:ilvl="0">
      <w:start w:val="2"/>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2D52F67"/>
    <w:multiLevelType w:val="multilevel"/>
    <w:tmpl w:val="421CC27A"/>
    <w:lvl w:ilvl="0">
      <w:start w:val="2"/>
      <w:numFmt w:val="decimal"/>
      <w:lvlText w:val="%1.1"/>
      <w:lvlJc w:val="left"/>
      <w:pPr>
        <w:tabs>
          <w:tab w:val="num" w:pos="360"/>
        </w:tabs>
        <w:ind w:left="360" w:hanging="360"/>
      </w:pPr>
      <w:rPr>
        <w:rFonts w:cs="Times New Roman" w:hint="default"/>
      </w:rPr>
    </w:lvl>
    <w:lvl w:ilvl="1">
      <w:start w:val="3"/>
      <w:numFmt w:val="decimal"/>
      <w:lvlText w:val="%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4234650"/>
    <w:multiLevelType w:val="hybridMultilevel"/>
    <w:tmpl w:val="81A637A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nsid w:val="168E0509"/>
    <w:multiLevelType w:val="hybridMultilevel"/>
    <w:tmpl w:val="D3D0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E86681"/>
    <w:multiLevelType w:val="hybridMultilevel"/>
    <w:tmpl w:val="7A46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518F1"/>
    <w:multiLevelType w:val="hybridMultilevel"/>
    <w:tmpl w:val="0B32F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D51E48"/>
    <w:multiLevelType w:val="hybridMultilevel"/>
    <w:tmpl w:val="CA32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291E4F"/>
    <w:multiLevelType w:val="multilevel"/>
    <w:tmpl w:val="15723480"/>
    <w:lvl w:ilvl="0">
      <w:start w:val="2"/>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BE55933"/>
    <w:multiLevelType w:val="multilevel"/>
    <w:tmpl w:val="C0D67132"/>
    <w:lvl w:ilvl="0">
      <w:start w:val="2"/>
      <w:numFmt w:val="decimal"/>
      <w:lvlText w:val="%1.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E1E2982"/>
    <w:multiLevelType w:val="hybridMultilevel"/>
    <w:tmpl w:val="1D3CE38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1F7E5680"/>
    <w:multiLevelType w:val="hybridMultilevel"/>
    <w:tmpl w:val="45C0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174D0E"/>
    <w:multiLevelType w:val="hybridMultilevel"/>
    <w:tmpl w:val="C994A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E90FDE"/>
    <w:multiLevelType w:val="hybridMultilevel"/>
    <w:tmpl w:val="C7D841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22C81A88"/>
    <w:multiLevelType w:val="hybridMultilevel"/>
    <w:tmpl w:val="17903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4934300"/>
    <w:multiLevelType w:val="hybridMultilevel"/>
    <w:tmpl w:val="223256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72A21E1"/>
    <w:multiLevelType w:val="multilevel"/>
    <w:tmpl w:val="7294387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2E400860"/>
    <w:multiLevelType w:val="hybridMultilevel"/>
    <w:tmpl w:val="E01A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6C1E8F"/>
    <w:multiLevelType w:val="multilevel"/>
    <w:tmpl w:val="421CC27A"/>
    <w:lvl w:ilvl="0">
      <w:start w:val="2"/>
      <w:numFmt w:val="decimal"/>
      <w:lvlText w:val="%1.1"/>
      <w:lvlJc w:val="left"/>
      <w:pPr>
        <w:tabs>
          <w:tab w:val="num" w:pos="360"/>
        </w:tabs>
        <w:ind w:left="360" w:hanging="360"/>
      </w:pPr>
      <w:rPr>
        <w:rFonts w:cs="Times New Roman" w:hint="default"/>
      </w:rPr>
    </w:lvl>
    <w:lvl w:ilvl="1">
      <w:start w:val="3"/>
      <w:numFmt w:val="decimal"/>
      <w:lvlText w:val="%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CD21625"/>
    <w:multiLevelType w:val="multilevel"/>
    <w:tmpl w:val="77C09AB2"/>
    <w:lvl w:ilvl="0">
      <w:start w:val="1"/>
      <w:numFmt w:val="decimal"/>
      <w:lvlText w:val="%1."/>
      <w:lvlJc w:val="left"/>
      <w:pPr>
        <w:tabs>
          <w:tab w:val="num" w:pos="720"/>
        </w:tabs>
        <w:ind w:left="720" w:hanging="360"/>
      </w:pPr>
      <w:rPr>
        <w:rFonts w:cs="Times New Roman" w:hint="default"/>
      </w:rPr>
    </w:lvl>
    <w:lvl w:ilvl="1">
      <w:start w:val="3"/>
      <w:numFmt w:val="decimal"/>
      <w:lvlText w:val="%2.1"/>
      <w:lvlJc w:val="left"/>
      <w:pPr>
        <w:tabs>
          <w:tab w:val="num" w:pos="1080"/>
        </w:tabs>
        <w:ind w:left="1080" w:hanging="720"/>
      </w:pPr>
      <w:rPr>
        <w:rFonts w:cs="Times New Roman" w:hint="default"/>
        <w:b/>
        <w:i w:val="0"/>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45047CEE"/>
    <w:multiLevelType w:val="multilevel"/>
    <w:tmpl w:val="E24C3EB6"/>
    <w:lvl w:ilvl="0">
      <w:start w:val="2"/>
      <w:numFmt w:val="decimal"/>
      <w:lvlText w:val="%1.1"/>
      <w:lvlJc w:val="left"/>
      <w:pPr>
        <w:tabs>
          <w:tab w:val="num" w:pos="360"/>
        </w:tabs>
        <w:ind w:left="360" w:hanging="360"/>
      </w:pPr>
      <w:rPr>
        <w:rFonts w:cs="Times New Roman" w:hint="default"/>
      </w:rPr>
    </w:lvl>
    <w:lvl w:ilvl="1">
      <w:start w:val="1"/>
      <w:numFmt w:val="decimal"/>
      <w:lvlText w:val="%1.%2.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91852DB"/>
    <w:multiLevelType w:val="multilevel"/>
    <w:tmpl w:val="AEEACE02"/>
    <w:lvl w:ilvl="0">
      <w:start w:val="3"/>
      <w:numFmt w:val="decimal"/>
      <w:lvlText w:val="%1.1.1"/>
      <w:lvlJc w:val="left"/>
      <w:pPr>
        <w:tabs>
          <w:tab w:val="num" w:pos="360"/>
        </w:tabs>
        <w:ind w:left="360" w:hanging="360"/>
      </w:pPr>
      <w:rPr>
        <w:rFonts w:cs="Times New Roman" w:hint="default"/>
      </w:rPr>
    </w:lvl>
    <w:lvl w:ilvl="1">
      <w:start w:val="1"/>
      <w:numFmt w:val="decimal"/>
      <w:lvlText w:val="%1.%2.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DFE54C1"/>
    <w:multiLevelType w:val="hybridMultilevel"/>
    <w:tmpl w:val="4A2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1B1D7E"/>
    <w:multiLevelType w:val="hybridMultilevel"/>
    <w:tmpl w:val="3F36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D05EB7"/>
    <w:multiLevelType w:val="multilevel"/>
    <w:tmpl w:val="BA4C69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2A849E5"/>
    <w:multiLevelType w:val="hybridMultilevel"/>
    <w:tmpl w:val="5AC8FE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5543201B"/>
    <w:multiLevelType w:val="hybridMultilevel"/>
    <w:tmpl w:val="B78A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B81235"/>
    <w:multiLevelType w:val="hybridMultilevel"/>
    <w:tmpl w:val="754EB74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5">
    <w:nsid w:val="56C45D9A"/>
    <w:multiLevelType w:val="hybridMultilevel"/>
    <w:tmpl w:val="4C20B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581B09"/>
    <w:multiLevelType w:val="hybridMultilevel"/>
    <w:tmpl w:val="D4241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17A5F01"/>
    <w:multiLevelType w:val="hybridMultilevel"/>
    <w:tmpl w:val="E7A0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8727A8"/>
    <w:multiLevelType w:val="hybridMultilevel"/>
    <w:tmpl w:val="37D2D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7CE1342">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602A26"/>
    <w:multiLevelType w:val="hybridMultilevel"/>
    <w:tmpl w:val="3CCE32CC"/>
    <w:lvl w:ilvl="0" w:tplc="0C09000F">
      <w:start w:val="1"/>
      <w:numFmt w:val="decimal"/>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0">
    <w:nsid w:val="6B4F0F7D"/>
    <w:multiLevelType w:val="hybridMultilevel"/>
    <w:tmpl w:val="BCC8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68617A"/>
    <w:multiLevelType w:val="hybridMultilevel"/>
    <w:tmpl w:val="AD6E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1C5387"/>
    <w:multiLevelType w:val="multilevel"/>
    <w:tmpl w:val="AEEACE02"/>
    <w:lvl w:ilvl="0">
      <w:start w:val="3"/>
      <w:numFmt w:val="decimal"/>
      <w:lvlText w:val="%1.1.1"/>
      <w:lvlJc w:val="left"/>
      <w:pPr>
        <w:tabs>
          <w:tab w:val="num" w:pos="360"/>
        </w:tabs>
        <w:ind w:left="360" w:hanging="360"/>
      </w:pPr>
      <w:rPr>
        <w:rFonts w:cs="Times New Roman" w:hint="default"/>
      </w:rPr>
    </w:lvl>
    <w:lvl w:ilvl="1">
      <w:start w:val="1"/>
      <w:numFmt w:val="decimal"/>
      <w:lvlText w:val="%1.%2.1"/>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7B192FB5"/>
    <w:multiLevelType w:val="hybridMultilevel"/>
    <w:tmpl w:val="E4BA3E6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16"/>
  </w:num>
  <w:num w:numId="4">
    <w:abstractNumId w:val="4"/>
  </w:num>
  <w:num w:numId="5">
    <w:abstractNumId w:val="25"/>
  </w:num>
  <w:num w:numId="6">
    <w:abstractNumId w:val="27"/>
  </w:num>
  <w:num w:numId="7">
    <w:abstractNumId w:val="15"/>
  </w:num>
  <w:num w:numId="8">
    <w:abstractNumId w:val="8"/>
  </w:num>
  <w:num w:numId="9">
    <w:abstractNumId w:val="7"/>
  </w:num>
  <w:num w:numId="10">
    <w:abstractNumId w:val="7"/>
  </w:num>
  <w:num w:numId="11">
    <w:abstractNumId w:val="7"/>
  </w:num>
  <w:num w:numId="12">
    <w:abstractNumId w:val="7"/>
  </w:num>
  <w:num w:numId="13">
    <w:abstractNumId w:val="43"/>
  </w:num>
  <w:num w:numId="14">
    <w:abstractNumId w:val="23"/>
  </w:num>
  <w:num w:numId="15">
    <w:abstractNumId w:val="32"/>
  </w:num>
  <w:num w:numId="16">
    <w:abstractNumId w:val="20"/>
  </w:num>
  <w:num w:numId="17">
    <w:abstractNumId w:val="26"/>
  </w:num>
  <w:num w:numId="18">
    <w:abstractNumId w:val="2"/>
  </w:num>
  <w:num w:numId="19">
    <w:abstractNumId w:val="3"/>
  </w:num>
  <w:num w:numId="20">
    <w:abstractNumId w:val="1"/>
  </w:num>
  <w:num w:numId="21">
    <w:abstractNumId w:val="17"/>
  </w:num>
  <w:num w:numId="22">
    <w:abstractNumId w:val="28"/>
  </w:num>
  <w:num w:numId="23">
    <w:abstractNumId w:val="31"/>
  </w:num>
  <w:num w:numId="24">
    <w:abstractNumId w:val="5"/>
  </w:num>
  <w:num w:numId="25">
    <w:abstractNumId w:val="4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8"/>
  </w:num>
  <w:num w:numId="29">
    <w:abstractNumId w:val="39"/>
  </w:num>
  <w:num w:numId="30">
    <w:abstractNumId w:val="35"/>
  </w:num>
  <w:num w:numId="31">
    <w:abstractNumId w:val="6"/>
  </w:num>
  <w:num w:numId="32">
    <w:abstractNumId w:val="22"/>
  </w:num>
  <w:num w:numId="33">
    <w:abstractNumId w:val="38"/>
  </w:num>
  <w:num w:numId="34">
    <w:abstractNumId w:val="36"/>
  </w:num>
  <w:num w:numId="35">
    <w:abstractNumId w:val="10"/>
  </w:num>
  <w:num w:numId="36">
    <w:abstractNumId w:val="34"/>
  </w:num>
  <w:num w:numId="37">
    <w:abstractNumId w:val="19"/>
  </w:num>
  <w:num w:numId="38">
    <w:abstractNumId w:val="41"/>
  </w:num>
  <w:num w:numId="39">
    <w:abstractNumId w:val="12"/>
  </w:num>
  <w:num w:numId="40">
    <w:abstractNumId w:val="13"/>
  </w:num>
  <w:num w:numId="41">
    <w:abstractNumId w:val="21"/>
  </w:num>
  <w:num w:numId="42">
    <w:abstractNumId w:val="40"/>
  </w:num>
  <w:num w:numId="43">
    <w:abstractNumId w:val="37"/>
  </w:num>
  <w:num w:numId="44">
    <w:abstractNumId w:val="11"/>
  </w:num>
  <w:num w:numId="45">
    <w:abstractNumId w:val="33"/>
  </w:num>
  <w:num w:numId="46">
    <w:abstractNumId w:val="14"/>
  </w:num>
  <w:num w:numId="47">
    <w:abstractNumId w:val="29"/>
  </w:num>
  <w:num w:numId="48">
    <w:abstractNumId w:val="24"/>
  </w:num>
  <w:num w:numId="49">
    <w:abstractNumId w:val="30"/>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rsids>
    <w:rsidRoot w:val="009F230E"/>
    <w:rsid w:val="00007B46"/>
    <w:rsid w:val="00051A6E"/>
    <w:rsid w:val="00052F22"/>
    <w:rsid w:val="00095987"/>
    <w:rsid w:val="000A2058"/>
    <w:rsid w:val="000C0081"/>
    <w:rsid w:val="000C29C3"/>
    <w:rsid w:val="000C3EAE"/>
    <w:rsid w:val="000E6137"/>
    <w:rsid w:val="00130BA7"/>
    <w:rsid w:val="00133B98"/>
    <w:rsid w:val="00143600"/>
    <w:rsid w:val="001847C5"/>
    <w:rsid w:val="001A73B4"/>
    <w:rsid w:val="00215E87"/>
    <w:rsid w:val="002357CA"/>
    <w:rsid w:val="0024102A"/>
    <w:rsid w:val="002567DF"/>
    <w:rsid w:val="00262D2F"/>
    <w:rsid w:val="0026648F"/>
    <w:rsid w:val="0029536A"/>
    <w:rsid w:val="002B4C70"/>
    <w:rsid w:val="002C3369"/>
    <w:rsid w:val="00322125"/>
    <w:rsid w:val="00323203"/>
    <w:rsid w:val="003266B4"/>
    <w:rsid w:val="00343635"/>
    <w:rsid w:val="003538EB"/>
    <w:rsid w:val="0037784F"/>
    <w:rsid w:val="003832B5"/>
    <w:rsid w:val="0039052D"/>
    <w:rsid w:val="003C4115"/>
    <w:rsid w:val="003C4ACD"/>
    <w:rsid w:val="003D0FA7"/>
    <w:rsid w:val="003F5589"/>
    <w:rsid w:val="00433599"/>
    <w:rsid w:val="0043743B"/>
    <w:rsid w:val="00441796"/>
    <w:rsid w:val="00442CB5"/>
    <w:rsid w:val="00482F52"/>
    <w:rsid w:val="004967F3"/>
    <w:rsid w:val="004A418D"/>
    <w:rsid w:val="004A4E87"/>
    <w:rsid w:val="004B724A"/>
    <w:rsid w:val="004C1E7C"/>
    <w:rsid w:val="004C3B5D"/>
    <w:rsid w:val="004C3D1F"/>
    <w:rsid w:val="00500780"/>
    <w:rsid w:val="0050325C"/>
    <w:rsid w:val="0051350F"/>
    <w:rsid w:val="00522EA6"/>
    <w:rsid w:val="00552AB4"/>
    <w:rsid w:val="00584EDD"/>
    <w:rsid w:val="00591B4A"/>
    <w:rsid w:val="005D4ACB"/>
    <w:rsid w:val="005E5C1F"/>
    <w:rsid w:val="00631C4E"/>
    <w:rsid w:val="006337FF"/>
    <w:rsid w:val="00635972"/>
    <w:rsid w:val="00650500"/>
    <w:rsid w:val="0066562F"/>
    <w:rsid w:val="00675A1D"/>
    <w:rsid w:val="00680845"/>
    <w:rsid w:val="006C67E2"/>
    <w:rsid w:val="006D4FD1"/>
    <w:rsid w:val="006F7AD2"/>
    <w:rsid w:val="00717BFC"/>
    <w:rsid w:val="007467CD"/>
    <w:rsid w:val="00750FE8"/>
    <w:rsid w:val="007717A2"/>
    <w:rsid w:val="007A72DB"/>
    <w:rsid w:val="007B27C3"/>
    <w:rsid w:val="007B5B91"/>
    <w:rsid w:val="007C0641"/>
    <w:rsid w:val="007F1558"/>
    <w:rsid w:val="00842183"/>
    <w:rsid w:val="0085048E"/>
    <w:rsid w:val="008541D2"/>
    <w:rsid w:val="00856F9F"/>
    <w:rsid w:val="00862FBF"/>
    <w:rsid w:val="00892DF5"/>
    <w:rsid w:val="008B6130"/>
    <w:rsid w:val="008F28EA"/>
    <w:rsid w:val="00903A47"/>
    <w:rsid w:val="0091535E"/>
    <w:rsid w:val="009616BA"/>
    <w:rsid w:val="00974A30"/>
    <w:rsid w:val="009A1C60"/>
    <w:rsid w:val="009A3515"/>
    <w:rsid w:val="009E3C67"/>
    <w:rsid w:val="009F230E"/>
    <w:rsid w:val="00A2085F"/>
    <w:rsid w:val="00A52E07"/>
    <w:rsid w:val="00A5657C"/>
    <w:rsid w:val="00A606B8"/>
    <w:rsid w:val="00A66CE9"/>
    <w:rsid w:val="00A80381"/>
    <w:rsid w:val="00A910FE"/>
    <w:rsid w:val="00A9520B"/>
    <w:rsid w:val="00B01FF7"/>
    <w:rsid w:val="00B063B8"/>
    <w:rsid w:val="00B21099"/>
    <w:rsid w:val="00B562AB"/>
    <w:rsid w:val="00B743B9"/>
    <w:rsid w:val="00B7764C"/>
    <w:rsid w:val="00B95E07"/>
    <w:rsid w:val="00BA7FD9"/>
    <w:rsid w:val="00BB2481"/>
    <w:rsid w:val="00BB5C4B"/>
    <w:rsid w:val="00BB75C3"/>
    <w:rsid w:val="00BD2DAF"/>
    <w:rsid w:val="00BD5A03"/>
    <w:rsid w:val="00BF0AC9"/>
    <w:rsid w:val="00C31D83"/>
    <w:rsid w:val="00C3265A"/>
    <w:rsid w:val="00C77CBE"/>
    <w:rsid w:val="00CB2500"/>
    <w:rsid w:val="00CC37AB"/>
    <w:rsid w:val="00CD0C68"/>
    <w:rsid w:val="00CD6947"/>
    <w:rsid w:val="00CD78DB"/>
    <w:rsid w:val="00D230A5"/>
    <w:rsid w:val="00D3232A"/>
    <w:rsid w:val="00D332F4"/>
    <w:rsid w:val="00D37024"/>
    <w:rsid w:val="00DA0166"/>
    <w:rsid w:val="00DB5760"/>
    <w:rsid w:val="00DB62AA"/>
    <w:rsid w:val="00DB63C7"/>
    <w:rsid w:val="00DC2B52"/>
    <w:rsid w:val="00DC5AD0"/>
    <w:rsid w:val="00DC6425"/>
    <w:rsid w:val="00DD1487"/>
    <w:rsid w:val="00DD17E6"/>
    <w:rsid w:val="00DF158B"/>
    <w:rsid w:val="00E20668"/>
    <w:rsid w:val="00E35998"/>
    <w:rsid w:val="00E3755A"/>
    <w:rsid w:val="00E83DB8"/>
    <w:rsid w:val="00EA5B6A"/>
    <w:rsid w:val="00EC2256"/>
    <w:rsid w:val="00ED7A03"/>
    <w:rsid w:val="00EF68B9"/>
    <w:rsid w:val="00F109EA"/>
    <w:rsid w:val="00F15936"/>
    <w:rsid w:val="00F67558"/>
    <w:rsid w:val="00F718ED"/>
    <w:rsid w:val="00F83808"/>
    <w:rsid w:val="00F96ABB"/>
    <w:rsid w:val="00FB1097"/>
    <w:rsid w:val="00FF2889"/>
    <w:rsid w:val="00FF36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1D"/>
    <w:rPr>
      <w:lang w:eastAsia="en-US"/>
    </w:rPr>
  </w:style>
  <w:style w:type="paragraph" w:styleId="Heading1">
    <w:name w:val="heading 1"/>
    <w:basedOn w:val="Normal"/>
    <w:next w:val="Normal"/>
    <w:qFormat/>
    <w:rsid w:val="00CC37AB"/>
    <w:pPr>
      <w:keepNext/>
      <w:numPr>
        <w:numId w:val="1"/>
      </w:numPr>
      <w:jc w:val="both"/>
      <w:outlineLvl w:val="0"/>
    </w:pPr>
    <w:rPr>
      <w:b/>
      <w:caps/>
      <w:color w:val="000000"/>
      <w:kern w:val="28"/>
      <w:sz w:val="24"/>
      <w:lang w:eastAsia="en-AU"/>
    </w:rPr>
  </w:style>
  <w:style w:type="paragraph" w:styleId="Heading2">
    <w:name w:val="heading 2"/>
    <w:basedOn w:val="Normal"/>
    <w:next w:val="Normal"/>
    <w:qFormat/>
    <w:rsid w:val="00CC37AB"/>
    <w:pPr>
      <w:keepNext/>
      <w:numPr>
        <w:ilvl w:val="1"/>
        <w:numId w:val="1"/>
      </w:numPr>
      <w:jc w:val="both"/>
      <w:outlineLvl w:val="1"/>
    </w:pPr>
    <w:rPr>
      <w:b/>
      <w:kern w:val="28"/>
      <w:sz w:val="24"/>
      <w:lang w:eastAsia="en-AU"/>
    </w:rPr>
  </w:style>
  <w:style w:type="paragraph" w:styleId="Heading3">
    <w:name w:val="heading 3"/>
    <w:basedOn w:val="Normal"/>
    <w:next w:val="Normal"/>
    <w:qFormat/>
    <w:rsid w:val="008541D2"/>
    <w:pPr>
      <w:keepNext/>
      <w:spacing w:before="240" w:after="60"/>
      <w:outlineLvl w:val="2"/>
    </w:pPr>
    <w:rPr>
      <w:rFonts w:ascii="Arial" w:hAnsi="Arial" w:cs="Arial"/>
      <w:b/>
      <w:bCs/>
      <w:sz w:val="26"/>
      <w:szCs w:val="26"/>
    </w:rPr>
  </w:style>
  <w:style w:type="paragraph" w:styleId="Heading5">
    <w:name w:val="heading 5"/>
    <w:basedOn w:val="Normal"/>
    <w:next w:val="Normal"/>
    <w:qFormat/>
    <w:rsid w:val="00CC37AB"/>
    <w:pPr>
      <w:numPr>
        <w:ilvl w:val="4"/>
        <w:numId w:val="1"/>
      </w:numPr>
      <w:tabs>
        <w:tab w:val="left" w:pos="851"/>
      </w:tabs>
      <w:spacing w:before="240" w:after="60"/>
      <w:jc w:val="both"/>
      <w:outlineLvl w:val="4"/>
    </w:pPr>
    <w:rPr>
      <w:color w:val="000000"/>
      <w:sz w:val="22"/>
      <w:lang w:eastAsia="en-AU"/>
    </w:rPr>
  </w:style>
  <w:style w:type="paragraph" w:styleId="Heading6">
    <w:name w:val="heading 6"/>
    <w:basedOn w:val="Normal"/>
    <w:next w:val="Normal"/>
    <w:qFormat/>
    <w:rsid w:val="00CC37AB"/>
    <w:pPr>
      <w:numPr>
        <w:ilvl w:val="5"/>
        <w:numId w:val="1"/>
      </w:numPr>
      <w:tabs>
        <w:tab w:val="left" w:pos="851"/>
      </w:tabs>
      <w:spacing w:before="240" w:after="60"/>
      <w:jc w:val="both"/>
      <w:outlineLvl w:val="5"/>
    </w:pPr>
    <w:rPr>
      <w:i/>
      <w:color w:val="000000"/>
      <w:sz w:val="22"/>
      <w:lang w:eastAsia="en-AU"/>
    </w:rPr>
  </w:style>
  <w:style w:type="paragraph" w:styleId="Heading7">
    <w:name w:val="heading 7"/>
    <w:basedOn w:val="Normal"/>
    <w:next w:val="Normal"/>
    <w:qFormat/>
    <w:rsid w:val="00CC37AB"/>
    <w:pPr>
      <w:numPr>
        <w:ilvl w:val="6"/>
        <w:numId w:val="1"/>
      </w:numPr>
      <w:tabs>
        <w:tab w:val="left" w:pos="851"/>
      </w:tabs>
      <w:spacing w:before="240" w:after="60"/>
      <w:jc w:val="both"/>
      <w:outlineLvl w:val="6"/>
    </w:pPr>
    <w:rPr>
      <w:rFonts w:ascii="Arial" w:hAnsi="Arial"/>
      <w:color w:val="000000"/>
      <w:sz w:val="24"/>
      <w:lang w:eastAsia="en-AU"/>
    </w:rPr>
  </w:style>
  <w:style w:type="paragraph" w:styleId="Heading8">
    <w:name w:val="heading 8"/>
    <w:basedOn w:val="Normal"/>
    <w:next w:val="Normal"/>
    <w:qFormat/>
    <w:rsid w:val="00CC37AB"/>
    <w:pPr>
      <w:numPr>
        <w:ilvl w:val="7"/>
        <w:numId w:val="1"/>
      </w:numPr>
      <w:tabs>
        <w:tab w:val="left" w:pos="851"/>
      </w:tabs>
      <w:spacing w:before="240" w:after="60"/>
      <w:jc w:val="both"/>
      <w:outlineLvl w:val="7"/>
    </w:pPr>
    <w:rPr>
      <w:rFonts w:ascii="Arial" w:hAnsi="Arial"/>
      <w:i/>
      <w:color w:val="000000"/>
      <w:sz w:val="24"/>
      <w:lang w:eastAsia="en-AU"/>
    </w:rPr>
  </w:style>
  <w:style w:type="paragraph" w:styleId="Heading9">
    <w:name w:val="heading 9"/>
    <w:basedOn w:val="Normal"/>
    <w:next w:val="Normal"/>
    <w:qFormat/>
    <w:rsid w:val="00CC37AB"/>
    <w:pPr>
      <w:numPr>
        <w:ilvl w:val="8"/>
        <w:numId w:val="1"/>
      </w:numPr>
      <w:tabs>
        <w:tab w:val="left" w:pos="851"/>
      </w:tabs>
      <w:spacing w:before="240" w:after="60"/>
      <w:jc w:val="both"/>
      <w:outlineLvl w:val="8"/>
    </w:pPr>
    <w:rPr>
      <w:rFonts w:ascii="Arial" w:hAnsi="Arial"/>
      <w:b/>
      <w:i/>
      <w:color w:val="000000"/>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A1D"/>
    <w:pPr>
      <w:tabs>
        <w:tab w:val="center" w:pos="4153"/>
        <w:tab w:val="right" w:pos="8306"/>
      </w:tabs>
    </w:pPr>
  </w:style>
  <w:style w:type="paragraph" w:styleId="Footer">
    <w:name w:val="footer"/>
    <w:basedOn w:val="Normal"/>
    <w:rsid w:val="00675A1D"/>
    <w:pPr>
      <w:tabs>
        <w:tab w:val="center" w:pos="4153"/>
        <w:tab w:val="right" w:pos="8306"/>
      </w:tabs>
    </w:pPr>
  </w:style>
  <w:style w:type="table" w:styleId="TableGrid">
    <w:name w:val="Table Grid"/>
    <w:basedOn w:val="TableNormal"/>
    <w:uiPriority w:val="59"/>
    <w:rsid w:val="0044179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8F28EA"/>
    <w:pPr>
      <w:tabs>
        <w:tab w:val="left" w:pos="709"/>
        <w:tab w:val="right" w:leader="dot" w:pos="9345"/>
      </w:tabs>
      <w:spacing w:before="240" w:after="120"/>
    </w:pPr>
    <w:rPr>
      <w:b/>
      <w:bCs/>
      <w:sz w:val="24"/>
    </w:rPr>
  </w:style>
  <w:style w:type="paragraph" w:styleId="TOC2">
    <w:name w:val="toc 2"/>
    <w:basedOn w:val="Normal"/>
    <w:next w:val="Normal"/>
    <w:autoRedefine/>
    <w:uiPriority w:val="39"/>
    <w:rsid w:val="00E83DB8"/>
    <w:pPr>
      <w:tabs>
        <w:tab w:val="right" w:leader="dot" w:pos="9345"/>
      </w:tabs>
      <w:spacing w:after="120"/>
      <w:ind w:left="709" w:hanging="709"/>
    </w:pPr>
    <w:rPr>
      <w:b/>
      <w:iCs/>
      <w:noProof/>
      <w:sz w:val="24"/>
      <w:szCs w:val="24"/>
    </w:rPr>
  </w:style>
  <w:style w:type="character" w:styleId="Hyperlink">
    <w:name w:val="Hyperlink"/>
    <w:basedOn w:val="DefaultParagraphFont"/>
    <w:uiPriority w:val="99"/>
    <w:rsid w:val="00CC37AB"/>
    <w:rPr>
      <w:rFonts w:cs="Times New Roman"/>
      <w:color w:val="0000FF"/>
      <w:u w:val="single"/>
    </w:rPr>
  </w:style>
  <w:style w:type="paragraph" w:styleId="TOC3">
    <w:name w:val="toc 3"/>
    <w:basedOn w:val="Normal"/>
    <w:next w:val="Normal"/>
    <w:autoRedefine/>
    <w:semiHidden/>
    <w:rsid w:val="009A1C60"/>
    <w:pPr>
      <w:tabs>
        <w:tab w:val="left" w:pos="1701"/>
        <w:tab w:val="right" w:leader="dot" w:pos="9345"/>
      </w:tabs>
      <w:ind w:left="1702" w:hanging="851"/>
    </w:pPr>
    <w:rPr>
      <w:i/>
      <w:noProof/>
      <w:sz w:val="24"/>
      <w:szCs w:val="24"/>
    </w:rPr>
  </w:style>
  <w:style w:type="paragraph" w:styleId="TOC4">
    <w:name w:val="toc 4"/>
    <w:basedOn w:val="Normal"/>
    <w:next w:val="Normal"/>
    <w:autoRedefine/>
    <w:semiHidden/>
    <w:rsid w:val="00F67558"/>
    <w:pPr>
      <w:ind w:left="600"/>
    </w:pPr>
  </w:style>
  <w:style w:type="paragraph" w:styleId="TOC5">
    <w:name w:val="toc 5"/>
    <w:basedOn w:val="Normal"/>
    <w:next w:val="Normal"/>
    <w:autoRedefine/>
    <w:semiHidden/>
    <w:rsid w:val="00F67558"/>
    <w:pPr>
      <w:ind w:left="800"/>
    </w:pPr>
  </w:style>
  <w:style w:type="paragraph" w:styleId="TOC6">
    <w:name w:val="toc 6"/>
    <w:basedOn w:val="Normal"/>
    <w:next w:val="Normal"/>
    <w:autoRedefine/>
    <w:semiHidden/>
    <w:rsid w:val="00F67558"/>
    <w:pPr>
      <w:ind w:left="1000"/>
    </w:pPr>
  </w:style>
  <w:style w:type="paragraph" w:styleId="TOC7">
    <w:name w:val="toc 7"/>
    <w:basedOn w:val="Normal"/>
    <w:next w:val="Normal"/>
    <w:autoRedefine/>
    <w:semiHidden/>
    <w:rsid w:val="00F67558"/>
    <w:pPr>
      <w:ind w:left="1200"/>
    </w:pPr>
  </w:style>
  <w:style w:type="paragraph" w:styleId="TOC8">
    <w:name w:val="toc 8"/>
    <w:basedOn w:val="Normal"/>
    <w:next w:val="Normal"/>
    <w:autoRedefine/>
    <w:semiHidden/>
    <w:rsid w:val="00F67558"/>
    <w:pPr>
      <w:ind w:left="1400"/>
    </w:pPr>
  </w:style>
  <w:style w:type="paragraph" w:styleId="TOC9">
    <w:name w:val="toc 9"/>
    <w:basedOn w:val="Normal"/>
    <w:next w:val="Normal"/>
    <w:autoRedefine/>
    <w:semiHidden/>
    <w:rsid w:val="00F718ED"/>
    <w:pPr>
      <w:ind w:left="1599"/>
      <w:outlineLvl w:val="0"/>
    </w:pPr>
    <w:rPr>
      <w:sz w:val="24"/>
    </w:rPr>
  </w:style>
  <w:style w:type="paragraph" w:customStyle="1" w:styleId="Style1">
    <w:name w:val="Style1"/>
    <w:basedOn w:val="Heading1"/>
    <w:rsid w:val="00DB62AA"/>
    <w:pPr>
      <w:tabs>
        <w:tab w:val="left" w:pos="567"/>
      </w:tabs>
      <w:spacing w:line="360" w:lineRule="auto"/>
    </w:pPr>
    <w:rPr>
      <w:szCs w:val="24"/>
    </w:rPr>
  </w:style>
  <w:style w:type="paragraph" w:customStyle="1" w:styleId="Style2">
    <w:name w:val="Style2"/>
    <w:basedOn w:val="Normal"/>
    <w:rsid w:val="003F5589"/>
    <w:pPr>
      <w:jc w:val="both"/>
    </w:pPr>
    <w:rPr>
      <w:sz w:val="24"/>
    </w:rPr>
  </w:style>
  <w:style w:type="character" w:styleId="PageNumber">
    <w:name w:val="page number"/>
    <w:basedOn w:val="DefaultParagraphFont"/>
    <w:rsid w:val="00BB75C3"/>
    <w:rPr>
      <w:rFonts w:cs="Times New Roman"/>
    </w:rPr>
  </w:style>
  <w:style w:type="paragraph" w:styleId="BalloonText">
    <w:name w:val="Balloon Text"/>
    <w:basedOn w:val="Normal"/>
    <w:link w:val="BalloonTextChar"/>
    <w:semiHidden/>
    <w:rsid w:val="00650500"/>
    <w:rPr>
      <w:rFonts w:ascii="Tahoma" w:hAnsi="Tahoma" w:cs="Tahoma"/>
      <w:sz w:val="16"/>
      <w:szCs w:val="16"/>
    </w:rPr>
  </w:style>
  <w:style w:type="character" w:customStyle="1" w:styleId="BalloonTextChar">
    <w:name w:val="Balloon Text Char"/>
    <w:basedOn w:val="DefaultParagraphFont"/>
    <w:link w:val="BalloonText"/>
    <w:semiHidden/>
    <w:rsid w:val="00650500"/>
    <w:rPr>
      <w:rFonts w:ascii="Tahoma" w:hAnsi="Tahoma" w:cs="Tahoma"/>
      <w:sz w:val="16"/>
      <w:szCs w:val="16"/>
      <w:lang w:eastAsia="en-US"/>
    </w:rPr>
  </w:style>
  <w:style w:type="paragraph" w:styleId="BodyText2">
    <w:name w:val="Body Text 2"/>
    <w:basedOn w:val="Normal"/>
    <w:link w:val="BodyText2Char"/>
    <w:semiHidden/>
    <w:unhideWhenUsed/>
    <w:rsid w:val="00CB2500"/>
    <w:pPr>
      <w:jc w:val="both"/>
    </w:pPr>
    <w:rPr>
      <w:lang w:val="en-US" w:eastAsia="en-AU"/>
    </w:rPr>
  </w:style>
  <w:style w:type="character" w:customStyle="1" w:styleId="BodyText2Char">
    <w:name w:val="Body Text 2 Char"/>
    <w:basedOn w:val="DefaultParagraphFont"/>
    <w:link w:val="BodyText2"/>
    <w:semiHidden/>
    <w:rsid w:val="00CB2500"/>
    <w:rPr>
      <w:lang w:val="en-US"/>
    </w:rPr>
  </w:style>
  <w:style w:type="paragraph" w:styleId="NormalWeb">
    <w:name w:val="Normal (Web)"/>
    <w:basedOn w:val="Normal"/>
    <w:uiPriority w:val="99"/>
    <w:semiHidden/>
    <w:unhideWhenUsed/>
    <w:rsid w:val="00130BA7"/>
    <w:pPr>
      <w:spacing w:before="100" w:beforeAutospacing="1" w:after="100" w:afterAutospacing="1"/>
    </w:pPr>
    <w:rPr>
      <w:rFonts w:eastAsiaTheme="minorEastAsia"/>
      <w:sz w:val="24"/>
      <w:szCs w:val="24"/>
      <w:lang w:eastAsia="en-AU"/>
    </w:rPr>
  </w:style>
  <w:style w:type="paragraph" w:styleId="FootnoteText">
    <w:name w:val="footnote text"/>
    <w:basedOn w:val="Normal"/>
    <w:link w:val="FootnoteTextChar"/>
    <w:uiPriority w:val="99"/>
    <w:unhideWhenUsed/>
    <w:rsid w:val="009F230E"/>
  </w:style>
  <w:style w:type="character" w:customStyle="1" w:styleId="FootnoteTextChar">
    <w:name w:val="Footnote Text Char"/>
    <w:basedOn w:val="DefaultParagraphFont"/>
    <w:link w:val="FootnoteText"/>
    <w:uiPriority w:val="99"/>
    <w:rsid w:val="009F230E"/>
    <w:rPr>
      <w:lang w:eastAsia="en-US"/>
    </w:rPr>
  </w:style>
  <w:style w:type="character" w:styleId="FootnoteReference">
    <w:name w:val="footnote reference"/>
    <w:basedOn w:val="DefaultParagraphFont"/>
    <w:uiPriority w:val="99"/>
    <w:semiHidden/>
    <w:unhideWhenUsed/>
    <w:rsid w:val="009F230E"/>
    <w:rPr>
      <w:vertAlign w:val="superscript"/>
    </w:rPr>
  </w:style>
  <w:style w:type="paragraph" w:styleId="ListParagraph">
    <w:name w:val="List Paragraph"/>
    <w:basedOn w:val="Normal"/>
    <w:uiPriority w:val="34"/>
    <w:qFormat/>
    <w:rsid w:val="009E3C67"/>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143600"/>
    <w:rPr>
      <w:i/>
      <w:iCs/>
    </w:rPr>
  </w:style>
  <w:style w:type="character" w:styleId="CommentReference">
    <w:name w:val="annotation reference"/>
    <w:basedOn w:val="DefaultParagraphFont"/>
    <w:uiPriority w:val="99"/>
    <w:semiHidden/>
    <w:unhideWhenUsed/>
    <w:rsid w:val="00B743B9"/>
    <w:rPr>
      <w:sz w:val="16"/>
      <w:szCs w:val="16"/>
    </w:rPr>
  </w:style>
  <w:style w:type="paragraph" w:styleId="CommentText">
    <w:name w:val="annotation text"/>
    <w:basedOn w:val="Normal"/>
    <w:link w:val="CommentTextChar"/>
    <w:uiPriority w:val="99"/>
    <w:semiHidden/>
    <w:unhideWhenUsed/>
    <w:rsid w:val="00B743B9"/>
  </w:style>
  <w:style w:type="character" w:customStyle="1" w:styleId="CommentTextChar">
    <w:name w:val="Comment Text Char"/>
    <w:basedOn w:val="DefaultParagraphFont"/>
    <w:link w:val="CommentText"/>
    <w:uiPriority w:val="99"/>
    <w:semiHidden/>
    <w:rsid w:val="00B743B9"/>
    <w:rPr>
      <w:lang w:eastAsia="en-US"/>
    </w:rPr>
  </w:style>
  <w:style w:type="paragraph" w:styleId="CommentSubject">
    <w:name w:val="annotation subject"/>
    <w:basedOn w:val="CommentText"/>
    <w:next w:val="CommentText"/>
    <w:link w:val="CommentSubjectChar"/>
    <w:uiPriority w:val="99"/>
    <w:semiHidden/>
    <w:unhideWhenUsed/>
    <w:rsid w:val="00B743B9"/>
    <w:rPr>
      <w:b/>
      <w:bCs/>
    </w:rPr>
  </w:style>
  <w:style w:type="character" w:customStyle="1" w:styleId="CommentSubjectChar">
    <w:name w:val="Comment Subject Char"/>
    <w:basedOn w:val="CommentTextChar"/>
    <w:link w:val="CommentSubject"/>
    <w:uiPriority w:val="99"/>
    <w:semiHidden/>
    <w:rsid w:val="00B743B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misia.com/copertaustralia/General.html" TargetMode="External"/><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pi@environment.gov.au" TargetMode="External"/><Relationship Id="rId20" Type="http://schemas.openxmlformats.org/officeDocument/2006/relationships/image" Target="media/image4.e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mailto:npi@environment.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845824E371F1B64EA8B39ABAC3CD216B" ma:contentTypeVersion="7" ma:contentTypeDescription="SPIRE Document" ma:contentTypeScope="" ma:versionID="59e4784549ab24990e39431397ea30fe">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1201fbac-4e05-4e09-943f-b1daffa0ea6b">000123598</RecordNumber>
    <IconOverlay xmlns="http://schemas.microsoft.com/sharepoint/v4" xsi:nil="true"/>
    <DocumentDescription xmlns="1201fbac-4e05-4e09-943f-b1daffa0ea6b">Aust Motor Vehicle Emission Inventory for the NPI - Final Report
UniQuest Limited</DocumentDescription>
    <Approval xmlns="1201fbac-4e05-4e09-943f-b1daffa0ea6b" xsi:nil="true"/>
    <Function xmlns="1201fbac-4e05-4e09-943f-b1daffa0ea6b">Regulation</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18A1-3AB8-4072-B795-9C624772B450}">
  <ds:schemaRefs>
    <ds:schemaRef ds:uri="http://schemas.microsoft.com/sharepoint/events"/>
  </ds:schemaRefs>
</ds:datastoreItem>
</file>

<file path=customXml/itemProps2.xml><?xml version="1.0" encoding="utf-8"?>
<ds:datastoreItem xmlns:ds="http://schemas.openxmlformats.org/officeDocument/2006/customXml" ds:itemID="{9BAE0BA8-F5F3-473B-954A-C9339C4A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606A7-A5B8-4B2D-BB5B-0477A5369317}">
  <ds:schemaRefs>
    <ds:schemaRef ds:uri="http://schemas.microsoft.com/office/2006/metadata/properties"/>
    <ds:schemaRef ds:uri="http://schemas.microsoft.com/office/infopath/2007/PartnerControls"/>
    <ds:schemaRef ds:uri="1201fbac-4e05-4e09-943f-b1daffa0ea6b"/>
    <ds:schemaRef ds:uri="http://schemas.microsoft.com/sharepoint/v4"/>
  </ds:schemaRefs>
</ds:datastoreItem>
</file>

<file path=customXml/itemProps4.xml><?xml version="1.0" encoding="utf-8"?>
<ds:datastoreItem xmlns:ds="http://schemas.openxmlformats.org/officeDocument/2006/customXml" ds:itemID="{7473588E-6E31-43A8-B12F-BE15B013024E}">
  <ds:schemaRefs>
    <ds:schemaRef ds:uri="http://schemas.microsoft.com/sharepoint/v3/contenttype/forms"/>
  </ds:schemaRefs>
</ds:datastoreItem>
</file>

<file path=customXml/itemProps5.xml><?xml version="1.0" encoding="utf-8"?>
<ds:datastoreItem xmlns:ds="http://schemas.openxmlformats.org/officeDocument/2006/customXml" ds:itemID="{15AEDFF5-E41C-4F3F-9BA0-17596E9D6C9E}">
  <ds:schemaRefs>
    <ds:schemaRef ds:uri="http://schemas.microsoft.com/office/2006/metadata/customXsn"/>
  </ds:schemaRefs>
</ds:datastoreItem>
</file>

<file path=customXml/itemProps6.xml><?xml version="1.0" encoding="utf-8"?>
<ds:datastoreItem xmlns:ds="http://schemas.openxmlformats.org/officeDocument/2006/customXml" ds:itemID="{7B2F47E8-0A07-4BDC-A508-7B0C97E9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11508</Words>
  <Characters>66281</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AMV Emission Inventory Final Report</vt:lpstr>
    </vt:vector>
  </TitlesOfParts>
  <Company>Digital Equipment Corporation</Company>
  <LinksUpToDate>false</LinksUpToDate>
  <CharactersWithSpaces>77634</CharactersWithSpaces>
  <SharedDoc>false</SharedDoc>
  <HLinks>
    <vt:vector size="54" baseType="variant">
      <vt:variant>
        <vt:i4>1376314</vt:i4>
      </vt:variant>
      <vt:variant>
        <vt:i4>44</vt:i4>
      </vt:variant>
      <vt:variant>
        <vt:i4>0</vt:i4>
      </vt:variant>
      <vt:variant>
        <vt:i4>5</vt:i4>
      </vt:variant>
      <vt:variant>
        <vt:lpwstr/>
      </vt:variant>
      <vt:variant>
        <vt:lpwstr>_Toc122314873</vt:lpwstr>
      </vt:variant>
      <vt:variant>
        <vt:i4>1376314</vt:i4>
      </vt:variant>
      <vt:variant>
        <vt:i4>38</vt:i4>
      </vt:variant>
      <vt:variant>
        <vt:i4>0</vt:i4>
      </vt:variant>
      <vt:variant>
        <vt:i4>5</vt:i4>
      </vt:variant>
      <vt:variant>
        <vt:lpwstr/>
      </vt:variant>
      <vt:variant>
        <vt:lpwstr>_Toc122314872</vt:lpwstr>
      </vt:variant>
      <vt:variant>
        <vt:i4>1376314</vt:i4>
      </vt:variant>
      <vt:variant>
        <vt:i4>32</vt:i4>
      </vt:variant>
      <vt:variant>
        <vt:i4>0</vt:i4>
      </vt:variant>
      <vt:variant>
        <vt:i4>5</vt:i4>
      </vt:variant>
      <vt:variant>
        <vt:lpwstr/>
      </vt:variant>
      <vt:variant>
        <vt:lpwstr>_Toc122314871</vt:lpwstr>
      </vt:variant>
      <vt:variant>
        <vt:i4>1376314</vt:i4>
      </vt:variant>
      <vt:variant>
        <vt:i4>26</vt:i4>
      </vt:variant>
      <vt:variant>
        <vt:i4>0</vt:i4>
      </vt:variant>
      <vt:variant>
        <vt:i4>5</vt:i4>
      </vt:variant>
      <vt:variant>
        <vt:lpwstr/>
      </vt:variant>
      <vt:variant>
        <vt:lpwstr>_Toc122314870</vt:lpwstr>
      </vt:variant>
      <vt:variant>
        <vt:i4>1310778</vt:i4>
      </vt:variant>
      <vt:variant>
        <vt:i4>20</vt:i4>
      </vt:variant>
      <vt:variant>
        <vt:i4>0</vt:i4>
      </vt:variant>
      <vt:variant>
        <vt:i4>5</vt:i4>
      </vt:variant>
      <vt:variant>
        <vt:lpwstr/>
      </vt:variant>
      <vt:variant>
        <vt:lpwstr>_Toc122314869</vt:lpwstr>
      </vt:variant>
      <vt:variant>
        <vt:i4>1310778</vt:i4>
      </vt:variant>
      <vt:variant>
        <vt:i4>14</vt:i4>
      </vt:variant>
      <vt:variant>
        <vt:i4>0</vt:i4>
      </vt:variant>
      <vt:variant>
        <vt:i4>5</vt:i4>
      </vt:variant>
      <vt:variant>
        <vt:lpwstr/>
      </vt:variant>
      <vt:variant>
        <vt:lpwstr>_Toc122314868</vt:lpwstr>
      </vt:variant>
      <vt:variant>
        <vt:i4>1310778</vt:i4>
      </vt:variant>
      <vt:variant>
        <vt:i4>8</vt:i4>
      </vt:variant>
      <vt:variant>
        <vt:i4>0</vt:i4>
      </vt:variant>
      <vt:variant>
        <vt:i4>5</vt:i4>
      </vt:variant>
      <vt:variant>
        <vt:lpwstr/>
      </vt:variant>
      <vt:variant>
        <vt:lpwstr>_Toc122314867</vt:lpwstr>
      </vt:variant>
      <vt:variant>
        <vt:i4>6029438</vt:i4>
      </vt:variant>
      <vt:variant>
        <vt:i4>3</vt:i4>
      </vt:variant>
      <vt:variant>
        <vt:i4>0</vt:i4>
      </vt:variant>
      <vt:variant>
        <vt:i4>5</vt:i4>
      </vt:variant>
      <vt:variant>
        <vt:lpwstr>mailto:a.birang@uniquest.com.au</vt:lpwstr>
      </vt:variant>
      <vt:variant>
        <vt:lpwstr/>
      </vt:variant>
      <vt:variant>
        <vt:i4>2162753</vt:i4>
      </vt:variant>
      <vt:variant>
        <vt:i4>0</vt:i4>
      </vt:variant>
      <vt:variant>
        <vt:i4>0</vt:i4>
      </vt:variant>
      <vt:variant>
        <vt:i4>5</vt:i4>
      </vt:variant>
      <vt:variant>
        <vt:lpwstr>mailto:consulting@uniquest.com.au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AMV Emission Inventory Final Report</dc:title>
  <dc:creator>UniQuest</dc:creator>
  <cp:lastModifiedBy>    </cp:lastModifiedBy>
  <cp:revision>2</cp:revision>
  <cp:lastPrinted>2014-08-04T23:44:00Z</cp:lastPrinted>
  <dcterms:created xsi:type="dcterms:W3CDTF">2014-11-11T00:20:00Z</dcterms:created>
  <dcterms:modified xsi:type="dcterms:W3CDTF">2014-11-11T00:20:00Z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0x01010087E80B6A94CF17418D78389AE32387B500845824E371F1B64EA8B39ABAC3CD216B</vt:lpwstr>
  </property>
  <property fmtid="{D5CDD505-2E9C-101B-9397-08002B2CF9AE}" pid="3" name="RecordPoint_SubmissionDate">
    <vt:lpwstr/>
  </property>
  <property fmtid="{D5CDD505-2E9C-101B-9397-08002B2CF9AE}" pid="4" name="RecordPoint_RecordNumberSubmitted">
    <vt:lpwstr>000123598</vt:lpwstr>
  </property>
  <property fmtid="{D5CDD505-2E9C-101B-9397-08002B2CF9AE}" pid="5" name="RecordPoint_ActiveItemSiteId">
    <vt:lpwstr>{1385f4fc-5717-4abf-b566-e69ec52ac4b2}</vt:lpwstr>
  </property>
  <property fmtid="{D5CDD505-2E9C-101B-9397-08002B2CF9AE}" pid="6" name="RecordPoint_ActiveItemListId">
    <vt:lpwstr>{c15caf38-a37c-4568-aa85-cb7c64920693}</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2014-08-12T21:07:36.7239260+10:00</vt:lpwstr>
  </property>
  <property fmtid="{D5CDD505-2E9C-101B-9397-08002B2CF9AE}" pid="10" name="RecordPoint_ActiveItemUniqueId">
    <vt:lpwstr>{0f0d2182-e54d-4c74-900c-6f589a3a27ae}</vt:lpwstr>
  </property>
  <property fmtid="{D5CDD505-2E9C-101B-9397-08002B2CF9AE}" pid="11" name="RecordPoint_ActiveItemWebId">
    <vt:lpwstr>{de56d8f6-66ac-4727-874f-f20c62e7faeb}</vt:lpwstr>
  </property>
  <property fmtid="{D5CDD505-2E9C-101B-9397-08002B2CF9AE}" pid="12" name="RecordPoint_WorkflowType">
    <vt:lpwstr>ActiveSubmitStub</vt:lpwstr>
  </property>
</Properties>
</file>