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8024"/>
        <w:tblLook w:val="04A0"/>
      </w:tblPr>
      <w:tblGrid>
        <w:gridCol w:w="8839"/>
      </w:tblGrid>
      <w:tr w:rsidR="00955DCA" w:rsidTr="00DE7EEB">
        <w:trPr>
          <w:trHeight w:val="3247"/>
        </w:trPr>
        <w:tc>
          <w:tcPr>
            <w:tcW w:w="8839" w:type="dxa"/>
            <w:shd w:val="clear" w:color="auto" w:fill="F48024"/>
          </w:tcPr>
          <w:sdt>
            <w:sdtPr>
              <w:alias w:val="Proposal Title"/>
              <w:tag w:val="EPL_doc_description"/>
              <w:id w:val="1210615201"/>
              <w:placeholder>
                <w:docPart w:val="0A771325CC234686960311909BB08D6A"/>
              </w:placeholder>
            </w:sdtPr>
            <w:sdtContent>
              <w:p w:rsidR="00955DCA" w:rsidRPr="00291FA8" w:rsidRDefault="00BA059F" w:rsidP="00955DCA">
                <w:pPr>
                  <w:pStyle w:val="EPLProposalTitle"/>
                  <w:spacing w:before="720"/>
                </w:pPr>
                <w:r>
                  <w:t xml:space="preserve">Australia's 2030 climate change emissions reduction target – abatement potential </w:t>
                </w:r>
              </w:p>
            </w:sdtContent>
          </w:sdt>
          <w:sdt>
            <w:sdtPr>
              <w:rPr>
                <w:sz w:val="24"/>
                <w:szCs w:val="24"/>
              </w:rPr>
              <w:alias w:val="Customer Name"/>
              <w:tag w:val="EPL_doc_client_name"/>
              <w:id w:val="1181778139"/>
              <w:placeholder>
                <w:docPart w:val="7AE6A727DFE14A6783BB47487734CF65"/>
              </w:placeholder>
              <w:text w:multiLine="1"/>
            </w:sdtPr>
            <w:sdtContent>
              <w:p w:rsidR="00955DCA" w:rsidRPr="00642AA1" w:rsidRDefault="00DE7EEB" w:rsidP="000356C2">
                <w:pPr>
                  <w:pStyle w:val="EPLProposalSubheading"/>
                  <w:rPr>
                    <w:rStyle w:val="TitleChar"/>
                    <w:rFonts w:ascii="Arial" w:hAnsi="Arial"/>
                    <w:b w:val="0"/>
                    <w:sz w:val="28"/>
                  </w:rPr>
                </w:pPr>
                <w:r>
                  <w:rPr>
                    <w:sz w:val="24"/>
                    <w:szCs w:val="24"/>
                  </w:rPr>
                  <w:t>Report to the Department of the Environment</w:t>
                </w:r>
                <w:r>
                  <w:rPr>
                    <w:sz w:val="24"/>
                    <w:szCs w:val="24"/>
                  </w:rPr>
                  <w:br/>
                </w:r>
                <w:r>
                  <w:rPr>
                    <w:sz w:val="24"/>
                    <w:szCs w:val="24"/>
                  </w:rPr>
                  <w:br/>
                </w:r>
                <w:r w:rsidR="000356C2">
                  <w:rPr>
                    <w:sz w:val="24"/>
                    <w:szCs w:val="24"/>
                  </w:rPr>
                  <w:t>May</w:t>
                </w:r>
                <w:r>
                  <w:rPr>
                    <w:sz w:val="24"/>
                    <w:szCs w:val="24"/>
                  </w:rPr>
                  <w:t xml:space="preserve"> 2016</w:t>
                </w:r>
              </w:p>
            </w:sdtContent>
          </w:sdt>
        </w:tc>
      </w:tr>
    </w:tbl>
    <w:p w:rsidR="00955DCA" w:rsidRDefault="00955DCA" w:rsidP="009728E9">
      <w:pPr>
        <w:pStyle w:val="EPLProposalTitle"/>
        <w:spacing w:before="720"/>
        <w:ind w:left="-567"/>
        <w:rPr>
          <w:rStyle w:val="TitleChar"/>
          <w:rFonts w:ascii="Arial" w:eastAsiaTheme="minorHAnsi" w:hAnsi="Arial" w:cstheme="minorBidi"/>
          <w:b/>
          <w:szCs w:val="22"/>
        </w:rPr>
      </w:pPr>
    </w:p>
    <w:p w:rsidR="00F81981" w:rsidRDefault="00F81981">
      <w:pPr>
        <w:spacing w:line="276" w:lineRule="auto"/>
        <w:rPr>
          <w:rFonts w:eastAsiaTheme="majorEastAsia" w:cstheme="majorBidi"/>
          <w:b/>
          <w:bCs/>
          <w:iCs/>
          <w:color w:val="5E5F61" w:themeColor="text1"/>
        </w:rPr>
      </w:pPr>
      <w:r>
        <w:rPr>
          <w:rFonts w:eastAsiaTheme="majorEastAsia" w:cstheme="majorBidi"/>
          <w:b/>
          <w:bCs/>
          <w:iCs/>
          <w:color w:val="5E5F61" w:themeColor="text1"/>
        </w:rPr>
        <w:br w:type="page"/>
      </w: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Default="000356C2" w:rsidP="000356C2">
      <w:pPr>
        <w:pStyle w:val="Heading3"/>
        <w:spacing w:before="240" w:after="240" w:line="240" w:lineRule="auto"/>
        <w:ind w:left="720" w:hanging="720"/>
        <w:rPr>
          <w:rFonts w:eastAsia="SC STKaiti" w:cs="Times New Roman"/>
          <w:bCs w:val="0"/>
          <w:color w:val="E08024"/>
          <w:szCs w:val="24"/>
          <w:lang w:eastAsia="zh-CN"/>
        </w:rPr>
      </w:pPr>
    </w:p>
    <w:p w:rsidR="000356C2" w:rsidRPr="000356C2" w:rsidRDefault="000356C2" w:rsidP="000356C2">
      <w:pPr>
        <w:pStyle w:val="Heading3"/>
        <w:spacing w:before="240" w:after="240" w:line="240" w:lineRule="auto"/>
        <w:ind w:left="720" w:hanging="720"/>
        <w:rPr>
          <w:rFonts w:eastAsia="SC STKaiti" w:cs="Times New Roman"/>
          <w:bCs w:val="0"/>
          <w:color w:val="E08024"/>
          <w:szCs w:val="24"/>
          <w:lang w:eastAsia="zh-CN"/>
        </w:rPr>
      </w:pPr>
      <w:r w:rsidRPr="000356C2">
        <w:rPr>
          <w:rFonts w:eastAsia="SC STKaiti" w:cs="Times New Roman"/>
          <w:bCs w:val="0"/>
          <w:color w:val="E08024"/>
          <w:szCs w:val="24"/>
          <w:lang w:eastAsia="zh-CN"/>
        </w:rPr>
        <w:t>Copyright</w:t>
      </w:r>
    </w:p>
    <w:p w:rsidR="000356C2" w:rsidRPr="009F38A6" w:rsidRDefault="000356C2" w:rsidP="000356C2">
      <w:pPr>
        <w:pStyle w:val="EPLCopyrightandDisclaimer"/>
        <w:rPr>
          <w:szCs w:val="16"/>
        </w:rPr>
      </w:pPr>
      <w:r w:rsidRPr="009F38A6">
        <w:rPr>
          <w:szCs w:val="16"/>
        </w:rPr>
        <w:t xml:space="preserve">© </w:t>
      </w:r>
      <w:r w:rsidR="00E148C2" w:rsidRPr="009F38A6">
        <w:rPr>
          <w:szCs w:val="16"/>
        </w:rPr>
        <w:fldChar w:fldCharType="begin"/>
      </w:r>
      <w:r w:rsidRPr="009F38A6">
        <w:rPr>
          <w:szCs w:val="16"/>
        </w:rPr>
        <w:instrText xml:space="preserve"> CREATEDATE  \@ "yyyy"</w:instrText>
      </w:r>
      <w:r w:rsidR="00E148C2" w:rsidRPr="009F38A6">
        <w:rPr>
          <w:szCs w:val="16"/>
        </w:rPr>
        <w:fldChar w:fldCharType="separate"/>
      </w:r>
      <w:r>
        <w:rPr>
          <w:noProof/>
          <w:szCs w:val="16"/>
        </w:rPr>
        <w:t>2016</w:t>
      </w:r>
      <w:r w:rsidR="00E148C2" w:rsidRPr="009F38A6">
        <w:rPr>
          <w:szCs w:val="16"/>
        </w:rPr>
        <w:fldChar w:fldCharType="end"/>
      </w:r>
      <w:r w:rsidRPr="009F38A6">
        <w:rPr>
          <w:szCs w:val="16"/>
        </w:rPr>
        <w:t xml:space="preserve"> </w:t>
      </w:r>
      <w:proofErr w:type="spellStart"/>
      <w:r w:rsidRPr="009F38A6">
        <w:rPr>
          <w:szCs w:val="16"/>
        </w:rPr>
        <w:t>Energetics</w:t>
      </w:r>
      <w:proofErr w:type="spellEnd"/>
      <w:r w:rsidRPr="009F38A6">
        <w:rPr>
          <w:szCs w:val="16"/>
        </w:rPr>
        <w:t>. All rights reserved.</w:t>
      </w:r>
    </w:p>
    <w:p w:rsidR="000356C2" w:rsidRPr="009F38A6" w:rsidRDefault="000356C2" w:rsidP="000356C2">
      <w:pPr>
        <w:pStyle w:val="EPLCopyrightandDisclaimer"/>
        <w:rPr>
          <w:szCs w:val="16"/>
        </w:rPr>
      </w:pPr>
      <w:r w:rsidRPr="009F38A6">
        <w:rPr>
          <w:szCs w:val="16"/>
        </w:rPr>
        <w:t>"</w:t>
      </w:r>
      <w:proofErr w:type="spellStart"/>
      <w:r w:rsidRPr="009F38A6">
        <w:rPr>
          <w:szCs w:val="16"/>
        </w:rPr>
        <w:t>Energetics</w:t>
      </w:r>
      <w:proofErr w:type="spellEnd"/>
      <w:r w:rsidRPr="009F38A6">
        <w:rPr>
          <w:szCs w:val="16"/>
        </w:rPr>
        <w:t xml:space="preserve">" refers to </w:t>
      </w:r>
      <w:proofErr w:type="spellStart"/>
      <w:r w:rsidRPr="009F38A6">
        <w:rPr>
          <w:szCs w:val="16"/>
        </w:rPr>
        <w:t>Energetics</w:t>
      </w:r>
      <w:proofErr w:type="spellEnd"/>
      <w:r w:rsidRPr="009F38A6">
        <w:rPr>
          <w:szCs w:val="16"/>
        </w:rPr>
        <w:t xml:space="preserve"> Pty Ltd and any related entities.</w:t>
      </w:r>
    </w:p>
    <w:p w:rsidR="000356C2" w:rsidRDefault="000356C2" w:rsidP="000356C2">
      <w:pPr>
        <w:pStyle w:val="EPLCopyrightandDisclaimer"/>
        <w:rPr>
          <w:szCs w:val="16"/>
        </w:rPr>
      </w:pPr>
      <w:r w:rsidRPr="009F38A6">
        <w:rPr>
          <w:szCs w:val="16"/>
        </w:rPr>
        <w:t xml:space="preserve">This report is protected under the copyright laws of Australia and other countries as an unpublished work. This report contains information that is proprietary and confidential to </w:t>
      </w:r>
      <w:proofErr w:type="spellStart"/>
      <w:r w:rsidRPr="009F38A6">
        <w:rPr>
          <w:szCs w:val="16"/>
        </w:rPr>
        <w:t>Energetics</w:t>
      </w:r>
      <w:proofErr w:type="spellEnd"/>
      <w:r w:rsidRPr="009F38A6">
        <w:rPr>
          <w:szCs w:val="16"/>
        </w:rPr>
        <w:t xml:space="preserve"> and subject to applicable Federal or State Freedom of Information legislation, shall not be disclosed outside the recipient's company or duplicated, used or disclosed in whole or in part by the recipient for any purpose other than for which the report was commissioned. Any other use or disclosure in whole or in part of this information without the express written permission of </w:t>
      </w:r>
      <w:proofErr w:type="spellStart"/>
      <w:r w:rsidRPr="009F38A6">
        <w:rPr>
          <w:szCs w:val="16"/>
        </w:rPr>
        <w:t>Energetics</w:t>
      </w:r>
      <w:proofErr w:type="spellEnd"/>
      <w:r w:rsidRPr="009F38A6">
        <w:rPr>
          <w:szCs w:val="16"/>
        </w:rPr>
        <w:t xml:space="preserve"> is prohibited.</w:t>
      </w:r>
    </w:p>
    <w:p w:rsidR="000356C2" w:rsidRPr="000356C2" w:rsidRDefault="000356C2" w:rsidP="000356C2">
      <w:pPr>
        <w:pStyle w:val="Heading3"/>
        <w:spacing w:before="240" w:after="240" w:line="240" w:lineRule="auto"/>
        <w:ind w:left="720" w:hanging="720"/>
        <w:rPr>
          <w:rFonts w:eastAsia="SC STKaiti" w:cs="Times New Roman"/>
          <w:bCs w:val="0"/>
          <w:color w:val="E08024"/>
          <w:szCs w:val="24"/>
          <w:lang w:eastAsia="zh-CN"/>
        </w:rPr>
      </w:pPr>
      <w:r w:rsidRPr="000356C2">
        <w:rPr>
          <w:rFonts w:eastAsia="SC STKaiti" w:cs="Times New Roman"/>
          <w:bCs w:val="0"/>
          <w:color w:val="E08024"/>
          <w:szCs w:val="24"/>
          <w:lang w:eastAsia="zh-CN"/>
        </w:rPr>
        <w:t>Disclaimer</w:t>
      </w:r>
    </w:p>
    <w:p w:rsidR="000356C2" w:rsidRPr="009F38A6" w:rsidRDefault="000356C2" w:rsidP="000356C2">
      <w:pPr>
        <w:pStyle w:val="EPLCopyrightandDisclaimer"/>
        <w:rPr>
          <w:szCs w:val="16"/>
        </w:rPr>
      </w:pPr>
      <w:r w:rsidRPr="009F38A6">
        <w:rPr>
          <w:szCs w:val="16"/>
        </w:rPr>
        <w:t xml:space="preserve">The information contained in this document is of a general nature only and does not constitute personal financial product advice. In preparing the advice no account was taken of the objectives, financial situation or needs of any particular person. </w:t>
      </w:r>
      <w:proofErr w:type="spellStart"/>
      <w:r w:rsidRPr="009F38A6">
        <w:rPr>
          <w:szCs w:val="16"/>
        </w:rPr>
        <w:t>Energetics</w:t>
      </w:r>
      <w:proofErr w:type="spellEnd"/>
      <w:r w:rsidRPr="009F38A6">
        <w:rPr>
          <w:szCs w:val="16"/>
        </w:rPr>
        <w:t xml:space="preserve"> is authorised to provide financial product advice on derivatives to wholesale clients under the Corporations Act 2001 AFSL No: 329935. In providing information and advice to you, we rely on the accuracy of information provided by you and your company. Therefore, before making any decision, readers should seek professional advice from a professional adviser to help you consider the appropriateness of the advice with regard to your particular objectives, financial situation and needs.</w:t>
      </w:r>
    </w:p>
    <w:p w:rsidR="000356C2" w:rsidRPr="009F38A6" w:rsidRDefault="000356C2" w:rsidP="000356C2">
      <w:pPr>
        <w:pStyle w:val="EPLCopyrightandDisclaimer"/>
        <w:rPr>
          <w:szCs w:val="16"/>
        </w:rPr>
      </w:pPr>
      <w:r w:rsidRPr="009F38A6">
        <w:rPr>
          <w:sz w:val="14"/>
          <w:szCs w:val="16"/>
        </w:rPr>
        <w:t>Australian Financial Services License (AFSL # 329935).</w:t>
      </w:r>
    </w:p>
    <w:p w:rsidR="000356C2" w:rsidRPr="000356C2" w:rsidRDefault="000356C2" w:rsidP="000356C2">
      <w:pPr>
        <w:pStyle w:val="Heading3"/>
        <w:spacing w:before="240" w:after="240" w:line="240" w:lineRule="auto"/>
        <w:ind w:left="720" w:hanging="720"/>
        <w:rPr>
          <w:rFonts w:eastAsia="SC STKaiti" w:cs="Times New Roman"/>
          <w:bCs w:val="0"/>
          <w:color w:val="E08024"/>
          <w:szCs w:val="24"/>
          <w:lang w:eastAsia="zh-CN"/>
        </w:rPr>
      </w:pPr>
      <w:r w:rsidRPr="000356C2">
        <w:rPr>
          <w:rFonts w:eastAsia="SC STKaiti" w:cs="Times New Roman"/>
          <w:bCs w:val="0"/>
          <w:color w:val="E08024"/>
          <w:szCs w:val="24"/>
          <w:lang w:eastAsia="zh-CN"/>
        </w:rPr>
        <w:t>Acknowledgements</w:t>
      </w:r>
    </w:p>
    <w:p w:rsidR="000356C2" w:rsidRDefault="000356C2" w:rsidP="000356C2">
      <w:pPr>
        <w:pStyle w:val="EPLCopyrightandDisclaimer"/>
        <w:rPr>
          <w:rFonts w:ascii="Arial Bold" w:hAnsi="Arial Bold" w:hint="eastAsia"/>
          <w:b/>
        </w:rPr>
      </w:pPr>
      <w:proofErr w:type="spellStart"/>
      <w:r w:rsidRPr="009F38A6">
        <w:rPr>
          <w:szCs w:val="16"/>
        </w:rPr>
        <w:t>Energetics</w:t>
      </w:r>
      <w:proofErr w:type="spellEnd"/>
      <w:r w:rsidRPr="009F38A6">
        <w:rPr>
          <w:szCs w:val="16"/>
        </w:rPr>
        <w:t xml:space="preserve"> would like to acknowledge the contribution of the following people and businesses to this report Telstra, GPT, Low Carbon Living CRC.</w:t>
      </w:r>
      <w:r>
        <w:rPr>
          <w:rFonts w:ascii="Arial Bold" w:eastAsiaTheme="minorHAnsi" w:hAnsi="Arial Bold" w:cstheme="minorBidi"/>
          <w:bCs/>
          <w:color w:val="757679" w:themeColor="text1" w:themeTint="D9"/>
          <w:sz w:val="18"/>
          <w:szCs w:val="22"/>
          <w:lang w:eastAsia="en-US"/>
        </w:rPr>
        <w:br w:type="page"/>
      </w:r>
    </w:p>
    <w:sdt>
      <w:sdtPr>
        <w:rPr>
          <w:rFonts w:ascii="Arial Bold" w:eastAsiaTheme="minorHAnsi" w:hAnsi="Arial Bold" w:cstheme="minorBidi"/>
          <w:bCs w:val="0"/>
          <w:color w:val="757679" w:themeColor="text1" w:themeTint="D9"/>
          <w:sz w:val="18"/>
          <w:szCs w:val="22"/>
          <w:lang w:val="en-AU" w:eastAsia="en-US"/>
        </w:rPr>
        <w:id w:val="1136302074"/>
        <w:docPartObj>
          <w:docPartGallery w:val="Table of Contents"/>
          <w:docPartUnique/>
        </w:docPartObj>
      </w:sdtPr>
      <w:sdtEndPr>
        <w:rPr>
          <w:b w:val="0"/>
          <w:noProof/>
          <w:color w:val="auto"/>
          <w:sz w:val="20"/>
          <w:szCs w:val="20"/>
        </w:rPr>
      </w:sdtEndPr>
      <w:sdtContent>
        <w:p w:rsidR="00F80E4E" w:rsidRPr="00E01148" w:rsidRDefault="00F80E4E" w:rsidP="00F80E4E">
          <w:pPr>
            <w:pStyle w:val="TOCHeading"/>
            <w:ind w:right="-483"/>
            <w:rPr>
              <w:rFonts w:ascii="Arial Bold" w:eastAsiaTheme="minorHAnsi" w:hAnsi="Arial Bold" w:cstheme="minorBidi"/>
              <w:bCs w:val="0"/>
              <w:color w:val="757679" w:themeColor="text1" w:themeTint="D9"/>
              <w:sz w:val="18"/>
              <w:szCs w:val="22"/>
              <w:lang w:val="en-AU" w:eastAsia="en-US"/>
            </w:rPr>
          </w:pPr>
          <w:r w:rsidRPr="00F80E4E">
            <w:rPr>
              <w:rFonts w:ascii="Arial" w:hAnsi="Arial"/>
              <w:color w:val="F48024" w:themeColor="accent1"/>
              <w:sz w:val="48"/>
              <w:lang w:val="en-AU" w:eastAsia="en-US"/>
            </w:rPr>
            <w:t>Contents</w:t>
          </w:r>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r w:rsidRPr="002C7D32">
            <w:rPr>
              <w:b w:val="0"/>
              <w:color w:val="auto"/>
              <w:sz w:val="20"/>
              <w:szCs w:val="20"/>
            </w:rPr>
            <w:fldChar w:fldCharType="begin"/>
          </w:r>
          <w:r w:rsidR="00E01148" w:rsidRPr="002C7D32">
            <w:rPr>
              <w:b w:val="0"/>
              <w:color w:val="auto"/>
              <w:sz w:val="20"/>
              <w:szCs w:val="20"/>
            </w:rPr>
            <w:instrText xml:space="preserve"> TOC \o "1-2" \h \z \u </w:instrText>
          </w:r>
          <w:r w:rsidRPr="002C7D32">
            <w:rPr>
              <w:b w:val="0"/>
              <w:color w:val="auto"/>
              <w:sz w:val="20"/>
              <w:szCs w:val="20"/>
            </w:rPr>
            <w:fldChar w:fldCharType="separate"/>
          </w:r>
          <w:hyperlink w:anchor="_Toc450150310" w:history="1">
            <w:r w:rsidR="002C7D32" w:rsidRPr="002C7D32">
              <w:rPr>
                <w:rStyle w:val="Hyperlink"/>
                <w:rFonts w:eastAsiaTheme="majorEastAsia" w:cstheme="majorBidi"/>
                <w:b/>
                <w:bCs/>
                <w:noProof/>
                <w:color w:val="auto"/>
              </w:rPr>
              <w:t>Australia’s 2030 climate change target and the measures we can pursue to achieve it</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_Toc450150310 \h </w:instrText>
            </w:r>
            <w:r w:rsidRPr="002C7D32">
              <w:rPr>
                <w:noProof/>
                <w:webHidden/>
                <w:color w:val="auto"/>
              </w:rPr>
            </w:r>
            <w:r w:rsidRPr="002C7D32">
              <w:rPr>
                <w:noProof/>
                <w:webHidden/>
                <w:color w:val="auto"/>
              </w:rPr>
              <w:fldChar w:fldCharType="separate"/>
            </w:r>
            <w:r w:rsidR="00E6380A">
              <w:rPr>
                <w:noProof/>
                <w:webHidden/>
                <w:color w:val="auto"/>
              </w:rPr>
              <w:t>1</w:t>
            </w:r>
            <w:r w:rsidRPr="002C7D32">
              <w:rPr>
                <w:noProof/>
                <w:webHidden/>
                <w:color w:val="auto"/>
              </w:rPr>
              <w:fldChar w:fldCharType="end"/>
            </w:r>
          </w:hyperlink>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hyperlink w:anchor="_Toc450150311" w:history="1">
            <w:r w:rsidR="002C7D32" w:rsidRPr="002C7D32">
              <w:rPr>
                <w:rStyle w:val="Hyperlink"/>
                <w:rFonts w:eastAsiaTheme="majorEastAsia" w:cstheme="majorBidi"/>
                <w:bCs/>
                <w:noProof/>
                <w:color w:val="auto"/>
              </w:rPr>
              <w:t>Australia’s emissions reduction potential</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_Toc450150311 \h </w:instrText>
            </w:r>
            <w:r w:rsidRPr="002C7D32">
              <w:rPr>
                <w:noProof/>
                <w:webHidden/>
                <w:color w:val="auto"/>
              </w:rPr>
            </w:r>
            <w:r w:rsidRPr="002C7D32">
              <w:rPr>
                <w:noProof/>
                <w:webHidden/>
                <w:color w:val="auto"/>
              </w:rPr>
              <w:fldChar w:fldCharType="separate"/>
            </w:r>
            <w:r w:rsidR="00E6380A">
              <w:rPr>
                <w:noProof/>
                <w:webHidden/>
                <w:color w:val="auto"/>
              </w:rPr>
              <w:t>1</w:t>
            </w:r>
            <w:r w:rsidRPr="002C7D32">
              <w:rPr>
                <w:noProof/>
                <w:webHidden/>
                <w:color w:val="auto"/>
              </w:rPr>
              <w:fldChar w:fldCharType="end"/>
            </w:r>
          </w:hyperlink>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hyperlink w:anchor="_Toc450150312" w:history="1">
            <w:r w:rsidR="002C7D32" w:rsidRPr="002C7D32">
              <w:rPr>
                <w:rStyle w:val="Hyperlink"/>
                <w:rFonts w:eastAsiaTheme="majorEastAsia" w:cstheme="majorBidi"/>
                <w:bCs/>
                <w:noProof/>
                <w:color w:val="auto"/>
              </w:rPr>
              <w:t>Emissions trajectory through to 2030</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_Toc450150312 \h </w:instrText>
            </w:r>
            <w:r w:rsidRPr="002C7D32">
              <w:rPr>
                <w:noProof/>
                <w:webHidden/>
                <w:color w:val="auto"/>
              </w:rPr>
            </w:r>
            <w:r w:rsidRPr="002C7D32">
              <w:rPr>
                <w:noProof/>
                <w:webHidden/>
                <w:color w:val="auto"/>
              </w:rPr>
              <w:fldChar w:fldCharType="separate"/>
            </w:r>
            <w:r w:rsidR="00E6380A">
              <w:rPr>
                <w:noProof/>
                <w:webHidden/>
                <w:color w:val="auto"/>
              </w:rPr>
              <w:t>3</w:t>
            </w:r>
            <w:r w:rsidRPr="002C7D32">
              <w:rPr>
                <w:noProof/>
                <w:webHidden/>
                <w:color w:val="auto"/>
              </w:rPr>
              <w:fldChar w:fldCharType="end"/>
            </w:r>
          </w:hyperlink>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hyperlink w:anchor="_Toc450150313" w:history="1">
            <w:r w:rsidR="002C7D32" w:rsidRPr="002C7D32">
              <w:rPr>
                <w:rStyle w:val="Hyperlink"/>
                <w:rFonts w:eastAsiaTheme="majorEastAsia" w:cstheme="majorBidi"/>
                <w:bCs/>
                <w:noProof/>
                <w:color w:val="auto"/>
              </w:rPr>
              <w:t>Leveraging Australian policies and programs to achieve the 2030 target</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_Toc450150313 \h </w:instrText>
            </w:r>
            <w:r w:rsidRPr="002C7D32">
              <w:rPr>
                <w:noProof/>
                <w:webHidden/>
                <w:color w:val="auto"/>
              </w:rPr>
            </w:r>
            <w:r w:rsidRPr="002C7D32">
              <w:rPr>
                <w:noProof/>
                <w:webHidden/>
                <w:color w:val="auto"/>
              </w:rPr>
              <w:fldChar w:fldCharType="separate"/>
            </w:r>
            <w:r w:rsidR="00E6380A">
              <w:rPr>
                <w:noProof/>
                <w:webHidden/>
                <w:color w:val="auto"/>
              </w:rPr>
              <w:t>4</w:t>
            </w:r>
            <w:r w:rsidRPr="002C7D32">
              <w:rPr>
                <w:noProof/>
                <w:webHidden/>
                <w:color w:val="auto"/>
              </w:rPr>
              <w:fldChar w:fldCharType="end"/>
            </w:r>
          </w:hyperlink>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hyperlink w:anchor="_Toc450150314" w:history="1">
            <w:r w:rsidR="002C7D32" w:rsidRPr="002C7D32">
              <w:rPr>
                <w:rStyle w:val="Hyperlink"/>
                <w:rFonts w:eastAsiaTheme="majorEastAsia" w:cstheme="majorBidi"/>
                <w:bCs/>
                <w:noProof/>
                <w:color w:val="auto"/>
              </w:rPr>
              <w:t>Australia’s abatement cost curve</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_Toc450150314 \h </w:instrText>
            </w:r>
            <w:r w:rsidRPr="002C7D32">
              <w:rPr>
                <w:noProof/>
                <w:webHidden/>
                <w:color w:val="auto"/>
              </w:rPr>
            </w:r>
            <w:r w:rsidRPr="002C7D32">
              <w:rPr>
                <w:noProof/>
                <w:webHidden/>
                <w:color w:val="auto"/>
              </w:rPr>
              <w:fldChar w:fldCharType="separate"/>
            </w:r>
            <w:r w:rsidR="00E6380A">
              <w:rPr>
                <w:noProof/>
                <w:webHidden/>
                <w:color w:val="auto"/>
              </w:rPr>
              <w:t>5</w:t>
            </w:r>
            <w:r w:rsidRPr="002C7D32">
              <w:rPr>
                <w:noProof/>
                <w:webHidden/>
                <w:color w:val="auto"/>
              </w:rPr>
              <w:fldChar w:fldCharType="end"/>
            </w:r>
          </w:hyperlink>
        </w:p>
        <w:p w:rsidR="002C7D32" w:rsidRPr="002C7D32" w:rsidRDefault="00E148C2" w:rsidP="002C7D32">
          <w:pPr>
            <w:pStyle w:val="TOC1"/>
            <w:tabs>
              <w:tab w:val="right" w:leader="dot" w:pos="8931"/>
            </w:tabs>
            <w:ind w:right="-200"/>
            <w:rPr>
              <w:rFonts w:asciiTheme="minorHAnsi" w:eastAsiaTheme="minorEastAsia" w:hAnsiTheme="minorHAnsi"/>
              <w:b w:val="0"/>
              <w:noProof/>
              <w:color w:val="auto"/>
              <w:sz w:val="22"/>
              <w:lang w:eastAsia="en-AU"/>
            </w:rPr>
          </w:pPr>
          <w:hyperlink w:anchor="_Toc450150315" w:history="1">
            <w:r w:rsidR="002C7D32" w:rsidRPr="002C7D32">
              <w:rPr>
                <w:rStyle w:val="Hyperlink"/>
                <w:rFonts w:eastAsiaTheme="majorEastAsia" w:cstheme="majorBidi"/>
                <w:b/>
                <w:bCs/>
                <w:noProof/>
                <w:color w:val="auto"/>
              </w:rPr>
              <w:t>Attachment A – Opportunity case studies</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_Toc450150315 \h </w:instrText>
            </w:r>
            <w:r w:rsidRPr="002C7D32">
              <w:rPr>
                <w:noProof/>
                <w:webHidden/>
                <w:color w:val="auto"/>
              </w:rPr>
            </w:r>
            <w:r w:rsidRPr="002C7D32">
              <w:rPr>
                <w:noProof/>
                <w:webHidden/>
                <w:color w:val="auto"/>
              </w:rPr>
              <w:fldChar w:fldCharType="separate"/>
            </w:r>
            <w:r w:rsidR="00E6380A">
              <w:rPr>
                <w:noProof/>
                <w:webHidden/>
                <w:color w:val="auto"/>
              </w:rPr>
              <w:t>7</w:t>
            </w:r>
            <w:r w:rsidRPr="002C7D32">
              <w:rPr>
                <w:noProof/>
                <w:webHidden/>
                <w:color w:val="auto"/>
              </w:rPr>
              <w:fldChar w:fldCharType="end"/>
            </w:r>
          </w:hyperlink>
        </w:p>
        <w:p w:rsidR="002C7D32" w:rsidRPr="002C7D32" w:rsidRDefault="00E148C2" w:rsidP="002C7D32">
          <w:pPr>
            <w:pStyle w:val="TOC1"/>
            <w:tabs>
              <w:tab w:val="right" w:leader="dot" w:pos="8931"/>
            </w:tabs>
            <w:ind w:right="-200"/>
            <w:rPr>
              <w:rFonts w:asciiTheme="minorHAnsi" w:eastAsiaTheme="minorEastAsia" w:hAnsiTheme="minorHAnsi"/>
              <w:b w:val="0"/>
              <w:noProof/>
              <w:color w:val="auto"/>
              <w:sz w:val="22"/>
              <w:lang w:eastAsia="en-AU"/>
            </w:rPr>
          </w:pPr>
          <w:hyperlink w:anchor="_Toc450150316" w:history="1">
            <w:r w:rsidR="002C7D32" w:rsidRPr="002C7D32">
              <w:rPr>
                <w:rStyle w:val="Hyperlink"/>
                <w:rFonts w:eastAsiaTheme="majorEastAsia" w:cstheme="majorBidi"/>
                <w:b/>
                <w:bCs/>
                <w:noProof/>
                <w:color w:val="auto"/>
              </w:rPr>
              <w:t>About Energetics</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_Toc450150316 \h </w:instrText>
            </w:r>
            <w:r w:rsidRPr="002C7D32">
              <w:rPr>
                <w:noProof/>
                <w:webHidden/>
                <w:color w:val="auto"/>
              </w:rPr>
            </w:r>
            <w:r w:rsidRPr="002C7D32">
              <w:rPr>
                <w:noProof/>
                <w:webHidden/>
                <w:color w:val="auto"/>
              </w:rPr>
              <w:fldChar w:fldCharType="separate"/>
            </w:r>
            <w:r w:rsidR="00E6380A">
              <w:rPr>
                <w:noProof/>
                <w:webHidden/>
                <w:color w:val="auto"/>
              </w:rPr>
              <w:t>11</w:t>
            </w:r>
            <w:r w:rsidRPr="002C7D32">
              <w:rPr>
                <w:noProof/>
                <w:webHidden/>
                <w:color w:val="auto"/>
              </w:rPr>
              <w:fldChar w:fldCharType="end"/>
            </w:r>
          </w:hyperlink>
        </w:p>
        <w:p w:rsidR="002C7D32" w:rsidRPr="002C7D32" w:rsidRDefault="00E148C2" w:rsidP="002C7D32">
          <w:pPr>
            <w:pStyle w:val="TOC2"/>
            <w:tabs>
              <w:tab w:val="clear" w:pos="9016"/>
              <w:tab w:val="right" w:leader="dot" w:pos="8931"/>
            </w:tabs>
            <w:ind w:right="-200"/>
            <w:rPr>
              <w:rFonts w:asciiTheme="minorHAnsi" w:eastAsiaTheme="minorEastAsia" w:hAnsiTheme="minorHAnsi"/>
              <w:b w:val="0"/>
              <w:noProof/>
              <w:color w:val="auto"/>
              <w:sz w:val="22"/>
              <w:lang w:eastAsia="en-AU"/>
            </w:rPr>
          </w:pPr>
          <w:hyperlink w:anchor="_Toc450150317" w:history="1">
            <w:r w:rsidR="002C7D32" w:rsidRPr="002C7D32">
              <w:rPr>
                <w:rStyle w:val="Hyperlink"/>
                <w:noProof/>
                <w:color w:val="auto"/>
              </w:rPr>
              <w:t>Report authors</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_Toc450150317 \h </w:instrText>
            </w:r>
            <w:r w:rsidRPr="002C7D32">
              <w:rPr>
                <w:noProof/>
                <w:webHidden/>
                <w:color w:val="auto"/>
              </w:rPr>
            </w:r>
            <w:r w:rsidRPr="002C7D32">
              <w:rPr>
                <w:noProof/>
                <w:webHidden/>
                <w:color w:val="auto"/>
              </w:rPr>
              <w:fldChar w:fldCharType="separate"/>
            </w:r>
            <w:r w:rsidR="00E6380A">
              <w:rPr>
                <w:noProof/>
                <w:webHidden/>
                <w:color w:val="auto"/>
              </w:rPr>
              <w:t>11</w:t>
            </w:r>
            <w:r w:rsidRPr="002C7D32">
              <w:rPr>
                <w:noProof/>
                <w:webHidden/>
                <w:color w:val="auto"/>
              </w:rPr>
              <w:fldChar w:fldCharType="end"/>
            </w:r>
          </w:hyperlink>
        </w:p>
        <w:p w:rsidR="002C7D32" w:rsidRPr="002C7D32" w:rsidRDefault="00E148C2" w:rsidP="002C7D32">
          <w:pPr>
            <w:pStyle w:val="TOC1"/>
            <w:tabs>
              <w:tab w:val="right" w:leader="dot" w:pos="8931"/>
            </w:tabs>
            <w:ind w:right="-200"/>
            <w:rPr>
              <w:rFonts w:asciiTheme="minorHAnsi" w:eastAsiaTheme="minorEastAsia" w:hAnsiTheme="minorHAnsi"/>
              <w:b w:val="0"/>
              <w:noProof/>
              <w:color w:val="auto"/>
              <w:sz w:val="22"/>
              <w:lang w:eastAsia="en-AU"/>
            </w:rPr>
          </w:pPr>
          <w:hyperlink w:anchor="_Toc450150318" w:history="1">
            <w:r w:rsidR="002C7D32" w:rsidRPr="002C7D32">
              <w:rPr>
                <w:rStyle w:val="Hyperlink"/>
                <w:noProof/>
                <w:color w:val="auto"/>
              </w:rPr>
              <w:t>Contact details</w:t>
            </w:r>
            <w:r w:rsidR="002C7D32" w:rsidRPr="002C7D32">
              <w:rPr>
                <w:noProof/>
                <w:webHidden/>
                <w:color w:val="auto"/>
              </w:rPr>
              <w:tab/>
            </w:r>
            <w:r w:rsidRPr="002C7D32">
              <w:rPr>
                <w:noProof/>
                <w:webHidden/>
                <w:color w:val="auto"/>
              </w:rPr>
              <w:fldChar w:fldCharType="begin"/>
            </w:r>
            <w:r w:rsidR="002C7D32" w:rsidRPr="002C7D32">
              <w:rPr>
                <w:noProof/>
                <w:webHidden/>
                <w:color w:val="auto"/>
              </w:rPr>
              <w:instrText xml:space="preserve"> PAGEREF _Toc450150318 \h </w:instrText>
            </w:r>
            <w:r w:rsidRPr="002C7D32">
              <w:rPr>
                <w:noProof/>
                <w:webHidden/>
                <w:color w:val="auto"/>
              </w:rPr>
            </w:r>
            <w:r w:rsidRPr="002C7D32">
              <w:rPr>
                <w:noProof/>
                <w:webHidden/>
                <w:color w:val="auto"/>
              </w:rPr>
              <w:fldChar w:fldCharType="separate"/>
            </w:r>
            <w:r w:rsidR="00E6380A">
              <w:rPr>
                <w:noProof/>
                <w:webHidden/>
                <w:color w:val="auto"/>
              </w:rPr>
              <w:t>12</w:t>
            </w:r>
            <w:r w:rsidRPr="002C7D32">
              <w:rPr>
                <w:noProof/>
                <w:webHidden/>
                <w:color w:val="auto"/>
              </w:rPr>
              <w:fldChar w:fldCharType="end"/>
            </w:r>
          </w:hyperlink>
        </w:p>
        <w:p w:rsidR="00F80E4E" w:rsidRPr="00E01148" w:rsidRDefault="00E148C2" w:rsidP="002C7D32">
          <w:pPr>
            <w:pStyle w:val="TOC1"/>
            <w:tabs>
              <w:tab w:val="right" w:leader="dot" w:pos="8721"/>
            </w:tabs>
            <w:ind w:right="-200"/>
            <w:rPr>
              <w:rFonts w:asciiTheme="minorHAnsi" w:eastAsiaTheme="minorEastAsia" w:hAnsiTheme="minorHAnsi"/>
              <w:b w:val="0"/>
              <w:noProof/>
              <w:color w:val="auto"/>
              <w:sz w:val="20"/>
              <w:szCs w:val="20"/>
              <w:lang w:eastAsia="en-AU"/>
            </w:rPr>
          </w:pPr>
          <w:r w:rsidRPr="002C7D32">
            <w:rPr>
              <w:b w:val="0"/>
              <w:color w:val="auto"/>
              <w:sz w:val="20"/>
              <w:szCs w:val="20"/>
            </w:rPr>
            <w:fldChar w:fldCharType="end"/>
          </w:r>
        </w:p>
      </w:sdtContent>
    </w:sdt>
    <w:p w:rsidR="00F80E4E" w:rsidRDefault="00F80E4E" w:rsidP="008F2AD1">
      <w:pPr>
        <w:pStyle w:val="Heading3"/>
        <w:rPr>
          <w:color w:val="2F2F30" w:themeColor="text1" w:themeShade="80"/>
        </w:rPr>
      </w:pPr>
    </w:p>
    <w:p w:rsidR="00F80E4E" w:rsidRDefault="00F80E4E" w:rsidP="00F80E4E">
      <w:pPr>
        <w:spacing w:after="200" w:line="276" w:lineRule="auto"/>
        <w:rPr>
          <w:color w:val="2F2F30" w:themeColor="text1" w:themeShade="80"/>
        </w:rPr>
      </w:pPr>
      <w:bookmarkStart w:id="0" w:name="_Toc448928203"/>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p w:rsidR="00F80E4E" w:rsidRDefault="00F80E4E" w:rsidP="00F80E4E">
      <w:pPr>
        <w:spacing w:after="200" w:line="276" w:lineRule="auto"/>
        <w:rPr>
          <w:color w:val="2F2F30" w:themeColor="text1" w:themeShade="80"/>
        </w:rPr>
      </w:pPr>
    </w:p>
    <w:bookmarkEnd w:id="0"/>
    <w:p w:rsidR="00A95902" w:rsidRDefault="00A95902">
      <w:pPr>
        <w:spacing w:line="276" w:lineRule="auto"/>
      </w:pPr>
    </w:p>
    <w:p w:rsidR="00355A77" w:rsidRDefault="00355A77" w:rsidP="00A95902">
      <w:pPr>
        <w:pStyle w:val="Heading1"/>
        <w:sectPr w:rsidR="00355A77" w:rsidSect="0000037C">
          <w:headerReference w:type="default" r:id="rId14"/>
          <w:footerReference w:type="default" r:id="rId15"/>
          <w:headerReference w:type="first" r:id="rId16"/>
          <w:pgSz w:w="11906" w:h="16838" w:code="9"/>
          <w:pgMar w:top="1985" w:right="1474" w:bottom="1134" w:left="1701" w:header="816" w:footer="284" w:gutter="0"/>
          <w:pgNumType w:fmt="lowerRoman" w:start="1"/>
          <w:cols w:space="708"/>
          <w:titlePg/>
          <w:docGrid w:linePitch="360"/>
        </w:sectPr>
      </w:pPr>
      <w:bookmarkStart w:id="1" w:name="_Toc436646635"/>
    </w:p>
    <w:bookmarkEnd w:id="1"/>
    <w:p w:rsidR="00355A77" w:rsidRDefault="00355A77">
      <w:pPr>
        <w:spacing w:after="200" w:line="276" w:lineRule="auto"/>
        <w:rPr>
          <w:rFonts w:eastAsiaTheme="majorEastAsia" w:cstheme="majorBidi"/>
          <w:b/>
          <w:bCs/>
          <w:color w:val="F48024" w:themeColor="accent1"/>
          <w:sz w:val="48"/>
          <w:szCs w:val="28"/>
        </w:rPr>
      </w:pPr>
      <w:r>
        <w:rPr>
          <w:rFonts w:eastAsiaTheme="majorEastAsia" w:cstheme="majorBidi"/>
          <w:b/>
          <w:bCs/>
          <w:color w:val="F48024" w:themeColor="accent1"/>
          <w:sz w:val="48"/>
          <w:szCs w:val="28"/>
        </w:rPr>
        <w:lastRenderedPageBreak/>
        <w:br w:type="page"/>
      </w:r>
    </w:p>
    <w:p w:rsidR="00355A77" w:rsidRPr="00355A77" w:rsidRDefault="00355A77" w:rsidP="00355A77">
      <w:pPr>
        <w:keepNext/>
        <w:keepLines/>
        <w:spacing w:before="480" w:line="528" w:lineRule="atLeast"/>
        <w:outlineLvl w:val="1"/>
        <w:rPr>
          <w:rFonts w:eastAsiaTheme="majorEastAsia" w:cstheme="majorBidi"/>
          <w:b/>
          <w:bCs/>
          <w:color w:val="F48024" w:themeColor="accent1"/>
          <w:sz w:val="48"/>
          <w:szCs w:val="28"/>
        </w:rPr>
      </w:pPr>
      <w:bookmarkStart w:id="2" w:name="_Toc450150310"/>
      <w:r w:rsidRPr="00355A77">
        <w:rPr>
          <w:rFonts w:eastAsiaTheme="majorEastAsia" w:cstheme="majorBidi"/>
          <w:b/>
          <w:bCs/>
          <w:color w:val="F48024" w:themeColor="accent1"/>
          <w:sz w:val="48"/>
          <w:szCs w:val="28"/>
        </w:rPr>
        <w:lastRenderedPageBreak/>
        <w:t>Australia’s 2030 climate change target and the measures we can pursue to achieve it</w:t>
      </w:r>
      <w:bookmarkEnd w:id="2"/>
      <w:r w:rsidRPr="00355A77">
        <w:rPr>
          <w:rFonts w:eastAsiaTheme="majorEastAsia" w:cstheme="majorBidi"/>
          <w:b/>
          <w:bCs/>
          <w:color w:val="F48024" w:themeColor="accent1"/>
          <w:sz w:val="48"/>
          <w:szCs w:val="28"/>
        </w:rPr>
        <w:t xml:space="preserve"> </w:t>
      </w:r>
    </w:p>
    <w:p w:rsidR="000356C2" w:rsidRPr="000356C2" w:rsidRDefault="000356C2" w:rsidP="000356C2">
      <w:pPr>
        <w:spacing w:before="120" w:after="120" w:line="264" w:lineRule="auto"/>
        <w:rPr>
          <w:rFonts w:eastAsia="SimSun" w:cs="Arial"/>
          <w:color w:val="auto"/>
          <w:sz w:val="20"/>
          <w:szCs w:val="20"/>
          <w:lang w:eastAsia="zh-CN"/>
        </w:rPr>
      </w:pPr>
      <w:r w:rsidRPr="000356C2">
        <w:rPr>
          <w:rFonts w:eastAsia="SimSun" w:cs="Arial"/>
          <w:color w:val="auto"/>
          <w:sz w:val="20"/>
          <w:szCs w:val="20"/>
          <w:lang w:eastAsia="zh-CN"/>
        </w:rPr>
        <w:t xml:space="preserve">At the UNFCCC 21st Conference of Parties (COP21) in Paris, December 2015, Australia formalised our Intended Nationally Determined Contribution (INDC) for inclusion in the Paris Agreement. This contribution </w:t>
      </w:r>
      <w:r w:rsidR="001967F8">
        <w:rPr>
          <w:rFonts w:eastAsia="SimSun" w:cs="Arial"/>
          <w:color w:val="auto"/>
          <w:sz w:val="20"/>
          <w:szCs w:val="20"/>
          <w:lang w:eastAsia="zh-CN"/>
        </w:rPr>
        <w:t>is a target to reduce Australia’s</w:t>
      </w:r>
      <w:r w:rsidRPr="000356C2">
        <w:rPr>
          <w:rFonts w:eastAsia="SimSun" w:cs="Arial"/>
          <w:color w:val="auto"/>
          <w:sz w:val="20"/>
          <w:szCs w:val="20"/>
          <w:lang w:eastAsia="zh-CN"/>
        </w:rPr>
        <w:t xml:space="preserve"> domestic emissions by 26 to 28 per cent below 2005 levels by 2030. </w:t>
      </w:r>
    </w:p>
    <w:p w:rsidR="000356C2" w:rsidRPr="000356C2" w:rsidRDefault="000356C2" w:rsidP="000356C2">
      <w:pPr>
        <w:spacing w:before="120" w:after="120" w:line="264" w:lineRule="auto"/>
        <w:rPr>
          <w:rFonts w:eastAsia="SimSun" w:cs="Arial"/>
          <w:color w:val="auto"/>
          <w:sz w:val="20"/>
          <w:szCs w:val="20"/>
          <w:lang w:eastAsia="zh-CN"/>
        </w:rPr>
      </w:pPr>
      <w:r w:rsidRPr="000356C2">
        <w:rPr>
          <w:rFonts w:eastAsia="SimSun" w:cs="Arial"/>
          <w:color w:val="auto"/>
          <w:sz w:val="20"/>
          <w:szCs w:val="20"/>
          <w:lang w:eastAsia="zh-CN"/>
        </w:rPr>
        <w:t xml:space="preserve">To help illustrate a pathway for the Government to achieve the 2030 target, the Department of the Environment (the Department) engaged </w:t>
      </w:r>
      <w:proofErr w:type="spellStart"/>
      <w:r w:rsidRPr="000356C2">
        <w:rPr>
          <w:rFonts w:eastAsia="SimSun" w:cs="Arial"/>
          <w:color w:val="auto"/>
          <w:sz w:val="20"/>
          <w:szCs w:val="20"/>
          <w:lang w:eastAsia="zh-CN"/>
        </w:rPr>
        <w:t>Energetics</w:t>
      </w:r>
      <w:proofErr w:type="spellEnd"/>
      <w:r w:rsidRPr="000356C2">
        <w:rPr>
          <w:rFonts w:eastAsia="SimSun" w:cs="Arial"/>
          <w:color w:val="auto"/>
          <w:sz w:val="20"/>
          <w:szCs w:val="20"/>
          <w:lang w:eastAsia="zh-CN"/>
        </w:rPr>
        <w:t xml:space="preserve"> to analyse and model the emissions reduction opportunity.</w:t>
      </w:r>
    </w:p>
    <w:p w:rsidR="000356C2" w:rsidRPr="000356C2" w:rsidRDefault="000356C2" w:rsidP="000356C2">
      <w:pPr>
        <w:spacing w:before="120" w:after="120" w:line="264" w:lineRule="auto"/>
        <w:rPr>
          <w:rFonts w:eastAsia="SimSun" w:cs="Arial"/>
          <w:color w:val="auto"/>
          <w:sz w:val="20"/>
          <w:szCs w:val="20"/>
          <w:lang w:eastAsia="zh-CN"/>
        </w:rPr>
      </w:pPr>
      <w:proofErr w:type="spellStart"/>
      <w:r w:rsidRPr="000356C2">
        <w:rPr>
          <w:rFonts w:eastAsia="SimSun" w:cs="Arial"/>
          <w:color w:val="auto"/>
          <w:sz w:val="20"/>
          <w:szCs w:val="20"/>
          <w:lang w:eastAsia="zh-CN"/>
        </w:rPr>
        <w:t>Energetics</w:t>
      </w:r>
      <w:proofErr w:type="spellEnd"/>
      <w:r w:rsidRPr="000356C2">
        <w:rPr>
          <w:rFonts w:eastAsia="SimSun" w:cs="Arial"/>
          <w:color w:val="auto"/>
          <w:sz w:val="20"/>
          <w:szCs w:val="20"/>
          <w:lang w:eastAsia="zh-CN"/>
        </w:rPr>
        <w:t>’ analysis shows there is potentially significant low-cost abatement available to meet the 2030 target.</w:t>
      </w:r>
    </w:p>
    <w:p w:rsidR="000356C2" w:rsidRPr="004B1421" w:rsidRDefault="00E148C2" w:rsidP="000356C2">
      <w:pPr>
        <w:pStyle w:val="BodyText"/>
      </w:pPr>
      <w:r>
        <w:rPr>
          <w:noProof/>
          <w:lang w:eastAsia="en-AU"/>
        </w:rPr>
      </w:r>
      <w:r>
        <w:rPr>
          <w:noProof/>
          <w:lang w:eastAsia="en-AU"/>
        </w:rPr>
        <w:pict>
          <v:roundrect id="Rounded Rectangle 60" o:spid="_x0000_s1026" style="width:447.6pt;height:165.75pt;visibility:visible;mso-wrap-style:square;mso-left-percent:-10001;mso-top-percent:-10001;mso-position-horizontal:absolute;mso-position-horizontal-relative:char;mso-position-vertical:absolute;mso-position-vertical-relative:line;mso-left-percent:-10001;mso-top-percent:-10001;v-text-anchor:middle" arcsize="10923f" fillcolor="#bfc0c1 [1625]" strokecolor="#797a7d [3049]">
            <v:fill color2="#ececec [505]" rotate="t" angle="180" colors="0 #cccccf;22938f #dadbdd;1 #f1f1f2" focus="100%" type="gradient"/>
            <v:shadow on="t" color="black" opacity="24903f" origin=",.5" offset="0,.55556mm"/>
            <v:textbox>
              <w:txbxContent>
                <w:p w:rsidR="000356C2" w:rsidRPr="00132BF4" w:rsidRDefault="000356C2" w:rsidP="000356C2">
                  <w:pPr>
                    <w:pStyle w:val="ListParagraph"/>
                    <w:numPr>
                      <w:ilvl w:val="0"/>
                      <w:numId w:val="42"/>
                    </w:numPr>
                    <w:spacing w:after="0" w:line="231" w:lineRule="atLeast"/>
                    <w:contextualSpacing w:val="0"/>
                    <w:rPr>
                      <w:b w:val="0"/>
                      <w:color w:val="auto"/>
                      <w:sz w:val="20"/>
                      <w:szCs w:val="18"/>
                    </w:rPr>
                  </w:pPr>
                  <w:r w:rsidRPr="00132BF4">
                    <w:rPr>
                      <w:b w:val="0"/>
                      <w:color w:val="auto"/>
                      <w:sz w:val="20"/>
                      <w:szCs w:val="18"/>
                    </w:rPr>
                    <w:t xml:space="preserve">Australia can reach its 2030 abatement target under the current policy framework. Large emitters must be effectively engaged and programs </w:t>
                  </w:r>
                  <w:r w:rsidR="00897246">
                    <w:rPr>
                      <w:b w:val="0"/>
                      <w:color w:val="auto"/>
                      <w:sz w:val="20"/>
                      <w:szCs w:val="18"/>
                    </w:rPr>
                    <w:t>pursued without delay.</w:t>
                  </w:r>
                  <w:r w:rsidRPr="00132BF4">
                    <w:rPr>
                      <w:b w:val="0"/>
                      <w:color w:val="auto"/>
                      <w:sz w:val="20"/>
                      <w:szCs w:val="18"/>
                    </w:rPr>
                    <w:t xml:space="preserve"> </w:t>
                  </w:r>
                  <w:proofErr w:type="spellStart"/>
                  <w:r w:rsidRPr="00132BF4">
                    <w:rPr>
                      <w:b w:val="0"/>
                      <w:color w:val="auto"/>
                      <w:sz w:val="20"/>
                      <w:szCs w:val="18"/>
                    </w:rPr>
                    <w:t>Energetics</w:t>
                  </w:r>
                  <w:proofErr w:type="spellEnd"/>
                  <w:r w:rsidRPr="00132BF4">
                    <w:rPr>
                      <w:b w:val="0"/>
                      <w:color w:val="auto"/>
                      <w:sz w:val="20"/>
                      <w:szCs w:val="18"/>
                    </w:rPr>
                    <w:t>’ modelling of over 70 emissions reduction measures has found that approximately 960 Mt CO</w:t>
                  </w:r>
                  <w:r w:rsidRPr="00132BF4">
                    <w:rPr>
                      <w:b w:val="0"/>
                      <w:color w:val="auto"/>
                      <w:sz w:val="20"/>
                      <w:szCs w:val="18"/>
                      <w:vertAlign w:val="subscript"/>
                    </w:rPr>
                    <w:t>2</w:t>
                  </w:r>
                  <w:r w:rsidRPr="00897246">
                    <w:rPr>
                      <w:b w:val="0"/>
                      <w:color w:val="auto"/>
                      <w:sz w:val="20"/>
                      <w:szCs w:val="18"/>
                    </w:rPr>
                    <w:t>-e</w:t>
                  </w:r>
                  <w:r w:rsidRPr="00132BF4">
                    <w:rPr>
                      <w:b w:val="0"/>
                      <w:color w:val="auto"/>
                      <w:sz w:val="20"/>
                      <w:szCs w:val="18"/>
                      <w:vertAlign w:val="subscript"/>
                    </w:rPr>
                    <w:t> </w:t>
                  </w:r>
                  <w:r w:rsidRPr="00132BF4">
                    <w:rPr>
                      <w:b w:val="0"/>
                      <w:color w:val="auto"/>
                      <w:sz w:val="20"/>
                      <w:szCs w:val="18"/>
                    </w:rPr>
                    <w:t xml:space="preserve">of abatement can be achieved by 2030.  </w:t>
                  </w:r>
                  <w:r w:rsidRPr="00132BF4">
                    <w:rPr>
                      <w:b w:val="0"/>
                      <w:color w:val="auto"/>
                      <w:sz w:val="20"/>
                      <w:szCs w:val="18"/>
                    </w:rPr>
                    <w:br/>
                    <w:t> </w:t>
                  </w:r>
                </w:p>
                <w:p w:rsidR="000356C2" w:rsidRPr="00132BF4" w:rsidRDefault="000356C2" w:rsidP="000356C2">
                  <w:pPr>
                    <w:pStyle w:val="ListParagraph"/>
                    <w:numPr>
                      <w:ilvl w:val="0"/>
                      <w:numId w:val="42"/>
                    </w:numPr>
                    <w:spacing w:after="240" w:line="231" w:lineRule="atLeast"/>
                    <w:contextualSpacing w:val="0"/>
                    <w:rPr>
                      <w:b w:val="0"/>
                      <w:color w:val="auto"/>
                      <w:sz w:val="20"/>
                      <w:szCs w:val="18"/>
                    </w:rPr>
                  </w:pPr>
                  <w:r w:rsidRPr="00132BF4">
                    <w:rPr>
                      <w:b w:val="0"/>
                      <w:color w:val="auto"/>
                      <w:sz w:val="20"/>
                      <w:szCs w:val="18"/>
                    </w:rPr>
                    <w:t>Modelling over the period 1993 – 2015 shows the emissions intensity of the Australian economy fell on average by 2.3 percent each year, suggesting that national emissions are decoupling from economic growth.</w:t>
                  </w:r>
                </w:p>
                <w:p w:rsidR="000356C2" w:rsidRPr="00132BF4" w:rsidRDefault="000356C2" w:rsidP="000356C2">
                  <w:pPr>
                    <w:pStyle w:val="ListParagraph"/>
                    <w:numPr>
                      <w:ilvl w:val="0"/>
                      <w:numId w:val="42"/>
                    </w:numPr>
                    <w:spacing w:after="0" w:line="231" w:lineRule="atLeast"/>
                    <w:contextualSpacing w:val="0"/>
                    <w:rPr>
                      <w:b w:val="0"/>
                      <w:color w:val="auto"/>
                      <w:sz w:val="20"/>
                      <w:szCs w:val="18"/>
                    </w:rPr>
                  </w:pPr>
                  <w:r w:rsidRPr="00132BF4">
                    <w:rPr>
                      <w:b w:val="0"/>
                      <w:color w:val="auto"/>
                      <w:sz w:val="20"/>
                      <w:szCs w:val="18"/>
                    </w:rPr>
                    <w:t xml:space="preserve">Australia will achieve its 2020 cumulative abatement target under the Kyoto protocol, equivalent to 5 per cent below 2000 levels by 2020. </w:t>
                  </w:r>
                  <w:proofErr w:type="spellStart"/>
                  <w:r w:rsidRPr="00132BF4">
                    <w:rPr>
                      <w:b w:val="0"/>
                      <w:color w:val="auto"/>
                      <w:sz w:val="20"/>
                      <w:szCs w:val="18"/>
                    </w:rPr>
                    <w:t>Energetics</w:t>
                  </w:r>
                  <w:proofErr w:type="spellEnd"/>
                  <w:r w:rsidRPr="00132BF4">
                    <w:rPr>
                      <w:b w:val="0"/>
                      <w:color w:val="auto"/>
                      <w:sz w:val="20"/>
                      <w:szCs w:val="18"/>
                    </w:rPr>
                    <w:t xml:space="preserve"> has identified further abatement opportunities that can be pursued, to reach an absolute 2020 target. </w:t>
                  </w:r>
                </w:p>
                <w:p w:rsidR="000356C2" w:rsidRPr="00132BF4" w:rsidRDefault="000356C2" w:rsidP="000356C2">
                  <w:pPr>
                    <w:rPr>
                      <w:color w:val="auto"/>
                    </w:rPr>
                  </w:pPr>
                </w:p>
              </w:txbxContent>
            </v:textbox>
            <w10:wrap type="none"/>
            <w10:anchorlock/>
          </v:roundrect>
        </w:pict>
      </w:r>
    </w:p>
    <w:p w:rsidR="000356C2" w:rsidRPr="000356C2" w:rsidRDefault="000356C2" w:rsidP="000356C2">
      <w:pPr>
        <w:keepNext/>
        <w:keepLines/>
        <w:spacing w:before="480" w:line="528" w:lineRule="atLeast"/>
        <w:outlineLvl w:val="1"/>
        <w:rPr>
          <w:rFonts w:eastAsiaTheme="majorEastAsia" w:cstheme="majorBidi"/>
          <w:bCs/>
          <w:color w:val="auto"/>
          <w:sz w:val="44"/>
          <w:szCs w:val="26"/>
        </w:rPr>
      </w:pPr>
      <w:bookmarkStart w:id="3" w:name="_Toc449084569"/>
      <w:bookmarkStart w:id="4" w:name="_Toc450150311"/>
      <w:r w:rsidRPr="000356C2">
        <w:rPr>
          <w:rFonts w:eastAsiaTheme="majorEastAsia" w:cstheme="majorBidi"/>
          <w:bCs/>
          <w:color w:val="auto"/>
          <w:sz w:val="44"/>
          <w:szCs w:val="26"/>
        </w:rPr>
        <w:t>Australia’s emissions reduction potential</w:t>
      </w:r>
      <w:bookmarkEnd w:id="3"/>
      <w:bookmarkEnd w:id="4"/>
    </w:p>
    <w:p w:rsidR="000356C2" w:rsidRPr="000356C2" w:rsidRDefault="000356C2" w:rsidP="000356C2">
      <w:pPr>
        <w:spacing w:before="120" w:after="120" w:line="264" w:lineRule="auto"/>
        <w:rPr>
          <w:color w:val="auto"/>
          <w:sz w:val="20"/>
          <w:szCs w:val="20"/>
        </w:rPr>
      </w:pPr>
      <w:r w:rsidRPr="000356C2">
        <w:rPr>
          <w:color w:val="auto"/>
          <w:sz w:val="20"/>
          <w:szCs w:val="20"/>
        </w:rPr>
        <w:t xml:space="preserve">To assess the potential for Australia to meet this abatement target, </w:t>
      </w:r>
      <w:proofErr w:type="spellStart"/>
      <w:r w:rsidRPr="000356C2">
        <w:rPr>
          <w:color w:val="auto"/>
          <w:sz w:val="20"/>
          <w:szCs w:val="20"/>
        </w:rPr>
        <w:t>Energetics</w:t>
      </w:r>
      <w:proofErr w:type="spellEnd"/>
      <w:r w:rsidRPr="000356C2">
        <w:rPr>
          <w:color w:val="auto"/>
          <w:sz w:val="20"/>
          <w:szCs w:val="20"/>
        </w:rPr>
        <w:t xml:space="preserve"> considered over 70 abatement opportunities that could be implemented by policies existing or under consideration by the Government. Abatement opportunities were identified across all major sectors and categorised into a range of project types including land use change, fuel switching, energy productivity, renewable energy and waste management.</w:t>
      </w:r>
    </w:p>
    <w:p w:rsidR="000356C2" w:rsidRPr="000356C2" w:rsidRDefault="000356C2" w:rsidP="000356C2">
      <w:pPr>
        <w:spacing w:before="120" w:after="120" w:line="264" w:lineRule="auto"/>
        <w:rPr>
          <w:color w:val="auto"/>
          <w:sz w:val="20"/>
          <w:szCs w:val="20"/>
        </w:rPr>
      </w:pPr>
      <w:proofErr w:type="spellStart"/>
      <w:r w:rsidRPr="000356C2">
        <w:rPr>
          <w:color w:val="auto"/>
          <w:sz w:val="20"/>
          <w:szCs w:val="20"/>
        </w:rPr>
        <w:t>Energetics</w:t>
      </w:r>
      <w:proofErr w:type="spellEnd"/>
      <w:r w:rsidR="001967F8">
        <w:rPr>
          <w:color w:val="auto"/>
          <w:sz w:val="20"/>
          <w:szCs w:val="20"/>
        </w:rPr>
        <w:t>’</w:t>
      </w:r>
      <w:r w:rsidRPr="000356C2">
        <w:rPr>
          <w:color w:val="auto"/>
          <w:sz w:val="20"/>
          <w:szCs w:val="20"/>
        </w:rPr>
        <w:t xml:space="preserve"> model</w:t>
      </w:r>
      <w:r w:rsidR="00897246">
        <w:rPr>
          <w:color w:val="auto"/>
          <w:sz w:val="20"/>
          <w:szCs w:val="20"/>
        </w:rPr>
        <w:t>ling</w:t>
      </w:r>
      <w:r w:rsidRPr="000356C2">
        <w:rPr>
          <w:color w:val="auto"/>
          <w:sz w:val="20"/>
          <w:szCs w:val="20"/>
        </w:rPr>
        <w:t xml:space="preserve"> identified an abatement potential of 154 Mt CO</w:t>
      </w:r>
      <w:r w:rsidRPr="000356C2">
        <w:rPr>
          <w:color w:val="auto"/>
          <w:sz w:val="20"/>
          <w:szCs w:val="20"/>
          <w:vertAlign w:val="subscript"/>
        </w:rPr>
        <w:t>2</w:t>
      </w:r>
      <w:r w:rsidRPr="000356C2">
        <w:rPr>
          <w:color w:val="auto"/>
          <w:sz w:val="20"/>
          <w:szCs w:val="20"/>
        </w:rPr>
        <w:t xml:space="preserve">-e in 2030 relative to emissions in 2020. The total cumulative abatement opportunity </w:t>
      </w:r>
      <w:r w:rsidR="001967F8">
        <w:rPr>
          <w:color w:val="auto"/>
          <w:sz w:val="20"/>
          <w:szCs w:val="20"/>
        </w:rPr>
        <w:t>in the period from 2021 to 2030</w:t>
      </w:r>
      <w:r w:rsidRPr="000356C2">
        <w:rPr>
          <w:color w:val="auto"/>
          <w:sz w:val="20"/>
          <w:szCs w:val="20"/>
        </w:rPr>
        <w:t xml:space="preserve"> was estimated to be around 960 Mt CO</w:t>
      </w:r>
      <w:r w:rsidRPr="000356C2">
        <w:rPr>
          <w:color w:val="auto"/>
          <w:sz w:val="20"/>
          <w:szCs w:val="20"/>
          <w:vertAlign w:val="subscript"/>
        </w:rPr>
        <w:t>2</w:t>
      </w:r>
      <w:r w:rsidRPr="000356C2">
        <w:rPr>
          <w:color w:val="auto"/>
          <w:sz w:val="20"/>
          <w:szCs w:val="20"/>
        </w:rPr>
        <w:t>-e. The scale of the potential identified abatement is consistent with Australia meeting its 2030 target.</w:t>
      </w:r>
    </w:p>
    <w:p w:rsidR="000356C2" w:rsidRPr="000356C2" w:rsidRDefault="000356C2" w:rsidP="000356C2">
      <w:pPr>
        <w:rPr>
          <w:color w:val="auto"/>
        </w:rPr>
      </w:pPr>
      <w:r w:rsidRPr="000356C2">
        <w:rPr>
          <w:noProof/>
          <w:color w:val="auto"/>
          <w:lang w:eastAsia="en-AU"/>
        </w:rPr>
        <w:lastRenderedPageBreak/>
        <w:drawing>
          <wp:inline distT="0" distB="0" distL="0" distR="0">
            <wp:extent cx="5506535" cy="2850078"/>
            <wp:effectExtent l="19050" t="19050" r="17965" b="26472"/>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4527" cy="2859391"/>
                    </a:xfrm>
                    <a:prstGeom prst="rect">
                      <a:avLst/>
                    </a:prstGeom>
                    <a:ln w="9525" cap="flat" cmpd="sng" algn="ctr">
                      <a:solidFill>
                        <a:sysClr val="window" lastClr="FFFFFF">
                          <a:lumMod val="85000"/>
                        </a:sysClr>
                      </a:solidFill>
                      <a:prstDash val="solid"/>
                      <a:round/>
                      <a:headEnd type="none" w="med" len="med"/>
                      <a:tailEnd type="none" w="med" len="med"/>
                    </a:ln>
                    <a:effectLst/>
                  </pic:spPr>
                </pic:pic>
              </a:graphicData>
            </a:graphic>
          </wp:inline>
        </w:drawing>
      </w:r>
    </w:p>
    <w:p w:rsidR="000356C2" w:rsidRPr="000356C2" w:rsidRDefault="000356C2" w:rsidP="000356C2">
      <w:pPr>
        <w:spacing w:after="200" w:line="240" w:lineRule="auto"/>
        <w:jc w:val="center"/>
        <w:rPr>
          <w:b/>
          <w:color w:val="auto"/>
        </w:rPr>
      </w:pPr>
      <w:bookmarkStart w:id="5" w:name="_Ref450148815"/>
      <w:r w:rsidRPr="000356C2">
        <w:rPr>
          <w:b/>
          <w:color w:val="auto"/>
        </w:rPr>
        <w:t xml:space="preserve">Figure </w:t>
      </w:r>
      <w:r w:rsidR="00E148C2" w:rsidRPr="000356C2">
        <w:rPr>
          <w:b/>
          <w:color w:val="auto"/>
        </w:rPr>
        <w:fldChar w:fldCharType="begin"/>
      </w:r>
      <w:r w:rsidRPr="000356C2">
        <w:rPr>
          <w:b/>
          <w:color w:val="auto"/>
        </w:rPr>
        <w:instrText xml:space="preserve"> SEQ Figure \* ARABIC </w:instrText>
      </w:r>
      <w:r w:rsidR="00E148C2" w:rsidRPr="000356C2">
        <w:rPr>
          <w:b/>
          <w:color w:val="auto"/>
        </w:rPr>
        <w:fldChar w:fldCharType="separate"/>
      </w:r>
      <w:r w:rsidR="00E6380A">
        <w:rPr>
          <w:b/>
          <w:noProof/>
          <w:color w:val="auto"/>
        </w:rPr>
        <w:t>1</w:t>
      </w:r>
      <w:r w:rsidR="00E148C2" w:rsidRPr="000356C2">
        <w:rPr>
          <w:b/>
          <w:color w:val="auto"/>
        </w:rPr>
        <w:fldChar w:fldCharType="end"/>
      </w:r>
      <w:bookmarkEnd w:id="5"/>
      <w:r w:rsidRPr="000356C2">
        <w:rPr>
          <w:b/>
          <w:color w:val="auto"/>
        </w:rPr>
        <w:t>: Cumulative abatement potential categorised by abatement type</w:t>
      </w:r>
    </w:p>
    <w:p w:rsidR="000356C2" w:rsidRPr="000356C2" w:rsidRDefault="000356C2" w:rsidP="000356C2">
      <w:pPr>
        <w:spacing w:before="120" w:after="120" w:line="264" w:lineRule="auto"/>
        <w:rPr>
          <w:color w:val="auto"/>
          <w:sz w:val="20"/>
          <w:szCs w:val="20"/>
        </w:rPr>
      </w:pPr>
      <w:proofErr w:type="spellStart"/>
      <w:r w:rsidRPr="000356C2">
        <w:rPr>
          <w:color w:val="auto"/>
          <w:sz w:val="20"/>
          <w:szCs w:val="20"/>
        </w:rPr>
        <w:t>Energetics</w:t>
      </w:r>
      <w:proofErr w:type="spellEnd"/>
      <w:r w:rsidRPr="000356C2">
        <w:rPr>
          <w:color w:val="auto"/>
          <w:sz w:val="20"/>
          <w:szCs w:val="20"/>
        </w:rPr>
        <w:t>’ analysis of the total abatement potential by opportunity type indicates th</w:t>
      </w:r>
      <w:r w:rsidR="00897246">
        <w:rPr>
          <w:color w:val="auto"/>
          <w:sz w:val="20"/>
          <w:szCs w:val="20"/>
        </w:rPr>
        <w:t xml:space="preserve">at energy productivity and land </w:t>
      </w:r>
      <w:r w:rsidRPr="000356C2">
        <w:rPr>
          <w:color w:val="auto"/>
          <w:sz w:val="20"/>
          <w:szCs w:val="20"/>
        </w:rPr>
        <w:t>use change can deliver a significant portion of Australia’s cumulative abatement requirement from 2021 to 2030</w:t>
      </w:r>
      <w:r w:rsidR="00B03F8B">
        <w:rPr>
          <w:color w:val="auto"/>
          <w:sz w:val="20"/>
          <w:szCs w:val="20"/>
        </w:rPr>
        <w:t xml:space="preserve"> (as shown in </w:t>
      </w:r>
      <w:r w:rsidR="00DF0B49">
        <w:rPr>
          <w:color w:val="auto"/>
          <w:sz w:val="20"/>
          <w:szCs w:val="20"/>
        </w:rPr>
        <w:t>Figure 1</w:t>
      </w:r>
      <w:r w:rsidR="00B03F8B" w:rsidRPr="00B03F8B">
        <w:rPr>
          <w:color w:val="auto"/>
          <w:sz w:val="20"/>
          <w:szCs w:val="20"/>
        </w:rPr>
        <w:t>)</w:t>
      </w:r>
      <w:r w:rsidRPr="000356C2">
        <w:rPr>
          <w:color w:val="auto"/>
          <w:sz w:val="20"/>
          <w:szCs w:val="20"/>
        </w:rPr>
        <w:t>. Abatement opportunities identified for energy productivity accounts for 44 per cent of total abatement potential, while</w:t>
      </w:r>
      <w:r w:rsidR="00897246">
        <w:rPr>
          <w:color w:val="auto"/>
          <w:sz w:val="20"/>
          <w:szCs w:val="20"/>
        </w:rPr>
        <w:t xml:space="preserve"> identified abatement from land </w:t>
      </w:r>
      <w:r w:rsidRPr="000356C2">
        <w:rPr>
          <w:color w:val="auto"/>
          <w:sz w:val="20"/>
          <w:szCs w:val="20"/>
        </w:rPr>
        <w:t>use change opportunities can contribute a further 38 per cent in total.</w:t>
      </w:r>
    </w:p>
    <w:p w:rsidR="000356C2" w:rsidRPr="000356C2" w:rsidRDefault="000356C2" w:rsidP="000356C2">
      <w:pPr>
        <w:spacing w:before="120" w:after="120" w:line="264" w:lineRule="auto"/>
        <w:rPr>
          <w:color w:val="auto"/>
          <w:sz w:val="20"/>
          <w:szCs w:val="20"/>
        </w:rPr>
      </w:pPr>
      <w:r w:rsidRPr="000356C2">
        <w:rPr>
          <w:color w:val="auto"/>
          <w:sz w:val="20"/>
          <w:szCs w:val="20"/>
        </w:rPr>
        <w:t>Renewable energy and management of industrial processes can each contribute a further five per cent of the identified abatement potential. The remaining abatement potential has been identified in abatement opportunities related to fuel switching, agriculture, fugitive emissions and waste.</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The abatement opportunities identified were allocated to one of 12 groups as shown in </w:t>
      </w:r>
      <w:r w:rsidR="00DF0B49">
        <w:rPr>
          <w:color w:val="auto"/>
          <w:sz w:val="20"/>
          <w:szCs w:val="20"/>
        </w:rPr>
        <w:t>Figure 2</w:t>
      </w:r>
      <w:r w:rsidRPr="000356C2">
        <w:rPr>
          <w:color w:val="auto"/>
          <w:sz w:val="20"/>
          <w:szCs w:val="20"/>
        </w:rPr>
        <w:t xml:space="preserve">. These groups were considered to provide an exhaustive coverage of all major areas of both established and emerging abatement opportunities in 2030. </w:t>
      </w:r>
    </w:p>
    <w:p w:rsidR="000356C2" w:rsidRPr="000356C2" w:rsidRDefault="000356C2" w:rsidP="000356C2">
      <w:pPr>
        <w:spacing w:before="120" w:after="120" w:line="264" w:lineRule="auto"/>
        <w:rPr>
          <w:color w:val="auto"/>
          <w:sz w:val="20"/>
          <w:szCs w:val="20"/>
        </w:rPr>
      </w:pPr>
      <w:proofErr w:type="spellStart"/>
      <w:r w:rsidRPr="000356C2">
        <w:rPr>
          <w:color w:val="auto"/>
          <w:sz w:val="20"/>
          <w:szCs w:val="20"/>
        </w:rPr>
        <w:t>Energetics</w:t>
      </w:r>
      <w:proofErr w:type="spellEnd"/>
      <w:r w:rsidRPr="000356C2">
        <w:rPr>
          <w:color w:val="auto"/>
          <w:sz w:val="20"/>
          <w:szCs w:val="20"/>
        </w:rPr>
        <w:t>’ analysis found that improved land management and low emissions farming pract</w:t>
      </w:r>
      <w:r w:rsidR="00897246">
        <w:rPr>
          <w:color w:val="auto"/>
          <w:sz w:val="20"/>
          <w:szCs w:val="20"/>
        </w:rPr>
        <w:t>ices</w:t>
      </w:r>
      <w:r w:rsidR="001967F8">
        <w:rPr>
          <w:color w:val="auto"/>
          <w:sz w:val="20"/>
          <w:szCs w:val="20"/>
        </w:rPr>
        <w:t xml:space="preserve"> (group 9) and </w:t>
      </w:r>
      <w:r w:rsidR="00897246">
        <w:rPr>
          <w:color w:val="auto"/>
          <w:sz w:val="20"/>
          <w:szCs w:val="20"/>
        </w:rPr>
        <w:t>low ca</w:t>
      </w:r>
      <w:r w:rsidR="001967F8">
        <w:rPr>
          <w:color w:val="auto"/>
          <w:sz w:val="20"/>
          <w:szCs w:val="20"/>
        </w:rPr>
        <w:t>rbon transport (group 8)</w:t>
      </w:r>
      <w:r w:rsidRPr="000356C2">
        <w:rPr>
          <w:color w:val="auto"/>
          <w:sz w:val="20"/>
          <w:szCs w:val="20"/>
        </w:rPr>
        <w:t xml:space="preserve"> are capable of contributing the most to Australia’s total low-cost abatement by 2030. In total the two groups account for just over 50 per cent of Australia’s total identified abatement potential. </w:t>
      </w:r>
    </w:p>
    <w:p w:rsidR="000356C2" w:rsidRPr="000356C2" w:rsidRDefault="000356C2" w:rsidP="000356C2">
      <w:pPr>
        <w:rPr>
          <w:color w:val="auto"/>
        </w:rPr>
      </w:pPr>
      <w:r w:rsidRPr="000356C2">
        <w:rPr>
          <w:noProof/>
          <w:color w:val="auto"/>
          <w:lang w:eastAsia="en-AU"/>
        </w:rPr>
        <w:lastRenderedPageBreak/>
        <w:drawing>
          <wp:inline distT="0" distB="0" distL="0" distR="0">
            <wp:extent cx="5544185" cy="3984602"/>
            <wp:effectExtent l="19050" t="19050" r="18415" b="15898"/>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98" t="2319" r="3215" b="3170"/>
                    <a:stretch/>
                  </pic:blipFill>
                  <pic:spPr bwMode="auto">
                    <a:xfrm>
                      <a:off x="0" y="0"/>
                      <a:ext cx="5544185" cy="3984602"/>
                    </a:xfrm>
                    <a:prstGeom prst="rect">
                      <a:avLst/>
                    </a:prstGeom>
                    <a:ln w="9525" cap="flat" cmpd="sng" algn="ctr">
                      <a:solidFill>
                        <a:sysClr val="window" lastClr="FFFFFF">
                          <a:lumMod val="85000"/>
                        </a:sysClr>
                      </a:solidFill>
                      <a:prstDash val="solid"/>
                      <a:round/>
                      <a:headEnd type="none" w="med" len="med"/>
                      <a:tailEnd type="none" w="med" len="med"/>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356C2" w:rsidRPr="000356C2" w:rsidRDefault="000356C2" w:rsidP="000356C2">
      <w:pPr>
        <w:pStyle w:val="Caption"/>
        <w:keepNext/>
        <w:jc w:val="center"/>
        <w:rPr>
          <w:color w:val="auto"/>
        </w:rPr>
      </w:pPr>
      <w:bookmarkStart w:id="6" w:name="_Ref449962060"/>
      <w:r w:rsidRPr="000356C2">
        <w:rPr>
          <w:color w:val="auto"/>
        </w:rPr>
        <w:t xml:space="preserve">Figure </w:t>
      </w:r>
      <w:r w:rsidR="00E148C2" w:rsidRPr="000356C2">
        <w:rPr>
          <w:color w:val="auto"/>
        </w:rPr>
        <w:fldChar w:fldCharType="begin"/>
      </w:r>
      <w:r w:rsidRPr="000356C2">
        <w:rPr>
          <w:color w:val="auto"/>
        </w:rPr>
        <w:instrText xml:space="preserve"> SEQ Figure \* ARABIC </w:instrText>
      </w:r>
      <w:r w:rsidR="00E148C2" w:rsidRPr="000356C2">
        <w:rPr>
          <w:color w:val="auto"/>
        </w:rPr>
        <w:fldChar w:fldCharType="separate"/>
      </w:r>
      <w:r w:rsidR="00E6380A">
        <w:rPr>
          <w:noProof/>
          <w:color w:val="auto"/>
        </w:rPr>
        <w:t>2</w:t>
      </w:r>
      <w:r w:rsidR="00E148C2" w:rsidRPr="000356C2">
        <w:rPr>
          <w:noProof/>
          <w:color w:val="auto"/>
        </w:rPr>
        <w:fldChar w:fldCharType="end"/>
      </w:r>
      <w:bookmarkEnd w:id="6"/>
      <w:r w:rsidRPr="000356C2">
        <w:rPr>
          <w:color w:val="auto"/>
        </w:rPr>
        <w:t>:</w:t>
      </w:r>
      <w:r w:rsidRPr="000356C2">
        <w:rPr>
          <w:noProof/>
          <w:color w:val="auto"/>
        </w:rPr>
        <w:t xml:space="preserve"> Cumulative abatement potential by grouping</w:t>
      </w:r>
    </w:p>
    <w:p w:rsidR="000356C2" w:rsidRPr="000356C2" w:rsidRDefault="000356C2" w:rsidP="000356C2">
      <w:pPr>
        <w:pStyle w:val="BodyText"/>
        <w:spacing w:before="120" w:line="264" w:lineRule="auto"/>
        <w:rPr>
          <w:color w:val="auto"/>
          <w:sz w:val="20"/>
          <w:szCs w:val="20"/>
        </w:rPr>
      </w:pPr>
      <w:r w:rsidRPr="000356C2">
        <w:rPr>
          <w:color w:val="auto"/>
          <w:sz w:val="20"/>
          <w:szCs w:val="20"/>
        </w:rPr>
        <w:t>Low carbon precincts (group 2) and digital infrastructure displacing transport fuel use (group 3) are likely to require additional support beyond that considered. These groups are forecast to deliver the lowest quantity of abatement on a per annum basis in 2030, but are likely to contribute a significant portion to the total abatement potential in the period from 2030 to 2050.</w:t>
      </w:r>
    </w:p>
    <w:p w:rsidR="000356C2" w:rsidRPr="000356C2" w:rsidRDefault="000356C2" w:rsidP="000356C2">
      <w:pPr>
        <w:keepNext/>
        <w:keepLines/>
        <w:spacing w:before="480" w:line="528" w:lineRule="atLeast"/>
        <w:outlineLvl w:val="1"/>
        <w:rPr>
          <w:rFonts w:eastAsiaTheme="majorEastAsia" w:cstheme="majorBidi"/>
          <w:bCs/>
          <w:color w:val="auto"/>
          <w:sz w:val="44"/>
          <w:szCs w:val="26"/>
        </w:rPr>
      </w:pPr>
      <w:bookmarkStart w:id="7" w:name="_Toc449084570"/>
      <w:bookmarkStart w:id="8" w:name="_Toc450150312"/>
      <w:r w:rsidRPr="000356C2">
        <w:rPr>
          <w:rFonts w:eastAsiaTheme="majorEastAsia" w:cstheme="majorBidi"/>
          <w:bCs/>
          <w:color w:val="auto"/>
          <w:sz w:val="44"/>
          <w:szCs w:val="26"/>
        </w:rPr>
        <w:t>Emissions trajectory through to 2030</w:t>
      </w:r>
      <w:bookmarkEnd w:id="7"/>
      <w:bookmarkEnd w:id="8"/>
    </w:p>
    <w:p w:rsidR="000356C2" w:rsidRPr="000356C2" w:rsidRDefault="000356C2" w:rsidP="000356C2">
      <w:pPr>
        <w:spacing w:before="120" w:after="120" w:line="264" w:lineRule="auto"/>
        <w:rPr>
          <w:color w:val="auto"/>
          <w:sz w:val="20"/>
          <w:szCs w:val="20"/>
        </w:rPr>
      </w:pPr>
      <w:proofErr w:type="spellStart"/>
      <w:r w:rsidRPr="000356C2">
        <w:rPr>
          <w:color w:val="auto"/>
          <w:sz w:val="20"/>
          <w:szCs w:val="20"/>
        </w:rPr>
        <w:t>Energetics</w:t>
      </w:r>
      <w:proofErr w:type="spellEnd"/>
      <w:r w:rsidRPr="000356C2">
        <w:rPr>
          <w:color w:val="auto"/>
          <w:sz w:val="20"/>
          <w:szCs w:val="20"/>
        </w:rPr>
        <w:t>’ analysis of the period 1993 to 2015 revealed a consistent reduction in the intensity of emissions per unit of GDP (excluding those from the LULUCF</w:t>
      </w:r>
      <w:r w:rsidRPr="000356C2">
        <w:rPr>
          <w:color w:val="auto"/>
          <w:sz w:val="20"/>
          <w:szCs w:val="20"/>
          <w:vertAlign w:val="superscript"/>
        </w:rPr>
        <w:footnoteReference w:id="1"/>
      </w:r>
      <w:r w:rsidRPr="000356C2">
        <w:rPr>
          <w:color w:val="auto"/>
          <w:sz w:val="20"/>
          <w:szCs w:val="20"/>
        </w:rPr>
        <w:t xml:space="preserve"> sector). The finding is robust despite the wide range of economic conditions, external shocks and climate change polices experienced over this period. The average year by year reduction in greenhouse gases per unit of GDP was 2.17 per cent</w:t>
      </w:r>
      <w:r w:rsidRPr="000356C2">
        <w:rPr>
          <w:color w:val="auto"/>
          <w:sz w:val="20"/>
          <w:szCs w:val="20"/>
          <w:vertAlign w:val="superscript"/>
        </w:rPr>
        <w:footnoteReference w:id="2"/>
      </w:r>
      <w:r w:rsidRPr="000356C2">
        <w:rPr>
          <w:color w:val="auto"/>
          <w:sz w:val="20"/>
          <w:szCs w:val="20"/>
        </w:rPr>
        <w:t>.</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The abatement potential identified by </w:t>
      </w:r>
      <w:proofErr w:type="spellStart"/>
      <w:r w:rsidRPr="000356C2">
        <w:rPr>
          <w:color w:val="auto"/>
          <w:sz w:val="20"/>
          <w:szCs w:val="20"/>
        </w:rPr>
        <w:t>Energetics</w:t>
      </w:r>
      <w:proofErr w:type="spellEnd"/>
      <w:r w:rsidRPr="000356C2">
        <w:rPr>
          <w:color w:val="auto"/>
          <w:sz w:val="20"/>
          <w:szCs w:val="20"/>
        </w:rPr>
        <w:t xml:space="preserve"> assumes a continuation of this trend in emissions intensity improvements.</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Based on Australia’s emissions in 2020 being five per cent lower than in the year 2000 and a continuation of the emissions intensity reductions, </w:t>
      </w:r>
      <w:proofErr w:type="spellStart"/>
      <w:r w:rsidRPr="000356C2">
        <w:rPr>
          <w:color w:val="auto"/>
          <w:sz w:val="20"/>
          <w:szCs w:val="20"/>
        </w:rPr>
        <w:t>Energetics</w:t>
      </w:r>
      <w:proofErr w:type="spellEnd"/>
      <w:r w:rsidRPr="000356C2">
        <w:rPr>
          <w:color w:val="auto"/>
          <w:sz w:val="20"/>
          <w:szCs w:val="20"/>
        </w:rPr>
        <w:t xml:space="preserve"> estimates Australia’s domestic emissions will be 568 Mt CO</w:t>
      </w:r>
      <w:r w:rsidRPr="000356C2">
        <w:rPr>
          <w:color w:val="auto"/>
          <w:sz w:val="20"/>
          <w:szCs w:val="20"/>
          <w:vertAlign w:val="subscript"/>
        </w:rPr>
        <w:t>2</w:t>
      </w:r>
      <w:r w:rsidRPr="000356C2">
        <w:rPr>
          <w:color w:val="auto"/>
          <w:sz w:val="20"/>
          <w:szCs w:val="20"/>
        </w:rPr>
        <w:t>-e in 2030. This compares to the minus 28 per cent emissions reduction target of 440 Mt CO</w:t>
      </w:r>
      <w:r w:rsidRPr="000356C2">
        <w:rPr>
          <w:color w:val="auto"/>
          <w:sz w:val="20"/>
          <w:szCs w:val="20"/>
          <w:vertAlign w:val="subscript"/>
        </w:rPr>
        <w:t>2</w:t>
      </w:r>
      <w:r w:rsidRPr="000356C2">
        <w:rPr>
          <w:color w:val="auto"/>
          <w:sz w:val="20"/>
          <w:szCs w:val="20"/>
        </w:rPr>
        <w:t xml:space="preserve">-e in 2030. </w:t>
      </w:r>
      <w:proofErr w:type="spellStart"/>
      <w:r w:rsidRPr="000356C2">
        <w:rPr>
          <w:color w:val="auto"/>
          <w:sz w:val="20"/>
          <w:szCs w:val="20"/>
        </w:rPr>
        <w:t>Energetics</w:t>
      </w:r>
      <w:proofErr w:type="spellEnd"/>
      <w:r w:rsidRPr="000356C2">
        <w:rPr>
          <w:color w:val="auto"/>
          <w:sz w:val="20"/>
          <w:szCs w:val="20"/>
        </w:rPr>
        <w:t xml:space="preserve"> considers the difference between the emissions pathway and trajectory to the 2030 target can be achieved from the total 960 Mt CO</w:t>
      </w:r>
      <w:r w:rsidRPr="000356C2">
        <w:rPr>
          <w:color w:val="auto"/>
          <w:sz w:val="20"/>
          <w:szCs w:val="20"/>
          <w:vertAlign w:val="subscript"/>
        </w:rPr>
        <w:t>2</w:t>
      </w:r>
      <w:r w:rsidRPr="000356C2">
        <w:rPr>
          <w:color w:val="auto"/>
          <w:sz w:val="20"/>
          <w:szCs w:val="20"/>
        </w:rPr>
        <w:t>-e cumulative abatement potential identified.</w:t>
      </w:r>
    </w:p>
    <w:p w:rsidR="000356C2" w:rsidRPr="000356C2" w:rsidRDefault="000356C2" w:rsidP="000356C2">
      <w:pPr>
        <w:spacing w:before="120" w:after="120" w:line="264" w:lineRule="auto"/>
        <w:rPr>
          <w:color w:val="auto"/>
          <w:sz w:val="20"/>
          <w:szCs w:val="20"/>
        </w:rPr>
      </w:pPr>
      <w:r w:rsidRPr="000356C2">
        <w:rPr>
          <w:color w:val="auto"/>
          <w:sz w:val="20"/>
          <w:szCs w:val="20"/>
        </w:rPr>
        <w:lastRenderedPageBreak/>
        <w:t>Starting from an emissions level of 532 Mt CO</w:t>
      </w:r>
      <w:r w:rsidRPr="000356C2">
        <w:rPr>
          <w:color w:val="auto"/>
          <w:sz w:val="20"/>
          <w:szCs w:val="20"/>
          <w:vertAlign w:val="subscript"/>
        </w:rPr>
        <w:t>2</w:t>
      </w:r>
      <w:r w:rsidRPr="000356C2">
        <w:rPr>
          <w:color w:val="auto"/>
          <w:sz w:val="20"/>
          <w:szCs w:val="20"/>
        </w:rPr>
        <w:t xml:space="preserve">-e in 2020, </w:t>
      </w:r>
      <w:r w:rsidR="00DF0B49">
        <w:rPr>
          <w:color w:val="auto"/>
          <w:sz w:val="20"/>
          <w:szCs w:val="20"/>
        </w:rPr>
        <w:t>Figure 3</w:t>
      </w:r>
      <w:r w:rsidR="00B03F8B">
        <w:rPr>
          <w:color w:val="auto"/>
          <w:sz w:val="20"/>
          <w:szCs w:val="20"/>
        </w:rPr>
        <w:t xml:space="preserve"> </w:t>
      </w:r>
      <w:r w:rsidRPr="000356C2">
        <w:rPr>
          <w:color w:val="auto"/>
          <w:sz w:val="20"/>
          <w:szCs w:val="20"/>
        </w:rPr>
        <w:t>below demonstrates how the abatement potential identified compares to Australia’s 2030 emissions reduction target as well as against Australia’s projected emissions in the absence of any abatement.</w:t>
      </w:r>
    </w:p>
    <w:p w:rsidR="000356C2" w:rsidRPr="000356C2" w:rsidRDefault="000356C2" w:rsidP="000356C2">
      <w:pPr>
        <w:rPr>
          <w:color w:val="auto"/>
        </w:rPr>
      </w:pPr>
      <w:r w:rsidRPr="000356C2">
        <w:rPr>
          <w:noProof/>
          <w:color w:val="auto"/>
          <w:lang w:eastAsia="en-AU"/>
        </w:rPr>
        <w:drawing>
          <wp:inline distT="0" distB="0" distL="0" distR="0">
            <wp:extent cx="5732145" cy="3187065"/>
            <wp:effectExtent l="19050" t="19050" r="20955" b="133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2145" cy="3187065"/>
                    </a:xfrm>
                    <a:prstGeom prst="rect">
                      <a:avLst/>
                    </a:prstGeom>
                    <a:ln w="9525" cap="flat" cmpd="sng" algn="ctr">
                      <a:solidFill>
                        <a:sysClr val="window" lastClr="FFFFFF">
                          <a:lumMod val="85000"/>
                        </a:sysClr>
                      </a:solidFill>
                      <a:prstDash val="solid"/>
                      <a:round/>
                      <a:headEnd type="none" w="med" len="med"/>
                      <a:tailEnd type="none" w="med" len="med"/>
                    </a:ln>
                    <a:effectLst/>
                  </pic:spPr>
                </pic:pic>
              </a:graphicData>
            </a:graphic>
          </wp:inline>
        </w:drawing>
      </w:r>
    </w:p>
    <w:p w:rsidR="000356C2" w:rsidRPr="000356C2" w:rsidRDefault="000356C2" w:rsidP="000356C2">
      <w:pPr>
        <w:pStyle w:val="Caption"/>
        <w:jc w:val="center"/>
        <w:rPr>
          <w:b w:val="0"/>
          <w:color w:val="auto"/>
        </w:rPr>
      </w:pPr>
      <w:bookmarkStart w:id="9" w:name="_Ref450148789"/>
      <w:r w:rsidRPr="000356C2">
        <w:rPr>
          <w:color w:val="auto"/>
        </w:rPr>
        <w:t xml:space="preserve">Figure </w:t>
      </w:r>
      <w:r w:rsidR="00E148C2" w:rsidRPr="000356C2">
        <w:rPr>
          <w:color w:val="auto"/>
        </w:rPr>
        <w:fldChar w:fldCharType="begin"/>
      </w:r>
      <w:r w:rsidRPr="000356C2">
        <w:rPr>
          <w:color w:val="auto"/>
        </w:rPr>
        <w:instrText xml:space="preserve"> SEQ Figure \* ARABIC </w:instrText>
      </w:r>
      <w:r w:rsidR="00E148C2" w:rsidRPr="000356C2">
        <w:rPr>
          <w:color w:val="auto"/>
        </w:rPr>
        <w:fldChar w:fldCharType="separate"/>
      </w:r>
      <w:r w:rsidR="00E6380A">
        <w:rPr>
          <w:noProof/>
          <w:color w:val="auto"/>
        </w:rPr>
        <w:t>3</w:t>
      </w:r>
      <w:r w:rsidR="00E148C2" w:rsidRPr="000356C2">
        <w:rPr>
          <w:noProof/>
          <w:color w:val="auto"/>
        </w:rPr>
        <w:fldChar w:fldCharType="end"/>
      </w:r>
      <w:bookmarkEnd w:id="9"/>
      <w:r w:rsidRPr="000356C2">
        <w:rPr>
          <w:color w:val="auto"/>
        </w:rPr>
        <w:t>: Australian emissions trajectory and impact of abatement</w:t>
      </w:r>
    </w:p>
    <w:p w:rsidR="000356C2" w:rsidRPr="000356C2" w:rsidRDefault="000356C2" w:rsidP="000356C2">
      <w:pPr>
        <w:keepNext/>
        <w:keepLines/>
        <w:spacing w:before="480" w:line="528" w:lineRule="atLeast"/>
        <w:outlineLvl w:val="1"/>
        <w:rPr>
          <w:rFonts w:eastAsiaTheme="majorEastAsia" w:cstheme="majorBidi"/>
          <w:bCs/>
          <w:color w:val="auto"/>
          <w:sz w:val="44"/>
          <w:szCs w:val="26"/>
        </w:rPr>
      </w:pPr>
      <w:bookmarkStart w:id="10" w:name="_Toc435196126"/>
      <w:bookmarkStart w:id="11" w:name="_Toc436771976"/>
      <w:bookmarkStart w:id="12" w:name="_Toc449084571"/>
      <w:bookmarkStart w:id="13" w:name="_Toc450150313"/>
      <w:r w:rsidRPr="000356C2">
        <w:rPr>
          <w:rFonts w:eastAsiaTheme="majorEastAsia" w:cstheme="majorBidi"/>
          <w:bCs/>
          <w:color w:val="auto"/>
          <w:sz w:val="44"/>
          <w:szCs w:val="26"/>
        </w:rPr>
        <w:t>Leveraging Australian policies and programs</w:t>
      </w:r>
      <w:bookmarkEnd w:id="10"/>
      <w:bookmarkEnd w:id="11"/>
      <w:r w:rsidRPr="000356C2">
        <w:rPr>
          <w:rFonts w:eastAsiaTheme="majorEastAsia" w:cstheme="majorBidi"/>
          <w:bCs/>
          <w:color w:val="auto"/>
          <w:sz w:val="44"/>
          <w:szCs w:val="26"/>
        </w:rPr>
        <w:t xml:space="preserve"> to achieve the 2030 target</w:t>
      </w:r>
      <w:bookmarkEnd w:id="12"/>
      <w:bookmarkEnd w:id="13"/>
    </w:p>
    <w:p w:rsidR="000356C2" w:rsidRPr="000356C2" w:rsidRDefault="000356C2" w:rsidP="000356C2">
      <w:pPr>
        <w:spacing w:before="120" w:after="120" w:line="264" w:lineRule="auto"/>
        <w:rPr>
          <w:color w:val="auto"/>
          <w:sz w:val="20"/>
          <w:szCs w:val="20"/>
        </w:rPr>
      </w:pPr>
      <w:r w:rsidRPr="000356C2">
        <w:rPr>
          <w:color w:val="auto"/>
          <w:sz w:val="20"/>
          <w:szCs w:val="20"/>
        </w:rPr>
        <w:t>This analysis considered the potential for delivering Australia’s abatement under the following programs:</w:t>
      </w:r>
    </w:p>
    <w:p w:rsidR="000356C2" w:rsidRPr="000356C2" w:rsidRDefault="000356C2" w:rsidP="000356C2">
      <w:pPr>
        <w:numPr>
          <w:ilvl w:val="0"/>
          <w:numId w:val="40"/>
        </w:numPr>
        <w:spacing w:before="120" w:after="120" w:line="264" w:lineRule="auto"/>
        <w:ind w:left="714" w:hanging="357"/>
        <w:contextualSpacing/>
        <w:rPr>
          <w:color w:val="auto"/>
          <w:sz w:val="20"/>
          <w:szCs w:val="20"/>
        </w:rPr>
      </w:pPr>
      <w:r w:rsidRPr="000356C2">
        <w:rPr>
          <w:color w:val="auto"/>
          <w:sz w:val="20"/>
          <w:szCs w:val="20"/>
        </w:rPr>
        <w:t>The Emissions Reduction Fund and Safeguard Mechanism</w:t>
      </w:r>
    </w:p>
    <w:p w:rsidR="000356C2" w:rsidRPr="000356C2" w:rsidRDefault="000356C2" w:rsidP="000356C2">
      <w:pPr>
        <w:numPr>
          <w:ilvl w:val="0"/>
          <w:numId w:val="40"/>
        </w:numPr>
        <w:spacing w:before="120" w:after="120" w:line="264" w:lineRule="auto"/>
        <w:ind w:left="714" w:hanging="357"/>
        <w:contextualSpacing/>
        <w:rPr>
          <w:color w:val="auto"/>
          <w:sz w:val="20"/>
          <w:szCs w:val="20"/>
        </w:rPr>
      </w:pPr>
      <w:r w:rsidRPr="000356C2">
        <w:rPr>
          <w:color w:val="auto"/>
          <w:sz w:val="20"/>
          <w:szCs w:val="20"/>
        </w:rPr>
        <w:t>The National Energy Productivity Plan (energy efficiency)</w:t>
      </w:r>
    </w:p>
    <w:p w:rsidR="000356C2" w:rsidRPr="000356C2" w:rsidRDefault="000356C2" w:rsidP="000356C2">
      <w:pPr>
        <w:numPr>
          <w:ilvl w:val="0"/>
          <w:numId w:val="40"/>
        </w:numPr>
        <w:spacing w:before="120" w:after="120" w:line="264" w:lineRule="auto"/>
        <w:ind w:left="714" w:hanging="357"/>
        <w:contextualSpacing/>
        <w:rPr>
          <w:color w:val="auto"/>
          <w:sz w:val="20"/>
          <w:szCs w:val="20"/>
        </w:rPr>
      </w:pPr>
      <w:r w:rsidRPr="000356C2">
        <w:rPr>
          <w:color w:val="auto"/>
          <w:sz w:val="20"/>
          <w:szCs w:val="20"/>
        </w:rPr>
        <w:t>The National Energy Productivity Plan (vehicle efficiency)</w:t>
      </w:r>
    </w:p>
    <w:p w:rsidR="000356C2" w:rsidRPr="000356C2" w:rsidRDefault="000356C2" w:rsidP="000356C2">
      <w:pPr>
        <w:spacing w:before="120" w:after="120" w:line="264" w:lineRule="auto"/>
        <w:contextualSpacing/>
        <w:rPr>
          <w:color w:val="auto"/>
          <w:sz w:val="20"/>
          <w:szCs w:val="20"/>
        </w:rPr>
      </w:pPr>
    </w:p>
    <w:p w:rsidR="000356C2" w:rsidRPr="000356C2" w:rsidRDefault="000356C2" w:rsidP="000356C2">
      <w:pPr>
        <w:spacing w:before="120" w:after="120" w:line="264" w:lineRule="auto"/>
        <w:rPr>
          <w:color w:val="auto"/>
          <w:sz w:val="20"/>
          <w:szCs w:val="20"/>
        </w:rPr>
      </w:pPr>
      <w:r w:rsidRPr="000356C2">
        <w:rPr>
          <w:color w:val="auto"/>
          <w:sz w:val="20"/>
          <w:szCs w:val="20"/>
        </w:rPr>
        <w:t xml:space="preserve">The abatement opportunities were allocated to the most appropriate policy or program. Abatement opportunities that were considered to be business as usual were part of the baseline, with many attributed to technological advances. </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The analysis also included emissions reduction activities that will continue to be delivered under other programs, such as ozone and HFC measures. For this assessment </w:t>
      </w:r>
      <w:proofErr w:type="spellStart"/>
      <w:r w:rsidRPr="000356C2">
        <w:rPr>
          <w:color w:val="auto"/>
          <w:sz w:val="20"/>
          <w:szCs w:val="20"/>
        </w:rPr>
        <w:t>Energetics</w:t>
      </w:r>
      <w:proofErr w:type="spellEnd"/>
      <w:r w:rsidRPr="000356C2">
        <w:rPr>
          <w:color w:val="auto"/>
          <w:sz w:val="20"/>
          <w:szCs w:val="20"/>
        </w:rPr>
        <w:t xml:space="preserve"> drew from abatement analysis undertaken by the Government. </w:t>
      </w:r>
    </w:p>
    <w:p w:rsidR="000356C2" w:rsidRPr="000356C2" w:rsidRDefault="000356C2" w:rsidP="000356C2">
      <w:pPr>
        <w:spacing w:before="120" w:after="120" w:line="264" w:lineRule="auto"/>
        <w:rPr>
          <w:color w:val="auto"/>
          <w:sz w:val="20"/>
          <w:szCs w:val="20"/>
        </w:rPr>
      </w:pPr>
      <w:proofErr w:type="spellStart"/>
      <w:r w:rsidRPr="000356C2">
        <w:rPr>
          <w:color w:val="auto"/>
          <w:sz w:val="20"/>
          <w:szCs w:val="20"/>
        </w:rPr>
        <w:t>Energetics</w:t>
      </w:r>
      <w:proofErr w:type="spellEnd"/>
      <w:r w:rsidRPr="000356C2">
        <w:rPr>
          <w:color w:val="auto"/>
          <w:sz w:val="20"/>
          <w:szCs w:val="20"/>
        </w:rPr>
        <w:t xml:space="preserve"> also considered the impact of non-government movements that are capable of driving emissions reductions. For example, we see the impact of growing market and consumer pressure that influences business to reduce their carbon intensity. </w:t>
      </w:r>
    </w:p>
    <w:p w:rsidR="000356C2" w:rsidRPr="000356C2" w:rsidRDefault="000356C2" w:rsidP="000356C2">
      <w:pPr>
        <w:spacing w:before="120" w:after="120" w:line="264" w:lineRule="auto"/>
        <w:rPr>
          <w:color w:val="auto"/>
          <w:sz w:val="20"/>
          <w:szCs w:val="20"/>
        </w:rPr>
      </w:pPr>
      <w:r w:rsidRPr="000356C2">
        <w:rPr>
          <w:color w:val="auto"/>
          <w:sz w:val="20"/>
          <w:szCs w:val="20"/>
        </w:rPr>
        <w:t>Finally, where abatement opportunities achieved emissions abatement th</w:t>
      </w:r>
      <w:r w:rsidR="00897246">
        <w:rPr>
          <w:color w:val="auto"/>
          <w:sz w:val="20"/>
          <w:szCs w:val="20"/>
        </w:rPr>
        <w:t>r</w:t>
      </w:r>
      <w:r w:rsidRPr="000356C2">
        <w:rPr>
          <w:color w:val="auto"/>
          <w:sz w:val="20"/>
          <w:szCs w:val="20"/>
        </w:rPr>
        <w:t>ough improvements in energy productivity, they were generally allocated to the National Energy Productivity Plan (NEPP).</w:t>
      </w:r>
    </w:p>
    <w:p w:rsidR="000356C2" w:rsidRPr="000356C2" w:rsidRDefault="000356C2" w:rsidP="000356C2">
      <w:pPr>
        <w:rPr>
          <w:color w:val="auto"/>
          <w:sz w:val="20"/>
          <w:szCs w:val="20"/>
        </w:rPr>
      </w:pPr>
      <w:r w:rsidRPr="000356C2">
        <w:rPr>
          <w:color w:val="auto"/>
          <w:sz w:val="20"/>
          <w:szCs w:val="20"/>
        </w:rPr>
        <w:lastRenderedPageBreak/>
        <w:t xml:space="preserve">The contribution of potential abatement to meet the cumulative abatement potential is shown in </w:t>
      </w:r>
      <w:r w:rsidR="00E148C2">
        <w:fldChar w:fldCharType="begin"/>
      </w:r>
      <w:r w:rsidR="00E148C2">
        <w:instrText xml:space="preserve"> REF _Ref449962465 \h  \* MERGEFORMAT </w:instrText>
      </w:r>
      <w:r w:rsidR="00E148C2">
        <w:fldChar w:fldCharType="separate"/>
      </w:r>
      <w:r w:rsidR="00E6380A" w:rsidRPr="00E6380A">
        <w:rPr>
          <w:color w:val="auto"/>
          <w:sz w:val="20"/>
          <w:szCs w:val="20"/>
        </w:rPr>
        <w:t>Figure</w:t>
      </w:r>
      <w:r w:rsidR="001967F8">
        <w:rPr>
          <w:color w:val="auto"/>
          <w:sz w:val="20"/>
          <w:szCs w:val="20"/>
        </w:rPr>
        <w:t> </w:t>
      </w:r>
      <w:r w:rsidR="00E6380A" w:rsidRPr="00E6380A">
        <w:rPr>
          <w:noProof/>
          <w:color w:val="auto"/>
          <w:sz w:val="20"/>
          <w:szCs w:val="20"/>
        </w:rPr>
        <w:t>4</w:t>
      </w:r>
      <w:r w:rsidR="00E148C2">
        <w:fldChar w:fldCharType="end"/>
      </w:r>
      <w:r w:rsidRPr="000356C2">
        <w:rPr>
          <w:color w:val="auto"/>
          <w:sz w:val="20"/>
          <w:szCs w:val="20"/>
        </w:rPr>
        <w:t>. Technology improvements play a key role as does the Emissions Reduction Fund (ERF) and Safeguard Mechanism.</w:t>
      </w:r>
    </w:p>
    <w:p w:rsidR="000356C2" w:rsidRPr="000356C2" w:rsidRDefault="000356C2" w:rsidP="000356C2">
      <w:pPr>
        <w:spacing w:after="200" w:line="240" w:lineRule="auto"/>
        <w:rPr>
          <w:b/>
          <w:color w:val="auto"/>
        </w:rPr>
      </w:pPr>
      <w:r w:rsidRPr="000356C2">
        <w:rPr>
          <w:b/>
          <w:noProof/>
          <w:color w:val="auto"/>
          <w:lang w:eastAsia="en-AU"/>
        </w:rPr>
        <w:drawing>
          <wp:inline distT="0" distB="0" distL="0" distR="0">
            <wp:extent cx="5830581" cy="3253563"/>
            <wp:effectExtent l="19050" t="19050" r="17769" b="23037"/>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39"/>
                    <a:stretch/>
                  </pic:blipFill>
                  <pic:spPr bwMode="auto">
                    <a:xfrm>
                      <a:off x="0" y="0"/>
                      <a:ext cx="5851173" cy="3265054"/>
                    </a:xfrm>
                    <a:prstGeom prst="rect">
                      <a:avLst/>
                    </a:prstGeom>
                    <a:ln w="9525" cap="flat" cmpd="sng" algn="ctr">
                      <a:solidFill>
                        <a:sysClr val="window" lastClr="FFFFFF">
                          <a:lumMod val="85000"/>
                        </a:sysClr>
                      </a:solidFill>
                      <a:prstDash val="solid"/>
                      <a:round/>
                      <a:headEnd type="none" w="med" len="med"/>
                      <a:tailEnd type="none" w="med" len="med"/>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356C2" w:rsidRPr="000356C2" w:rsidRDefault="000356C2" w:rsidP="000356C2">
      <w:pPr>
        <w:pStyle w:val="Caption"/>
        <w:jc w:val="center"/>
        <w:rPr>
          <w:b w:val="0"/>
          <w:color w:val="auto"/>
        </w:rPr>
      </w:pPr>
      <w:bookmarkStart w:id="14" w:name="_Ref449962465"/>
      <w:r w:rsidRPr="000356C2">
        <w:rPr>
          <w:color w:val="auto"/>
        </w:rPr>
        <w:t xml:space="preserve">Figure </w:t>
      </w:r>
      <w:r w:rsidR="00E148C2" w:rsidRPr="000356C2">
        <w:rPr>
          <w:color w:val="auto"/>
        </w:rPr>
        <w:fldChar w:fldCharType="begin"/>
      </w:r>
      <w:r w:rsidRPr="000356C2">
        <w:rPr>
          <w:color w:val="auto"/>
        </w:rPr>
        <w:instrText xml:space="preserve"> SEQ Figure \* ARABIC </w:instrText>
      </w:r>
      <w:r w:rsidR="00E148C2" w:rsidRPr="000356C2">
        <w:rPr>
          <w:color w:val="auto"/>
        </w:rPr>
        <w:fldChar w:fldCharType="separate"/>
      </w:r>
      <w:r w:rsidR="00E6380A">
        <w:rPr>
          <w:noProof/>
          <w:color w:val="auto"/>
        </w:rPr>
        <w:t>4</w:t>
      </w:r>
      <w:r w:rsidR="00E148C2" w:rsidRPr="000356C2">
        <w:rPr>
          <w:noProof/>
          <w:color w:val="auto"/>
        </w:rPr>
        <w:fldChar w:fldCharType="end"/>
      </w:r>
      <w:bookmarkEnd w:id="14"/>
      <w:r w:rsidRPr="000356C2">
        <w:rPr>
          <w:color w:val="auto"/>
        </w:rPr>
        <w:t>: Cumulative abatement potential by 2030</w:t>
      </w:r>
    </w:p>
    <w:p w:rsidR="000356C2" w:rsidRPr="000356C2" w:rsidRDefault="00E148C2" w:rsidP="000356C2">
      <w:pPr>
        <w:spacing w:before="120" w:after="120" w:line="264" w:lineRule="auto"/>
        <w:rPr>
          <w:color w:val="auto"/>
          <w:sz w:val="20"/>
          <w:szCs w:val="20"/>
        </w:rPr>
      </w:pPr>
      <w:fldSimple w:instr=" REF _Ref449962465 \h  \* MERGEFORMAT ">
        <w:r w:rsidR="00E6380A" w:rsidRPr="00E6380A">
          <w:rPr>
            <w:color w:val="auto"/>
            <w:sz w:val="20"/>
            <w:szCs w:val="20"/>
          </w:rPr>
          <w:t xml:space="preserve">Figure </w:t>
        </w:r>
        <w:r w:rsidR="00E6380A" w:rsidRPr="00E6380A">
          <w:rPr>
            <w:noProof/>
            <w:color w:val="auto"/>
            <w:sz w:val="20"/>
            <w:szCs w:val="20"/>
          </w:rPr>
          <w:t>4</w:t>
        </w:r>
      </w:fldSimple>
      <w:r w:rsidR="000356C2" w:rsidRPr="000356C2">
        <w:rPr>
          <w:color w:val="auto"/>
          <w:sz w:val="20"/>
          <w:szCs w:val="20"/>
        </w:rPr>
        <w:t xml:space="preserve"> above highlights the total domestic abatement opportunity identified by </w:t>
      </w:r>
      <w:proofErr w:type="spellStart"/>
      <w:r w:rsidR="000356C2" w:rsidRPr="000356C2">
        <w:rPr>
          <w:color w:val="auto"/>
          <w:sz w:val="20"/>
          <w:szCs w:val="20"/>
        </w:rPr>
        <w:t>Energetics</w:t>
      </w:r>
      <w:proofErr w:type="spellEnd"/>
      <w:r w:rsidR="000356C2" w:rsidRPr="000356C2">
        <w:rPr>
          <w:color w:val="auto"/>
          <w:sz w:val="20"/>
          <w:szCs w:val="20"/>
        </w:rPr>
        <w:t xml:space="preserve"> as can be delivered under existing policies or programs. This provides flexibility in the measures adopted, as well as room for future growth in Australia’s INDC.</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Australia has world class policies and frameworks in place for calculating abatement from individual measures and for creating and managing Australian Carbon Credit Units (ACCUs). Supported by these robust frameworks, </w:t>
      </w:r>
      <w:proofErr w:type="spellStart"/>
      <w:r w:rsidRPr="000356C2">
        <w:rPr>
          <w:color w:val="auto"/>
          <w:sz w:val="20"/>
          <w:szCs w:val="20"/>
        </w:rPr>
        <w:t>Energetics</w:t>
      </w:r>
      <w:proofErr w:type="spellEnd"/>
      <w:r w:rsidRPr="000356C2">
        <w:rPr>
          <w:color w:val="auto"/>
          <w:sz w:val="20"/>
          <w:szCs w:val="20"/>
        </w:rPr>
        <w:t xml:space="preserve"> assumes that the ERF and Safeguard Mechanism are capable of generating the necessary cumulative abatement over the 2021 to 2030 period. </w:t>
      </w:r>
    </w:p>
    <w:p w:rsidR="000356C2" w:rsidRPr="000356C2" w:rsidRDefault="000356C2" w:rsidP="000356C2">
      <w:pPr>
        <w:spacing w:before="120" w:after="120" w:line="264" w:lineRule="auto"/>
        <w:rPr>
          <w:color w:val="auto"/>
          <w:sz w:val="20"/>
          <w:szCs w:val="20"/>
        </w:rPr>
      </w:pPr>
      <w:r w:rsidRPr="000356C2">
        <w:rPr>
          <w:color w:val="auto"/>
          <w:sz w:val="20"/>
          <w:szCs w:val="20"/>
        </w:rPr>
        <w:t>In addition, the NEPP is in the process of being formalised, and is expected to further drive a share of emissions reductions. Continued advances in technology and other, emerging market transformations to reduce greenhouse gases will deliver the remainder of Australia’s abatement.</w:t>
      </w:r>
    </w:p>
    <w:p w:rsidR="000356C2" w:rsidRPr="000356C2" w:rsidRDefault="000356C2" w:rsidP="000356C2">
      <w:pPr>
        <w:keepNext/>
        <w:keepLines/>
        <w:spacing w:before="480" w:line="528" w:lineRule="atLeast"/>
        <w:ind w:left="851" w:hanging="851"/>
        <w:outlineLvl w:val="1"/>
        <w:rPr>
          <w:rFonts w:eastAsiaTheme="majorEastAsia" w:cstheme="majorBidi"/>
          <w:bCs/>
          <w:color w:val="auto"/>
          <w:sz w:val="44"/>
          <w:szCs w:val="26"/>
        </w:rPr>
      </w:pPr>
      <w:bookmarkStart w:id="15" w:name="_Toc449084572"/>
      <w:bookmarkStart w:id="16" w:name="_Toc450150314"/>
      <w:r w:rsidRPr="000356C2">
        <w:rPr>
          <w:rFonts w:eastAsiaTheme="majorEastAsia" w:cstheme="majorBidi"/>
          <w:bCs/>
          <w:color w:val="auto"/>
          <w:sz w:val="44"/>
          <w:szCs w:val="26"/>
        </w:rPr>
        <w:t>Australia’s abatement cost curve</w:t>
      </w:r>
      <w:bookmarkEnd w:id="15"/>
      <w:bookmarkEnd w:id="16"/>
    </w:p>
    <w:p w:rsidR="000356C2" w:rsidRPr="000356C2" w:rsidRDefault="000356C2" w:rsidP="000356C2">
      <w:pPr>
        <w:spacing w:before="120" w:after="120" w:line="264" w:lineRule="auto"/>
        <w:rPr>
          <w:color w:val="auto"/>
          <w:sz w:val="20"/>
          <w:szCs w:val="20"/>
        </w:rPr>
      </w:pPr>
      <w:r w:rsidRPr="000356C2">
        <w:rPr>
          <w:color w:val="auto"/>
          <w:sz w:val="20"/>
          <w:szCs w:val="20"/>
        </w:rPr>
        <w:t xml:space="preserve">To assist with the ranking and prioritisation of more than 70 abatement opportunities identified and analysed, </w:t>
      </w:r>
      <w:proofErr w:type="spellStart"/>
      <w:r w:rsidRPr="000356C2">
        <w:rPr>
          <w:color w:val="auto"/>
          <w:sz w:val="20"/>
          <w:szCs w:val="20"/>
        </w:rPr>
        <w:t>Energetics</w:t>
      </w:r>
      <w:proofErr w:type="spellEnd"/>
      <w:r w:rsidRPr="000356C2">
        <w:rPr>
          <w:color w:val="auto"/>
          <w:sz w:val="20"/>
          <w:szCs w:val="20"/>
        </w:rPr>
        <w:t xml:space="preserve"> developed an Australian economy wide abatement cost curve. Abatement cost curves provide a useful tool, and visual guide, to demonstrate the total potential abatement for each sector, as well as the cost of the abatement in reducing Australia’s emissions.</w:t>
      </w:r>
    </w:p>
    <w:p w:rsidR="000356C2" w:rsidRPr="000356C2" w:rsidRDefault="000356C2" w:rsidP="000356C2">
      <w:pPr>
        <w:spacing w:before="120" w:after="120" w:line="264" w:lineRule="auto"/>
        <w:rPr>
          <w:color w:val="auto"/>
          <w:sz w:val="20"/>
          <w:szCs w:val="20"/>
        </w:rPr>
      </w:pPr>
      <w:r w:rsidRPr="000356C2">
        <w:rPr>
          <w:color w:val="auto"/>
          <w:sz w:val="20"/>
          <w:szCs w:val="20"/>
        </w:rPr>
        <w:t xml:space="preserve">The Australian domestic abatement cost curve for 2030 is shown in </w:t>
      </w:r>
      <w:r w:rsidR="00AC3E26">
        <w:rPr>
          <w:color w:val="auto"/>
          <w:sz w:val="20"/>
          <w:szCs w:val="20"/>
        </w:rPr>
        <w:t>Figure 5</w:t>
      </w:r>
      <w:r w:rsidRPr="000356C2">
        <w:rPr>
          <w:color w:val="auto"/>
          <w:sz w:val="20"/>
          <w:szCs w:val="20"/>
        </w:rPr>
        <w:t xml:space="preserve"> below – including each of the sectors considered capable of potentially contributing to Australia’s 2021 to 2030 abatement task. For each sector, </w:t>
      </w:r>
      <w:proofErr w:type="spellStart"/>
      <w:r w:rsidRPr="000356C2">
        <w:rPr>
          <w:color w:val="auto"/>
          <w:sz w:val="20"/>
          <w:szCs w:val="20"/>
        </w:rPr>
        <w:t>Energetics</w:t>
      </w:r>
      <w:proofErr w:type="spellEnd"/>
      <w:r w:rsidRPr="000356C2">
        <w:rPr>
          <w:color w:val="auto"/>
          <w:sz w:val="20"/>
          <w:szCs w:val="20"/>
        </w:rPr>
        <w:t xml:space="preserve"> considered the cost in projected 2030 AUD to the whole of Australia. </w:t>
      </w:r>
    </w:p>
    <w:p w:rsidR="00E01148" w:rsidRPr="000356C2" w:rsidRDefault="000356C2" w:rsidP="000356C2">
      <w:pPr>
        <w:spacing w:before="120" w:after="120" w:line="264" w:lineRule="auto"/>
        <w:rPr>
          <w:color w:val="auto"/>
          <w:sz w:val="20"/>
          <w:szCs w:val="20"/>
        </w:rPr>
      </w:pPr>
      <w:r w:rsidRPr="000356C2">
        <w:rPr>
          <w:color w:val="auto"/>
          <w:sz w:val="20"/>
          <w:szCs w:val="20"/>
        </w:rPr>
        <w:lastRenderedPageBreak/>
        <w:t>Based on this approach and due to the high net cost to Australia of imported transport fuels, the sectors that encourage improvements in the efficient use of those fuels have a high net benefit. Electricity savings have a lower net benefit to the Australian society, however many can still be achieved at a negative societal cost.</w:t>
      </w:r>
    </w:p>
    <w:p w:rsidR="000356C2" w:rsidRPr="000356C2" w:rsidRDefault="000356C2" w:rsidP="000356C2">
      <w:pPr>
        <w:spacing w:before="120" w:after="120" w:line="264" w:lineRule="auto"/>
        <w:jc w:val="center"/>
        <w:rPr>
          <w:b/>
          <w:color w:val="auto"/>
        </w:rPr>
      </w:pPr>
      <w:r w:rsidRPr="005A55DD">
        <w:rPr>
          <w:noProof/>
          <w:lang w:eastAsia="en-AU"/>
        </w:rPr>
        <w:drawing>
          <wp:inline distT="0" distB="0" distL="0" distR="0">
            <wp:extent cx="5544185" cy="3113382"/>
            <wp:effectExtent l="19050" t="19050" r="18415" b="10818"/>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4185" cy="3113382"/>
                    </a:xfrm>
                    <a:prstGeom prst="rect">
                      <a:avLst/>
                    </a:prstGeom>
                    <a:ln w="9525" cap="flat" cmpd="sng" algn="ctr">
                      <a:solidFill>
                        <a:sysClr val="window" lastClr="FFFFFF">
                          <a:lumMod val="85000"/>
                        </a:sysClr>
                      </a:solidFill>
                      <a:prstDash val="solid"/>
                      <a:round/>
                      <a:headEnd type="none" w="med" len="med"/>
                      <a:tailEnd type="none" w="med" len="med"/>
                    </a:ln>
                    <a:effectLst/>
                  </pic:spPr>
                </pic:pic>
              </a:graphicData>
            </a:graphic>
          </wp:inline>
        </w:drawing>
      </w:r>
    </w:p>
    <w:p w:rsidR="00355A77" w:rsidRPr="000356C2" w:rsidRDefault="00543F9A" w:rsidP="00543F9A">
      <w:pPr>
        <w:pStyle w:val="Caption"/>
        <w:rPr>
          <w:b w:val="0"/>
          <w:color w:val="auto"/>
        </w:rPr>
      </w:pPr>
      <w:r w:rsidRPr="000356C2">
        <w:rPr>
          <w:color w:val="auto"/>
        </w:rPr>
        <w:t xml:space="preserve">Figure </w:t>
      </w:r>
      <w:r w:rsidR="00E148C2" w:rsidRPr="000356C2">
        <w:rPr>
          <w:color w:val="auto"/>
        </w:rPr>
        <w:fldChar w:fldCharType="begin"/>
      </w:r>
      <w:r w:rsidRPr="000356C2">
        <w:rPr>
          <w:color w:val="auto"/>
        </w:rPr>
        <w:instrText xml:space="preserve"> SEQ Figure \* ARABIC </w:instrText>
      </w:r>
      <w:r w:rsidR="00E148C2" w:rsidRPr="000356C2">
        <w:rPr>
          <w:color w:val="auto"/>
        </w:rPr>
        <w:fldChar w:fldCharType="separate"/>
      </w:r>
      <w:r w:rsidR="00E6380A">
        <w:rPr>
          <w:noProof/>
          <w:color w:val="auto"/>
        </w:rPr>
        <w:t>5</w:t>
      </w:r>
      <w:r w:rsidR="00E148C2" w:rsidRPr="000356C2">
        <w:rPr>
          <w:color w:val="auto"/>
        </w:rPr>
        <w:fldChar w:fldCharType="end"/>
      </w:r>
      <w:r w:rsidR="00355A77" w:rsidRPr="000356C2">
        <w:rPr>
          <w:color w:val="auto"/>
        </w:rPr>
        <w:t>: Australian 2030 abatement cost curve</w:t>
      </w:r>
    </w:p>
    <w:p w:rsidR="00355A77" w:rsidRPr="000356C2" w:rsidRDefault="001B0C4B" w:rsidP="00B03F8B">
      <w:pPr>
        <w:spacing w:before="120" w:after="120" w:line="264" w:lineRule="auto"/>
        <w:rPr>
          <w:color w:val="auto"/>
          <w:sz w:val="20"/>
          <w:szCs w:val="20"/>
        </w:rPr>
      </w:pPr>
      <w:r w:rsidRPr="000356C2">
        <w:rPr>
          <w:color w:val="auto"/>
          <w:sz w:val="20"/>
          <w:szCs w:val="20"/>
        </w:rPr>
        <w:t xml:space="preserve">Two examples of the measures considered in </w:t>
      </w:r>
      <w:proofErr w:type="spellStart"/>
      <w:r w:rsidRPr="000356C2">
        <w:rPr>
          <w:color w:val="auto"/>
          <w:sz w:val="20"/>
          <w:szCs w:val="20"/>
        </w:rPr>
        <w:t>Energetics</w:t>
      </w:r>
      <w:proofErr w:type="spellEnd"/>
      <w:r w:rsidRPr="000356C2">
        <w:rPr>
          <w:color w:val="auto"/>
          <w:sz w:val="20"/>
          <w:szCs w:val="20"/>
        </w:rPr>
        <w:t xml:space="preserve"> analysis are included below in Attachment A. The two case studies provide examples of the best practice energy management and emissions reduction currently being undertaken by leading Australian industry.</w:t>
      </w:r>
    </w:p>
    <w:p w:rsidR="00355A77" w:rsidRPr="00355A77" w:rsidRDefault="00355A77" w:rsidP="00355A77">
      <w:pPr>
        <w:keepNext/>
        <w:keepLines/>
        <w:pageBreakBefore/>
        <w:spacing w:after="480" w:line="580" w:lineRule="atLeast"/>
        <w:outlineLvl w:val="0"/>
        <w:rPr>
          <w:rFonts w:eastAsiaTheme="majorEastAsia" w:cstheme="majorBidi"/>
          <w:b/>
          <w:bCs/>
          <w:color w:val="F48024" w:themeColor="accent1"/>
          <w:sz w:val="48"/>
          <w:szCs w:val="28"/>
        </w:rPr>
      </w:pPr>
      <w:bookmarkStart w:id="17" w:name="_GoBack"/>
      <w:bookmarkStart w:id="18" w:name="_Toc450150315"/>
      <w:bookmarkEnd w:id="17"/>
      <w:r w:rsidRPr="00355A77">
        <w:rPr>
          <w:rFonts w:eastAsiaTheme="majorEastAsia" w:cstheme="majorBidi"/>
          <w:b/>
          <w:bCs/>
          <w:color w:val="F48024" w:themeColor="accent1"/>
          <w:sz w:val="48"/>
          <w:szCs w:val="28"/>
        </w:rPr>
        <w:lastRenderedPageBreak/>
        <w:t>Attachment A – Opportunity case studies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bottom w:w="170" w:type="dxa"/>
        </w:tblCellMar>
        <w:tblLook w:val="04A0"/>
      </w:tblPr>
      <w:tblGrid>
        <w:gridCol w:w="8947"/>
      </w:tblGrid>
      <w:tr w:rsidR="00F11414" w:rsidRPr="00F11414" w:rsidTr="00836F0B">
        <w:trPr>
          <w:cantSplit/>
          <w:trHeight w:val="10372"/>
        </w:trPr>
        <w:tc>
          <w:tcPr>
            <w:tcW w:w="8947" w:type="dxa"/>
            <w:shd w:val="clear" w:color="auto" w:fill="D9D9D9" w:themeFill="background1" w:themeFillShade="D9"/>
          </w:tcPr>
          <w:p w:rsidR="00355A77" w:rsidRPr="005A55DD" w:rsidRDefault="00355A77" w:rsidP="008D067E">
            <w:pPr>
              <w:spacing w:before="0" w:after="120"/>
              <w:rPr>
                <w:color w:val="auto"/>
                <w:sz w:val="28"/>
                <w:szCs w:val="28"/>
              </w:rPr>
            </w:pPr>
            <w:r w:rsidRPr="005A55DD">
              <w:rPr>
                <w:color w:val="auto"/>
                <w:sz w:val="28"/>
                <w:szCs w:val="28"/>
              </w:rPr>
              <w:t>Advanced buildings management systems – Australian cities in 2030</w:t>
            </w:r>
          </w:p>
          <w:p w:rsidR="00355A77" w:rsidRPr="005A55DD" w:rsidRDefault="00355A77" w:rsidP="008D067E">
            <w:pPr>
              <w:spacing w:before="0" w:after="120"/>
              <w:rPr>
                <w:color w:val="auto"/>
              </w:rPr>
            </w:pPr>
            <w:r w:rsidRPr="005A55DD">
              <w:rPr>
                <w:color w:val="auto"/>
              </w:rPr>
              <w:t>Of all the focus areas considered within the Paris Agreement, the built environment – and the impact that individual buildings and cities can play in disrupting locked-in energy and greenhouse gas (GHG) emissions patterns – is perhaps the most critical. Globally the commercial building sector alone contributes over 9% of human produced greenhouse gas</w:t>
            </w:r>
            <w:r w:rsidRPr="005A55DD">
              <w:rPr>
                <w:color w:val="auto"/>
                <w:vertAlign w:val="superscript"/>
              </w:rPr>
              <w:footnoteReference w:id="3"/>
            </w:r>
            <w:r w:rsidRPr="005A55DD">
              <w:rPr>
                <w:color w:val="auto"/>
              </w:rPr>
              <w:t>. In developing a strategic response to climate change, the design of our cities plays a vital role as ‘new roads, buildings and water systems built today are likely to influence living and consumption patterns for at least the next 50 to 100 years</w:t>
            </w:r>
            <w:r w:rsidRPr="005A55DD">
              <w:rPr>
                <w:color w:val="auto"/>
                <w:vertAlign w:val="superscript"/>
              </w:rPr>
              <w:footnoteReference w:id="4"/>
            </w:r>
            <w:r w:rsidRPr="005A55DD">
              <w:rPr>
                <w:color w:val="auto"/>
              </w:rPr>
              <w:t xml:space="preserve"> . </w:t>
            </w:r>
          </w:p>
          <w:p w:rsidR="00355A77" w:rsidRPr="005A55DD" w:rsidRDefault="00355A77" w:rsidP="008D067E">
            <w:pPr>
              <w:spacing w:before="0" w:after="120"/>
              <w:rPr>
                <w:color w:val="auto"/>
              </w:rPr>
            </w:pPr>
            <w:r w:rsidRPr="005A55DD">
              <w:rPr>
                <w:color w:val="auto"/>
              </w:rPr>
              <w:t>In Australia, the Commercial Buildings sector alone was reported to have contributed over 27 MtCO</w:t>
            </w:r>
            <w:r w:rsidRPr="005A55DD">
              <w:rPr>
                <w:color w:val="auto"/>
                <w:vertAlign w:val="subscript"/>
              </w:rPr>
              <w:t>2</w:t>
            </w:r>
            <w:r w:rsidRPr="005A55DD">
              <w:rPr>
                <w:color w:val="auto"/>
              </w:rPr>
              <w:t>-e</w:t>
            </w:r>
            <w:r w:rsidRPr="005A55DD">
              <w:rPr>
                <w:color w:val="auto"/>
                <w:vertAlign w:val="superscript"/>
              </w:rPr>
              <w:footnoteReference w:id="5"/>
            </w:r>
            <w:r w:rsidRPr="005A55DD">
              <w:rPr>
                <w:color w:val="auto"/>
              </w:rPr>
              <w:t xml:space="preserve"> to Australia’s emissions total over the 2014/15 financial year.</w:t>
            </w:r>
          </w:p>
          <w:p w:rsidR="00355A77" w:rsidRPr="005A55DD" w:rsidRDefault="00355A77" w:rsidP="008D067E">
            <w:pPr>
              <w:spacing w:before="0" w:after="120"/>
              <w:rPr>
                <w:color w:val="auto"/>
              </w:rPr>
            </w:pPr>
            <w:proofErr w:type="spellStart"/>
            <w:r w:rsidRPr="005A55DD">
              <w:rPr>
                <w:color w:val="auto"/>
              </w:rPr>
              <w:t>Energetics</w:t>
            </w:r>
            <w:proofErr w:type="spellEnd"/>
            <w:r w:rsidRPr="005A55DD">
              <w:rPr>
                <w:color w:val="auto"/>
              </w:rPr>
              <w:t xml:space="preserve">’ modelling demonstrated that there is significant potential for emissions reduction across the built environment, with the role for emissions reduction from cities, infrastructure and building development playing a vital role in helping Australia meet the 26-28% 2030 emissions reduction target. Measures that </w:t>
            </w:r>
            <w:proofErr w:type="spellStart"/>
            <w:r w:rsidRPr="005A55DD">
              <w:rPr>
                <w:color w:val="auto"/>
              </w:rPr>
              <w:t>Energetics</w:t>
            </w:r>
            <w:proofErr w:type="spellEnd"/>
            <w:r w:rsidRPr="005A55DD">
              <w:rPr>
                <w:color w:val="auto"/>
              </w:rPr>
              <w:t xml:space="preserve"> considered for reducing the built environment emissions profile include building retrofits and new innovative design measures, as well as the impact of increased distributed commercial solar PV. </w:t>
            </w:r>
          </w:p>
          <w:p w:rsidR="00355A77" w:rsidRPr="005A55DD" w:rsidRDefault="00355A77" w:rsidP="008D067E">
            <w:pPr>
              <w:spacing w:before="0" w:after="120"/>
              <w:rPr>
                <w:color w:val="auto"/>
              </w:rPr>
            </w:pPr>
            <w:r w:rsidRPr="005A55DD">
              <w:rPr>
                <w:color w:val="auto"/>
              </w:rPr>
              <w:t xml:space="preserve">A crucial requirement that will drive a number of these measures is the understanding, management and optimisation of energy consumption at a building level. </w:t>
            </w:r>
            <w:proofErr w:type="spellStart"/>
            <w:r w:rsidRPr="005A55DD">
              <w:rPr>
                <w:color w:val="auto"/>
              </w:rPr>
              <w:t>Energetics</w:t>
            </w:r>
            <w:proofErr w:type="spellEnd"/>
            <w:r w:rsidRPr="005A55DD">
              <w:rPr>
                <w:color w:val="auto"/>
              </w:rPr>
              <w:t xml:space="preserve"> estimated that between now and 2030 a cumulative abatement potential of over 12 MtCO</w:t>
            </w:r>
            <w:r w:rsidRPr="005A55DD">
              <w:rPr>
                <w:color w:val="auto"/>
                <w:vertAlign w:val="subscript"/>
              </w:rPr>
              <w:t>2</w:t>
            </w:r>
            <w:r w:rsidRPr="005A55DD">
              <w:rPr>
                <w:color w:val="auto"/>
              </w:rPr>
              <w:t xml:space="preserve">-e can arise purely from optimising building performance using data management systems. </w:t>
            </w:r>
          </w:p>
          <w:p w:rsidR="00355A77" w:rsidRPr="005A55DD" w:rsidRDefault="00355A77" w:rsidP="008D067E">
            <w:pPr>
              <w:keepNext/>
              <w:keepLines/>
              <w:spacing w:before="0" w:after="120"/>
              <w:outlineLvl w:val="3"/>
              <w:rPr>
                <w:rFonts w:eastAsiaTheme="majorEastAsia" w:cstheme="majorBidi"/>
                <w:b/>
                <w:bCs/>
                <w:iCs/>
                <w:color w:val="auto"/>
                <w:sz w:val="20"/>
              </w:rPr>
            </w:pPr>
            <w:r w:rsidRPr="005A55DD">
              <w:rPr>
                <w:rFonts w:eastAsiaTheme="majorEastAsia" w:cstheme="majorBidi"/>
                <w:b/>
                <w:bCs/>
                <w:iCs/>
                <w:color w:val="auto"/>
                <w:sz w:val="20"/>
              </w:rPr>
              <w:t>The GPT example</w:t>
            </w:r>
          </w:p>
          <w:p w:rsidR="00355A77" w:rsidRPr="005A55DD" w:rsidRDefault="00355A77" w:rsidP="008D067E">
            <w:pPr>
              <w:spacing w:before="0" w:after="120"/>
              <w:rPr>
                <w:color w:val="auto"/>
              </w:rPr>
            </w:pPr>
            <w:r w:rsidRPr="005A55DD">
              <w:rPr>
                <w:color w:val="auto"/>
              </w:rPr>
              <w:t xml:space="preserve">GPT Group (GPT) is a leading property group with broad access to capital invested in quality Australian property assets. GPT’s office, shopping centre and logistics properties are used by millions of Australians every week. </w:t>
            </w:r>
          </w:p>
          <w:p w:rsidR="00355A77" w:rsidRPr="005A55DD" w:rsidRDefault="00355A77" w:rsidP="008D067E">
            <w:pPr>
              <w:spacing w:before="0" w:after="120"/>
              <w:rPr>
                <w:color w:val="auto"/>
              </w:rPr>
            </w:pPr>
            <w:r w:rsidRPr="005A55DD">
              <w:rPr>
                <w:color w:val="auto"/>
              </w:rPr>
              <w:t>At a company level, GPT recognises that greenhouse gas emissions globally are at unsustainable levels and the property sector accounts for a significant proportion arising from energy consumed in developing and managing buildings.</w:t>
            </w:r>
          </w:p>
          <w:p w:rsidR="00355A77" w:rsidRPr="00F11414" w:rsidRDefault="00355A77" w:rsidP="008D067E">
            <w:pPr>
              <w:spacing w:before="0" w:after="120"/>
              <w:rPr>
                <w:color w:val="2F2F30" w:themeColor="text1" w:themeShade="80"/>
              </w:rPr>
            </w:pPr>
            <w:r w:rsidRPr="005A55DD">
              <w:rPr>
                <w:color w:val="auto"/>
              </w:rPr>
              <w:t>From 2005 to 2014, GPT reduced the average energy intensity of its portfolio from 571 MJ/m</w:t>
            </w:r>
            <w:r w:rsidRPr="005A55DD">
              <w:rPr>
                <w:color w:val="auto"/>
                <w:vertAlign w:val="superscript"/>
              </w:rPr>
              <w:t>2</w:t>
            </w:r>
            <w:r w:rsidRPr="005A55DD">
              <w:rPr>
                <w:color w:val="auto"/>
              </w:rPr>
              <w:t xml:space="preserve"> to 369 MJ/m</w:t>
            </w:r>
            <w:r w:rsidRPr="005A55DD">
              <w:rPr>
                <w:color w:val="auto"/>
                <w:vertAlign w:val="superscript"/>
              </w:rPr>
              <w:t>2</w:t>
            </w:r>
            <w:r w:rsidRPr="005A55DD">
              <w:rPr>
                <w:color w:val="auto"/>
              </w:rPr>
              <w:t xml:space="preserve">. </w:t>
            </w:r>
            <w:r w:rsidR="00A149C8" w:rsidRPr="005A55DD">
              <w:rPr>
                <w:color w:val="auto"/>
              </w:rPr>
              <w:t>In GHG emissions terms, this amounts to a reduction</w:t>
            </w:r>
            <w:r w:rsidR="00A149C8" w:rsidRPr="005A55DD">
              <w:rPr>
                <w:color w:val="auto"/>
                <w:vertAlign w:val="superscript"/>
              </w:rPr>
              <w:footnoteReference w:id="6"/>
            </w:r>
            <w:r w:rsidR="00A149C8" w:rsidRPr="005A55DD">
              <w:rPr>
                <w:color w:val="auto"/>
              </w:rPr>
              <w:t xml:space="preserve"> of over 46kgCO</w:t>
            </w:r>
            <w:r w:rsidR="00A149C8" w:rsidRPr="005A55DD">
              <w:rPr>
                <w:color w:val="auto"/>
                <w:vertAlign w:val="subscript"/>
              </w:rPr>
              <w:t>2</w:t>
            </w:r>
            <w:r w:rsidR="00A149C8" w:rsidRPr="005A55DD">
              <w:rPr>
                <w:color w:val="auto"/>
              </w:rPr>
              <w:t>-e/m</w:t>
            </w:r>
            <w:r w:rsidR="00A149C8" w:rsidRPr="005A55DD">
              <w:rPr>
                <w:color w:val="auto"/>
                <w:vertAlign w:val="superscript"/>
              </w:rPr>
              <w:t>2</w:t>
            </w:r>
            <w:r w:rsidR="00A149C8" w:rsidRPr="005A55DD">
              <w:rPr>
                <w:color w:val="auto"/>
              </w:rPr>
              <w:t xml:space="preserve">.  Around half of this reduction </w:t>
            </w:r>
            <w:r w:rsidR="00A149C8" w:rsidRPr="005A55DD">
              <w:rPr>
                <w:color w:val="auto"/>
                <w:szCs w:val="18"/>
              </w:rPr>
              <w:t>can be attributed to better energy data information and the use of it to manage buildings without the need for investment in new systems or energy efficient appliances. The remaining half of the savings would be attributed to system or appliance upgrades, but it is important to note that energy data management is the critical tool in maintaining and identifying those savings.</w:t>
            </w:r>
          </w:p>
        </w:tc>
      </w:tr>
      <w:tr w:rsidR="00F11414" w:rsidRPr="00F11414" w:rsidTr="009359C9">
        <w:trPr>
          <w:cantSplit/>
          <w:trHeight w:val="11312"/>
        </w:trPr>
        <w:tc>
          <w:tcPr>
            <w:tcW w:w="8947" w:type="dxa"/>
            <w:shd w:val="clear" w:color="auto" w:fill="D9D9D9" w:themeFill="background1" w:themeFillShade="D9"/>
          </w:tcPr>
          <w:p w:rsidR="00355A77" w:rsidRPr="005A55DD" w:rsidRDefault="00355A77" w:rsidP="008D067E">
            <w:pPr>
              <w:spacing w:before="0" w:after="120"/>
              <w:rPr>
                <w:color w:val="auto"/>
                <w:szCs w:val="18"/>
                <w:lang w:eastAsia="zh-TW"/>
              </w:rPr>
            </w:pPr>
            <w:r w:rsidRPr="005A55DD">
              <w:rPr>
                <w:color w:val="auto"/>
                <w:szCs w:val="18"/>
                <w:lang w:eastAsia="zh-TW"/>
              </w:rPr>
              <w:lastRenderedPageBreak/>
              <w:t xml:space="preserve">Ongoing building energy performance optimisation is achieved through better energy information management and diagnostic systems, augmented by smarter control strategies and a rolling program of lighting and air conditioning system upgrades.  </w:t>
            </w:r>
          </w:p>
          <w:p w:rsidR="00355A77" w:rsidRPr="005A55DD" w:rsidRDefault="00355A77" w:rsidP="008D067E">
            <w:pPr>
              <w:spacing w:before="0" w:after="120"/>
              <w:rPr>
                <w:color w:val="auto"/>
                <w:szCs w:val="18"/>
                <w:lang w:eastAsia="zh-TW"/>
              </w:rPr>
            </w:pPr>
            <w:r w:rsidRPr="005A55DD">
              <w:rPr>
                <w:color w:val="auto"/>
                <w:szCs w:val="18"/>
                <w:lang w:eastAsia="zh-TW"/>
              </w:rPr>
              <w:t>At GPT, it is standard practice to undertake efficiency upgrades alongside any lifecycle or maintenance works, thus leveraging already budgeted expenditure. In cases where there are additional efficiency upgrades or upgrades that are separate to lifecycle works, a target payback period on the additional expenditure is five years or less. Whereas many efficiency gains have also come from improved energy management practices that have required little or no extra investment, which is important in an environment where competition for capital is fierce.</w:t>
            </w:r>
          </w:p>
          <w:p w:rsidR="00355A77" w:rsidRPr="005A55DD" w:rsidRDefault="00355A77" w:rsidP="008D067E">
            <w:pPr>
              <w:spacing w:before="0" w:after="120"/>
              <w:rPr>
                <w:color w:val="auto"/>
                <w:szCs w:val="18"/>
              </w:rPr>
            </w:pPr>
            <w:r w:rsidRPr="005A55DD">
              <w:rPr>
                <w:color w:val="auto"/>
                <w:szCs w:val="18"/>
                <w:lang w:eastAsia="zh-TW"/>
              </w:rPr>
              <w:t xml:space="preserve">Further to energy reductions, GPT reduces emissions by switching from high carbon energy supplies to low and no carbon energy from on-site and off-site sources.  </w:t>
            </w:r>
            <w:r w:rsidRPr="005A55DD">
              <w:rPr>
                <w:color w:val="auto"/>
                <w:szCs w:val="18"/>
              </w:rPr>
              <w:t xml:space="preserve">By the end of 2015 the emissions intensity of GPT’s operations reduced to 50% of the 2005 baseline.                     </w:t>
            </w:r>
          </w:p>
          <w:p w:rsidR="00355A77" w:rsidRPr="005A55DD" w:rsidRDefault="00355A77" w:rsidP="008D067E">
            <w:pPr>
              <w:spacing w:before="0" w:after="120"/>
              <w:rPr>
                <w:color w:val="auto"/>
                <w:szCs w:val="18"/>
              </w:rPr>
            </w:pPr>
            <w:r w:rsidRPr="005A55DD">
              <w:rPr>
                <w:color w:val="auto"/>
                <w:szCs w:val="18"/>
              </w:rPr>
              <w:t>Over the ten year journey of GPT’s energy and climate change response, a cumulative total of 0.63 Mt-CO</w:t>
            </w:r>
            <w:r w:rsidRPr="005A55DD">
              <w:rPr>
                <w:color w:val="auto"/>
                <w:szCs w:val="18"/>
                <w:vertAlign w:val="subscript"/>
              </w:rPr>
              <w:t>2</w:t>
            </w:r>
            <w:r w:rsidR="007E3509">
              <w:rPr>
                <w:color w:val="auto"/>
                <w:szCs w:val="18"/>
              </w:rPr>
              <w:t>-e has</w:t>
            </w:r>
            <w:r w:rsidRPr="005A55DD">
              <w:rPr>
                <w:color w:val="auto"/>
                <w:szCs w:val="18"/>
              </w:rPr>
              <w:t xml:space="preserve"> been avoided. Compared to baseline energy intensity levels, GPT and its tenants have avoided energy costs of over $76 million</w:t>
            </w:r>
            <w:r w:rsidRPr="005A55DD">
              <w:rPr>
                <w:b/>
                <w:bCs/>
                <w:color w:val="auto"/>
                <w:szCs w:val="18"/>
              </w:rPr>
              <w:t xml:space="preserve">. </w:t>
            </w:r>
            <w:r w:rsidRPr="005A55DD">
              <w:rPr>
                <w:color w:val="auto"/>
                <w:szCs w:val="18"/>
              </w:rPr>
              <w:t>With improvements in energy efficiency in 2015 alone, GPT and its tenants avoided $24.3 million in energy costs</w:t>
            </w:r>
          </w:p>
          <w:p w:rsidR="00355A77" w:rsidRPr="005A55DD" w:rsidRDefault="00355A77" w:rsidP="008D067E">
            <w:pPr>
              <w:keepNext/>
              <w:keepLines/>
              <w:spacing w:before="0" w:after="120"/>
              <w:outlineLvl w:val="3"/>
              <w:rPr>
                <w:rFonts w:eastAsiaTheme="majorEastAsia" w:cstheme="majorBidi"/>
                <w:b/>
                <w:bCs/>
                <w:iCs/>
                <w:color w:val="auto"/>
                <w:sz w:val="20"/>
              </w:rPr>
            </w:pPr>
            <w:r w:rsidRPr="005A55DD">
              <w:rPr>
                <w:rFonts w:eastAsiaTheme="majorEastAsia" w:cstheme="majorBidi"/>
                <w:b/>
                <w:bCs/>
                <w:iCs/>
                <w:color w:val="auto"/>
                <w:sz w:val="20"/>
              </w:rPr>
              <w:t xml:space="preserve">Improving the uptake of data management </w:t>
            </w:r>
          </w:p>
          <w:p w:rsidR="00355A77" w:rsidRPr="005A55DD" w:rsidRDefault="00355A77" w:rsidP="008D067E">
            <w:pPr>
              <w:spacing w:before="0" w:after="120"/>
              <w:rPr>
                <w:color w:val="auto"/>
                <w:szCs w:val="18"/>
              </w:rPr>
            </w:pPr>
            <w:r w:rsidRPr="005A55DD">
              <w:rPr>
                <w:color w:val="auto"/>
                <w:szCs w:val="18"/>
              </w:rPr>
              <w:t>A key facet of optimising building energy management systems is the analysis of energy consumption data. Smarter systems turn energy data into information and knowledge that property managers can use to benchmark building performance and identify anomalies. Continuous monitoring of data provides real-time insight to equipment performance, such as office lighting and heating, ventilation and air conditioning (HVAC), ensuring that required efficiency upgrades are identified early and addressed quickly.</w:t>
            </w:r>
          </w:p>
          <w:p w:rsidR="00355A77" w:rsidRPr="005A55DD" w:rsidRDefault="00355A77" w:rsidP="008D067E">
            <w:pPr>
              <w:spacing w:before="0" w:after="120"/>
              <w:rPr>
                <w:color w:val="auto"/>
                <w:szCs w:val="18"/>
              </w:rPr>
            </w:pPr>
            <w:r w:rsidRPr="005A55DD">
              <w:rPr>
                <w:color w:val="auto"/>
                <w:szCs w:val="18"/>
              </w:rPr>
              <w:t>The GPT example demonstrates that building managers and property owners can benefit significantly from better understanding of their building energy data.  A focus on building comprehensive energy management systems can provide an easily implementable and scalable option for lowering energy consumption, reducing energy spend, and creating jobs across the Australian built environment.</w:t>
            </w:r>
          </w:p>
          <w:p w:rsidR="009359C9" w:rsidRPr="00F11414" w:rsidRDefault="009359C9" w:rsidP="008D067E">
            <w:pPr>
              <w:spacing w:before="0" w:after="120"/>
              <w:rPr>
                <w:color w:val="2F2F30" w:themeColor="text1" w:themeShade="80"/>
                <w:szCs w:val="18"/>
              </w:rPr>
            </w:pPr>
          </w:p>
          <w:p w:rsidR="00642AA1" w:rsidRPr="00F11414" w:rsidRDefault="00642AA1" w:rsidP="008D067E">
            <w:pPr>
              <w:spacing w:before="0" w:after="120"/>
              <w:jc w:val="center"/>
              <w:rPr>
                <w:color w:val="2F2F30" w:themeColor="text1" w:themeShade="80"/>
                <w:szCs w:val="18"/>
              </w:rPr>
            </w:pPr>
            <w:r w:rsidRPr="00F11414">
              <w:rPr>
                <w:noProof/>
                <w:color w:val="2F2F30" w:themeColor="text1" w:themeShade="80"/>
                <w:lang w:eastAsia="en-AU"/>
              </w:rPr>
              <w:drawing>
                <wp:inline distT="0" distB="0" distL="0" distR="0">
                  <wp:extent cx="45148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12862" cy="1618537"/>
                          </a:xfrm>
                          <a:prstGeom prst="rect">
                            <a:avLst/>
                          </a:prstGeom>
                        </pic:spPr>
                      </pic:pic>
                    </a:graphicData>
                  </a:graphic>
                </wp:inline>
              </w:drawing>
            </w:r>
          </w:p>
        </w:tc>
      </w:tr>
      <w:tr w:rsidR="00F11414" w:rsidRPr="00F11414" w:rsidTr="00A149C8">
        <w:trPr>
          <w:cantSplit/>
          <w:trHeight w:val="11312"/>
        </w:trPr>
        <w:tc>
          <w:tcPr>
            <w:tcW w:w="8947" w:type="dxa"/>
            <w:shd w:val="clear" w:color="auto" w:fill="D9D9D9" w:themeFill="background1" w:themeFillShade="D9"/>
          </w:tcPr>
          <w:p w:rsidR="00355A77" w:rsidRPr="005A55DD" w:rsidRDefault="00355A77" w:rsidP="008D067E">
            <w:pPr>
              <w:spacing w:before="0" w:after="120"/>
              <w:rPr>
                <w:color w:val="auto"/>
                <w:sz w:val="28"/>
                <w:szCs w:val="28"/>
              </w:rPr>
            </w:pPr>
            <w:r w:rsidRPr="005A55DD">
              <w:rPr>
                <w:color w:val="auto"/>
                <w:sz w:val="28"/>
                <w:szCs w:val="28"/>
              </w:rPr>
              <w:lastRenderedPageBreak/>
              <w:t>Lower Emissions Aviation - Advanced transport to 2030</w:t>
            </w:r>
          </w:p>
          <w:p w:rsidR="00355A77" w:rsidRPr="005A55DD" w:rsidRDefault="00355A77" w:rsidP="008D067E">
            <w:pPr>
              <w:spacing w:before="0" w:after="120"/>
              <w:rPr>
                <w:color w:val="auto"/>
                <w:szCs w:val="18"/>
              </w:rPr>
            </w:pPr>
            <w:r w:rsidRPr="005A55DD">
              <w:rPr>
                <w:color w:val="auto"/>
                <w:szCs w:val="18"/>
              </w:rPr>
              <w:t xml:space="preserve">An important contribution that could be made towards achieving the 26-28% national emissions reduction target lies in improving the performance of Australia’s aircraft fleet. In assessing domestic emissions from Australia’s civil aviation fleet, </w:t>
            </w:r>
            <w:proofErr w:type="spellStart"/>
            <w:r w:rsidRPr="005A55DD">
              <w:rPr>
                <w:color w:val="auto"/>
                <w:szCs w:val="18"/>
              </w:rPr>
              <w:t>Energetics</w:t>
            </w:r>
            <w:proofErr w:type="spellEnd"/>
            <w:r w:rsidRPr="005A55DD">
              <w:rPr>
                <w:color w:val="auto"/>
                <w:szCs w:val="18"/>
              </w:rPr>
              <w:t xml:space="preserve"> identified over 20 MtCO</w:t>
            </w:r>
            <w:r w:rsidRPr="005A55DD">
              <w:rPr>
                <w:color w:val="auto"/>
                <w:szCs w:val="18"/>
                <w:vertAlign w:val="subscript"/>
              </w:rPr>
              <w:t>2</w:t>
            </w:r>
            <w:r w:rsidR="007E3509" w:rsidRPr="007E3509">
              <w:rPr>
                <w:color w:val="auto"/>
                <w:szCs w:val="18"/>
              </w:rPr>
              <w:t>-</w:t>
            </w:r>
            <w:r w:rsidRPr="005A55DD">
              <w:rPr>
                <w:color w:val="auto"/>
                <w:szCs w:val="18"/>
              </w:rPr>
              <w:t>e in cumulative potential abatement from improved aircraft performance. Broadly speaking, improved aircraft performance measures include:</w:t>
            </w:r>
          </w:p>
          <w:p w:rsidR="00355A77" w:rsidRPr="005A55DD" w:rsidRDefault="00355A77" w:rsidP="008D067E">
            <w:pPr>
              <w:numPr>
                <w:ilvl w:val="0"/>
                <w:numId w:val="41"/>
              </w:numPr>
              <w:spacing w:before="0" w:after="120"/>
              <w:jc w:val="both"/>
              <w:rPr>
                <w:color w:val="auto"/>
                <w:szCs w:val="18"/>
              </w:rPr>
            </w:pPr>
            <w:r w:rsidRPr="005A55DD">
              <w:rPr>
                <w:color w:val="auto"/>
                <w:szCs w:val="18"/>
              </w:rPr>
              <w:t>Fleet renewal and modernisation – including widespread adoption of the latest technology in jet engines; this drives a 1.5% efficiency year on year to 2020 and assumed beyond</w:t>
            </w:r>
          </w:p>
          <w:p w:rsidR="00355A77" w:rsidRPr="005A55DD" w:rsidRDefault="00355A77" w:rsidP="008D067E">
            <w:pPr>
              <w:numPr>
                <w:ilvl w:val="0"/>
                <w:numId w:val="41"/>
              </w:numPr>
              <w:spacing w:before="0" w:after="120"/>
              <w:jc w:val="both"/>
              <w:rPr>
                <w:color w:val="auto"/>
                <w:szCs w:val="18"/>
              </w:rPr>
            </w:pPr>
            <w:r w:rsidRPr="005A55DD">
              <w:rPr>
                <w:color w:val="auto"/>
                <w:szCs w:val="18"/>
              </w:rPr>
              <w:t>Improved aircraft performance – including innovative route management and operational effectiveness to reduce fuel consumption.</w:t>
            </w:r>
          </w:p>
          <w:p w:rsidR="00355A77" w:rsidRPr="005A55DD" w:rsidRDefault="00355A77" w:rsidP="008D067E">
            <w:pPr>
              <w:spacing w:before="0" w:after="120"/>
              <w:rPr>
                <w:color w:val="auto"/>
                <w:szCs w:val="18"/>
              </w:rPr>
            </w:pPr>
            <w:r w:rsidRPr="005A55DD">
              <w:rPr>
                <w:color w:val="auto"/>
                <w:szCs w:val="18"/>
              </w:rPr>
              <w:t>While emissions from the two sources are traditionally accounted for and managed separately, realising the emissions reduction potential of the Australian aviation sector will require all fleet emissions to be addressed. Taking this responsibility would benefit the international community, as well as lower Australia’s domestic emissions profile.</w:t>
            </w:r>
          </w:p>
          <w:p w:rsidR="00355A77" w:rsidRPr="005A55DD" w:rsidRDefault="00355A77" w:rsidP="008D067E">
            <w:pPr>
              <w:keepNext/>
              <w:keepLines/>
              <w:spacing w:before="0" w:after="120"/>
              <w:outlineLvl w:val="3"/>
              <w:rPr>
                <w:rFonts w:eastAsiaTheme="majorEastAsia" w:cstheme="majorBidi"/>
                <w:b/>
                <w:bCs/>
                <w:iCs/>
                <w:color w:val="auto"/>
                <w:sz w:val="20"/>
              </w:rPr>
            </w:pPr>
            <w:r w:rsidRPr="005A55DD">
              <w:rPr>
                <w:rFonts w:eastAsiaTheme="majorEastAsia" w:cstheme="majorBidi"/>
                <w:b/>
                <w:bCs/>
                <w:iCs/>
                <w:color w:val="auto"/>
                <w:sz w:val="20"/>
              </w:rPr>
              <w:t>Qantas partners with market leaders to drive performance improvements</w:t>
            </w:r>
          </w:p>
          <w:p w:rsidR="00355A77" w:rsidRPr="005A55DD" w:rsidRDefault="00355A77" w:rsidP="008D067E">
            <w:pPr>
              <w:spacing w:before="0" w:after="120"/>
              <w:rPr>
                <w:color w:val="auto"/>
                <w:szCs w:val="18"/>
              </w:rPr>
            </w:pPr>
            <w:r w:rsidRPr="005A55DD">
              <w:rPr>
                <w:color w:val="auto"/>
                <w:szCs w:val="18"/>
              </w:rPr>
              <w:t>An obvious major player in the Australian civil aviation space is Qantas. For the 2014/15 financial year, Qantas domestic operations reported 4.4 million tonnes</w:t>
            </w:r>
            <w:r w:rsidRPr="005A55DD">
              <w:rPr>
                <w:color w:val="auto"/>
                <w:szCs w:val="18"/>
                <w:vertAlign w:val="superscript"/>
              </w:rPr>
              <w:footnoteReference w:id="7"/>
            </w:r>
            <w:r w:rsidRPr="005A55DD">
              <w:rPr>
                <w:color w:val="auto"/>
                <w:szCs w:val="18"/>
              </w:rPr>
              <w:t xml:space="preserve"> in Scope 1 CO</w:t>
            </w:r>
            <w:r w:rsidRPr="005A55DD">
              <w:rPr>
                <w:color w:val="auto"/>
                <w:szCs w:val="18"/>
                <w:vertAlign w:val="subscript"/>
              </w:rPr>
              <w:t>2</w:t>
            </w:r>
            <w:r w:rsidR="007E3509" w:rsidRPr="007E3509">
              <w:rPr>
                <w:color w:val="auto"/>
                <w:szCs w:val="18"/>
              </w:rPr>
              <w:t>-</w:t>
            </w:r>
            <w:r w:rsidRPr="005A55DD">
              <w:rPr>
                <w:color w:val="auto"/>
                <w:szCs w:val="18"/>
              </w:rPr>
              <w:t>e emissions</w:t>
            </w:r>
            <w:r w:rsidRPr="005A55DD">
              <w:rPr>
                <w:color w:val="auto"/>
                <w:szCs w:val="18"/>
                <w:vertAlign w:val="superscript"/>
              </w:rPr>
              <w:footnoteReference w:id="8"/>
            </w:r>
            <w:r w:rsidRPr="005A55DD">
              <w:rPr>
                <w:color w:val="auto"/>
                <w:szCs w:val="18"/>
              </w:rPr>
              <w:t xml:space="preserve">. </w:t>
            </w:r>
            <w:proofErr w:type="gramStart"/>
            <w:r w:rsidRPr="005A55DD">
              <w:rPr>
                <w:color w:val="auto"/>
                <w:szCs w:val="18"/>
              </w:rPr>
              <w:t>Emissions</w:t>
            </w:r>
            <w:proofErr w:type="gramEnd"/>
            <w:r w:rsidRPr="005A55DD">
              <w:rPr>
                <w:color w:val="auto"/>
                <w:szCs w:val="18"/>
              </w:rPr>
              <w:t xml:space="preserve"> from flying, which includes the burning of aviation fuel, constitutes the lion’s share of Qantas’ Scope 1 – over 99% of the total emissions.</w:t>
            </w:r>
            <w:r w:rsidRPr="005A55DD">
              <w:rPr>
                <w:color w:val="auto"/>
                <w:szCs w:val="18"/>
                <w:vertAlign w:val="superscript"/>
              </w:rPr>
              <w:footnoteReference w:id="9"/>
            </w:r>
            <w:r w:rsidRPr="005A55DD">
              <w:rPr>
                <w:color w:val="auto"/>
                <w:szCs w:val="18"/>
              </w:rPr>
              <w:t xml:space="preserve"> To manage this, the Qantas Group has a strong focus on fuel efficiency and carbon emissions reduction is a cornerstone of its AU$2bn transformation strategy. This is supported by a 50% net Scope 1 emissions reduction target currently in place, based on 2005 levels, to be achieved by 2050</w:t>
            </w:r>
            <w:r w:rsidRPr="005A55DD">
              <w:rPr>
                <w:color w:val="auto"/>
                <w:szCs w:val="18"/>
                <w:vertAlign w:val="superscript"/>
              </w:rPr>
              <w:footnoteReference w:id="10"/>
            </w:r>
            <w:r w:rsidRPr="005A55DD">
              <w:rPr>
                <w:color w:val="auto"/>
                <w:szCs w:val="18"/>
              </w:rPr>
              <w:t xml:space="preserve">. </w:t>
            </w:r>
          </w:p>
          <w:p w:rsidR="00355A77" w:rsidRPr="005A55DD" w:rsidRDefault="00355A77" w:rsidP="008D067E">
            <w:pPr>
              <w:spacing w:before="0" w:after="120"/>
              <w:rPr>
                <w:color w:val="auto"/>
                <w:szCs w:val="18"/>
              </w:rPr>
            </w:pPr>
            <w:r w:rsidRPr="005A55DD">
              <w:rPr>
                <w:color w:val="auto"/>
                <w:szCs w:val="18"/>
              </w:rPr>
              <w:t xml:space="preserve">In alignment with the International Air Transport Authority (IATA), Qantas has a vision to achieve carbon neutral growth by 2020. </w:t>
            </w:r>
          </w:p>
          <w:p w:rsidR="00355A77" w:rsidRPr="005A55DD" w:rsidRDefault="00355A77" w:rsidP="008D067E">
            <w:pPr>
              <w:spacing w:before="0" w:after="120"/>
              <w:rPr>
                <w:color w:val="auto"/>
                <w:szCs w:val="18"/>
              </w:rPr>
            </w:pPr>
            <w:r w:rsidRPr="005A55DD">
              <w:rPr>
                <w:color w:val="auto"/>
                <w:szCs w:val="18"/>
              </w:rPr>
              <w:t xml:space="preserve">To meet these targets, Qantas is exploring a number of innovative emissions reduction projects through partnerships with market leading companies and universities. </w:t>
            </w:r>
          </w:p>
          <w:p w:rsidR="00355A77" w:rsidRPr="005A55DD" w:rsidRDefault="00355A77" w:rsidP="008D067E">
            <w:pPr>
              <w:spacing w:before="0" w:after="120"/>
              <w:rPr>
                <w:color w:val="auto"/>
                <w:szCs w:val="18"/>
              </w:rPr>
            </w:pPr>
            <w:r w:rsidRPr="005A55DD">
              <w:rPr>
                <w:color w:val="auto"/>
                <w:szCs w:val="18"/>
              </w:rPr>
              <w:t>In 2012 Qantas entered into a four-year partnership with the University of Sydney to develop a flight planning system to allow the airline to fly optimised routes, reduce fuel consumption and improve operational effectiveness. The Qantas Future Flight Planning Project (QFFPP) included the integration of aerodynamics, flight mechanics, large-scale optimisation and machine-learning algorithms to design better flight planning routines and fuel prediction models</w:t>
            </w:r>
            <w:r w:rsidRPr="005A55DD">
              <w:rPr>
                <w:color w:val="auto"/>
                <w:szCs w:val="18"/>
                <w:vertAlign w:val="superscript"/>
              </w:rPr>
              <w:footnoteReference w:id="11"/>
            </w:r>
            <w:r w:rsidRPr="005A55DD">
              <w:rPr>
                <w:color w:val="auto"/>
                <w:szCs w:val="18"/>
              </w:rPr>
              <w:t xml:space="preserve">. </w:t>
            </w:r>
          </w:p>
          <w:p w:rsidR="00A149C8" w:rsidRPr="005A55DD" w:rsidRDefault="00355A77" w:rsidP="008D067E">
            <w:pPr>
              <w:spacing w:before="0" w:after="120"/>
              <w:rPr>
                <w:color w:val="auto"/>
                <w:szCs w:val="18"/>
              </w:rPr>
            </w:pPr>
            <w:r w:rsidRPr="005A55DD">
              <w:rPr>
                <w:color w:val="auto"/>
                <w:szCs w:val="18"/>
              </w:rPr>
              <w:t xml:space="preserve">Following on from the partnership with the University of Sydney, Qantas have also partnered with GE Aviation to reduce emissions through industry leading navigational techniques and technologies. GE Aviation’s Flight </w:t>
            </w:r>
          </w:p>
        </w:tc>
      </w:tr>
      <w:tr w:rsidR="00F11414" w:rsidRPr="00F11414" w:rsidTr="00836F0B">
        <w:trPr>
          <w:cantSplit/>
        </w:trPr>
        <w:tc>
          <w:tcPr>
            <w:tcW w:w="8947" w:type="dxa"/>
            <w:shd w:val="clear" w:color="auto" w:fill="D9D9D9" w:themeFill="background1" w:themeFillShade="D9"/>
          </w:tcPr>
          <w:p w:rsidR="00355A77" w:rsidRPr="005A55DD" w:rsidRDefault="00355A77" w:rsidP="008D067E">
            <w:pPr>
              <w:spacing w:before="0" w:after="120"/>
              <w:rPr>
                <w:color w:val="auto"/>
                <w:szCs w:val="18"/>
              </w:rPr>
            </w:pPr>
            <w:r w:rsidRPr="005A55DD">
              <w:rPr>
                <w:color w:val="auto"/>
                <w:szCs w:val="18"/>
              </w:rPr>
              <w:lastRenderedPageBreak/>
              <w:t>Analytical System is currently leading the market in using a combination of flight data, with operational data, weather data, trajectory correction and the terrain of the flight region</w:t>
            </w:r>
            <w:r w:rsidRPr="005A55DD">
              <w:rPr>
                <w:color w:val="auto"/>
                <w:vertAlign w:val="superscript"/>
              </w:rPr>
              <w:footnoteReference w:id="12"/>
            </w:r>
            <w:r w:rsidRPr="005A55DD">
              <w:rPr>
                <w:color w:val="auto"/>
                <w:szCs w:val="18"/>
              </w:rPr>
              <w:t>.</w:t>
            </w:r>
          </w:p>
          <w:p w:rsidR="00355A77" w:rsidRPr="005A55DD" w:rsidRDefault="00355A77" w:rsidP="008D067E">
            <w:pPr>
              <w:spacing w:before="0" w:after="120"/>
              <w:rPr>
                <w:color w:val="auto"/>
                <w:szCs w:val="18"/>
              </w:rPr>
            </w:pPr>
            <w:r w:rsidRPr="005A55DD">
              <w:rPr>
                <w:color w:val="auto"/>
                <w:szCs w:val="18"/>
              </w:rPr>
              <w:t>The adoption of international industry leading technology has allowed Qantas to gain improved insight into its operations and more easily identify and track efficiency opportunities. Through the partnership, GE is providing access to its Fuel Management product offering, which includes world-class operational efficiency data analytics and process improvement capabilities.</w:t>
            </w:r>
          </w:p>
          <w:p w:rsidR="00355A77" w:rsidRPr="005A55DD" w:rsidRDefault="00355A77" w:rsidP="008D067E">
            <w:pPr>
              <w:keepNext/>
              <w:keepLines/>
              <w:spacing w:before="0" w:after="120"/>
              <w:outlineLvl w:val="3"/>
              <w:rPr>
                <w:rFonts w:eastAsiaTheme="majorEastAsia" w:cstheme="majorBidi"/>
                <w:b/>
                <w:bCs/>
                <w:iCs/>
                <w:color w:val="auto"/>
                <w:sz w:val="20"/>
              </w:rPr>
            </w:pPr>
            <w:r w:rsidRPr="005A55DD">
              <w:rPr>
                <w:rFonts w:eastAsiaTheme="majorEastAsia" w:cstheme="majorBidi"/>
                <w:b/>
                <w:bCs/>
                <w:iCs/>
                <w:color w:val="auto"/>
                <w:sz w:val="20"/>
              </w:rPr>
              <w:t xml:space="preserve">Benefits are already being realised  </w:t>
            </w:r>
          </w:p>
          <w:p w:rsidR="00355A77" w:rsidRPr="005A55DD" w:rsidRDefault="00355A77" w:rsidP="008D067E">
            <w:pPr>
              <w:spacing w:before="0" w:after="120"/>
              <w:rPr>
                <w:color w:val="auto"/>
                <w:szCs w:val="18"/>
              </w:rPr>
            </w:pPr>
            <w:r w:rsidRPr="005A55DD">
              <w:rPr>
                <w:color w:val="auto"/>
                <w:szCs w:val="18"/>
              </w:rPr>
              <w:t>Qantas is already recognising the benefits of these industry leading measures, such as improvements to advanced navigation techniques, including Required Navigation Performance and User Preferred Routing which continues to be rolled out across the Qantas network. Qantas has increased the utilisation of available procedures which has resulted in total emissions savings of over 13 KtCO</w:t>
            </w:r>
            <w:r w:rsidRPr="005A55DD">
              <w:rPr>
                <w:color w:val="auto"/>
                <w:szCs w:val="18"/>
                <w:vertAlign w:val="subscript"/>
              </w:rPr>
              <w:t>2</w:t>
            </w:r>
            <w:r w:rsidRPr="005A55DD">
              <w:rPr>
                <w:color w:val="auto"/>
                <w:szCs w:val="18"/>
              </w:rPr>
              <w:t>e</w:t>
            </w:r>
            <w:r w:rsidRPr="005A55DD">
              <w:rPr>
                <w:color w:val="auto"/>
                <w:vertAlign w:val="superscript"/>
              </w:rPr>
              <w:footnoteReference w:id="13"/>
            </w:r>
            <w:r w:rsidRPr="005A55DD">
              <w:rPr>
                <w:color w:val="auto"/>
                <w:szCs w:val="18"/>
              </w:rPr>
              <w:t xml:space="preserve"> annually with a less than one year payback; making business sense to reduce emissions.</w:t>
            </w:r>
          </w:p>
          <w:p w:rsidR="00355A77" w:rsidRPr="005A55DD" w:rsidRDefault="00355A77" w:rsidP="008D067E">
            <w:pPr>
              <w:spacing w:before="0" w:after="120"/>
              <w:rPr>
                <w:color w:val="auto"/>
                <w:szCs w:val="18"/>
              </w:rPr>
            </w:pPr>
            <w:r w:rsidRPr="005A55DD">
              <w:rPr>
                <w:color w:val="auto"/>
                <w:szCs w:val="18"/>
              </w:rPr>
              <w:t xml:space="preserve">The partnership with the University of Sydney has also influenced improvements in the technical performance of aircraft. </w:t>
            </w:r>
            <w:r w:rsidR="007E3509">
              <w:rPr>
                <w:color w:val="auto"/>
                <w:szCs w:val="18"/>
              </w:rPr>
              <w:t xml:space="preserve">For </w:t>
            </w:r>
            <w:r w:rsidRPr="005A55DD">
              <w:rPr>
                <w:color w:val="auto"/>
                <w:szCs w:val="18"/>
              </w:rPr>
              <w:t>example, improving engine performance by lowering Exhaust Gas Temperature (EGT) through engine compressor wash activities has led to an annual emissions reduction of 55.6 ktCO</w:t>
            </w:r>
            <w:r w:rsidRPr="005A55DD">
              <w:rPr>
                <w:color w:val="auto"/>
                <w:szCs w:val="18"/>
                <w:vertAlign w:val="subscript"/>
              </w:rPr>
              <w:t>2</w:t>
            </w:r>
            <w:r w:rsidRPr="005A55DD">
              <w:rPr>
                <w:color w:val="auto"/>
                <w:szCs w:val="18"/>
              </w:rPr>
              <w:t>e</w:t>
            </w:r>
            <w:r w:rsidRPr="005A55DD">
              <w:rPr>
                <w:color w:val="auto"/>
                <w:vertAlign w:val="superscript"/>
              </w:rPr>
              <w:footnoteReference w:id="14"/>
            </w:r>
            <w:r w:rsidRPr="005A55DD">
              <w:rPr>
                <w:color w:val="auto"/>
                <w:szCs w:val="18"/>
                <w:vertAlign w:val="superscript"/>
              </w:rPr>
              <w:t xml:space="preserve"> </w:t>
            </w:r>
            <w:r w:rsidRPr="005A55DD">
              <w:rPr>
                <w:color w:val="auto"/>
                <w:szCs w:val="18"/>
              </w:rPr>
              <w:t>solely from reduction in aviation fuel use, and once again, with less than one year payback.</w:t>
            </w:r>
          </w:p>
          <w:p w:rsidR="00355A77" w:rsidRPr="005A55DD" w:rsidRDefault="00355A77" w:rsidP="008D067E">
            <w:pPr>
              <w:keepNext/>
              <w:keepLines/>
              <w:spacing w:before="0" w:after="120"/>
              <w:outlineLvl w:val="3"/>
              <w:rPr>
                <w:rFonts w:eastAsiaTheme="majorEastAsia" w:cstheme="majorBidi"/>
                <w:b/>
                <w:bCs/>
                <w:iCs/>
                <w:color w:val="auto"/>
                <w:sz w:val="20"/>
              </w:rPr>
            </w:pPr>
            <w:r w:rsidRPr="005A55DD">
              <w:rPr>
                <w:rFonts w:eastAsiaTheme="majorEastAsia" w:cstheme="majorBidi"/>
                <w:b/>
                <w:bCs/>
                <w:iCs/>
                <w:color w:val="auto"/>
                <w:sz w:val="20"/>
              </w:rPr>
              <w:t>How Australia can learn from this?</w:t>
            </w:r>
          </w:p>
          <w:p w:rsidR="00355A77" w:rsidRPr="005A55DD" w:rsidRDefault="00355A77" w:rsidP="008D067E">
            <w:pPr>
              <w:spacing w:before="0" w:after="120"/>
              <w:rPr>
                <w:color w:val="auto"/>
                <w:szCs w:val="18"/>
              </w:rPr>
            </w:pPr>
            <w:r w:rsidRPr="005A55DD">
              <w:rPr>
                <w:color w:val="auto"/>
                <w:szCs w:val="18"/>
              </w:rPr>
              <w:t>Civil aviation, as an industry, is projected to continue to grow strongly out to 2030, with 279 million passengers expected to pass through Australian airports in 2030</w:t>
            </w:r>
            <w:r w:rsidRPr="005A55DD">
              <w:rPr>
                <w:color w:val="auto"/>
                <w:szCs w:val="18"/>
                <w:vertAlign w:val="superscript"/>
              </w:rPr>
              <w:footnoteReference w:id="15"/>
            </w:r>
            <w:r w:rsidRPr="005A55DD">
              <w:rPr>
                <w:color w:val="auto"/>
                <w:szCs w:val="18"/>
              </w:rPr>
              <w:t xml:space="preserve">. In the near term, fuel consumption will be dominated by traditional aviation fuel, as the </w:t>
            </w:r>
            <w:proofErr w:type="spellStart"/>
            <w:r w:rsidRPr="005A55DD">
              <w:rPr>
                <w:color w:val="auto"/>
                <w:szCs w:val="18"/>
              </w:rPr>
              <w:t>biofuel</w:t>
            </w:r>
            <w:proofErr w:type="spellEnd"/>
            <w:r w:rsidRPr="005A55DD">
              <w:rPr>
                <w:color w:val="auto"/>
                <w:szCs w:val="18"/>
              </w:rPr>
              <w:t xml:space="preserve"> market evolves – switching to lower emission fuel sources will be constrained by the advances made in the </w:t>
            </w:r>
            <w:proofErr w:type="spellStart"/>
            <w:r w:rsidRPr="005A55DD">
              <w:rPr>
                <w:color w:val="auto"/>
                <w:szCs w:val="18"/>
              </w:rPr>
              <w:t>biofuel</w:t>
            </w:r>
            <w:proofErr w:type="spellEnd"/>
            <w:r w:rsidRPr="005A55DD">
              <w:rPr>
                <w:color w:val="auto"/>
                <w:szCs w:val="18"/>
              </w:rPr>
              <w:t xml:space="preserve"> aviation market. In order to ensure that emissions do not grow comparatively with the projected increase in civil aviation, consistent innovation and improvements in aircraft performance and efficiency will be vital. Tailoring aviation fuel consumption at a flight specific level reduces fuel waste and emissions, while reducing operational costs.</w:t>
            </w:r>
          </w:p>
          <w:p w:rsidR="00355A77" w:rsidRPr="005A55DD" w:rsidRDefault="00355A77" w:rsidP="008D067E">
            <w:pPr>
              <w:spacing w:before="0" w:after="120"/>
              <w:jc w:val="center"/>
              <w:rPr>
                <w:color w:val="auto"/>
              </w:rPr>
            </w:pPr>
            <w:r w:rsidRPr="005A55DD">
              <w:rPr>
                <w:noProof/>
                <w:color w:val="auto"/>
                <w:lang w:eastAsia="en-AU"/>
              </w:rPr>
              <w:drawing>
                <wp:inline distT="0" distB="0" distL="0" distR="0">
                  <wp:extent cx="2761909" cy="1952756"/>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61909" cy="1952756"/>
                          </a:xfrm>
                          <a:prstGeom prst="rect">
                            <a:avLst/>
                          </a:prstGeom>
                        </pic:spPr>
                      </pic:pic>
                    </a:graphicData>
                  </a:graphic>
                </wp:inline>
              </w:drawing>
            </w:r>
          </w:p>
        </w:tc>
      </w:tr>
    </w:tbl>
    <w:p w:rsidR="00355A77" w:rsidRPr="00355A77" w:rsidRDefault="00642AA1" w:rsidP="00355A77">
      <w:pPr>
        <w:keepNext/>
        <w:keepLines/>
        <w:pageBreakBefore/>
        <w:spacing w:after="480" w:line="580" w:lineRule="atLeast"/>
        <w:outlineLvl w:val="0"/>
        <w:rPr>
          <w:rFonts w:eastAsiaTheme="majorEastAsia" w:cstheme="majorBidi"/>
          <w:b/>
          <w:bCs/>
          <w:color w:val="F48024" w:themeColor="accent1"/>
          <w:sz w:val="48"/>
          <w:szCs w:val="28"/>
        </w:rPr>
      </w:pPr>
      <w:bookmarkStart w:id="19" w:name="_Toc448928210"/>
      <w:bookmarkStart w:id="20" w:name="_Toc450150316"/>
      <w:r>
        <w:rPr>
          <w:rFonts w:eastAsiaTheme="majorEastAsia" w:cstheme="majorBidi"/>
          <w:b/>
          <w:bCs/>
          <w:color w:val="F48024" w:themeColor="accent1"/>
          <w:sz w:val="48"/>
          <w:szCs w:val="28"/>
        </w:rPr>
        <w:lastRenderedPageBreak/>
        <w:t xml:space="preserve">About </w:t>
      </w:r>
      <w:proofErr w:type="spellStart"/>
      <w:r>
        <w:rPr>
          <w:rFonts w:eastAsiaTheme="majorEastAsia" w:cstheme="majorBidi"/>
          <w:b/>
          <w:bCs/>
          <w:color w:val="F48024" w:themeColor="accent1"/>
          <w:sz w:val="48"/>
          <w:szCs w:val="28"/>
        </w:rPr>
        <w:t>Energetics</w:t>
      </w:r>
      <w:bookmarkEnd w:id="19"/>
      <w:bookmarkEnd w:id="20"/>
      <w:proofErr w:type="spellEnd"/>
    </w:p>
    <w:p w:rsidR="00642AA1" w:rsidRPr="005A55DD" w:rsidRDefault="00642AA1" w:rsidP="008D067E">
      <w:pPr>
        <w:keepNext/>
        <w:keepLines/>
        <w:spacing w:before="720" w:after="0"/>
        <w:outlineLvl w:val="2"/>
        <w:rPr>
          <w:rFonts w:eastAsiaTheme="majorEastAsia" w:cstheme="majorBidi"/>
          <w:b/>
          <w:bCs/>
          <w:color w:val="auto"/>
          <w:sz w:val="20"/>
          <w:szCs w:val="20"/>
        </w:rPr>
      </w:pPr>
      <w:bookmarkStart w:id="21" w:name="_Toc448928211"/>
      <w:bookmarkStart w:id="22" w:name="_Toc436646647"/>
      <w:r w:rsidRPr="005A55DD">
        <w:rPr>
          <w:rFonts w:eastAsiaTheme="majorEastAsia" w:cstheme="majorBidi"/>
          <w:b/>
          <w:bCs/>
          <w:color w:val="auto"/>
          <w:sz w:val="20"/>
          <w:szCs w:val="20"/>
        </w:rPr>
        <w:t xml:space="preserve">We’re more than carbon neutral. Sustainability is core to </w:t>
      </w:r>
      <w:proofErr w:type="spellStart"/>
      <w:r w:rsidRPr="005A55DD">
        <w:rPr>
          <w:rFonts w:eastAsiaTheme="majorEastAsia" w:cstheme="majorBidi"/>
          <w:b/>
          <w:bCs/>
          <w:color w:val="auto"/>
          <w:sz w:val="20"/>
          <w:szCs w:val="20"/>
        </w:rPr>
        <w:t>Energetics</w:t>
      </w:r>
      <w:proofErr w:type="spellEnd"/>
      <w:r w:rsidRPr="005A55DD">
        <w:rPr>
          <w:rFonts w:eastAsiaTheme="majorEastAsia" w:cstheme="majorBidi"/>
          <w:b/>
          <w:bCs/>
          <w:color w:val="auto"/>
          <w:sz w:val="20"/>
          <w:szCs w:val="20"/>
        </w:rPr>
        <w:t>’ business.</w:t>
      </w:r>
      <w:bookmarkEnd w:id="21"/>
    </w:p>
    <w:p w:rsidR="00642AA1" w:rsidRPr="005A55DD" w:rsidRDefault="00642AA1" w:rsidP="00892623">
      <w:pPr>
        <w:spacing w:before="240"/>
        <w:rPr>
          <w:color w:val="auto"/>
          <w:sz w:val="20"/>
          <w:szCs w:val="20"/>
        </w:rPr>
      </w:pPr>
      <w:r w:rsidRPr="005A55DD">
        <w:rPr>
          <w:color w:val="auto"/>
          <w:sz w:val="20"/>
          <w:szCs w:val="20"/>
        </w:rPr>
        <w:t xml:space="preserve">In June 2008, </w:t>
      </w:r>
      <w:proofErr w:type="spellStart"/>
      <w:r w:rsidRPr="005A55DD">
        <w:rPr>
          <w:color w:val="auto"/>
          <w:sz w:val="20"/>
          <w:szCs w:val="20"/>
        </w:rPr>
        <w:t>Energetics</w:t>
      </w:r>
      <w:proofErr w:type="spellEnd"/>
      <w:r w:rsidRPr="005A55DD">
        <w:rPr>
          <w:color w:val="auto"/>
          <w:sz w:val="20"/>
          <w:szCs w:val="20"/>
        </w:rPr>
        <w:t xml:space="preserve"> became one of Australia’s first consulting firms to achieve carbon neutrality through the Australian Government’s Greenhouse Friendly Program. We offset 100% of the greenhouse gas emissions associated with the complete lifecycle of our services. We were one of the first signatories to join the </w:t>
      </w:r>
      <w:proofErr w:type="spellStart"/>
      <w:r w:rsidRPr="005A55DD">
        <w:rPr>
          <w:color w:val="auto"/>
          <w:sz w:val="20"/>
          <w:szCs w:val="20"/>
        </w:rPr>
        <w:t>CitySwitch</w:t>
      </w:r>
      <w:proofErr w:type="spellEnd"/>
      <w:r w:rsidRPr="005A55DD">
        <w:rPr>
          <w:color w:val="auto"/>
          <w:sz w:val="20"/>
          <w:szCs w:val="20"/>
        </w:rPr>
        <w:t xml:space="preserve"> program, winning Green Office awards in 2010 and 2011 for our Melbourne and Brisbane offices respectively.</w:t>
      </w:r>
    </w:p>
    <w:p w:rsidR="00355A77" w:rsidRDefault="00642AA1" w:rsidP="00E01148">
      <w:pPr>
        <w:rPr>
          <w:color w:val="auto"/>
          <w:sz w:val="20"/>
          <w:szCs w:val="20"/>
        </w:rPr>
      </w:pPr>
      <w:r w:rsidRPr="005A55DD">
        <w:rPr>
          <w:color w:val="auto"/>
          <w:sz w:val="20"/>
          <w:szCs w:val="20"/>
        </w:rPr>
        <w:t>In keeping with our Sustainability Policy, we drive continuous improvement by identifying and implementing internal carbon mitigation, sustainable procurement and behavioural change projects. Being an environmental role model is one of our core business values. Every employee is given two days personal development time to participate in environmental activities within their own community.</w:t>
      </w:r>
    </w:p>
    <w:p w:rsidR="0006056A" w:rsidRPr="0006056A" w:rsidRDefault="0006056A" w:rsidP="0006056A">
      <w:pPr>
        <w:pStyle w:val="Heading2"/>
      </w:pPr>
      <w:bookmarkStart w:id="23" w:name="_Toc450150317"/>
      <w:r w:rsidRPr="0006056A">
        <w:t>Report authors</w:t>
      </w:r>
      <w:bookmarkEnd w:id="23"/>
    </w:p>
    <w:p w:rsidR="0006056A" w:rsidRPr="005A55DD" w:rsidRDefault="0006056A" w:rsidP="0006056A">
      <w:pPr>
        <w:spacing w:after="0"/>
        <w:rPr>
          <w:color w:val="auto"/>
          <w:sz w:val="20"/>
          <w:szCs w:val="20"/>
        </w:rPr>
      </w:pPr>
      <w:r w:rsidRPr="005A55DD">
        <w:rPr>
          <w:color w:val="auto"/>
          <w:sz w:val="20"/>
          <w:szCs w:val="20"/>
        </w:rPr>
        <w:t>This report was prepared for the Department of the Environment by the following authors.</w:t>
      </w:r>
    </w:p>
    <w:p w:rsidR="0006056A" w:rsidRPr="005A55DD" w:rsidRDefault="0006056A" w:rsidP="0006056A">
      <w:pPr>
        <w:spacing w:after="0"/>
        <w:rPr>
          <w:color w:val="auto"/>
          <w:sz w:val="20"/>
          <w:szCs w:val="20"/>
        </w:rPr>
      </w:pPr>
    </w:p>
    <w:p w:rsidR="0006056A" w:rsidRPr="005A55DD" w:rsidRDefault="0006056A" w:rsidP="0006056A">
      <w:pPr>
        <w:spacing w:after="0"/>
        <w:rPr>
          <w:color w:val="auto"/>
          <w:sz w:val="20"/>
          <w:szCs w:val="20"/>
        </w:rPr>
      </w:pPr>
      <w:r w:rsidRPr="005A55DD">
        <w:rPr>
          <w:color w:val="auto"/>
          <w:sz w:val="20"/>
          <w:szCs w:val="20"/>
        </w:rPr>
        <w:t xml:space="preserve">Name: </w:t>
      </w:r>
      <w:r w:rsidRPr="005A55DD">
        <w:rPr>
          <w:color w:val="auto"/>
          <w:sz w:val="20"/>
          <w:szCs w:val="20"/>
        </w:rPr>
        <w:tab/>
      </w:r>
      <w:r>
        <w:rPr>
          <w:color w:val="auto"/>
          <w:sz w:val="20"/>
          <w:szCs w:val="20"/>
        </w:rPr>
        <w:t xml:space="preserve">Dr </w:t>
      </w:r>
      <w:r w:rsidRPr="0006056A">
        <w:rPr>
          <w:color w:val="auto"/>
          <w:sz w:val="20"/>
          <w:szCs w:val="20"/>
        </w:rPr>
        <w:t>Gordon Weiss</w:t>
      </w:r>
    </w:p>
    <w:p w:rsidR="0006056A" w:rsidRPr="0006056A" w:rsidRDefault="0006056A" w:rsidP="0006056A">
      <w:pPr>
        <w:spacing w:after="0"/>
        <w:rPr>
          <w:color w:val="auto"/>
          <w:sz w:val="20"/>
          <w:szCs w:val="20"/>
        </w:rPr>
      </w:pPr>
      <w:r w:rsidRPr="005A55DD">
        <w:rPr>
          <w:color w:val="auto"/>
          <w:sz w:val="20"/>
          <w:szCs w:val="20"/>
        </w:rPr>
        <w:t>Title:</w:t>
      </w:r>
      <w:r w:rsidRPr="0006056A">
        <w:rPr>
          <w:color w:val="auto"/>
          <w:sz w:val="20"/>
          <w:szCs w:val="20"/>
        </w:rPr>
        <w:tab/>
        <w:t>Associate</w:t>
      </w:r>
    </w:p>
    <w:p w:rsidR="0006056A" w:rsidRPr="0006056A" w:rsidRDefault="0006056A" w:rsidP="0006056A">
      <w:pPr>
        <w:spacing w:after="0"/>
        <w:rPr>
          <w:color w:val="auto"/>
          <w:sz w:val="20"/>
          <w:szCs w:val="20"/>
        </w:rPr>
      </w:pPr>
      <w:r w:rsidRPr="0006056A">
        <w:rPr>
          <w:color w:val="auto"/>
          <w:sz w:val="20"/>
          <w:szCs w:val="20"/>
        </w:rPr>
        <w:t>Email:</w:t>
      </w:r>
      <w:r w:rsidRPr="0006056A">
        <w:rPr>
          <w:color w:val="auto"/>
          <w:sz w:val="20"/>
          <w:szCs w:val="20"/>
        </w:rPr>
        <w:tab/>
      </w:r>
      <w:hyperlink r:id="rId24" w:history="1">
        <w:r w:rsidRPr="0006056A">
          <w:rPr>
            <w:rStyle w:val="Hyperlink"/>
            <w:rFonts w:cstheme="minorBidi"/>
            <w:b w:val="0"/>
            <w:color w:val="auto"/>
            <w:sz w:val="20"/>
            <w:szCs w:val="20"/>
          </w:rPr>
          <w:t>Gordon.Weiss@energetics.com.au</w:t>
        </w:r>
      </w:hyperlink>
    </w:p>
    <w:p w:rsidR="0006056A" w:rsidRPr="0006056A" w:rsidRDefault="0006056A" w:rsidP="0006056A">
      <w:pPr>
        <w:rPr>
          <w:color w:val="auto"/>
          <w:sz w:val="20"/>
          <w:szCs w:val="20"/>
        </w:rPr>
      </w:pPr>
    </w:p>
    <w:p w:rsidR="0006056A" w:rsidRPr="0006056A" w:rsidRDefault="0006056A" w:rsidP="0006056A">
      <w:pPr>
        <w:spacing w:after="0"/>
        <w:rPr>
          <w:color w:val="auto"/>
          <w:sz w:val="20"/>
          <w:szCs w:val="20"/>
        </w:rPr>
      </w:pPr>
      <w:r w:rsidRPr="0006056A">
        <w:rPr>
          <w:color w:val="auto"/>
          <w:sz w:val="20"/>
          <w:szCs w:val="20"/>
        </w:rPr>
        <w:t xml:space="preserve">Name: </w:t>
      </w:r>
      <w:r w:rsidRPr="0006056A">
        <w:rPr>
          <w:color w:val="auto"/>
          <w:sz w:val="20"/>
          <w:szCs w:val="20"/>
        </w:rPr>
        <w:tab/>
        <w:t>Emma Fagan</w:t>
      </w:r>
    </w:p>
    <w:p w:rsidR="0006056A" w:rsidRPr="0006056A" w:rsidRDefault="0006056A" w:rsidP="0006056A">
      <w:pPr>
        <w:spacing w:after="0"/>
        <w:rPr>
          <w:color w:val="auto"/>
          <w:sz w:val="20"/>
          <w:szCs w:val="20"/>
        </w:rPr>
      </w:pPr>
      <w:r w:rsidRPr="0006056A">
        <w:rPr>
          <w:color w:val="auto"/>
          <w:sz w:val="20"/>
          <w:szCs w:val="20"/>
        </w:rPr>
        <w:t>Title:</w:t>
      </w:r>
      <w:r w:rsidRPr="0006056A">
        <w:rPr>
          <w:color w:val="auto"/>
          <w:sz w:val="20"/>
          <w:szCs w:val="20"/>
        </w:rPr>
        <w:tab/>
        <w:t>Manager</w:t>
      </w:r>
    </w:p>
    <w:p w:rsidR="0006056A" w:rsidRPr="0006056A" w:rsidRDefault="0006056A" w:rsidP="0006056A">
      <w:pPr>
        <w:spacing w:after="0"/>
        <w:rPr>
          <w:color w:val="auto"/>
          <w:sz w:val="20"/>
          <w:szCs w:val="20"/>
        </w:rPr>
      </w:pPr>
      <w:r w:rsidRPr="0006056A">
        <w:rPr>
          <w:color w:val="auto"/>
          <w:sz w:val="20"/>
          <w:szCs w:val="20"/>
        </w:rPr>
        <w:t>Email:</w:t>
      </w:r>
      <w:r w:rsidRPr="0006056A">
        <w:rPr>
          <w:color w:val="auto"/>
          <w:sz w:val="20"/>
          <w:szCs w:val="20"/>
        </w:rPr>
        <w:tab/>
      </w:r>
      <w:hyperlink r:id="rId25" w:history="1">
        <w:r w:rsidRPr="0006056A">
          <w:rPr>
            <w:rStyle w:val="Hyperlink"/>
            <w:rFonts w:cstheme="minorBidi"/>
            <w:b w:val="0"/>
            <w:color w:val="auto"/>
            <w:sz w:val="20"/>
            <w:szCs w:val="20"/>
          </w:rPr>
          <w:t>Emma.Fagan@energetics.com.au</w:t>
        </w:r>
      </w:hyperlink>
    </w:p>
    <w:p w:rsidR="0006056A" w:rsidRPr="0006056A" w:rsidRDefault="0006056A" w:rsidP="0006056A">
      <w:pPr>
        <w:rPr>
          <w:color w:val="auto"/>
          <w:sz w:val="20"/>
          <w:szCs w:val="20"/>
        </w:rPr>
      </w:pPr>
    </w:p>
    <w:p w:rsidR="0006056A" w:rsidRPr="0006056A" w:rsidRDefault="0006056A" w:rsidP="0006056A">
      <w:pPr>
        <w:spacing w:after="0"/>
        <w:rPr>
          <w:color w:val="auto"/>
          <w:sz w:val="20"/>
          <w:szCs w:val="20"/>
        </w:rPr>
      </w:pPr>
      <w:r w:rsidRPr="0006056A">
        <w:rPr>
          <w:color w:val="auto"/>
          <w:sz w:val="20"/>
          <w:szCs w:val="20"/>
        </w:rPr>
        <w:t xml:space="preserve">Name: </w:t>
      </w:r>
      <w:r w:rsidRPr="0006056A">
        <w:rPr>
          <w:color w:val="auto"/>
          <w:sz w:val="20"/>
          <w:szCs w:val="20"/>
        </w:rPr>
        <w:tab/>
      </w:r>
      <w:r w:rsidR="00C07D5C">
        <w:rPr>
          <w:color w:val="auto"/>
          <w:sz w:val="20"/>
          <w:szCs w:val="20"/>
        </w:rPr>
        <w:t xml:space="preserve">Dr </w:t>
      </w:r>
      <w:r w:rsidRPr="0006056A">
        <w:rPr>
          <w:color w:val="auto"/>
          <w:sz w:val="20"/>
          <w:szCs w:val="20"/>
        </w:rPr>
        <w:t>Peter Holt</w:t>
      </w:r>
    </w:p>
    <w:p w:rsidR="0006056A" w:rsidRPr="0006056A" w:rsidRDefault="0006056A" w:rsidP="0006056A">
      <w:pPr>
        <w:spacing w:after="0"/>
        <w:rPr>
          <w:color w:val="auto"/>
          <w:sz w:val="20"/>
          <w:szCs w:val="20"/>
        </w:rPr>
      </w:pPr>
      <w:r w:rsidRPr="0006056A">
        <w:rPr>
          <w:color w:val="auto"/>
          <w:sz w:val="20"/>
          <w:szCs w:val="20"/>
        </w:rPr>
        <w:t>Title:</w:t>
      </w:r>
      <w:r w:rsidRPr="0006056A">
        <w:rPr>
          <w:color w:val="auto"/>
          <w:sz w:val="20"/>
          <w:szCs w:val="20"/>
        </w:rPr>
        <w:tab/>
        <w:t>Associate</w:t>
      </w:r>
    </w:p>
    <w:p w:rsidR="0006056A" w:rsidRPr="0006056A" w:rsidRDefault="0006056A" w:rsidP="0006056A">
      <w:pPr>
        <w:spacing w:after="0"/>
        <w:rPr>
          <w:color w:val="auto"/>
          <w:sz w:val="20"/>
          <w:szCs w:val="20"/>
        </w:rPr>
      </w:pPr>
      <w:r w:rsidRPr="0006056A">
        <w:rPr>
          <w:color w:val="auto"/>
          <w:sz w:val="20"/>
          <w:szCs w:val="20"/>
        </w:rPr>
        <w:t>Email:</w:t>
      </w:r>
      <w:r w:rsidRPr="0006056A">
        <w:rPr>
          <w:color w:val="auto"/>
          <w:sz w:val="20"/>
          <w:szCs w:val="20"/>
        </w:rPr>
        <w:tab/>
      </w:r>
      <w:hyperlink r:id="rId26" w:history="1">
        <w:r w:rsidRPr="0006056A">
          <w:rPr>
            <w:rStyle w:val="Hyperlink"/>
            <w:rFonts w:cstheme="minorBidi"/>
            <w:b w:val="0"/>
            <w:color w:val="auto"/>
            <w:sz w:val="20"/>
            <w:szCs w:val="20"/>
          </w:rPr>
          <w:t>Peter.Holt@energetics.com.au</w:t>
        </w:r>
      </w:hyperlink>
      <w:r w:rsidRPr="0006056A">
        <w:rPr>
          <w:color w:val="auto"/>
          <w:sz w:val="20"/>
          <w:szCs w:val="20"/>
        </w:rPr>
        <w:t xml:space="preserve"> </w:t>
      </w:r>
    </w:p>
    <w:p w:rsidR="0006056A" w:rsidRPr="0006056A" w:rsidRDefault="0006056A" w:rsidP="0006056A">
      <w:pPr>
        <w:spacing w:after="0"/>
        <w:rPr>
          <w:color w:val="auto"/>
          <w:sz w:val="20"/>
          <w:szCs w:val="20"/>
        </w:rPr>
      </w:pPr>
    </w:p>
    <w:p w:rsidR="0006056A" w:rsidRPr="005A55DD" w:rsidRDefault="0006056A" w:rsidP="0006056A">
      <w:pPr>
        <w:spacing w:after="0"/>
        <w:rPr>
          <w:color w:val="auto"/>
          <w:sz w:val="20"/>
          <w:szCs w:val="20"/>
        </w:rPr>
        <w:sectPr w:rsidR="0006056A" w:rsidRPr="005A55DD" w:rsidSect="00E01148">
          <w:headerReference w:type="even" r:id="rId27"/>
          <w:headerReference w:type="default" r:id="rId28"/>
          <w:footerReference w:type="even" r:id="rId29"/>
          <w:headerReference w:type="first" r:id="rId30"/>
          <w:footerReference w:type="first" r:id="rId31"/>
          <w:type w:val="continuous"/>
          <w:pgSz w:w="11906" w:h="16838" w:code="9"/>
          <w:pgMar w:top="1985" w:right="1474" w:bottom="993" w:left="1701" w:header="794" w:footer="284" w:gutter="0"/>
          <w:pgNumType w:start="0"/>
          <w:cols w:space="708"/>
          <w:docGrid w:linePitch="360"/>
        </w:sectPr>
      </w:pPr>
    </w:p>
    <w:p w:rsidR="0006056A" w:rsidRPr="005A55DD" w:rsidRDefault="0006056A" w:rsidP="00E01148">
      <w:pPr>
        <w:rPr>
          <w:color w:val="auto"/>
          <w:sz w:val="20"/>
          <w:szCs w:val="20"/>
        </w:rPr>
      </w:pPr>
    </w:p>
    <w:p w:rsidR="00E01148" w:rsidRPr="00E01148" w:rsidRDefault="00E01148">
      <w:pPr>
        <w:spacing w:after="200" w:line="276" w:lineRule="auto"/>
        <w:rPr>
          <w:sz w:val="20"/>
          <w:szCs w:val="20"/>
        </w:rPr>
      </w:pPr>
      <w:bookmarkStart w:id="24" w:name="_Toc448928213"/>
      <w:r w:rsidRPr="00E01148">
        <w:rPr>
          <w:sz w:val="20"/>
          <w:szCs w:val="20"/>
        </w:rPr>
        <w:br w:type="page"/>
      </w:r>
    </w:p>
    <w:p w:rsidR="00355A77" w:rsidRPr="00E01148" w:rsidRDefault="00355A77" w:rsidP="00E01148">
      <w:pPr>
        <w:pStyle w:val="Heading1"/>
      </w:pPr>
      <w:bookmarkStart w:id="25" w:name="_Toc450150318"/>
      <w:r w:rsidRPr="00E01148">
        <w:lastRenderedPageBreak/>
        <w:t>Contact details</w:t>
      </w:r>
      <w:bookmarkEnd w:id="22"/>
      <w:bookmarkEnd w:id="24"/>
      <w:bookmarkEnd w:id="25"/>
    </w:p>
    <w:p w:rsidR="00355A77" w:rsidRPr="00E01148" w:rsidRDefault="00355A77" w:rsidP="00E01148">
      <w:pPr>
        <w:rPr>
          <w:color w:val="auto"/>
          <w:sz w:val="44"/>
          <w:szCs w:val="44"/>
        </w:rPr>
      </w:pPr>
      <w:bookmarkStart w:id="26" w:name="_Toc448928214"/>
      <w:proofErr w:type="spellStart"/>
      <w:r w:rsidRPr="00E01148">
        <w:rPr>
          <w:color w:val="auto"/>
          <w:sz w:val="44"/>
          <w:szCs w:val="44"/>
        </w:rPr>
        <w:t>Energetics</w:t>
      </w:r>
      <w:proofErr w:type="spellEnd"/>
      <w:r w:rsidRPr="00E01148">
        <w:rPr>
          <w:color w:val="auto"/>
          <w:sz w:val="44"/>
          <w:szCs w:val="44"/>
        </w:rPr>
        <w:t xml:space="preserve"> is a carbon neutral company</w:t>
      </w:r>
      <w:bookmarkEnd w:id="26"/>
    </w:p>
    <w:p w:rsidR="00355A77" w:rsidRPr="00585032" w:rsidRDefault="00355A77" w:rsidP="00355A77">
      <w:pPr>
        <w:rPr>
          <w:b/>
          <w:color w:val="2F2F30" w:themeColor="text1" w:themeShade="80"/>
        </w:rPr>
      </w:pPr>
      <w:r w:rsidRPr="00585032">
        <w:rPr>
          <w:b/>
          <w:color w:val="2F2F30" w:themeColor="text1" w:themeShade="80"/>
        </w:rPr>
        <w:t>www.energetics.com.au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9"/>
        <w:gridCol w:w="4468"/>
      </w:tblGrid>
      <w:tr w:rsidR="00355A77" w:rsidRPr="00E01148" w:rsidTr="00836F0B">
        <w:tc>
          <w:tcPr>
            <w:tcW w:w="4621" w:type="dxa"/>
          </w:tcPr>
          <w:p w:rsidR="00355A77" w:rsidRPr="00E01148" w:rsidRDefault="00355A77" w:rsidP="00355A77">
            <w:pPr>
              <w:keepNext/>
              <w:keepLines/>
              <w:spacing w:before="340" w:after="0"/>
              <w:outlineLvl w:val="4"/>
              <w:rPr>
                <w:rFonts w:eastAsiaTheme="majorEastAsia" w:cstheme="majorBidi"/>
                <w:b/>
                <w:color w:val="F48024"/>
                <w:sz w:val="20"/>
                <w:szCs w:val="20"/>
              </w:rPr>
            </w:pPr>
            <w:r w:rsidRPr="00E01148">
              <w:rPr>
                <w:rFonts w:eastAsiaTheme="majorEastAsia" w:cstheme="majorBidi"/>
                <w:b/>
                <w:color w:val="F48024"/>
                <w:sz w:val="20"/>
                <w:szCs w:val="20"/>
              </w:rPr>
              <w:t>Brisbane</w:t>
            </w:r>
          </w:p>
          <w:p w:rsidR="00355A77" w:rsidRPr="005A55DD" w:rsidRDefault="00355A77" w:rsidP="00355A77">
            <w:pPr>
              <w:spacing w:after="0"/>
              <w:rPr>
                <w:color w:val="auto"/>
                <w:sz w:val="20"/>
                <w:szCs w:val="20"/>
              </w:rPr>
            </w:pPr>
            <w:r w:rsidRPr="005A55DD">
              <w:rPr>
                <w:color w:val="auto"/>
                <w:sz w:val="20"/>
                <w:szCs w:val="20"/>
              </w:rPr>
              <w:t>Level 12, 410 Queen St, Brisbane Qld 4000</w:t>
            </w:r>
          </w:p>
          <w:p w:rsidR="00355A77" w:rsidRPr="005A55DD" w:rsidRDefault="00355A77" w:rsidP="00355A77">
            <w:pPr>
              <w:spacing w:after="0"/>
              <w:rPr>
                <w:color w:val="auto"/>
                <w:sz w:val="20"/>
                <w:szCs w:val="20"/>
              </w:rPr>
            </w:pPr>
            <w:r w:rsidRPr="005A55DD">
              <w:rPr>
                <w:color w:val="auto"/>
                <w:sz w:val="20"/>
                <w:szCs w:val="20"/>
              </w:rPr>
              <w:t>Ph: +61 7 3230 8800</w:t>
            </w:r>
          </w:p>
          <w:p w:rsidR="00355A77" w:rsidRPr="00E01148" w:rsidRDefault="00355A77" w:rsidP="00355A77">
            <w:pPr>
              <w:spacing w:after="0"/>
              <w:rPr>
                <w:sz w:val="20"/>
                <w:szCs w:val="20"/>
              </w:rPr>
            </w:pPr>
            <w:r w:rsidRPr="005A55DD">
              <w:rPr>
                <w:color w:val="auto"/>
                <w:sz w:val="20"/>
                <w:szCs w:val="20"/>
              </w:rPr>
              <w:t>Fax: +61 2 9929 3922</w:t>
            </w:r>
          </w:p>
        </w:tc>
        <w:tc>
          <w:tcPr>
            <w:tcW w:w="4621" w:type="dxa"/>
          </w:tcPr>
          <w:p w:rsidR="00355A77" w:rsidRPr="00E01148" w:rsidRDefault="00355A77" w:rsidP="00355A77">
            <w:pPr>
              <w:keepNext/>
              <w:keepLines/>
              <w:spacing w:before="340" w:after="0"/>
              <w:outlineLvl w:val="4"/>
              <w:rPr>
                <w:rFonts w:eastAsiaTheme="majorEastAsia" w:cstheme="majorBidi"/>
                <w:b/>
                <w:color w:val="F48024"/>
                <w:sz w:val="20"/>
                <w:szCs w:val="20"/>
              </w:rPr>
            </w:pPr>
            <w:r w:rsidRPr="00E01148">
              <w:rPr>
                <w:rFonts w:eastAsiaTheme="majorEastAsia" w:cstheme="majorBidi"/>
                <w:b/>
                <w:color w:val="F48024"/>
                <w:sz w:val="20"/>
                <w:szCs w:val="20"/>
              </w:rPr>
              <w:t>Perth</w:t>
            </w:r>
          </w:p>
          <w:p w:rsidR="00355A77" w:rsidRPr="005A55DD" w:rsidRDefault="00355A77" w:rsidP="00355A77">
            <w:pPr>
              <w:spacing w:after="0"/>
              <w:rPr>
                <w:color w:val="auto"/>
                <w:sz w:val="20"/>
                <w:szCs w:val="20"/>
              </w:rPr>
            </w:pPr>
            <w:r w:rsidRPr="005A55DD">
              <w:rPr>
                <w:color w:val="auto"/>
                <w:sz w:val="20"/>
                <w:szCs w:val="20"/>
              </w:rPr>
              <w:t xml:space="preserve">Level 3, 182 St Georges </w:t>
            </w:r>
            <w:proofErr w:type="spellStart"/>
            <w:r w:rsidRPr="005A55DD">
              <w:rPr>
                <w:color w:val="auto"/>
                <w:sz w:val="20"/>
                <w:szCs w:val="20"/>
              </w:rPr>
              <w:t>Tce</w:t>
            </w:r>
            <w:proofErr w:type="spellEnd"/>
            <w:r w:rsidRPr="005A55DD">
              <w:rPr>
                <w:color w:val="auto"/>
                <w:sz w:val="20"/>
                <w:szCs w:val="20"/>
              </w:rPr>
              <w:t>, Perth WA 6000</w:t>
            </w:r>
          </w:p>
          <w:p w:rsidR="00355A77" w:rsidRPr="005A55DD" w:rsidRDefault="00355A77" w:rsidP="00355A77">
            <w:pPr>
              <w:spacing w:after="0"/>
              <w:rPr>
                <w:color w:val="auto"/>
                <w:sz w:val="20"/>
                <w:szCs w:val="20"/>
              </w:rPr>
            </w:pPr>
            <w:r w:rsidRPr="005A55DD">
              <w:rPr>
                <w:color w:val="auto"/>
                <w:sz w:val="20"/>
                <w:szCs w:val="20"/>
              </w:rPr>
              <w:t>Ph: +61 8 9429 6400</w:t>
            </w:r>
          </w:p>
          <w:p w:rsidR="00355A77" w:rsidRPr="00E01148" w:rsidRDefault="00355A77" w:rsidP="00355A77">
            <w:pPr>
              <w:spacing w:after="0"/>
              <w:rPr>
                <w:sz w:val="20"/>
                <w:szCs w:val="20"/>
              </w:rPr>
            </w:pPr>
            <w:r w:rsidRPr="005A55DD">
              <w:rPr>
                <w:color w:val="auto"/>
                <w:sz w:val="20"/>
                <w:szCs w:val="20"/>
              </w:rPr>
              <w:t>Fax: +61 2 9929 3922</w:t>
            </w:r>
          </w:p>
        </w:tc>
      </w:tr>
      <w:tr w:rsidR="00355A77" w:rsidRPr="00E01148" w:rsidTr="00836F0B">
        <w:tc>
          <w:tcPr>
            <w:tcW w:w="4621" w:type="dxa"/>
          </w:tcPr>
          <w:p w:rsidR="00355A77" w:rsidRPr="00E01148" w:rsidRDefault="00355A77" w:rsidP="00355A77">
            <w:pPr>
              <w:keepNext/>
              <w:keepLines/>
              <w:spacing w:before="340" w:after="0"/>
              <w:outlineLvl w:val="4"/>
              <w:rPr>
                <w:rFonts w:eastAsiaTheme="majorEastAsia" w:cstheme="majorBidi"/>
                <w:b/>
                <w:color w:val="F48024"/>
                <w:sz w:val="20"/>
                <w:szCs w:val="20"/>
              </w:rPr>
            </w:pPr>
            <w:r w:rsidRPr="00E01148">
              <w:rPr>
                <w:rFonts w:eastAsiaTheme="majorEastAsia" w:cstheme="majorBidi"/>
                <w:b/>
                <w:color w:val="F48024"/>
                <w:sz w:val="20"/>
                <w:szCs w:val="20"/>
              </w:rPr>
              <w:t>Melbourne</w:t>
            </w:r>
          </w:p>
          <w:p w:rsidR="00355A77" w:rsidRPr="005A55DD" w:rsidRDefault="00355A77" w:rsidP="00355A77">
            <w:pPr>
              <w:spacing w:after="0"/>
              <w:rPr>
                <w:color w:val="auto"/>
                <w:sz w:val="20"/>
                <w:szCs w:val="20"/>
              </w:rPr>
            </w:pPr>
            <w:r w:rsidRPr="005A55DD">
              <w:rPr>
                <w:color w:val="auto"/>
                <w:sz w:val="20"/>
                <w:szCs w:val="20"/>
              </w:rPr>
              <w:t>Level 6, 34 Queen St, Melbourne VIC 3000</w:t>
            </w:r>
          </w:p>
          <w:p w:rsidR="00355A77" w:rsidRPr="005A55DD" w:rsidRDefault="00355A77" w:rsidP="00355A77">
            <w:pPr>
              <w:spacing w:after="0"/>
              <w:rPr>
                <w:color w:val="auto"/>
                <w:sz w:val="20"/>
                <w:szCs w:val="20"/>
              </w:rPr>
            </w:pPr>
            <w:r w:rsidRPr="005A55DD">
              <w:rPr>
                <w:color w:val="auto"/>
                <w:sz w:val="20"/>
                <w:szCs w:val="20"/>
              </w:rPr>
              <w:t>PO Box 652, CSW Melbourne VIC 8007</w:t>
            </w:r>
          </w:p>
          <w:p w:rsidR="00355A77" w:rsidRPr="005A55DD" w:rsidRDefault="00355A77" w:rsidP="00355A77">
            <w:pPr>
              <w:spacing w:after="0"/>
              <w:rPr>
                <w:color w:val="auto"/>
                <w:sz w:val="20"/>
                <w:szCs w:val="20"/>
              </w:rPr>
            </w:pPr>
            <w:r w:rsidRPr="005A55DD">
              <w:rPr>
                <w:color w:val="auto"/>
                <w:sz w:val="20"/>
                <w:szCs w:val="20"/>
              </w:rPr>
              <w:t>Ph: +61 3 9691 5500</w:t>
            </w:r>
          </w:p>
          <w:p w:rsidR="00355A77" w:rsidRPr="00E01148" w:rsidRDefault="00355A77" w:rsidP="00355A77">
            <w:pPr>
              <w:spacing w:after="0"/>
              <w:rPr>
                <w:sz w:val="20"/>
                <w:szCs w:val="20"/>
              </w:rPr>
            </w:pPr>
            <w:r w:rsidRPr="005A55DD">
              <w:rPr>
                <w:color w:val="auto"/>
                <w:sz w:val="20"/>
                <w:szCs w:val="20"/>
              </w:rPr>
              <w:t>Fax: +61 2 9929 3922</w:t>
            </w:r>
          </w:p>
        </w:tc>
        <w:tc>
          <w:tcPr>
            <w:tcW w:w="4621" w:type="dxa"/>
          </w:tcPr>
          <w:p w:rsidR="00355A77" w:rsidRPr="00E01148" w:rsidRDefault="00355A77" w:rsidP="00355A77">
            <w:pPr>
              <w:keepNext/>
              <w:keepLines/>
              <w:spacing w:before="340" w:after="0"/>
              <w:outlineLvl w:val="4"/>
              <w:rPr>
                <w:rFonts w:eastAsiaTheme="majorEastAsia" w:cstheme="majorBidi"/>
                <w:b/>
                <w:color w:val="F48024"/>
                <w:sz w:val="20"/>
                <w:szCs w:val="20"/>
              </w:rPr>
            </w:pPr>
            <w:r w:rsidRPr="00E01148">
              <w:rPr>
                <w:rFonts w:eastAsiaTheme="majorEastAsia" w:cstheme="majorBidi"/>
                <w:b/>
                <w:color w:val="F48024"/>
                <w:sz w:val="20"/>
                <w:szCs w:val="20"/>
              </w:rPr>
              <w:t>Sydney</w:t>
            </w:r>
          </w:p>
          <w:p w:rsidR="00355A77" w:rsidRPr="005A55DD" w:rsidRDefault="00355A77" w:rsidP="00355A77">
            <w:pPr>
              <w:spacing w:after="0"/>
              <w:rPr>
                <w:color w:val="auto"/>
                <w:sz w:val="20"/>
                <w:szCs w:val="20"/>
              </w:rPr>
            </w:pPr>
            <w:r w:rsidRPr="005A55DD">
              <w:rPr>
                <w:color w:val="auto"/>
                <w:sz w:val="20"/>
                <w:szCs w:val="20"/>
              </w:rPr>
              <w:t>Level 7, 132 Arthur St, North Sydney NSW 2060</w:t>
            </w:r>
          </w:p>
          <w:p w:rsidR="00355A77" w:rsidRPr="005A55DD" w:rsidRDefault="00355A77" w:rsidP="00355A77">
            <w:pPr>
              <w:spacing w:after="0"/>
              <w:rPr>
                <w:color w:val="auto"/>
                <w:sz w:val="20"/>
                <w:szCs w:val="20"/>
              </w:rPr>
            </w:pPr>
            <w:r w:rsidRPr="005A55DD">
              <w:rPr>
                <w:color w:val="auto"/>
                <w:sz w:val="20"/>
                <w:szCs w:val="20"/>
              </w:rPr>
              <w:t>PO Box 294 North Sydney NSW 2059</w:t>
            </w:r>
          </w:p>
          <w:p w:rsidR="00355A77" w:rsidRPr="005A55DD" w:rsidRDefault="00355A77" w:rsidP="00355A77">
            <w:pPr>
              <w:spacing w:after="0"/>
              <w:rPr>
                <w:color w:val="auto"/>
                <w:sz w:val="20"/>
                <w:szCs w:val="20"/>
              </w:rPr>
            </w:pPr>
            <w:r w:rsidRPr="005A55DD">
              <w:rPr>
                <w:color w:val="auto"/>
                <w:sz w:val="20"/>
                <w:szCs w:val="20"/>
              </w:rPr>
              <w:t>Ph: +61 2 9929 3911</w:t>
            </w:r>
          </w:p>
          <w:p w:rsidR="00355A77" w:rsidRPr="00E01148" w:rsidRDefault="00355A77" w:rsidP="00355A77">
            <w:pPr>
              <w:spacing w:after="0"/>
              <w:rPr>
                <w:sz w:val="20"/>
                <w:szCs w:val="20"/>
              </w:rPr>
            </w:pPr>
            <w:r w:rsidRPr="005A55DD">
              <w:rPr>
                <w:color w:val="auto"/>
                <w:sz w:val="20"/>
                <w:szCs w:val="20"/>
              </w:rPr>
              <w:t>Fax: +61 2 9929 3922</w:t>
            </w:r>
          </w:p>
        </w:tc>
      </w:tr>
      <w:tr w:rsidR="00355A77" w:rsidRPr="00E01148" w:rsidTr="00585032">
        <w:trPr>
          <w:trHeight w:val="612"/>
        </w:trPr>
        <w:tc>
          <w:tcPr>
            <w:tcW w:w="4621" w:type="dxa"/>
          </w:tcPr>
          <w:p w:rsidR="00355A77" w:rsidRPr="00E01148" w:rsidRDefault="00355A77" w:rsidP="00355A77">
            <w:pPr>
              <w:spacing w:after="0"/>
              <w:rPr>
                <w:sz w:val="20"/>
                <w:szCs w:val="20"/>
              </w:rPr>
            </w:pPr>
          </w:p>
          <w:p w:rsidR="00355A77" w:rsidRPr="005A55DD" w:rsidRDefault="00355A77" w:rsidP="00355A77">
            <w:pPr>
              <w:spacing w:after="0"/>
              <w:rPr>
                <w:color w:val="auto"/>
                <w:sz w:val="20"/>
                <w:szCs w:val="20"/>
              </w:rPr>
            </w:pPr>
            <w:proofErr w:type="spellStart"/>
            <w:r w:rsidRPr="005A55DD">
              <w:rPr>
                <w:color w:val="auto"/>
                <w:sz w:val="20"/>
                <w:szCs w:val="20"/>
              </w:rPr>
              <w:t>abn</w:t>
            </w:r>
            <w:proofErr w:type="spellEnd"/>
            <w:r w:rsidRPr="005A55DD">
              <w:rPr>
                <w:color w:val="auto"/>
                <w:sz w:val="20"/>
                <w:szCs w:val="20"/>
              </w:rPr>
              <w:t xml:space="preserve"> 67 001 204 039</w:t>
            </w:r>
          </w:p>
          <w:p w:rsidR="00355A77" w:rsidRPr="005A55DD" w:rsidRDefault="00355A77" w:rsidP="00355A77">
            <w:pPr>
              <w:spacing w:after="0"/>
              <w:rPr>
                <w:color w:val="auto"/>
                <w:sz w:val="20"/>
                <w:szCs w:val="20"/>
              </w:rPr>
            </w:pPr>
            <w:proofErr w:type="spellStart"/>
            <w:r w:rsidRPr="005A55DD">
              <w:rPr>
                <w:color w:val="auto"/>
                <w:sz w:val="20"/>
                <w:szCs w:val="20"/>
              </w:rPr>
              <w:t>acn</w:t>
            </w:r>
            <w:proofErr w:type="spellEnd"/>
            <w:r w:rsidRPr="005A55DD">
              <w:rPr>
                <w:color w:val="auto"/>
                <w:sz w:val="20"/>
                <w:szCs w:val="20"/>
              </w:rPr>
              <w:t xml:space="preserve"> 001 204 039</w:t>
            </w:r>
          </w:p>
          <w:p w:rsidR="00355A77" w:rsidRPr="00E01148" w:rsidRDefault="00355A77" w:rsidP="00355A77">
            <w:pPr>
              <w:spacing w:after="0"/>
              <w:rPr>
                <w:sz w:val="20"/>
                <w:szCs w:val="20"/>
              </w:rPr>
            </w:pPr>
            <w:proofErr w:type="spellStart"/>
            <w:r w:rsidRPr="005A55DD">
              <w:rPr>
                <w:color w:val="auto"/>
                <w:sz w:val="20"/>
                <w:szCs w:val="20"/>
              </w:rPr>
              <w:t>afsl</w:t>
            </w:r>
            <w:proofErr w:type="spellEnd"/>
            <w:r w:rsidRPr="005A55DD">
              <w:rPr>
                <w:color w:val="auto"/>
                <w:sz w:val="20"/>
                <w:szCs w:val="20"/>
              </w:rPr>
              <w:t xml:space="preserve"> 329935</w:t>
            </w:r>
          </w:p>
        </w:tc>
        <w:tc>
          <w:tcPr>
            <w:tcW w:w="4621" w:type="dxa"/>
          </w:tcPr>
          <w:p w:rsidR="00355A77" w:rsidRPr="00E01148" w:rsidRDefault="00355A77" w:rsidP="00355A77">
            <w:pPr>
              <w:spacing w:after="0"/>
              <w:rPr>
                <w:sz w:val="20"/>
                <w:szCs w:val="20"/>
              </w:rPr>
            </w:pPr>
          </w:p>
        </w:tc>
      </w:tr>
    </w:tbl>
    <w:p w:rsidR="00355A77" w:rsidRPr="00355A77" w:rsidRDefault="00355A77" w:rsidP="00355A77"/>
    <w:p w:rsidR="001C2F53" w:rsidRPr="001C2F53" w:rsidRDefault="00355A77" w:rsidP="00355A77">
      <w:pPr>
        <w:jc w:val="center"/>
        <w:rPr>
          <w:rFonts w:ascii="ArialMT" w:hAnsi="ArialMT" w:cs="ArialMT"/>
          <w:color w:val="262626"/>
          <w:sz w:val="14"/>
          <w:szCs w:val="14"/>
        </w:rPr>
      </w:pPr>
      <w:r w:rsidRPr="00355A77">
        <w:rPr>
          <w:noProof/>
          <w:lang w:eastAsia="en-AU"/>
        </w:rPr>
        <w:drawing>
          <wp:inline distT="0" distB="0" distL="0" distR="0">
            <wp:extent cx="3514725" cy="3162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14725" cy="3162300"/>
                    </a:xfrm>
                    <a:prstGeom prst="rect">
                      <a:avLst/>
                    </a:prstGeom>
                  </pic:spPr>
                </pic:pic>
              </a:graphicData>
            </a:graphic>
          </wp:inline>
        </w:drawing>
      </w:r>
    </w:p>
    <w:sectPr w:rsidR="001C2F53" w:rsidRPr="001C2F53" w:rsidSect="00D176C6">
      <w:headerReference w:type="even" r:id="rId33"/>
      <w:headerReference w:type="default" r:id="rId34"/>
      <w:footerReference w:type="even" r:id="rId35"/>
      <w:headerReference w:type="first" r:id="rId36"/>
      <w:footerReference w:type="first" r:id="rId37"/>
      <w:type w:val="continuous"/>
      <w:pgSz w:w="11906" w:h="16838" w:code="9"/>
      <w:pgMar w:top="1985" w:right="1474" w:bottom="1134" w:left="1701" w:header="79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77" w:rsidRDefault="00355A77" w:rsidP="000A1485">
      <w:pPr>
        <w:spacing w:after="0" w:line="240" w:lineRule="auto"/>
      </w:pPr>
      <w:r>
        <w:separator/>
      </w:r>
    </w:p>
  </w:endnote>
  <w:endnote w:type="continuationSeparator" w:id="0">
    <w:p w:rsidR="00355A77" w:rsidRDefault="00355A77" w:rsidP="000A1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 STKaiti">
    <w:altName w:val="MS Mincho"/>
    <w:charset w:val="86"/>
    <w:family w:val="auto"/>
    <w:pitch w:val="variable"/>
    <w:sig w:usb0="00000000" w:usb1="080F0000" w:usb2="00000010" w:usb3="00000000" w:csb0="0004009F" w:csb1="00000000"/>
  </w:font>
  <w:font w:name="MS Shell Dlg 2">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Pr="009D7B8F" w:rsidRDefault="00E148C2">
    <w:pPr>
      <w:pStyle w:val="Footer"/>
      <w:rPr>
        <w:rFonts w:ascii="MS Shell Dlg 2" w:hAnsi="MS Shell Dlg 2" w:cs="MS Shell Dlg 2"/>
        <w:i w:val="0"/>
        <w:sz w:val="17"/>
        <w:szCs w:val="17"/>
      </w:rPr>
    </w:pPr>
    <w:sdt>
      <w:sdtPr>
        <w:rPr>
          <w:i w:val="0"/>
        </w:rPr>
        <w:alias w:val="Document Reference"/>
        <w:tag w:val="EPL_doc_reference"/>
        <w:id w:val="-2041124396"/>
        <w:lock w:val="sdtContentLocked"/>
        <w:text/>
      </w:sdtPr>
      <w:sdtContent>
        <w:r w:rsidR="00355A77">
          <w:rPr>
            <w:i w:val="0"/>
          </w:rPr>
          <w:t xml:space="preserve"> </w:t>
        </w:r>
      </w:sdtContent>
    </w:sdt>
    <w:r w:rsidRPr="009D7B8F">
      <w:rPr>
        <w:i w:val="0"/>
      </w:rPr>
      <w:fldChar w:fldCharType="begin"/>
    </w:r>
    <w:r w:rsidR="009726D3" w:rsidRPr="009D7B8F">
      <w:rPr>
        <w:i w:val="0"/>
      </w:rPr>
      <w:instrText xml:space="preserve"> PAGE   \* MERGEFORMAT </w:instrText>
    </w:r>
    <w:r w:rsidRPr="009D7B8F">
      <w:rPr>
        <w:i w:val="0"/>
      </w:rPr>
      <w:fldChar w:fldCharType="separate"/>
    </w:r>
    <w:r w:rsidR="001967F8">
      <w:rPr>
        <w:i w:val="0"/>
        <w:noProof/>
      </w:rPr>
      <w:t>6</w:t>
    </w:r>
    <w:r w:rsidRPr="009D7B8F">
      <w:rPr>
        <w:i w:val="0"/>
      </w:rPr>
      <w:fldChar w:fldCharType="end"/>
    </w:r>
    <w:r w:rsidR="009726D3" w:rsidRPr="009D7B8F">
      <w:rPr>
        <w:i w:val="0"/>
      </w:rPr>
      <w:tab/>
    </w:r>
    <w:r w:rsidR="00E01148">
      <w:rPr>
        <w:i w:val="0"/>
      </w:rPr>
      <w:ptab w:relativeTo="margin" w:alignment="right" w:leader="none"/>
    </w:r>
    <w:r w:rsidR="009726D3" w:rsidRPr="009D7B8F">
      <w:rPr>
        <w:i w:val="0"/>
      </w:rPr>
      <w:t xml:space="preserve">© </w:t>
    </w:r>
    <w:proofErr w:type="spellStart"/>
    <w:r w:rsidR="009726D3" w:rsidRPr="009D7B8F">
      <w:rPr>
        <w:i w:val="0"/>
      </w:rPr>
      <w:t>Energetics</w:t>
    </w:r>
    <w:proofErr w:type="spellEnd"/>
    <w:r w:rsidR="009726D3" w:rsidRPr="009D7B8F">
      <w:rPr>
        <w:i w:val="0"/>
      </w:rPr>
      <w:t xml:space="preserve"> Pty Ltd </w:t>
    </w:r>
    <w:r w:rsidRPr="009D7B8F">
      <w:rPr>
        <w:i w:val="0"/>
      </w:rPr>
      <w:fldChar w:fldCharType="begin"/>
    </w:r>
    <w:r w:rsidR="009726D3" w:rsidRPr="009D7B8F">
      <w:rPr>
        <w:i w:val="0"/>
      </w:rPr>
      <w:instrText xml:space="preserve"> DATE  \@ "yyyy"</w:instrText>
    </w:r>
    <w:r w:rsidRPr="009D7B8F">
      <w:rPr>
        <w:i w:val="0"/>
      </w:rPr>
      <w:fldChar w:fldCharType="separate"/>
    </w:r>
    <w:r w:rsidR="008E5E97">
      <w:rPr>
        <w:i w:val="0"/>
        <w:noProof/>
      </w:rPr>
      <w:t>2016</w:t>
    </w:r>
    <w:r w:rsidRPr="009D7B8F">
      <w:rPr>
        <w:i w:val="0"/>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6A" w:rsidRDefault="00060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6A" w:rsidRDefault="000605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77" w:rsidRDefault="00355A7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77" w:rsidRDefault="00355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77" w:rsidRDefault="00355A77" w:rsidP="000A1485">
      <w:pPr>
        <w:spacing w:after="0" w:line="240" w:lineRule="auto"/>
      </w:pPr>
      <w:r>
        <w:separator/>
      </w:r>
    </w:p>
  </w:footnote>
  <w:footnote w:type="continuationSeparator" w:id="0">
    <w:p w:rsidR="00355A77" w:rsidRDefault="00355A77" w:rsidP="000A1485">
      <w:pPr>
        <w:spacing w:after="0" w:line="240" w:lineRule="auto"/>
      </w:pPr>
      <w:r>
        <w:continuationSeparator/>
      </w:r>
    </w:p>
  </w:footnote>
  <w:footnote w:id="1">
    <w:p w:rsidR="000356C2" w:rsidRPr="005A55DD" w:rsidRDefault="000356C2" w:rsidP="000356C2">
      <w:pPr>
        <w:pStyle w:val="FootnoteText"/>
        <w:rPr>
          <w:sz w:val="14"/>
        </w:rPr>
      </w:pPr>
      <w:r w:rsidRPr="005A55DD">
        <w:rPr>
          <w:rStyle w:val="FootnoteReference"/>
          <w:sz w:val="14"/>
        </w:rPr>
        <w:footnoteRef/>
      </w:r>
      <w:r w:rsidRPr="005A55DD">
        <w:rPr>
          <w:sz w:val="14"/>
        </w:rPr>
        <w:t xml:space="preserve"> Land use, land use change and forestry</w:t>
      </w:r>
    </w:p>
  </w:footnote>
  <w:footnote w:id="2">
    <w:p w:rsidR="000356C2" w:rsidRPr="005A55DD" w:rsidRDefault="000356C2" w:rsidP="000356C2">
      <w:pPr>
        <w:pStyle w:val="FootnoteText"/>
      </w:pPr>
      <w:r w:rsidRPr="005A55DD">
        <w:rPr>
          <w:rStyle w:val="FootnoteReference"/>
          <w:sz w:val="14"/>
        </w:rPr>
        <w:footnoteRef/>
      </w:r>
      <w:r w:rsidRPr="005A55DD">
        <w:rPr>
          <w:sz w:val="14"/>
        </w:rPr>
        <w:t xml:space="preserve"> This figure excluded the years 2013 and 2014 when the carbon tax was in operation.</w:t>
      </w:r>
    </w:p>
  </w:footnote>
  <w:footnote w:id="3">
    <w:p w:rsidR="00355A77" w:rsidRPr="005A55DD" w:rsidRDefault="00355A77" w:rsidP="00355A77">
      <w:pPr>
        <w:pStyle w:val="FootnoteText"/>
        <w:rPr>
          <w:color w:val="auto"/>
          <w:sz w:val="14"/>
        </w:rPr>
      </w:pPr>
      <w:r w:rsidRPr="005A55DD">
        <w:rPr>
          <w:rStyle w:val="FootnoteReference"/>
          <w:color w:val="auto"/>
          <w:sz w:val="14"/>
        </w:rPr>
        <w:footnoteRef/>
      </w:r>
      <w:r w:rsidRPr="005A55DD">
        <w:rPr>
          <w:color w:val="auto"/>
          <w:sz w:val="14"/>
        </w:rPr>
        <w:t xml:space="preserve"> IPCC AR5, “WGIII - Chapter 9 Buildings”, available at http://www.ipcc.ch/pdf/assessment-report/ar5/wg3/ipcc_wg3_ar5_chapter9.pdf</w:t>
      </w:r>
    </w:p>
  </w:footnote>
  <w:footnote w:id="4">
    <w:p w:rsidR="00355A77" w:rsidRPr="005A55DD" w:rsidRDefault="00355A77" w:rsidP="00355A77">
      <w:pPr>
        <w:pStyle w:val="FootnoteText"/>
        <w:rPr>
          <w:color w:val="auto"/>
        </w:rPr>
      </w:pPr>
      <w:r w:rsidRPr="005A55DD">
        <w:rPr>
          <w:rStyle w:val="FootnoteReference"/>
          <w:color w:val="auto"/>
          <w:sz w:val="14"/>
        </w:rPr>
        <w:footnoteRef/>
      </w:r>
      <w:r w:rsidRPr="005A55DD">
        <w:rPr>
          <w:color w:val="auto"/>
          <w:sz w:val="14"/>
        </w:rPr>
        <w:t xml:space="preserve"> Overseas Development Institute  (2015) ‘Climate Financ</w:t>
      </w:r>
      <w:r w:rsidR="007E3509">
        <w:rPr>
          <w:color w:val="auto"/>
          <w:sz w:val="14"/>
        </w:rPr>
        <w:t>e for Cities’ Working Paper 419’</w:t>
      </w:r>
      <w:r w:rsidRPr="005A55DD">
        <w:rPr>
          <w:color w:val="auto"/>
          <w:sz w:val="14"/>
        </w:rPr>
        <w:t xml:space="preserve"> available at http://www.odi.org/sites/odi.org.uk/files/odi-assets/publications-opinion-files/9660.pdf</w:t>
      </w:r>
    </w:p>
  </w:footnote>
  <w:footnote w:id="5">
    <w:p w:rsidR="00355A77" w:rsidRPr="005A55DD" w:rsidRDefault="00355A77" w:rsidP="00355A77">
      <w:pPr>
        <w:pStyle w:val="FootnoteText"/>
        <w:rPr>
          <w:color w:val="auto"/>
          <w:sz w:val="14"/>
        </w:rPr>
      </w:pPr>
      <w:r w:rsidRPr="005A55DD">
        <w:rPr>
          <w:rStyle w:val="FootnoteReference"/>
          <w:color w:val="auto"/>
          <w:sz w:val="14"/>
        </w:rPr>
        <w:footnoteRef/>
      </w:r>
      <w:r w:rsidRPr="005A55DD">
        <w:rPr>
          <w:color w:val="auto"/>
          <w:sz w:val="14"/>
        </w:rPr>
        <w:t xml:space="preserve"> Based on NGER reported data and </w:t>
      </w:r>
      <w:proofErr w:type="spellStart"/>
      <w:r w:rsidRPr="005A55DD">
        <w:rPr>
          <w:color w:val="auto"/>
          <w:sz w:val="14"/>
        </w:rPr>
        <w:t>Energetics</w:t>
      </w:r>
      <w:proofErr w:type="spellEnd"/>
      <w:r w:rsidRPr="005A55DD">
        <w:rPr>
          <w:color w:val="auto"/>
          <w:sz w:val="14"/>
        </w:rPr>
        <w:t xml:space="preserve"> classification of Industry classifications into the Commercial Buildings sector.</w:t>
      </w:r>
    </w:p>
  </w:footnote>
  <w:footnote w:id="6">
    <w:p w:rsidR="00A149C8" w:rsidRPr="005A55DD" w:rsidRDefault="00A149C8" w:rsidP="00A149C8">
      <w:pPr>
        <w:pStyle w:val="FootnoteText"/>
        <w:rPr>
          <w:color w:val="auto"/>
        </w:rPr>
      </w:pPr>
      <w:r w:rsidRPr="005A55DD">
        <w:rPr>
          <w:rStyle w:val="FootnoteReference"/>
          <w:color w:val="auto"/>
          <w:sz w:val="14"/>
        </w:rPr>
        <w:footnoteRef/>
      </w:r>
      <w:r w:rsidRPr="005A55DD">
        <w:rPr>
          <w:color w:val="auto"/>
          <w:sz w:val="14"/>
        </w:rPr>
        <w:t xml:space="preserve"> Calculated using the NEM emissions factor, refer National Greenhouse Accounts Factors – August 2015, table 5(b)</w:t>
      </w:r>
    </w:p>
  </w:footnote>
  <w:footnote w:id="7">
    <w:p w:rsidR="00355A77" w:rsidRPr="005A55DD" w:rsidRDefault="00355A77" w:rsidP="00355A77">
      <w:pPr>
        <w:pStyle w:val="FootnoteText"/>
        <w:rPr>
          <w:color w:val="auto"/>
          <w:sz w:val="14"/>
        </w:rPr>
      </w:pPr>
      <w:r w:rsidRPr="005A55DD">
        <w:rPr>
          <w:rStyle w:val="FootnoteReference"/>
          <w:color w:val="auto"/>
          <w:sz w:val="14"/>
        </w:rPr>
        <w:footnoteRef/>
      </w:r>
      <w:r w:rsidRPr="005A55DD">
        <w:rPr>
          <w:color w:val="auto"/>
          <w:sz w:val="14"/>
        </w:rPr>
        <w:t xml:space="preserve"> Clean Energy Regulator, ‘Greenhouse and energy information 2014-15</w:t>
      </w:r>
      <w:r w:rsidR="007E3509">
        <w:rPr>
          <w:color w:val="auto"/>
          <w:sz w:val="14"/>
        </w:rPr>
        <w:t>’</w:t>
      </w:r>
    </w:p>
  </w:footnote>
  <w:footnote w:id="8">
    <w:p w:rsidR="00355A77" w:rsidRPr="005A55DD" w:rsidRDefault="00355A77" w:rsidP="00355A77">
      <w:pPr>
        <w:pStyle w:val="FootnoteText"/>
        <w:rPr>
          <w:color w:val="auto"/>
          <w:sz w:val="14"/>
        </w:rPr>
      </w:pPr>
      <w:r w:rsidRPr="005A55DD">
        <w:rPr>
          <w:rStyle w:val="FootnoteReference"/>
          <w:color w:val="auto"/>
          <w:sz w:val="14"/>
        </w:rPr>
        <w:footnoteRef/>
      </w:r>
      <w:r w:rsidRPr="005A55DD">
        <w:rPr>
          <w:color w:val="auto"/>
          <w:sz w:val="14"/>
        </w:rPr>
        <w:t xml:space="preserve"> Scope 1 emissions relate to emissions arising directly from sources that are controlled by a particular entity. In aviation, this includes the burning of aviation fuel for domestic and international flights.</w:t>
      </w:r>
    </w:p>
  </w:footnote>
  <w:footnote w:id="9">
    <w:p w:rsidR="00355A77" w:rsidRPr="005A55DD" w:rsidRDefault="00355A77" w:rsidP="00355A77">
      <w:pPr>
        <w:pStyle w:val="FootnoteText"/>
        <w:rPr>
          <w:color w:val="auto"/>
          <w:sz w:val="14"/>
        </w:rPr>
      </w:pPr>
      <w:r w:rsidRPr="005A55DD">
        <w:rPr>
          <w:rStyle w:val="FootnoteReference"/>
          <w:color w:val="auto"/>
          <w:sz w:val="14"/>
        </w:rPr>
        <w:footnoteRef/>
      </w:r>
      <w:r w:rsidRPr="005A55DD">
        <w:rPr>
          <w:color w:val="auto"/>
          <w:sz w:val="14"/>
        </w:rPr>
        <w:t xml:space="preserve"> Qantas 2015 CDP Climate Change Response, available at https://www.cdp.net/en-US/Pages/HomePage.aspx</w:t>
      </w:r>
    </w:p>
  </w:footnote>
  <w:footnote w:id="10">
    <w:p w:rsidR="00355A77" w:rsidRPr="005A55DD" w:rsidRDefault="00355A77" w:rsidP="00355A77">
      <w:pPr>
        <w:pStyle w:val="FootnoteText"/>
        <w:rPr>
          <w:color w:val="auto"/>
          <w:sz w:val="14"/>
          <w:szCs w:val="14"/>
        </w:rPr>
      </w:pPr>
      <w:r w:rsidRPr="005A55DD">
        <w:rPr>
          <w:rStyle w:val="FootnoteReference"/>
          <w:color w:val="auto"/>
          <w:sz w:val="14"/>
        </w:rPr>
        <w:footnoteRef/>
      </w:r>
      <w:r w:rsidRPr="005A55DD">
        <w:rPr>
          <w:color w:val="auto"/>
          <w:sz w:val="14"/>
        </w:rPr>
        <w:t xml:space="preserve"> Qantas, ‘Our commitment to environmental sustainability’, available at https://www.qantas.com.au/infodetail/about/environment/our-</w:t>
      </w:r>
      <w:r w:rsidRPr="005A55DD">
        <w:rPr>
          <w:color w:val="auto"/>
          <w:sz w:val="14"/>
          <w:szCs w:val="14"/>
        </w:rPr>
        <w:t>commitment-to-environmental-sustainability.pdf</w:t>
      </w:r>
    </w:p>
  </w:footnote>
  <w:footnote w:id="11">
    <w:p w:rsidR="00355A77" w:rsidRPr="005A55DD" w:rsidRDefault="00355A77" w:rsidP="00355A77">
      <w:pPr>
        <w:pStyle w:val="FootnoteText"/>
        <w:rPr>
          <w:color w:val="auto"/>
        </w:rPr>
      </w:pPr>
      <w:r w:rsidRPr="005A55DD">
        <w:rPr>
          <w:rStyle w:val="FootnoteReference"/>
          <w:color w:val="auto"/>
          <w:sz w:val="14"/>
          <w:szCs w:val="14"/>
        </w:rPr>
        <w:footnoteRef/>
      </w:r>
      <w:r w:rsidRPr="005A55DD">
        <w:rPr>
          <w:color w:val="auto"/>
          <w:sz w:val="14"/>
          <w:szCs w:val="14"/>
        </w:rPr>
        <w:t xml:space="preserve"> University of Sydney, “New partnership with Qantas will mean smarter flying”, available at http://sydney.edu.au/news/84.html?newsstoryid=10122</w:t>
      </w:r>
    </w:p>
  </w:footnote>
  <w:footnote w:id="12">
    <w:p w:rsidR="00355A77" w:rsidRPr="005A55DD" w:rsidRDefault="00355A77" w:rsidP="00355A77">
      <w:pPr>
        <w:pStyle w:val="FootnoteText"/>
        <w:rPr>
          <w:color w:val="auto"/>
          <w:sz w:val="14"/>
          <w:szCs w:val="14"/>
        </w:rPr>
      </w:pPr>
      <w:r w:rsidRPr="005A55DD">
        <w:rPr>
          <w:color w:val="auto"/>
          <w:sz w:val="14"/>
          <w:szCs w:val="14"/>
          <w:vertAlign w:val="superscript"/>
        </w:rPr>
        <w:footnoteRef/>
      </w:r>
      <w:r w:rsidRPr="005A55DD">
        <w:rPr>
          <w:color w:val="auto"/>
          <w:sz w:val="14"/>
          <w:szCs w:val="14"/>
        </w:rPr>
        <w:t xml:space="preserve"> Aviation Business, “Qantas takes more services from GE”, available at http://www.aviationbusiness.com.au/news/qantas-takes-more-services-from-ge</w:t>
      </w:r>
    </w:p>
  </w:footnote>
  <w:footnote w:id="13">
    <w:p w:rsidR="00355A77" w:rsidRPr="005A55DD" w:rsidRDefault="00355A77" w:rsidP="00355A77">
      <w:pPr>
        <w:pStyle w:val="FootnoteText"/>
        <w:rPr>
          <w:color w:val="auto"/>
          <w:sz w:val="14"/>
          <w:szCs w:val="14"/>
        </w:rPr>
      </w:pPr>
      <w:r w:rsidRPr="005A55DD">
        <w:rPr>
          <w:color w:val="auto"/>
          <w:sz w:val="14"/>
          <w:szCs w:val="14"/>
          <w:vertAlign w:val="superscript"/>
        </w:rPr>
        <w:footnoteRef/>
      </w:r>
      <w:r w:rsidRPr="005A55DD">
        <w:rPr>
          <w:color w:val="auto"/>
          <w:sz w:val="14"/>
          <w:szCs w:val="14"/>
        </w:rPr>
        <w:t xml:space="preserve"> Qantas 2015 CDP Climate Change Response</w:t>
      </w:r>
    </w:p>
  </w:footnote>
  <w:footnote w:id="14">
    <w:p w:rsidR="00355A77" w:rsidRPr="005A55DD" w:rsidRDefault="00355A77" w:rsidP="00355A77">
      <w:pPr>
        <w:pStyle w:val="FootnoteText"/>
        <w:rPr>
          <w:color w:val="auto"/>
          <w:sz w:val="14"/>
          <w:szCs w:val="14"/>
        </w:rPr>
      </w:pPr>
      <w:r w:rsidRPr="005A55DD">
        <w:rPr>
          <w:color w:val="auto"/>
          <w:sz w:val="14"/>
          <w:szCs w:val="14"/>
          <w:vertAlign w:val="superscript"/>
        </w:rPr>
        <w:footnoteRef/>
      </w:r>
      <w:r w:rsidRPr="005A55DD">
        <w:rPr>
          <w:color w:val="auto"/>
          <w:sz w:val="14"/>
          <w:szCs w:val="14"/>
        </w:rPr>
        <w:t xml:space="preserve"> ibid</w:t>
      </w:r>
    </w:p>
  </w:footnote>
  <w:footnote w:id="15">
    <w:p w:rsidR="00355A77" w:rsidRPr="005A55DD" w:rsidRDefault="00355A77" w:rsidP="00355A77">
      <w:pPr>
        <w:pStyle w:val="FootnoteText"/>
        <w:rPr>
          <w:color w:val="auto"/>
        </w:rPr>
      </w:pPr>
      <w:r w:rsidRPr="005A55DD">
        <w:rPr>
          <w:color w:val="auto"/>
          <w:sz w:val="14"/>
          <w:szCs w:val="14"/>
          <w:vertAlign w:val="superscript"/>
        </w:rPr>
        <w:footnoteRef/>
      </w:r>
      <w:r w:rsidRPr="005A55DD">
        <w:rPr>
          <w:color w:val="auto"/>
          <w:sz w:val="14"/>
          <w:szCs w:val="14"/>
        </w:rPr>
        <w:t xml:space="preserve"> https://bitre.gov.au/publications/2012/files/report_133.pdf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E148C2" w:rsidP="00212D53">
    <w:pPr>
      <w:pStyle w:val="Header"/>
      <w:tabs>
        <w:tab w:val="clear" w:pos="9356"/>
      </w:tabs>
    </w:pPr>
    <w:sdt>
      <w:sdtPr>
        <w:alias w:val="Proposal Title"/>
        <w:tag w:val="EPL_doc_description"/>
        <w:id w:val="1119183791"/>
        <w:lock w:val="sdtContentLocked"/>
        <w:text/>
      </w:sdtPr>
      <w:sdtContent>
        <w:r w:rsidR="00BA059F">
          <w:t xml:space="preserve">Australia's 2030 climate change emissions reduction target – abatement potential </w:t>
        </w:r>
      </w:sdtContent>
    </w:sdt>
    <w:r w:rsidR="009726D3">
      <w:t xml:space="preserve"> </w:t>
    </w:r>
    <w:r>
      <w:fldChar w:fldCharType="begin"/>
    </w:r>
    <w:r w:rsidR="009726D3">
      <w:instrText xml:space="preserve"> STYLEREF  "EPL Proposal Title"  \* MERGEFORMAT </w:instrText>
    </w:r>
    <w:r>
      <w:fldChar w:fldCharType="end"/>
    </w:r>
    <w:r w:rsidR="009726D3">
      <w:rPr>
        <w:lang w:eastAsia="en-AU"/>
      </w:rPr>
      <w:drawing>
        <wp:anchor distT="0" distB="0" distL="114300" distR="114300" simplePos="0" relativeHeight="251660288" behindDoc="0" locked="0" layoutInCell="1" allowOverlap="1">
          <wp:simplePos x="0" y="0"/>
          <wp:positionH relativeFrom="page">
            <wp:posOffset>5596255</wp:posOffset>
          </wp:positionH>
          <wp:positionV relativeFrom="page">
            <wp:posOffset>430385</wp:posOffset>
          </wp:positionV>
          <wp:extent cx="1000800" cy="226800"/>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800" cy="2268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9726D3" w:rsidP="00A86809">
    <w:r>
      <w:rPr>
        <w:noProof/>
        <w:lang w:eastAsia="en-AU"/>
      </w:rPr>
      <w:drawing>
        <wp:anchor distT="0" distB="0" distL="114300" distR="114300" simplePos="0" relativeHeight="251663360" behindDoc="1" locked="0" layoutInCell="1" allowOverlap="1">
          <wp:simplePos x="0" y="0"/>
          <wp:positionH relativeFrom="page">
            <wp:posOffset>2245</wp:posOffset>
          </wp:positionH>
          <wp:positionV relativeFrom="page">
            <wp:posOffset>0</wp:posOffset>
          </wp:positionV>
          <wp:extent cx="7555510" cy="1069200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5510" cy="10692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6A" w:rsidRDefault="0006056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6A" w:rsidRPr="00F70864" w:rsidRDefault="00E148C2" w:rsidP="00212D53">
    <w:pPr>
      <w:pStyle w:val="Header"/>
      <w:tabs>
        <w:tab w:val="clear" w:pos="9356"/>
      </w:tabs>
    </w:pPr>
    <w:sdt>
      <w:sdtPr>
        <w:alias w:val="Proposal Title"/>
        <w:tag w:val="EPL_doc_description"/>
        <w:id w:val="252089989"/>
        <w:lock w:val="contentLocked"/>
        <w:text/>
      </w:sdtPr>
      <w:sdtContent>
        <w:r w:rsidR="00BA059F">
          <w:t xml:space="preserve">Australia's 2030 climate change emissions reduction target – abatement potential </w:t>
        </w:r>
      </w:sdtContent>
    </w:sdt>
    <w:r w:rsidR="0006056A">
      <w:rPr>
        <w:lang w:eastAsia="en-AU"/>
      </w:rPr>
      <w:drawing>
        <wp:anchor distT="0" distB="0" distL="114300" distR="114300" simplePos="0" relativeHeight="251667456" behindDoc="0" locked="0" layoutInCell="1" allowOverlap="1">
          <wp:simplePos x="0" y="0"/>
          <wp:positionH relativeFrom="page">
            <wp:posOffset>5594985</wp:posOffset>
          </wp:positionH>
          <wp:positionV relativeFrom="page">
            <wp:posOffset>428625</wp:posOffset>
          </wp:positionV>
          <wp:extent cx="1000800" cy="226800"/>
          <wp:effectExtent l="0" t="0" r="889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800" cy="22680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6A" w:rsidRDefault="0006056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77" w:rsidRDefault="00355A7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77" w:rsidRPr="00F70864" w:rsidRDefault="00E148C2" w:rsidP="00212D53">
    <w:pPr>
      <w:pStyle w:val="Header"/>
      <w:tabs>
        <w:tab w:val="clear" w:pos="9356"/>
      </w:tabs>
    </w:pPr>
    <w:sdt>
      <w:sdtPr>
        <w:alias w:val="Proposal Title"/>
        <w:tag w:val="EPL_doc_description"/>
        <w:id w:val="1244762595"/>
        <w:lock w:val="contentLocked"/>
        <w:text/>
      </w:sdtPr>
      <w:sdtContent>
        <w:r w:rsidR="00BA059F">
          <w:t xml:space="preserve">Australia's 2030 climate change emissions reduction target – abatement potential </w:t>
        </w:r>
      </w:sdtContent>
    </w:sdt>
    <w:r w:rsidR="00355A77">
      <w:rPr>
        <w:lang w:eastAsia="en-AU"/>
      </w:rPr>
      <w:drawing>
        <wp:anchor distT="0" distB="0" distL="114300" distR="114300" simplePos="0" relativeHeight="251665408" behindDoc="0" locked="0" layoutInCell="1" allowOverlap="1">
          <wp:simplePos x="0" y="0"/>
          <wp:positionH relativeFrom="page">
            <wp:posOffset>5594985</wp:posOffset>
          </wp:positionH>
          <wp:positionV relativeFrom="page">
            <wp:posOffset>428625</wp:posOffset>
          </wp:positionV>
          <wp:extent cx="1000800" cy="226800"/>
          <wp:effectExtent l="0" t="0" r="889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800" cy="226800"/>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77" w:rsidRDefault="00355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C0676C"/>
    <w:lvl w:ilvl="0">
      <w:start w:val="1"/>
      <w:numFmt w:val="decimal"/>
      <w:lvlText w:val="%1."/>
      <w:lvlJc w:val="left"/>
      <w:pPr>
        <w:tabs>
          <w:tab w:val="num" w:pos="1492"/>
        </w:tabs>
        <w:ind w:left="1492" w:hanging="360"/>
      </w:pPr>
    </w:lvl>
  </w:abstractNum>
  <w:abstractNum w:abstractNumId="1">
    <w:nsid w:val="FFFFFF7D"/>
    <w:multiLevelType w:val="singleLevel"/>
    <w:tmpl w:val="5672EFCC"/>
    <w:lvl w:ilvl="0">
      <w:start w:val="1"/>
      <w:numFmt w:val="decimal"/>
      <w:lvlText w:val="%1."/>
      <w:lvlJc w:val="left"/>
      <w:pPr>
        <w:tabs>
          <w:tab w:val="num" w:pos="1209"/>
        </w:tabs>
        <w:ind w:left="1209" w:hanging="360"/>
      </w:pPr>
    </w:lvl>
  </w:abstractNum>
  <w:abstractNum w:abstractNumId="2">
    <w:nsid w:val="FFFFFF7E"/>
    <w:multiLevelType w:val="singleLevel"/>
    <w:tmpl w:val="79320B9A"/>
    <w:lvl w:ilvl="0">
      <w:start w:val="1"/>
      <w:numFmt w:val="decimal"/>
      <w:lvlText w:val="%1."/>
      <w:lvlJc w:val="left"/>
      <w:pPr>
        <w:tabs>
          <w:tab w:val="num" w:pos="926"/>
        </w:tabs>
        <w:ind w:left="926" w:hanging="360"/>
      </w:pPr>
    </w:lvl>
  </w:abstractNum>
  <w:abstractNum w:abstractNumId="3">
    <w:nsid w:val="FFFFFF7F"/>
    <w:multiLevelType w:val="singleLevel"/>
    <w:tmpl w:val="156C4850"/>
    <w:lvl w:ilvl="0">
      <w:start w:val="1"/>
      <w:numFmt w:val="decimal"/>
      <w:lvlText w:val="%1."/>
      <w:lvlJc w:val="left"/>
      <w:pPr>
        <w:tabs>
          <w:tab w:val="num" w:pos="643"/>
        </w:tabs>
        <w:ind w:left="643" w:hanging="360"/>
      </w:pPr>
    </w:lvl>
  </w:abstractNum>
  <w:abstractNum w:abstractNumId="4">
    <w:nsid w:val="FFFFFF80"/>
    <w:multiLevelType w:val="singleLevel"/>
    <w:tmpl w:val="93A22F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28B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7A03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4C6DD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D6C571A"/>
    <w:lvl w:ilvl="0">
      <w:start w:val="1"/>
      <w:numFmt w:val="decimal"/>
      <w:lvlText w:val="%1."/>
      <w:lvlJc w:val="left"/>
      <w:pPr>
        <w:tabs>
          <w:tab w:val="num" w:pos="360"/>
        </w:tabs>
        <w:ind w:left="360" w:hanging="360"/>
      </w:pPr>
    </w:lvl>
  </w:abstractNum>
  <w:abstractNum w:abstractNumId="9">
    <w:nsid w:val="FFFFFF89"/>
    <w:multiLevelType w:val="singleLevel"/>
    <w:tmpl w:val="496C23AC"/>
    <w:lvl w:ilvl="0">
      <w:start w:val="1"/>
      <w:numFmt w:val="bullet"/>
      <w:pStyle w:val="ListBullet"/>
      <w:lvlText w:val=""/>
      <w:lvlJc w:val="left"/>
      <w:pPr>
        <w:tabs>
          <w:tab w:val="num" w:pos="340"/>
        </w:tabs>
        <w:ind w:left="340" w:hanging="340"/>
      </w:pPr>
      <w:rPr>
        <w:rFonts w:ascii="Symbol" w:hAnsi="Symbol" w:hint="default"/>
      </w:rPr>
    </w:lvl>
  </w:abstractNum>
  <w:abstractNum w:abstractNumId="10">
    <w:nsid w:val="015F38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387693"/>
    <w:multiLevelType w:val="multilevel"/>
    <w:tmpl w:val="83EEB3DC"/>
    <w:lvl w:ilvl="0">
      <w:start w:val="1"/>
      <w:numFmt w:val="bullet"/>
      <w:lvlText w:val=""/>
      <w:lvlJc w:val="left"/>
      <w:pPr>
        <w:ind w:left="340" w:hanging="34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2">
    <w:nsid w:val="0EA90EFE"/>
    <w:multiLevelType w:val="hybridMultilevel"/>
    <w:tmpl w:val="84844A66"/>
    <w:lvl w:ilvl="0" w:tplc="14869590">
      <w:start w:val="1"/>
      <w:numFmt w:val="bullet"/>
      <w:lvlText w:val=""/>
      <w:lvlJc w:val="left"/>
      <w:pPr>
        <w:ind w:left="567" w:hanging="283"/>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C21E78"/>
    <w:multiLevelType w:val="hybridMultilevel"/>
    <w:tmpl w:val="851AA24A"/>
    <w:lvl w:ilvl="0" w:tplc="85349E70">
      <w:start w:val="1"/>
      <w:numFmt w:val="bullet"/>
      <w:pStyle w:val="EPLAwardBullet"/>
      <w:lvlText w:val=""/>
      <w:lvlJc w:val="left"/>
      <w:pPr>
        <w:ind w:left="720" w:hanging="360"/>
      </w:pPr>
      <w:rPr>
        <w:rFonts w:ascii="Symbol" w:hAnsi="Symbol" w:hint="default"/>
        <w:color w:val="F480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C46083"/>
    <w:multiLevelType w:val="hybridMultilevel"/>
    <w:tmpl w:val="AB764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7E957DB"/>
    <w:multiLevelType w:val="hybridMultilevel"/>
    <w:tmpl w:val="C7020BB6"/>
    <w:lvl w:ilvl="0" w:tplc="A0DA76D8">
      <w:start w:val="1"/>
      <w:numFmt w:val="decimal"/>
      <w:pStyle w:val="ListParagraph"/>
      <w:lvlText w:val="%1."/>
      <w:lvlJc w:val="left"/>
      <w:pPr>
        <w:tabs>
          <w:tab w:val="num" w:pos="454"/>
        </w:tabs>
        <w:ind w:left="454" w:hanging="45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EEC5FB5"/>
    <w:multiLevelType w:val="hybridMultilevel"/>
    <w:tmpl w:val="C114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FB6916"/>
    <w:multiLevelType w:val="hybridMultilevel"/>
    <w:tmpl w:val="EF7E7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1C5565"/>
    <w:multiLevelType w:val="hybridMultilevel"/>
    <w:tmpl w:val="94982F8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39A07B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8C1858"/>
    <w:multiLevelType w:val="hybridMultilevel"/>
    <w:tmpl w:val="CE92680C"/>
    <w:lvl w:ilvl="0" w:tplc="14869590">
      <w:start w:val="1"/>
      <w:numFmt w:val="bullet"/>
      <w:lvlText w:val=""/>
      <w:lvlJc w:val="left"/>
      <w:pPr>
        <w:ind w:left="284"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2A24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0824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A9642A"/>
    <w:multiLevelType w:val="hybridMultilevel"/>
    <w:tmpl w:val="E7AC5642"/>
    <w:lvl w:ilvl="0" w:tplc="14869590">
      <w:start w:val="1"/>
      <w:numFmt w:val="bullet"/>
      <w:lvlText w:val=""/>
      <w:lvlJc w:val="left"/>
      <w:pPr>
        <w:ind w:left="284"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F84B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394E93"/>
    <w:multiLevelType w:val="hybridMultilevel"/>
    <w:tmpl w:val="2D486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EB7A4B"/>
    <w:multiLevelType w:val="hybridMultilevel"/>
    <w:tmpl w:val="7AEC4002"/>
    <w:lvl w:ilvl="0" w:tplc="F83A8C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D55128"/>
    <w:multiLevelType w:val="hybridMultilevel"/>
    <w:tmpl w:val="7FEC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C762AF"/>
    <w:multiLevelType w:val="hybridMultilevel"/>
    <w:tmpl w:val="AE1A965A"/>
    <w:lvl w:ilvl="0" w:tplc="84CA9E4A">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nsid w:val="6EFD1DBA"/>
    <w:multiLevelType w:val="hybridMultilevel"/>
    <w:tmpl w:val="4876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6D73AA"/>
    <w:multiLevelType w:val="hybridMultilevel"/>
    <w:tmpl w:val="FE7EC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5"/>
  </w:num>
  <w:num w:numId="4">
    <w:abstractNumId w:val="15"/>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15"/>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28"/>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26"/>
  </w:num>
  <w:num w:numId="29">
    <w:abstractNumId w:val="22"/>
  </w:num>
  <w:num w:numId="30">
    <w:abstractNumId w:val="14"/>
  </w:num>
  <w:num w:numId="31">
    <w:abstractNumId w:val="30"/>
  </w:num>
  <w:num w:numId="32">
    <w:abstractNumId w:val="24"/>
  </w:num>
  <w:num w:numId="33">
    <w:abstractNumId w:val="9"/>
    <w:lvlOverride w:ilvl="0">
      <w:startOverride w:val="1"/>
    </w:lvlOverride>
  </w:num>
  <w:num w:numId="34">
    <w:abstractNumId w:val="9"/>
    <w:lvlOverride w:ilvl="0">
      <w:startOverride w:val="1"/>
    </w:lvlOverride>
  </w:num>
  <w:num w:numId="35">
    <w:abstractNumId w:val="10"/>
  </w:num>
  <w:num w:numId="36">
    <w:abstractNumId w:val="20"/>
  </w:num>
  <w:num w:numId="37">
    <w:abstractNumId w:val="12"/>
  </w:num>
  <w:num w:numId="38">
    <w:abstractNumId w:val="23"/>
  </w:num>
  <w:num w:numId="39">
    <w:abstractNumId w:val="18"/>
  </w:num>
  <w:num w:numId="40">
    <w:abstractNumId w:val="29"/>
  </w:num>
  <w:num w:numId="41">
    <w:abstractNumId w:val="1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340"/>
  <w:characterSpacingControl w:val="doNotCompress"/>
  <w:hdrShapeDefaults>
    <o:shapedefaults v:ext="edit" spidmax="53249"/>
  </w:hdrShapeDefaults>
  <w:footnotePr>
    <w:footnote w:id="-1"/>
    <w:footnote w:id="0"/>
  </w:footnotePr>
  <w:endnotePr>
    <w:endnote w:id="-1"/>
    <w:endnote w:id="0"/>
  </w:endnotePr>
  <w:compat/>
  <w:rsids>
    <w:rsidRoot w:val="00355A77"/>
    <w:rsid w:val="0000037C"/>
    <w:rsid w:val="000024B5"/>
    <w:rsid w:val="0000327C"/>
    <w:rsid w:val="000078F6"/>
    <w:rsid w:val="00007FA6"/>
    <w:rsid w:val="00011FA5"/>
    <w:rsid w:val="00014B61"/>
    <w:rsid w:val="000351D7"/>
    <w:rsid w:val="000356C2"/>
    <w:rsid w:val="00037B54"/>
    <w:rsid w:val="0004235D"/>
    <w:rsid w:val="0004540B"/>
    <w:rsid w:val="00047956"/>
    <w:rsid w:val="00053CC1"/>
    <w:rsid w:val="00053F3E"/>
    <w:rsid w:val="0006056A"/>
    <w:rsid w:val="00064BA9"/>
    <w:rsid w:val="0007053E"/>
    <w:rsid w:val="00071E83"/>
    <w:rsid w:val="000747C4"/>
    <w:rsid w:val="00096AA4"/>
    <w:rsid w:val="00097B10"/>
    <w:rsid w:val="000A0C42"/>
    <w:rsid w:val="000A1485"/>
    <w:rsid w:val="000A514F"/>
    <w:rsid w:val="000A7B8E"/>
    <w:rsid w:val="000B65ED"/>
    <w:rsid w:val="000C3933"/>
    <w:rsid w:val="000C4237"/>
    <w:rsid w:val="000D4C39"/>
    <w:rsid w:val="000E2D66"/>
    <w:rsid w:val="000F3C7E"/>
    <w:rsid w:val="000F6B8E"/>
    <w:rsid w:val="000F6CD3"/>
    <w:rsid w:val="00103D93"/>
    <w:rsid w:val="00107489"/>
    <w:rsid w:val="00111FDE"/>
    <w:rsid w:val="00112731"/>
    <w:rsid w:val="00115D50"/>
    <w:rsid w:val="00126B6B"/>
    <w:rsid w:val="00132BA9"/>
    <w:rsid w:val="00132BF4"/>
    <w:rsid w:val="0013453C"/>
    <w:rsid w:val="00135729"/>
    <w:rsid w:val="00136BCC"/>
    <w:rsid w:val="0014458E"/>
    <w:rsid w:val="00151914"/>
    <w:rsid w:val="001536DE"/>
    <w:rsid w:val="00156578"/>
    <w:rsid w:val="00160EBF"/>
    <w:rsid w:val="00161D60"/>
    <w:rsid w:val="00180F42"/>
    <w:rsid w:val="00183656"/>
    <w:rsid w:val="00183A31"/>
    <w:rsid w:val="00187274"/>
    <w:rsid w:val="001902D4"/>
    <w:rsid w:val="001967F8"/>
    <w:rsid w:val="00197F48"/>
    <w:rsid w:val="001A0335"/>
    <w:rsid w:val="001B0C4B"/>
    <w:rsid w:val="001B1622"/>
    <w:rsid w:val="001B1F0F"/>
    <w:rsid w:val="001B4778"/>
    <w:rsid w:val="001B4AB4"/>
    <w:rsid w:val="001B791A"/>
    <w:rsid w:val="001B7EC6"/>
    <w:rsid w:val="001C26F1"/>
    <w:rsid w:val="001C2F53"/>
    <w:rsid w:val="001D33DB"/>
    <w:rsid w:val="001E5359"/>
    <w:rsid w:val="001F0442"/>
    <w:rsid w:val="001F32A9"/>
    <w:rsid w:val="001F5315"/>
    <w:rsid w:val="001F7B5F"/>
    <w:rsid w:val="002009BD"/>
    <w:rsid w:val="002055E3"/>
    <w:rsid w:val="00212D53"/>
    <w:rsid w:val="00220817"/>
    <w:rsid w:val="00223ABA"/>
    <w:rsid w:val="00225147"/>
    <w:rsid w:val="002272A7"/>
    <w:rsid w:val="00230392"/>
    <w:rsid w:val="002313F2"/>
    <w:rsid w:val="002322B3"/>
    <w:rsid w:val="00241CC3"/>
    <w:rsid w:val="002454F2"/>
    <w:rsid w:val="00245B7F"/>
    <w:rsid w:val="00251FD8"/>
    <w:rsid w:val="002573E6"/>
    <w:rsid w:val="002579B1"/>
    <w:rsid w:val="00267E58"/>
    <w:rsid w:val="00270B33"/>
    <w:rsid w:val="00270E9D"/>
    <w:rsid w:val="00274D7E"/>
    <w:rsid w:val="002759AD"/>
    <w:rsid w:val="00281D59"/>
    <w:rsid w:val="002874C1"/>
    <w:rsid w:val="00291FA8"/>
    <w:rsid w:val="002A0423"/>
    <w:rsid w:val="002A6A74"/>
    <w:rsid w:val="002B1503"/>
    <w:rsid w:val="002B3529"/>
    <w:rsid w:val="002B3F7F"/>
    <w:rsid w:val="002B625B"/>
    <w:rsid w:val="002C07E9"/>
    <w:rsid w:val="002C527A"/>
    <w:rsid w:val="002C528A"/>
    <w:rsid w:val="002C7C48"/>
    <w:rsid w:val="002C7D32"/>
    <w:rsid w:val="002E0470"/>
    <w:rsid w:val="002E3122"/>
    <w:rsid w:val="002E353E"/>
    <w:rsid w:val="002F1C74"/>
    <w:rsid w:val="002F7720"/>
    <w:rsid w:val="00304DBC"/>
    <w:rsid w:val="00310FF6"/>
    <w:rsid w:val="00313C14"/>
    <w:rsid w:val="0031510B"/>
    <w:rsid w:val="00320B9F"/>
    <w:rsid w:val="0032410F"/>
    <w:rsid w:val="00337F24"/>
    <w:rsid w:val="00340B49"/>
    <w:rsid w:val="00345352"/>
    <w:rsid w:val="0035042C"/>
    <w:rsid w:val="00355A77"/>
    <w:rsid w:val="003563C3"/>
    <w:rsid w:val="00370328"/>
    <w:rsid w:val="003746C0"/>
    <w:rsid w:val="003750E3"/>
    <w:rsid w:val="00386401"/>
    <w:rsid w:val="003927CE"/>
    <w:rsid w:val="00393E98"/>
    <w:rsid w:val="003952BC"/>
    <w:rsid w:val="003967C3"/>
    <w:rsid w:val="003A3DE6"/>
    <w:rsid w:val="003B2223"/>
    <w:rsid w:val="003B7659"/>
    <w:rsid w:val="003C4697"/>
    <w:rsid w:val="003D0C64"/>
    <w:rsid w:val="003D4E66"/>
    <w:rsid w:val="003D7A5D"/>
    <w:rsid w:val="003E4E83"/>
    <w:rsid w:val="003E5205"/>
    <w:rsid w:val="003E62E9"/>
    <w:rsid w:val="003F31F4"/>
    <w:rsid w:val="003F39E1"/>
    <w:rsid w:val="003F758E"/>
    <w:rsid w:val="00403D4E"/>
    <w:rsid w:val="004074CE"/>
    <w:rsid w:val="00412BA6"/>
    <w:rsid w:val="00422A79"/>
    <w:rsid w:val="004256D7"/>
    <w:rsid w:val="00426C80"/>
    <w:rsid w:val="0043030F"/>
    <w:rsid w:val="00433C3D"/>
    <w:rsid w:val="00436B91"/>
    <w:rsid w:val="00443210"/>
    <w:rsid w:val="004546B9"/>
    <w:rsid w:val="00455C04"/>
    <w:rsid w:val="004571C2"/>
    <w:rsid w:val="00490FBD"/>
    <w:rsid w:val="004910EB"/>
    <w:rsid w:val="0049180F"/>
    <w:rsid w:val="004963BC"/>
    <w:rsid w:val="004A1400"/>
    <w:rsid w:val="004A1AA9"/>
    <w:rsid w:val="004A5625"/>
    <w:rsid w:val="004A7304"/>
    <w:rsid w:val="004B542A"/>
    <w:rsid w:val="004B63A2"/>
    <w:rsid w:val="004B7389"/>
    <w:rsid w:val="004D13CE"/>
    <w:rsid w:val="004D33A7"/>
    <w:rsid w:val="004E17B4"/>
    <w:rsid w:val="004E77EE"/>
    <w:rsid w:val="004F241A"/>
    <w:rsid w:val="004F4272"/>
    <w:rsid w:val="004F4C0E"/>
    <w:rsid w:val="005056B5"/>
    <w:rsid w:val="0051587E"/>
    <w:rsid w:val="00515BCA"/>
    <w:rsid w:val="00515D03"/>
    <w:rsid w:val="0052274A"/>
    <w:rsid w:val="005271C9"/>
    <w:rsid w:val="005330DC"/>
    <w:rsid w:val="00543F9A"/>
    <w:rsid w:val="0055326C"/>
    <w:rsid w:val="00557FE4"/>
    <w:rsid w:val="00560DAC"/>
    <w:rsid w:val="00562D65"/>
    <w:rsid w:val="0056517A"/>
    <w:rsid w:val="00572546"/>
    <w:rsid w:val="00574679"/>
    <w:rsid w:val="005757BE"/>
    <w:rsid w:val="00585032"/>
    <w:rsid w:val="00585DC9"/>
    <w:rsid w:val="00590688"/>
    <w:rsid w:val="005960EF"/>
    <w:rsid w:val="0059678F"/>
    <w:rsid w:val="00596F40"/>
    <w:rsid w:val="00596F53"/>
    <w:rsid w:val="005A1CDE"/>
    <w:rsid w:val="005A1EB4"/>
    <w:rsid w:val="005A55DD"/>
    <w:rsid w:val="005B27F5"/>
    <w:rsid w:val="005B58F7"/>
    <w:rsid w:val="005C1037"/>
    <w:rsid w:val="005C7FB5"/>
    <w:rsid w:val="005D6792"/>
    <w:rsid w:val="005E14C9"/>
    <w:rsid w:val="005F095D"/>
    <w:rsid w:val="006016D4"/>
    <w:rsid w:val="00607D4E"/>
    <w:rsid w:val="00615660"/>
    <w:rsid w:val="00625DCD"/>
    <w:rsid w:val="0063139E"/>
    <w:rsid w:val="006331A1"/>
    <w:rsid w:val="00634115"/>
    <w:rsid w:val="00641A4F"/>
    <w:rsid w:val="00642AA1"/>
    <w:rsid w:val="0065570B"/>
    <w:rsid w:val="00660EE6"/>
    <w:rsid w:val="006642F4"/>
    <w:rsid w:val="006654CB"/>
    <w:rsid w:val="00671ADE"/>
    <w:rsid w:val="0067628A"/>
    <w:rsid w:val="00680723"/>
    <w:rsid w:val="00684485"/>
    <w:rsid w:val="006857FE"/>
    <w:rsid w:val="00685C26"/>
    <w:rsid w:val="00691679"/>
    <w:rsid w:val="00693697"/>
    <w:rsid w:val="00693C37"/>
    <w:rsid w:val="006957B2"/>
    <w:rsid w:val="0069724C"/>
    <w:rsid w:val="006A7229"/>
    <w:rsid w:val="006B3E42"/>
    <w:rsid w:val="006B405A"/>
    <w:rsid w:val="006B431C"/>
    <w:rsid w:val="006B5758"/>
    <w:rsid w:val="006C072E"/>
    <w:rsid w:val="006C4952"/>
    <w:rsid w:val="006E5396"/>
    <w:rsid w:val="006E6A1A"/>
    <w:rsid w:val="006F428C"/>
    <w:rsid w:val="00701770"/>
    <w:rsid w:val="007031F0"/>
    <w:rsid w:val="00703919"/>
    <w:rsid w:val="00706473"/>
    <w:rsid w:val="00712E0C"/>
    <w:rsid w:val="00715674"/>
    <w:rsid w:val="00721080"/>
    <w:rsid w:val="0073006C"/>
    <w:rsid w:val="0073393B"/>
    <w:rsid w:val="00743A0A"/>
    <w:rsid w:val="00745BE9"/>
    <w:rsid w:val="00746B43"/>
    <w:rsid w:val="00753A45"/>
    <w:rsid w:val="00753C40"/>
    <w:rsid w:val="007579C1"/>
    <w:rsid w:val="00763163"/>
    <w:rsid w:val="00773BEE"/>
    <w:rsid w:val="00774011"/>
    <w:rsid w:val="00774AB8"/>
    <w:rsid w:val="00776C17"/>
    <w:rsid w:val="0078159D"/>
    <w:rsid w:val="007815F4"/>
    <w:rsid w:val="00782A00"/>
    <w:rsid w:val="00785D56"/>
    <w:rsid w:val="00792F49"/>
    <w:rsid w:val="00795645"/>
    <w:rsid w:val="007A0C33"/>
    <w:rsid w:val="007B118A"/>
    <w:rsid w:val="007B15CA"/>
    <w:rsid w:val="007B4191"/>
    <w:rsid w:val="007B4892"/>
    <w:rsid w:val="007B5901"/>
    <w:rsid w:val="007B5D9C"/>
    <w:rsid w:val="007C5498"/>
    <w:rsid w:val="007D46BD"/>
    <w:rsid w:val="007D4D7D"/>
    <w:rsid w:val="007D664A"/>
    <w:rsid w:val="007D7537"/>
    <w:rsid w:val="007E2A06"/>
    <w:rsid w:val="007E3509"/>
    <w:rsid w:val="007F1884"/>
    <w:rsid w:val="007F314C"/>
    <w:rsid w:val="007F5B62"/>
    <w:rsid w:val="00802B4D"/>
    <w:rsid w:val="00820166"/>
    <w:rsid w:val="0083104A"/>
    <w:rsid w:val="00836600"/>
    <w:rsid w:val="00841028"/>
    <w:rsid w:val="008646A1"/>
    <w:rsid w:val="008648E2"/>
    <w:rsid w:val="0086607E"/>
    <w:rsid w:val="00871891"/>
    <w:rsid w:val="008818A1"/>
    <w:rsid w:val="008845D6"/>
    <w:rsid w:val="00884C0E"/>
    <w:rsid w:val="0088531D"/>
    <w:rsid w:val="0089203B"/>
    <w:rsid w:val="00892520"/>
    <w:rsid w:val="00892623"/>
    <w:rsid w:val="00896649"/>
    <w:rsid w:val="00896858"/>
    <w:rsid w:val="00897246"/>
    <w:rsid w:val="008C1079"/>
    <w:rsid w:val="008D067E"/>
    <w:rsid w:val="008E5E97"/>
    <w:rsid w:val="008F2AD1"/>
    <w:rsid w:val="00910233"/>
    <w:rsid w:val="009114F3"/>
    <w:rsid w:val="00914EBA"/>
    <w:rsid w:val="009151F6"/>
    <w:rsid w:val="00917457"/>
    <w:rsid w:val="00922690"/>
    <w:rsid w:val="00923D2D"/>
    <w:rsid w:val="00930AA4"/>
    <w:rsid w:val="00931CC5"/>
    <w:rsid w:val="00933CA0"/>
    <w:rsid w:val="009359C9"/>
    <w:rsid w:val="009426CD"/>
    <w:rsid w:val="00945417"/>
    <w:rsid w:val="0094578F"/>
    <w:rsid w:val="00946473"/>
    <w:rsid w:val="00947CA5"/>
    <w:rsid w:val="00955DCA"/>
    <w:rsid w:val="00956ECD"/>
    <w:rsid w:val="00957C34"/>
    <w:rsid w:val="00961630"/>
    <w:rsid w:val="009726D3"/>
    <w:rsid w:val="009728E9"/>
    <w:rsid w:val="00981705"/>
    <w:rsid w:val="00984000"/>
    <w:rsid w:val="009B1313"/>
    <w:rsid w:val="009B3529"/>
    <w:rsid w:val="009B75AD"/>
    <w:rsid w:val="009C0B74"/>
    <w:rsid w:val="009C3E2C"/>
    <w:rsid w:val="009C43DA"/>
    <w:rsid w:val="009D7B8F"/>
    <w:rsid w:val="009F17E0"/>
    <w:rsid w:val="009F1A76"/>
    <w:rsid w:val="009F2451"/>
    <w:rsid w:val="009F602C"/>
    <w:rsid w:val="00A0001A"/>
    <w:rsid w:val="00A13A80"/>
    <w:rsid w:val="00A149C8"/>
    <w:rsid w:val="00A16D09"/>
    <w:rsid w:val="00A24AEA"/>
    <w:rsid w:val="00A25C8A"/>
    <w:rsid w:val="00A4504C"/>
    <w:rsid w:val="00A61796"/>
    <w:rsid w:val="00A620FA"/>
    <w:rsid w:val="00A64624"/>
    <w:rsid w:val="00A6757C"/>
    <w:rsid w:val="00A67A5C"/>
    <w:rsid w:val="00A757CC"/>
    <w:rsid w:val="00A765A0"/>
    <w:rsid w:val="00A8066A"/>
    <w:rsid w:val="00A84C15"/>
    <w:rsid w:val="00A86809"/>
    <w:rsid w:val="00A93179"/>
    <w:rsid w:val="00A95902"/>
    <w:rsid w:val="00AA0DCD"/>
    <w:rsid w:val="00AA3FE5"/>
    <w:rsid w:val="00AB01B5"/>
    <w:rsid w:val="00AB0FFC"/>
    <w:rsid w:val="00AB1D77"/>
    <w:rsid w:val="00AB3965"/>
    <w:rsid w:val="00AC336E"/>
    <w:rsid w:val="00AC3E26"/>
    <w:rsid w:val="00AC7245"/>
    <w:rsid w:val="00AD6E68"/>
    <w:rsid w:val="00AD7572"/>
    <w:rsid w:val="00AE01E1"/>
    <w:rsid w:val="00AF13AA"/>
    <w:rsid w:val="00AF1622"/>
    <w:rsid w:val="00AF236B"/>
    <w:rsid w:val="00AF29B7"/>
    <w:rsid w:val="00AF5612"/>
    <w:rsid w:val="00AF7273"/>
    <w:rsid w:val="00B03F8B"/>
    <w:rsid w:val="00B1571C"/>
    <w:rsid w:val="00B15EDF"/>
    <w:rsid w:val="00B1644B"/>
    <w:rsid w:val="00B21A6D"/>
    <w:rsid w:val="00B257C6"/>
    <w:rsid w:val="00B30140"/>
    <w:rsid w:val="00B30A6B"/>
    <w:rsid w:val="00B32009"/>
    <w:rsid w:val="00B32931"/>
    <w:rsid w:val="00B40F31"/>
    <w:rsid w:val="00B41370"/>
    <w:rsid w:val="00B466D5"/>
    <w:rsid w:val="00B514D1"/>
    <w:rsid w:val="00B53783"/>
    <w:rsid w:val="00B57B4F"/>
    <w:rsid w:val="00B6020C"/>
    <w:rsid w:val="00B64FBE"/>
    <w:rsid w:val="00B65468"/>
    <w:rsid w:val="00B6570C"/>
    <w:rsid w:val="00B6745E"/>
    <w:rsid w:val="00B70875"/>
    <w:rsid w:val="00B81B76"/>
    <w:rsid w:val="00B87394"/>
    <w:rsid w:val="00B8791A"/>
    <w:rsid w:val="00B97B31"/>
    <w:rsid w:val="00BA059F"/>
    <w:rsid w:val="00BC09B6"/>
    <w:rsid w:val="00BC1D22"/>
    <w:rsid w:val="00BC2D80"/>
    <w:rsid w:val="00BC4648"/>
    <w:rsid w:val="00BE6A3F"/>
    <w:rsid w:val="00BF4E83"/>
    <w:rsid w:val="00BF564A"/>
    <w:rsid w:val="00C00FB5"/>
    <w:rsid w:val="00C04859"/>
    <w:rsid w:val="00C05554"/>
    <w:rsid w:val="00C07D5C"/>
    <w:rsid w:val="00C129BE"/>
    <w:rsid w:val="00C16052"/>
    <w:rsid w:val="00C239E3"/>
    <w:rsid w:val="00C24EA5"/>
    <w:rsid w:val="00C34B66"/>
    <w:rsid w:val="00C36A51"/>
    <w:rsid w:val="00C4082B"/>
    <w:rsid w:val="00C40AFA"/>
    <w:rsid w:val="00C441CC"/>
    <w:rsid w:val="00C46961"/>
    <w:rsid w:val="00C611BA"/>
    <w:rsid w:val="00C67AC0"/>
    <w:rsid w:val="00C71847"/>
    <w:rsid w:val="00C77439"/>
    <w:rsid w:val="00C91152"/>
    <w:rsid w:val="00C91B5B"/>
    <w:rsid w:val="00C95A20"/>
    <w:rsid w:val="00CA6BAC"/>
    <w:rsid w:val="00CB73D5"/>
    <w:rsid w:val="00CC24CF"/>
    <w:rsid w:val="00CC64C7"/>
    <w:rsid w:val="00CC7682"/>
    <w:rsid w:val="00CD0BF5"/>
    <w:rsid w:val="00CD0BF9"/>
    <w:rsid w:val="00CD25A3"/>
    <w:rsid w:val="00CD4F1F"/>
    <w:rsid w:val="00CE7E9A"/>
    <w:rsid w:val="00CF09D7"/>
    <w:rsid w:val="00CF5694"/>
    <w:rsid w:val="00D06700"/>
    <w:rsid w:val="00D0740F"/>
    <w:rsid w:val="00D1448C"/>
    <w:rsid w:val="00D154FC"/>
    <w:rsid w:val="00D21CE9"/>
    <w:rsid w:val="00D339EE"/>
    <w:rsid w:val="00D43F15"/>
    <w:rsid w:val="00D6117D"/>
    <w:rsid w:val="00D6156A"/>
    <w:rsid w:val="00D61CF3"/>
    <w:rsid w:val="00D6487A"/>
    <w:rsid w:val="00D72635"/>
    <w:rsid w:val="00D76FBE"/>
    <w:rsid w:val="00D87F5D"/>
    <w:rsid w:val="00D90AFD"/>
    <w:rsid w:val="00D926B6"/>
    <w:rsid w:val="00D93142"/>
    <w:rsid w:val="00DA07F1"/>
    <w:rsid w:val="00DA24CB"/>
    <w:rsid w:val="00DA39C8"/>
    <w:rsid w:val="00DB5AF0"/>
    <w:rsid w:val="00DC5FA1"/>
    <w:rsid w:val="00DC7B2A"/>
    <w:rsid w:val="00DD13CF"/>
    <w:rsid w:val="00DD7D3C"/>
    <w:rsid w:val="00DE3A76"/>
    <w:rsid w:val="00DE5DFB"/>
    <w:rsid w:val="00DE7EEB"/>
    <w:rsid w:val="00DF0B49"/>
    <w:rsid w:val="00DF32D0"/>
    <w:rsid w:val="00DF50F8"/>
    <w:rsid w:val="00E009C4"/>
    <w:rsid w:val="00E01148"/>
    <w:rsid w:val="00E0622C"/>
    <w:rsid w:val="00E07D44"/>
    <w:rsid w:val="00E10302"/>
    <w:rsid w:val="00E11DC3"/>
    <w:rsid w:val="00E148C2"/>
    <w:rsid w:val="00E1540B"/>
    <w:rsid w:val="00E231E1"/>
    <w:rsid w:val="00E27202"/>
    <w:rsid w:val="00E31A01"/>
    <w:rsid w:val="00E32FDF"/>
    <w:rsid w:val="00E33254"/>
    <w:rsid w:val="00E33CD1"/>
    <w:rsid w:val="00E373B2"/>
    <w:rsid w:val="00E37CCA"/>
    <w:rsid w:val="00E44E4F"/>
    <w:rsid w:val="00E51CB7"/>
    <w:rsid w:val="00E524DC"/>
    <w:rsid w:val="00E54630"/>
    <w:rsid w:val="00E6380A"/>
    <w:rsid w:val="00E64A3A"/>
    <w:rsid w:val="00E71733"/>
    <w:rsid w:val="00E7669D"/>
    <w:rsid w:val="00E77339"/>
    <w:rsid w:val="00E776DF"/>
    <w:rsid w:val="00E8210F"/>
    <w:rsid w:val="00E91603"/>
    <w:rsid w:val="00E94202"/>
    <w:rsid w:val="00E94630"/>
    <w:rsid w:val="00E95351"/>
    <w:rsid w:val="00EA31E3"/>
    <w:rsid w:val="00EA6D80"/>
    <w:rsid w:val="00EC6A04"/>
    <w:rsid w:val="00ED2808"/>
    <w:rsid w:val="00ED60C8"/>
    <w:rsid w:val="00EE5919"/>
    <w:rsid w:val="00EE747D"/>
    <w:rsid w:val="00EF2C6D"/>
    <w:rsid w:val="00F02A2C"/>
    <w:rsid w:val="00F11414"/>
    <w:rsid w:val="00F1508C"/>
    <w:rsid w:val="00F2108A"/>
    <w:rsid w:val="00F22FC3"/>
    <w:rsid w:val="00F2348E"/>
    <w:rsid w:val="00F24423"/>
    <w:rsid w:val="00F24432"/>
    <w:rsid w:val="00F24757"/>
    <w:rsid w:val="00F256DE"/>
    <w:rsid w:val="00F2673D"/>
    <w:rsid w:val="00F27261"/>
    <w:rsid w:val="00F30882"/>
    <w:rsid w:val="00F3205B"/>
    <w:rsid w:val="00F34F12"/>
    <w:rsid w:val="00F36078"/>
    <w:rsid w:val="00F41307"/>
    <w:rsid w:val="00F43822"/>
    <w:rsid w:val="00F46447"/>
    <w:rsid w:val="00F477C2"/>
    <w:rsid w:val="00F47807"/>
    <w:rsid w:val="00F50BC2"/>
    <w:rsid w:val="00F53577"/>
    <w:rsid w:val="00F5630A"/>
    <w:rsid w:val="00F5729B"/>
    <w:rsid w:val="00F6650C"/>
    <w:rsid w:val="00F70864"/>
    <w:rsid w:val="00F75A16"/>
    <w:rsid w:val="00F80E4E"/>
    <w:rsid w:val="00F81981"/>
    <w:rsid w:val="00F81A16"/>
    <w:rsid w:val="00F85F9A"/>
    <w:rsid w:val="00FB3B04"/>
    <w:rsid w:val="00FB3FF4"/>
    <w:rsid w:val="00FB5CB8"/>
    <w:rsid w:val="00FB5F08"/>
    <w:rsid w:val="00FC762A"/>
    <w:rsid w:val="00FD1082"/>
    <w:rsid w:val="00FD236F"/>
    <w:rsid w:val="00FD4477"/>
    <w:rsid w:val="00FD5035"/>
    <w:rsid w:val="00FD7D04"/>
    <w:rsid w:val="00FE2A5D"/>
    <w:rsid w:val="00FE4EC1"/>
    <w:rsid w:val="00FF10E3"/>
    <w:rsid w:val="00FF4219"/>
    <w:rsid w:val="00FF5B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59"/>
    <w:pPr>
      <w:spacing w:after="280" w:line="280" w:lineRule="atLeast"/>
    </w:pPr>
    <w:rPr>
      <w:rFonts w:ascii="Arial" w:hAnsi="Arial"/>
      <w:color w:val="757679" w:themeColor="text1" w:themeTint="D9"/>
      <w:sz w:val="18"/>
    </w:rPr>
  </w:style>
  <w:style w:type="paragraph" w:styleId="Heading1">
    <w:name w:val="heading 1"/>
    <w:basedOn w:val="Normal"/>
    <w:next w:val="Normal"/>
    <w:link w:val="Heading1Char"/>
    <w:uiPriority w:val="9"/>
    <w:qFormat/>
    <w:rsid w:val="00151914"/>
    <w:pPr>
      <w:keepNext/>
      <w:keepLines/>
      <w:pageBreakBefore/>
      <w:spacing w:after="480" w:line="580" w:lineRule="atLeast"/>
      <w:outlineLvl w:val="0"/>
    </w:pPr>
    <w:rPr>
      <w:rFonts w:eastAsiaTheme="majorEastAsia" w:cstheme="majorBidi"/>
      <w:b/>
      <w:bCs/>
      <w:color w:val="F48024" w:themeColor="accent1"/>
      <w:sz w:val="48"/>
      <w:szCs w:val="28"/>
    </w:rPr>
  </w:style>
  <w:style w:type="paragraph" w:styleId="Heading2">
    <w:name w:val="heading 2"/>
    <w:basedOn w:val="Normal"/>
    <w:next w:val="Normal"/>
    <w:link w:val="Heading2Char"/>
    <w:uiPriority w:val="9"/>
    <w:unhideWhenUsed/>
    <w:qFormat/>
    <w:rsid w:val="00E01148"/>
    <w:pPr>
      <w:keepNext/>
      <w:keepLines/>
      <w:spacing w:before="480" w:line="528" w:lineRule="atLeast"/>
      <w:outlineLvl w:val="1"/>
    </w:pPr>
    <w:rPr>
      <w:rFonts w:eastAsiaTheme="majorEastAsia" w:cstheme="majorBidi"/>
      <w:bCs/>
      <w:color w:val="auto"/>
      <w:sz w:val="44"/>
      <w:szCs w:val="26"/>
    </w:rPr>
  </w:style>
  <w:style w:type="paragraph" w:styleId="Heading3">
    <w:name w:val="heading 3"/>
    <w:basedOn w:val="Normal"/>
    <w:next w:val="Normal"/>
    <w:link w:val="Heading3Char"/>
    <w:unhideWhenUsed/>
    <w:qFormat/>
    <w:rsid w:val="00403D4E"/>
    <w:pPr>
      <w:keepNext/>
      <w:keepLines/>
      <w:spacing w:before="340" w:after="0"/>
      <w:outlineLvl w:val="2"/>
    </w:pPr>
    <w:rPr>
      <w:rFonts w:eastAsiaTheme="majorEastAsia" w:cstheme="majorBidi"/>
      <w:b/>
      <w:bCs/>
      <w:color w:val="5E5F61" w:themeColor="text1"/>
      <w:sz w:val="24"/>
    </w:rPr>
  </w:style>
  <w:style w:type="paragraph" w:styleId="Heading4">
    <w:name w:val="heading 4"/>
    <w:basedOn w:val="Normal"/>
    <w:next w:val="Normal"/>
    <w:link w:val="Heading4Char"/>
    <w:uiPriority w:val="9"/>
    <w:unhideWhenUsed/>
    <w:qFormat/>
    <w:rsid w:val="005F095D"/>
    <w:pPr>
      <w:keepNext/>
      <w:keepLines/>
      <w:spacing w:after="240"/>
      <w:outlineLvl w:val="3"/>
    </w:pPr>
    <w:rPr>
      <w:rFonts w:eastAsiaTheme="majorEastAsia" w:cstheme="majorBidi"/>
      <w:b/>
      <w:bCs/>
      <w:iCs/>
      <w:color w:val="5E5F61" w:themeColor="text1"/>
      <w:sz w:val="20"/>
    </w:rPr>
  </w:style>
  <w:style w:type="paragraph" w:styleId="Heading5">
    <w:name w:val="heading 5"/>
    <w:basedOn w:val="Normal"/>
    <w:next w:val="Normal"/>
    <w:link w:val="Heading5Char"/>
    <w:uiPriority w:val="9"/>
    <w:unhideWhenUsed/>
    <w:qFormat/>
    <w:rsid w:val="00403D4E"/>
    <w:pPr>
      <w:keepNext/>
      <w:keepLines/>
      <w:spacing w:before="340" w:after="0"/>
      <w:outlineLvl w:val="4"/>
    </w:pPr>
    <w:rPr>
      <w:rFonts w:eastAsiaTheme="majorEastAsia" w:cstheme="majorBidi"/>
      <w:b/>
      <w:color w:val="F480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14"/>
    <w:rPr>
      <w:rFonts w:ascii="Arial" w:eastAsiaTheme="majorEastAsia" w:hAnsi="Arial" w:cstheme="majorBidi"/>
      <w:b/>
      <w:bCs/>
      <w:color w:val="F48024" w:themeColor="accent1"/>
      <w:sz w:val="48"/>
      <w:szCs w:val="28"/>
    </w:rPr>
  </w:style>
  <w:style w:type="character" w:customStyle="1" w:styleId="Heading2Char">
    <w:name w:val="Heading 2 Char"/>
    <w:basedOn w:val="DefaultParagraphFont"/>
    <w:link w:val="Heading2"/>
    <w:uiPriority w:val="9"/>
    <w:rsid w:val="00E01148"/>
    <w:rPr>
      <w:rFonts w:ascii="Arial" w:eastAsiaTheme="majorEastAsia" w:hAnsi="Arial" w:cstheme="majorBidi"/>
      <w:bCs/>
      <w:sz w:val="44"/>
      <w:szCs w:val="26"/>
    </w:rPr>
  </w:style>
  <w:style w:type="character" w:customStyle="1" w:styleId="Heading3Char">
    <w:name w:val="Heading 3 Char"/>
    <w:basedOn w:val="DefaultParagraphFont"/>
    <w:link w:val="Heading3"/>
    <w:rsid w:val="00403D4E"/>
    <w:rPr>
      <w:rFonts w:ascii="Arial" w:eastAsiaTheme="majorEastAsia" w:hAnsi="Arial" w:cstheme="majorBidi"/>
      <w:b/>
      <w:bCs/>
      <w:color w:val="5E5F61" w:themeColor="text1"/>
      <w:sz w:val="24"/>
    </w:rPr>
  </w:style>
  <w:style w:type="character" w:customStyle="1" w:styleId="Heading4Char">
    <w:name w:val="Heading 4 Char"/>
    <w:basedOn w:val="DefaultParagraphFont"/>
    <w:link w:val="Heading4"/>
    <w:uiPriority w:val="9"/>
    <w:rsid w:val="005F095D"/>
    <w:rPr>
      <w:rFonts w:ascii="Arial" w:eastAsiaTheme="majorEastAsia" w:hAnsi="Arial" w:cstheme="majorBidi"/>
      <w:b/>
      <w:bCs/>
      <w:iCs/>
      <w:color w:val="5E5F61" w:themeColor="text1"/>
      <w:sz w:val="20"/>
    </w:rPr>
  </w:style>
  <w:style w:type="character" w:customStyle="1" w:styleId="Heading5Char">
    <w:name w:val="Heading 5 Char"/>
    <w:basedOn w:val="DefaultParagraphFont"/>
    <w:link w:val="Heading5"/>
    <w:uiPriority w:val="9"/>
    <w:rsid w:val="00403D4E"/>
    <w:rPr>
      <w:rFonts w:ascii="Arial" w:eastAsiaTheme="majorEastAsia" w:hAnsi="Arial" w:cstheme="majorBidi"/>
      <w:b/>
      <w:color w:val="F48024"/>
      <w:sz w:val="18"/>
    </w:rPr>
  </w:style>
  <w:style w:type="paragraph" w:styleId="Title">
    <w:name w:val="Title"/>
    <w:basedOn w:val="Normal"/>
    <w:next w:val="Normal"/>
    <w:link w:val="TitleChar"/>
    <w:uiPriority w:val="10"/>
    <w:qFormat/>
    <w:rsid w:val="00A86809"/>
    <w:pPr>
      <w:spacing w:before="1200" w:after="0" w:line="400" w:lineRule="atLeast"/>
    </w:pPr>
    <w:rPr>
      <w:rFonts w:ascii="Arial Bold" w:eastAsiaTheme="majorEastAsia" w:hAnsi="Arial Bold" w:cstheme="majorBidi"/>
      <w:b/>
      <w:color w:val="FFFFFF" w:themeColor="background1"/>
      <w:sz w:val="40"/>
      <w:szCs w:val="52"/>
    </w:rPr>
  </w:style>
  <w:style w:type="character" w:customStyle="1" w:styleId="TitleChar">
    <w:name w:val="Title Char"/>
    <w:basedOn w:val="DefaultParagraphFont"/>
    <w:link w:val="Title"/>
    <w:uiPriority w:val="10"/>
    <w:rsid w:val="00A86809"/>
    <w:rPr>
      <w:rFonts w:ascii="Arial Bold" w:eastAsiaTheme="majorEastAsia" w:hAnsi="Arial Bold" w:cstheme="majorBidi"/>
      <w:b/>
      <w:color w:val="FFFFFF" w:themeColor="background1"/>
      <w:sz w:val="40"/>
      <w:szCs w:val="52"/>
    </w:rPr>
  </w:style>
  <w:style w:type="paragraph" w:styleId="TOC1">
    <w:name w:val="toc 1"/>
    <w:basedOn w:val="Normal"/>
    <w:next w:val="Normal"/>
    <w:uiPriority w:val="39"/>
    <w:unhideWhenUsed/>
    <w:rsid w:val="00212D53"/>
    <w:pPr>
      <w:spacing w:after="0" w:line="360" w:lineRule="atLeast"/>
    </w:pPr>
    <w:rPr>
      <w:rFonts w:ascii="Arial Bold" w:hAnsi="Arial Bold"/>
      <w:b/>
    </w:rPr>
  </w:style>
  <w:style w:type="paragraph" w:styleId="TOC3">
    <w:name w:val="toc 3"/>
    <w:basedOn w:val="TOC2"/>
    <w:next w:val="Normal"/>
    <w:uiPriority w:val="39"/>
    <w:unhideWhenUsed/>
    <w:rsid w:val="000024B5"/>
  </w:style>
  <w:style w:type="paragraph" w:styleId="TOC2">
    <w:name w:val="toc 2"/>
    <w:basedOn w:val="TOC1"/>
    <w:next w:val="Normal"/>
    <w:uiPriority w:val="39"/>
    <w:unhideWhenUsed/>
    <w:rsid w:val="000024B5"/>
    <w:pPr>
      <w:tabs>
        <w:tab w:val="right" w:leader="dot" w:pos="9016"/>
      </w:tabs>
    </w:pPr>
  </w:style>
  <w:style w:type="paragraph" w:styleId="NoSpacing">
    <w:name w:val="No Spacing"/>
    <w:basedOn w:val="Normal"/>
    <w:uiPriority w:val="1"/>
    <w:qFormat/>
    <w:rsid w:val="000A1485"/>
    <w:pPr>
      <w:spacing w:after="0"/>
    </w:pPr>
  </w:style>
  <w:style w:type="paragraph" w:styleId="Header">
    <w:name w:val="header"/>
    <w:basedOn w:val="Normal"/>
    <w:link w:val="HeaderChar"/>
    <w:uiPriority w:val="99"/>
    <w:unhideWhenUsed/>
    <w:rsid w:val="00701770"/>
    <w:pPr>
      <w:pBdr>
        <w:bottom w:val="single" w:sz="4" w:space="6" w:color="auto"/>
      </w:pBdr>
      <w:tabs>
        <w:tab w:val="center" w:pos="4513"/>
        <w:tab w:val="right" w:pos="9356"/>
      </w:tabs>
      <w:spacing w:after="0" w:line="240" w:lineRule="auto"/>
      <w:ind w:left="567" w:hanging="567"/>
    </w:pPr>
    <w:rPr>
      <w:noProof/>
    </w:rPr>
  </w:style>
  <w:style w:type="character" w:customStyle="1" w:styleId="HeaderChar">
    <w:name w:val="Header Char"/>
    <w:basedOn w:val="DefaultParagraphFont"/>
    <w:link w:val="Header"/>
    <w:uiPriority w:val="99"/>
    <w:rsid w:val="00701770"/>
    <w:rPr>
      <w:rFonts w:ascii="Arial" w:hAnsi="Arial"/>
      <w:noProof/>
      <w:color w:val="757679" w:themeColor="text1" w:themeTint="D9"/>
      <w:sz w:val="18"/>
    </w:rPr>
  </w:style>
  <w:style w:type="paragraph" w:styleId="Footer">
    <w:name w:val="footer"/>
    <w:basedOn w:val="Normal"/>
    <w:link w:val="FooterChar"/>
    <w:uiPriority w:val="99"/>
    <w:unhideWhenUsed/>
    <w:rsid w:val="0055326C"/>
    <w:pPr>
      <w:tabs>
        <w:tab w:val="center" w:pos="4513"/>
        <w:tab w:val="right" w:pos="9026"/>
      </w:tabs>
      <w:spacing w:after="0" w:line="240" w:lineRule="auto"/>
    </w:pPr>
    <w:rPr>
      <w:i/>
      <w:sz w:val="14"/>
    </w:rPr>
  </w:style>
  <w:style w:type="character" w:customStyle="1" w:styleId="FooterChar">
    <w:name w:val="Footer Char"/>
    <w:basedOn w:val="DefaultParagraphFont"/>
    <w:link w:val="Footer"/>
    <w:uiPriority w:val="99"/>
    <w:rsid w:val="0055326C"/>
    <w:rPr>
      <w:rFonts w:ascii="Arial" w:hAnsi="Arial"/>
      <w:i/>
      <w:color w:val="757679" w:themeColor="text1" w:themeTint="D9"/>
      <w:sz w:val="14"/>
    </w:rPr>
  </w:style>
  <w:style w:type="character" w:styleId="PlaceholderText">
    <w:name w:val="Placeholder Text"/>
    <w:basedOn w:val="DefaultParagraphFont"/>
    <w:uiPriority w:val="99"/>
    <w:semiHidden/>
    <w:rsid w:val="000A1485"/>
    <w:rPr>
      <w:color w:val="808080"/>
    </w:rPr>
  </w:style>
  <w:style w:type="paragraph" w:styleId="Quote">
    <w:name w:val="Quote"/>
    <w:basedOn w:val="Heading5"/>
    <w:next w:val="Normal"/>
    <w:link w:val="QuoteChar"/>
    <w:uiPriority w:val="29"/>
    <w:qFormat/>
    <w:rsid w:val="00BE6A3F"/>
    <w:pPr>
      <w:ind w:left="340" w:right="340"/>
    </w:pPr>
    <w:rPr>
      <w:b w:val="0"/>
      <w:i/>
      <w:sz w:val="24"/>
    </w:rPr>
  </w:style>
  <w:style w:type="character" w:customStyle="1" w:styleId="QuoteChar">
    <w:name w:val="Quote Char"/>
    <w:basedOn w:val="DefaultParagraphFont"/>
    <w:link w:val="Quote"/>
    <w:uiPriority w:val="29"/>
    <w:rsid w:val="00BE6A3F"/>
    <w:rPr>
      <w:rFonts w:ascii="Arial" w:eastAsiaTheme="majorEastAsia" w:hAnsi="Arial" w:cstheme="majorBidi"/>
      <w:i/>
      <w:color w:val="F48024"/>
      <w:sz w:val="24"/>
    </w:rPr>
  </w:style>
  <w:style w:type="paragraph" w:customStyle="1" w:styleId="EPLCallOutTitle">
    <w:name w:val="EPL Call Out Title"/>
    <w:basedOn w:val="Normal"/>
    <w:qFormat/>
    <w:rsid w:val="00CE7E9A"/>
    <w:pPr>
      <w:spacing w:after="0" w:line="400" w:lineRule="atLeast"/>
    </w:pPr>
    <w:rPr>
      <w:color w:val="5E5F61" w:themeColor="text1"/>
      <w:sz w:val="36"/>
    </w:rPr>
  </w:style>
  <w:style w:type="table" w:styleId="TableGrid">
    <w:name w:val="Table Grid"/>
    <w:basedOn w:val="TableNormal"/>
    <w:uiPriority w:val="59"/>
    <w:rsid w:val="00A86809"/>
    <w:pPr>
      <w:spacing w:before="80" w:after="0" w:line="240" w:lineRule="auto"/>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LProjectTableText">
    <w:name w:val="EPL Project Table Text"/>
    <w:basedOn w:val="NoSpacing"/>
    <w:qFormat/>
    <w:rsid w:val="00310FF6"/>
    <w:pPr>
      <w:jc w:val="center"/>
    </w:pPr>
    <w:rPr>
      <w:b/>
      <w:color w:val="FFFFFF" w:themeColor="background1"/>
    </w:rPr>
  </w:style>
  <w:style w:type="paragraph" w:customStyle="1" w:styleId="EPLStageNumber">
    <w:name w:val="EPL Stage Number"/>
    <w:basedOn w:val="Normal"/>
    <w:qFormat/>
    <w:rsid w:val="005B58F7"/>
    <w:pPr>
      <w:spacing w:after="0" w:line="240" w:lineRule="auto"/>
    </w:pPr>
    <w:rPr>
      <w:b/>
      <w:sz w:val="126"/>
    </w:rPr>
  </w:style>
  <w:style w:type="paragraph" w:customStyle="1" w:styleId="EPLStageDate">
    <w:name w:val="EPL Stage Date"/>
    <w:basedOn w:val="Normal"/>
    <w:qFormat/>
    <w:rsid w:val="005B58F7"/>
    <w:pPr>
      <w:spacing w:after="0" w:line="240" w:lineRule="auto"/>
      <w:jc w:val="center"/>
    </w:pPr>
    <w:rPr>
      <w:b/>
      <w:color w:val="F48024"/>
    </w:rPr>
  </w:style>
  <w:style w:type="paragraph" w:styleId="ListParagraph">
    <w:name w:val="List Paragraph"/>
    <w:basedOn w:val="Normal"/>
    <w:uiPriority w:val="34"/>
    <w:qFormat/>
    <w:rsid w:val="002C527A"/>
    <w:pPr>
      <w:numPr>
        <w:numId w:val="3"/>
      </w:numPr>
      <w:spacing w:after="120"/>
      <w:contextualSpacing/>
    </w:pPr>
    <w:rPr>
      <w:b/>
    </w:rPr>
  </w:style>
  <w:style w:type="paragraph" w:customStyle="1" w:styleId="ListIndent">
    <w:name w:val="List Indent"/>
    <w:basedOn w:val="Normal"/>
    <w:qFormat/>
    <w:rsid w:val="00896649"/>
    <w:pPr>
      <w:ind w:left="454"/>
    </w:pPr>
  </w:style>
  <w:style w:type="paragraph" w:customStyle="1" w:styleId="EPLAccountabilityHeading">
    <w:name w:val="EPL Accountability Heading"/>
    <w:basedOn w:val="Normal"/>
    <w:rsid w:val="00A86809"/>
    <w:pPr>
      <w:spacing w:after="0"/>
      <w:jc w:val="center"/>
    </w:pPr>
    <w:rPr>
      <w:b/>
    </w:rPr>
  </w:style>
  <w:style w:type="paragraph" w:customStyle="1" w:styleId="EPLDeliverableName">
    <w:name w:val="EPL Deliverable Name"/>
    <w:basedOn w:val="Normal"/>
    <w:qFormat/>
    <w:rsid w:val="003750E3"/>
    <w:pPr>
      <w:spacing w:before="80" w:after="0" w:line="240" w:lineRule="auto"/>
      <w:jc w:val="center"/>
    </w:pPr>
    <w:rPr>
      <w:color w:val="FFFFFF" w:themeColor="background1"/>
      <w:sz w:val="24"/>
      <w:szCs w:val="16"/>
    </w:rPr>
  </w:style>
  <w:style w:type="paragraph" w:customStyle="1" w:styleId="EPLDeliverableNumber">
    <w:name w:val="EPL Deliverable Number"/>
    <w:basedOn w:val="EPLStageNumber"/>
    <w:rsid w:val="003750E3"/>
    <w:pPr>
      <w:spacing w:line="1200" w:lineRule="exact"/>
      <w:jc w:val="center"/>
    </w:pPr>
    <w:rPr>
      <w:color w:val="FFFFFF" w:themeColor="background1"/>
    </w:rPr>
  </w:style>
  <w:style w:type="paragraph" w:customStyle="1" w:styleId="EPLDeliverablePrice">
    <w:name w:val="EPL Deliverable Price"/>
    <w:basedOn w:val="Normal"/>
    <w:rsid w:val="003750E3"/>
    <w:pPr>
      <w:spacing w:after="0" w:line="240" w:lineRule="auto"/>
      <w:jc w:val="center"/>
    </w:pPr>
    <w:rPr>
      <w:b/>
      <w:sz w:val="36"/>
      <w:szCs w:val="16"/>
    </w:rPr>
  </w:style>
  <w:style w:type="paragraph" w:customStyle="1" w:styleId="EPLDeliverableText">
    <w:name w:val="EPL Deliverable Text"/>
    <w:basedOn w:val="Normal"/>
    <w:rsid w:val="00ED60C8"/>
    <w:pPr>
      <w:spacing w:after="0"/>
    </w:pPr>
    <w:rPr>
      <w:szCs w:val="16"/>
    </w:rPr>
  </w:style>
  <w:style w:type="paragraph" w:customStyle="1" w:styleId="EPLAwardBullet">
    <w:name w:val="EPL Award Bullet"/>
    <w:basedOn w:val="ListParagraph"/>
    <w:qFormat/>
    <w:rsid w:val="0035042C"/>
    <w:pPr>
      <w:numPr>
        <w:numId w:val="15"/>
      </w:numPr>
      <w:ind w:left="453" w:hanging="340"/>
    </w:pPr>
    <w:rPr>
      <w:b w:val="0"/>
    </w:rPr>
  </w:style>
  <w:style w:type="paragraph" w:customStyle="1" w:styleId="EPLAwardDate">
    <w:name w:val="EPL Award Date"/>
    <w:basedOn w:val="Normal"/>
    <w:rsid w:val="007F5B62"/>
    <w:pPr>
      <w:spacing w:after="140"/>
    </w:pPr>
    <w:rPr>
      <w:sz w:val="44"/>
    </w:rPr>
  </w:style>
  <w:style w:type="paragraph" w:customStyle="1" w:styleId="EPLAwardTitle">
    <w:name w:val="EPL Award Title"/>
    <w:basedOn w:val="Heading3"/>
    <w:rsid w:val="00A86809"/>
    <w:pPr>
      <w:spacing w:before="0"/>
    </w:pPr>
  </w:style>
  <w:style w:type="paragraph" w:styleId="Subtitle">
    <w:name w:val="Subtitle"/>
    <w:basedOn w:val="Normal"/>
    <w:next w:val="Normal"/>
    <w:link w:val="SubtitleChar"/>
    <w:uiPriority w:val="11"/>
    <w:rsid w:val="00A86809"/>
    <w:pPr>
      <w:numPr>
        <w:ilvl w:val="1"/>
      </w:numPr>
      <w:spacing w:before="140"/>
    </w:pPr>
    <w:rPr>
      <w:rFonts w:eastAsiaTheme="majorEastAsia" w:cstheme="majorBidi"/>
      <w:iCs/>
      <w:caps/>
      <w:color w:val="FFFFFF" w:themeColor="background1"/>
      <w:sz w:val="28"/>
      <w:szCs w:val="24"/>
    </w:rPr>
  </w:style>
  <w:style w:type="character" w:customStyle="1" w:styleId="SubtitleChar">
    <w:name w:val="Subtitle Char"/>
    <w:basedOn w:val="DefaultParagraphFont"/>
    <w:link w:val="Subtitle"/>
    <w:uiPriority w:val="11"/>
    <w:rsid w:val="00A86809"/>
    <w:rPr>
      <w:rFonts w:ascii="Arial" w:eastAsiaTheme="majorEastAsia" w:hAnsi="Arial" w:cstheme="majorBidi"/>
      <w:iCs/>
      <w:caps/>
      <w:color w:val="FFFFFF" w:themeColor="background1"/>
      <w:sz w:val="28"/>
      <w:szCs w:val="24"/>
    </w:rPr>
  </w:style>
  <w:style w:type="paragraph" w:customStyle="1" w:styleId="EPLProposalSubheading2">
    <w:name w:val="EPL Proposal Subheading 2"/>
    <w:basedOn w:val="Normal"/>
    <w:rsid w:val="00A86809"/>
    <w:pPr>
      <w:spacing w:after="140"/>
    </w:pPr>
    <w:rPr>
      <w:color w:val="FFFFFF" w:themeColor="background1"/>
      <w:sz w:val="28"/>
    </w:rPr>
  </w:style>
  <w:style w:type="paragraph" w:customStyle="1" w:styleId="EPLProposalDate">
    <w:name w:val="EPL Proposal Date"/>
    <w:basedOn w:val="Normal"/>
    <w:qFormat/>
    <w:rsid w:val="00A86809"/>
    <w:rPr>
      <w:color w:val="FFFFFF" w:themeColor="background1"/>
      <w:sz w:val="20"/>
    </w:rPr>
  </w:style>
  <w:style w:type="paragraph" w:customStyle="1" w:styleId="EPLProposalTitle">
    <w:name w:val="EPL Proposal Title"/>
    <w:basedOn w:val="Normal"/>
    <w:rsid w:val="00A86809"/>
    <w:pPr>
      <w:spacing w:before="1200" w:after="140"/>
    </w:pPr>
    <w:rPr>
      <w:b/>
      <w:color w:val="FFFFFF" w:themeColor="background1"/>
      <w:sz w:val="40"/>
    </w:rPr>
  </w:style>
  <w:style w:type="paragraph" w:customStyle="1" w:styleId="EPLProposalSubheading">
    <w:name w:val="EPL Proposal Subheading"/>
    <w:basedOn w:val="Title"/>
    <w:qFormat/>
    <w:rsid w:val="00AD7572"/>
    <w:pPr>
      <w:spacing w:before="0" w:after="700" w:line="280" w:lineRule="atLeast"/>
    </w:pPr>
    <w:rPr>
      <w:rFonts w:ascii="Arial" w:hAnsi="Arial"/>
      <w:b w:val="0"/>
      <w:sz w:val="28"/>
    </w:rPr>
  </w:style>
  <w:style w:type="paragraph" w:customStyle="1" w:styleId="ProjectInfoHeading">
    <w:name w:val="Project Info Heading"/>
    <w:basedOn w:val="EPLAccountabilityHeading"/>
    <w:qFormat/>
    <w:rsid w:val="004074CE"/>
    <w:pPr>
      <w:spacing w:before="80"/>
    </w:pPr>
  </w:style>
  <w:style w:type="paragraph" w:customStyle="1" w:styleId="EnergeticsTableNormal">
    <w:name w:val="Energetics Table Normal"/>
    <w:basedOn w:val="Normal"/>
    <w:qFormat/>
    <w:rsid w:val="008646A1"/>
    <w:pPr>
      <w:spacing w:before="80" w:after="80"/>
    </w:pPr>
  </w:style>
  <w:style w:type="paragraph" w:styleId="ListBullet">
    <w:name w:val="List Bullet"/>
    <w:basedOn w:val="Normal"/>
    <w:uiPriority w:val="99"/>
    <w:unhideWhenUsed/>
    <w:rsid w:val="001F5315"/>
    <w:pPr>
      <w:numPr>
        <w:numId w:val="5"/>
      </w:numPr>
      <w:tabs>
        <w:tab w:val="clear" w:pos="340"/>
      </w:tabs>
      <w:spacing w:after="120"/>
      <w:ind w:left="454" w:hanging="454"/>
      <w:contextualSpacing/>
    </w:pPr>
  </w:style>
  <w:style w:type="paragraph" w:styleId="ListBullet2">
    <w:name w:val="List Bullet 2"/>
    <w:basedOn w:val="Normal"/>
    <w:uiPriority w:val="99"/>
    <w:unhideWhenUsed/>
    <w:rsid w:val="00F24423"/>
    <w:pPr>
      <w:numPr>
        <w:numId w:val="6"/>
      </w:numPr>
      <w:spacing w:after="120"/>
      <w:ind w:left="680" w:hanging="340"/>
      <w:contextualSpacing/>
    </w:pPr>
  </w:style>
  <w:style w:type="paragraph" w:styleId="ListBullet3">
    <w:name w:val="List Bullet 3"/>
    <w:basedOn w:val="Normal"/>
    <w:uiPriority w:val="99"/>
    <w:unhideWhenUsed/>
    <w:rsid w:val="00F24423"/>
    <w:pPr>
      <w:numPr>
        <w:numId w:val="7"/>
      </w:numPr>
      <w:tabs>
        <w:tab w:val="clear" w:pos="926"/>
      </w:tabs>
      <w:spacing w:after="120"/>
      <w:ind w:left="1020" w:hanging="340"/>
      <w:contextualSpacing/>
    </w:pPr>
  </w:style>
  <w:style w:type="character" w:styleId="Hyperlink">
    <w:name w:val="Hyperlink"/>
    <w:basedOn w:val="DefaultParagraphFont"/>
    <w:uiPriority w:val="99"/>
    <w:unhideWhenUsed/>
    <w:rsid w:val="00096AA4"/>
    <w:rPr>
      <w:rFonts w:cs="Times New Roman"/>
      <w:b/>
      <w:color w:val="F48024"/>
      <w:u w:val="none"/>
    </w:rPr>
  </w:style>
  <w:style w:type="character" w:styleId="FollowedHyperlink">
    <w:name w:val="FollowedHyperlink"/>
    <w:basedOn w:val="DefaultParagraphFont"/>
    <w:uiPriority w:val="99"/>
    <w:semiHidden/>
    <w:unhideWhenUsed/>
    <w:rsid w:val="00096AA4"/>
    <w:rPr>
      <w:color w:val="5E5F61" w:themeColor="followedHyperlink"/>
      <w:u w:val="single"/>
    </w:rPr>
  </w:style>
  <w:style w:type="paragraph" w:customStyle="1" w:styleId="EPLStageheading">
    <w:name w:val="EPL Stage heading"/>
    <w:basedOn w:val="NoSpacing"/>
    <w:qFormat/>
    <w:rsid w:val="00187274"/>
    <w:pPr>
      <w:spacing w:before="80"/>
    </w:pPr>
    <w:rPr>
      <w:b/>
    </w:rPr>
  </w:style>
  <w:style w:type="paragraph" w:styleId="BodyText">
    <w:name w:val="Body Text"/>
    <w:basedOn w:val="Normal"/>
    <w:link w:val="BodyTextChar"/>
    <w:uiPriority w:val="99"/>
    <w:unhideWhenUsed/>
    <w:rsid w:val="00782A00"/>
    <w:pPr>
      <w:spacing w:after="120"/>
    </w:pPr>
  </w:style>
  <w:style w:type="character" w:customStyle="1" w:styleId="BodyTextChar">
    <w:name w:val="Body Text Char"/>
    <w:basedOn w:val="DefaultParagraphFont"/>
    <w:link w:val="BodyText"/>
    <w:uiPriority w:val="99"/>
    <w:rsid w:val="00782A00"/>
    <w:rPr>
      <w:rFonts w:ascii="Arial" w:hAnsi="Arial"/>
      <w:color w:val="757679" w:themeColor="text1" w:themeTint="D9"/>
      <w:sz w:val="18"/>
    </w:rPr>
  </w:style>
  <w:style w:type="paragraph" w:customStyle="1" w:styleId="StageDate">
    <w:name w:val="Stage Date"/>
    <w:basedOn w:val="Normal"/>
    <w:qFormat/>
    <w:rsid w:val="00A67A5C"/>
    <w:pPr>
      <w:spacing w:after="0" w:line="240" w:lineRule="auto"/>
      <w:jc w:val="center"/>
    </w:pPr>
    <w:rPr>
      <w:b/>
      <w:color w:val="F48024"/>
    </w:rPr>
  </w:style>
  <w:style w:type="paragraph" w:customStyle="1" w:styleId="Stageheading">
    <w:name w:val="Stage heading"/>
    <w:basedOn w:val="NoSpacing"/>
    <w:qFormat/>
    <w:rsid w:val="00A67A5C"/>
    <w:pPr>
      <w:spacing w:before="80"/>
    </w:pPr>
    <w:rPr>
      <w:b/>
    </w:rPr>
  </w:style>
  <w:style w:type="table" w:customStyle="1" w:styleId="EPLTablePlain">
    <w:name w:val="EPL_Table_Plain"/>
    <w:basedOn w:val="TableNormal"/>
    <w:rsid w:val="0049180F"/>
    <w:pPr>
      <w:spacing w:before="80" w:after="0" w:line="280" w:lineRule="atLeast"/>
      <w:contextualSpacing/>
    </w:pPr>
    <w:rPr>
      <w:rFonts w:ascii="Arial" w:eastAsia="Times New Roman" w:hAnsi="Arial" w:cs="Times New Roman"/>
      <w:color w:val="5E5F61" w:themeColor="text1"/>
      <w:sz w:val="18"/>
      <w:szCs w:val="20"/>
      <w:lang w:eastAsia="en-AU"/>
    </w:rPr>
    <w:tblPr>
      <w:tblCellSpacing w:w="28" w:type="dxa"/>
      <w:tblInd w:w="0" w:type="dxa"/>
      <w:tblCellMar>
        <w:top w:w="0" w:type="dxa"/>
        <w:left w:w="142" w:type="dxa"/>
        <w:bottom w:w="0" w:type="dxa"/>
        <w:right w:w="142" w:type="dxa"/>
      </w:tblCellMar>
    </w:tblPr>
    <w:trPr>
      <w:tblCellSpacing w:w="28" w:type="dxa"/>
    </w:trPr>
    <w:tcPr>
      <w:shd w:val="clear" w:color="auto" w:fill="F3F3F3"/>
    </w:tcPr>
    <w:tblStylePr w:type="firstRow">
      <w:pPr>
        <w:wordWrap/>
        <w:jc w:val="center"/>
      </w:pPr>
      <w:rPr>
        <w:rFonts w:ascii="Arial Bold" w:hAnsi="Arial Bold"/>
        <w:b/>
        <w:color w:val="5E5F61" w:themeColor="text1"/>
        <w:sz w:val="18"/>
      </w:rPr>
      <w:tblPr/>
      <w:tcPr>
        <w:tcBorders>
          <w:top w:val="single" w:sz="12" w:space="0" w:color="F48024" w:themeColor="accent1"/>
          <w:left w:val="nil"/>
          <w:bottom w:val="nil"/>
          <w:right w:val="nil"/>
          <w:insideH w:val="nil"/>
          <w:insideV w:val="nil"/>
          <w:tl2br w:val="nil"/>
          <w:tr2bl w:val="nil"/>
        </w:tcBorders>
        <w:shd w:val="clear" w:color="auto" w:fill="F3F3F3"/>
      </w:tcPr>
    </w:tblStylePr>
  </w:style>
  <w:style w:type="table" w:customStyle="1" w:styleId="EPLTableStandard">
    <w:name w:val="EPL_Table_Standard"/>
    <w:basedOn w:val="TableNormal"/>
    <w:rsid w:val="0049180F"/>
    <w:pPr>
      <w:spacing w:after="0" w:line="240" w:lineRule="auto"/>
    </w:pPr>
    <w:rPr>
      <w:rFonts w:ascii="Arial" w:eastAsia="Times New Roman" w:hAnsi="Arial" w:cs="Times New Roman"/>
      <w:sz w:val="18"/>
      <w:szCs w:val="18"/>
      <w:lang w:eastAsia="en-AU"/>
    </w:rPr>
    <w:tblPr>
      <w:tblStyleRowBandSize w:val="1"/>
      <w:tblInd w:w="0"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0" w:type="dxa"/>
        <w:left w:w="142" w:type="dxa"/>
        <w:bottom w:w="0" w:type="dxa"/>
        <w:right w:w="142" w:type="dxa"/>
      </w:tblCellMar>
    </w:tblPr>
    <w:trPr>
      <w:cantSplit/>
    </w:trPr>
    <w:tblStylePr w:type="firstRow">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DD6225" w:themeColor="text2"/>
          <w:right w:val="nil"/>
          <w:insideH w:val="nil"/>
          <w:insideV w:val="nil"/>
          <w:tl2br w:val="nil"/>
          <w:tr2bl w:val="nil"/>
        </w:tcBorders>
      </w:tcPr>
    </w:tblStylePr>
    <w:tblStylePr w:type="firstCol">
      <w:tblPr/>
      <w:tcPr>
        <w:tcBorders>
          <w:top w:val="nil"/>
          <w:left w:val="nil"/>
          <w:bottom w:val="nil"/>
          <w:right w:val="single" w:sz="4" w:space="0" w:color="5E5F61" w:themeColor="text1"/>
          <w:insideH w:val="nil"/>
          <w:insideV w:val="nil"/>
          <w:tl2br w:val="nil"/>
          <w:tr2bl w:val="nil"/>
        </w:tcBorders>
      </w:tcPr>
    </w:tblStylePr>
    <w:tblStylePr w:type="lastCol">
      <w:tblPr/>
      <w:tcPr>
        <w:tcBorders>
          <w:top w:val="nil"/>
          <w:left w:val="single" w:sz="4" w:space="0" w:color="5E5F61" w:themeColor="text1"/>
          <w:bottom w:val="nil"/>
          <w:right w:val="nil"/>
          <w:insideH w:val="nil"/>
          <w:insideV w:val="nil"/>
          <w:tl2br w:val="nil"/>
          <w:tr2bl w:val="nil"/>
        </w:tcBorders>
      </w:tcPr>
    </w:tblStylePr>
    <w:tblStylePr w:type="band1Horz">
      <w:pPr>
        <w:wordWrap/>
        <w:spacing w:beforeLines="0" w:beforeAutospacing="0" w:afterLines="0" w:afterAutospacing="0" w:line="280" w:lineRule="atLeast"/>
      </w:pPr>
      <w:rPr>
        <w:sz w:val="18"/>
      </w:rPr>
      <w:tblPr/>
      <w:tcPr>
        <w:tcBorders>
          <w:top w:val="nil"/>
          <w:left w:val="nil"/>
          <w:bottom w:val="nil"/>
          <w:right w:val="nil"/>
          <w:insideH w:val="nil"/>
          <w:insideV w:val="single" w:sz="4" w:space="0" w:color="5E5F61" w:themeColor="text1"/>
          <w:tl2br w:val="nil"/>
          <w:tr2bl w:val="nil"/>
        </w:tcBorders>
        <w:shd w:val="clear" w:color="auto" w:fill="E5E5E6"/>
      </w:tcPr>
    </w:tblStylePr>
    <w:tblStylePr w:type="band2Horz">
      <w:pPr>
        <w:wordWrap/>
        <w:spacing w:beforeLines="0" w:beforeAutospacing="0" w:afterLines="0" w:afterAutospacing="0" w:line="280" w:lineRule="atLeast"/>
      </w:pPr>
      <w:rPr>
        <w:sz w:val="18"/>
      </w:rPr>
      <w:tblPr/>
      <w:tcPr>
        <w:tcBorders>
          <w:top w:val="nil"/>
          <w:left w:val="nil"/>
          <w:bottom w:val="nil"/>
          <w:right w:val="nil"/>
          <w:insideH w:val="nil"/>
          <w:insideV w:val="single" w:sz="4" w:space="0" w:color="5E5F61" w:themeColor="text1"/>
          <w:tl2br w:val="nil"/>
          <w:tr2bl w:val="nil"/>
        </w:tcBorders>
      </w:tcPr>
    </w:tblStylePr>
  </w:style>
  <w:style w:type="table" w:customStyle="1" w:styleId="EPLTableTenders">
    <w:name w:val="EPL_Table_Tenders"/>
    <w:basedOn w:val="EPLTableStandard"/>
    <w:rsid w:val="0049180F"/>
    <w:rPr>
      <w:szCs w:val="20"/>
    </w:rPr>
    <w:tblPr>
      <w:tblStyleRowBandSize w:val="1"/>
      <w:tblStyleColBandSize w:val="1"/>
      <w:tblInd w:w="0" w:type="dxa"/>
      <w:tblBorders>
        <w:top w:val="single" w:sz="4" w:space="0" w:color="BEBEC0" w:themeColor="text1" w:themeTint="66"/>
        <w:bottom w:val="single" w:sz="4" w:space="0" w:color="BEBEC0" w:themeColor="text1" w:themeTint="66"/>
        <w:insideH w:val="single" w:sz="4" w:space="0" w:color="BEBEC0" w:themeColor="text1" w:themeTint="66"/>
        <w:insideV w:val="single" w:sz="4" w:space="0" w:color="BEBEC0" w:themeColor="text1" w:themeTint="66"/>
      </w:tblBorders>
      <w:tblCellMar>
        <w:top w:w="0" w:type="dxa"/>
        <w:left w:w="142" w:type="dxa"/>
        <w:bottom w:w="0" w:type="dxa"/>
        <w:right w:w="142" w:type="dxa"/>
      </w:tblCellMar>
    </w:tblPr>
    <w:trPr>
      <w:cantSplit/>
    </w:trPr>
    <w:tcPr>
      <w:shd w:val="clear" w:color="auto" w:fill="auto"/>
    </w:tcPr>
    <w:tblStylePr w:type="firstRow">
      <w:rPr>
        <w:rFonts w:ascii="Arial Bold" w:hAnsi="Arial Bold"/>
        <w:b/>
        <w:i w:val="0"/>
        <w:color w:val="FFFFFF"/>
        <w:sz w:val="18"/>
        <w:szCs w:val="18"/>
      </w:rPr>
      <w:tblPr/>
      <w:tcPr>
        <w:tcBorders>
          <w:top w:val="single" w:sz="2" w:space="0" w:color="FFFFFF"/>
          <w:left w:val="single" w:sz="2" w:space="0" w:color="FFFFFF"/>
          <w:bottom w:val="single" w:sz="12" w:space="0" w:color="F48024" w:themeColor="accent1"/>
          <w:right w:val="single" w:sz="2" w:space="0" w:color="FFFFFF"/>
          <w:insideH w:val="nil"/>
          <w:insideV w:val="single" w:sz="2" w:space="0" w:color="FFFFFF"/>
          <w:tl2br w:val="nil"/>
          <w:tr2bl w:val="nil"/>
        </w:tcBorders>
        <w:shd w:val="clear" w:color="auto" w:fill="E5E5E6"/>
      </w:tcPr>
    </w:tblStylePr>
    <w:tblStylePr w:type="lastRow">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firstCol">
      <w:tblPr/>
      <w:tcPr>
        <w:tcBorders>
          <w:top w:val="single" w:sz="4" w:space="0" w:color="9D9EA0"/>
          <w:left w:val="nil"/>
          <w:bottom w:val="single" w:sz="4" w:space="0" w:color="9D9EA0"/>
          <w:right w:val="single" w:sz="4" w:space="0" w:color="5E5F61" w:themeColor="text1"/>
          <w:insideH w:val="nil"/>
          <w:insideV w:val="nil"/>
          <w:tl2br w:val="nil"/>
          <w:tr2bl w:val="nil"/>
        </w:tcBorders>
        <w:shd w:val="clear" w:color="auto" w:fill="auto"/>
      </w:tcPr>
    </w:tblStylePr>
    <w:tblStylePr w:type="lastCol">
      <w:tblPr/>
      <w:tcPr>
        <w:tcBorders>
          <w:top w:val="nil"/>
          <w:left w:val="single" w:sz="4" w:space="0" w:color="5E5F61" w:themeColor="text1"/>
          <w:bottom w:val="nil"/>
          <w:right w:val="nil"/>
          <w:insideH w:val="nil"/>
          <w:insideV w:val="nil"/>
          <w:tl2br w:val="nil"/>
          <w:tr2bl w:val="nil"/>
        </w:tcBorders>
      </w:tcPr>
    </w:tblStylePr>
    <w:tblStylePr w:type="band1Vert">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2Vert">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1Horz">
      <w:pPr>
        <w:wordWrap/>
        <w:spacing w:beforeLines="0" w:beforeAutospacing="0" w:afterLines="0" w:afterAutospacing="0" w:line="280" w:lineRule="atLeast"/>
      </w:pPr>
      <w:rPr>
        <w:sz w:val="18"/>
      </w:rPr>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2Horz">
      <w:pPr>
        <w:wordWrap/>
        <w:spacing w:beforeLines="0" w:beforeAutospacing="0" w:afterLines="0" w:afterAutospacing="0" w:line="280" w:lineRule="atLeast"/>
      </w:pPr>
      <w:rPr>
        <w:sz w:val="18"/>
      </w:rPr>
      <w:tblPr/>
      <w:tcPr>
        <w:tcBorders>
          <w:top w:val="single" w:sz="4" w:space="0" w:color="9D9EA0"/>
          <w:left w:val="nil"/>
          <w:bottom w:val="single" w:sz="4" w:space="0" w:color="9D9EA0"/>
          <w:right w:val="nil"/>
          <w:insideH w:val="nil"/>
          <w:insideV w:val="single" w:sz="4" w:space="0" w:color="5E5F61" w:themeColor="text1"/>
          <w:tl2br w:val="nil"/>
          <w:tr2bl w:val="nil"/>
        </w:tcBorders>
        <w:shd w:val="clear" w:color="auto" w:fill="auto"/>
      </w:tcPr>
    </w:tblStylePr>
  </w:style>
  <w:style w:type="paragraph" w:styleId="BalloonText">
    <w:name w:val="Balloon Text"/>
    <w:basedOn w:val="Normal"/>
    <w:link w:val="BalloonTextChar"/>
    <w:uiPriority w:val="99"/>
    <w:semiHidden/>
    <w:unhideWhenUsed/>
    <w:rsid w:val="009F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51"/>
    <w:rPr>
      <w:rFonts w:ascii="Tahoma" w:hAnsi="Tahoma" w:cs="Tahoma"/>
      <w:color w:val="757679" w:themeColor="text1" w:themeTint="D9"/>
      <w:sz w:val="16"/>
      <w:szCs w:val="16"/>
    </w:rPr>
  </w:style>
  <w:style w:type="paragraph" w:styleId="FootnoteText">
    <w:name w:val="footnote text"/>
    <w:basedOn w:val="Normal"/>
    <w:link w:val="FootnoteTextChar"/>
    <w:uiPriority w:val="99"/>
    <w:semiHidden/>
    <w:unhideWhenUsed/>
    <w:rsid w:val="00355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A77"/>
    <w:rPr>
      <w:rFonts w:ascii="Arial" w:hAnsi="Arial"/>
      <w:color w:val="757679" w:themeColor="text1" w:themeTint="D9"/>
      <w:sz w:val="20"/>
      <w:szCs w:val="20"/>
    </w:rPr>
  </w:style>
  <w:style w:type="character" w:styleId="FootnoteReference">
    <w:name w:val="footnote reference"/>
    <w:basedOn w:val="DefaultParagraphFont"/>
    <w:semiHidden/>
    <w:rsid w:val="00355A77"/>
    <w:rPr>
      <w:vertAlign w:val="superscript"/>
    </w:rPr>
  </w:style>
  <w:style w:type="character" w:styleId="CommentReference">
    <w:name w:val="annotation reference"/>
    <w:basedOn w:val="DefaultParagraphFont"/>
    <w:uiPriority w:val="99"/>
    <w:semiHidden/>
    <w:unhideWhenUsed/>
    <w:rsid w:val="00355A77"/>
    <w:rPr>
      <w:sz w:val="16"/>
      <w:szCs w:val="16"/>
    </w:rPr>
  </w:style>
  <w:style w:type="paragraph" w:styleId="CommentText">
    <w:name w:val="annotation text"/>
    <w:basedOn w:val="Normal"/>
    <w:link w:val="CommentTextChar"/>
    <w:uiPriority w:val="99"/>
    <w:unhideWhenUsed/>
    <w:rsid w:val="00355A77"/>
    <w:pPr>
      <w:spacing w:line="240" w:lineRule="auto"/>
    </w:pPr>
    <w:rPr>
      <w:sz w:val="20"/>
      <w:szCs w:val="20"/>
    </w:rPr>
  </w:style>
  <w:style w:type="character" w:customStyle="1" w:styleId="CommentTextChar">
    <w:name w:val="Comment Text Char"/>
    <w:basedOn w:val="DefaultParagraphFont"/>
    <w:link w:val="CommentText"/>
    <w:uiPriority w:val="99"/>
    <w:rsid w:val="00355A77"/>
    <w:rPr>
      <w:rFonts w:ascii="Arial" w:hAnsi="Arial"/>
      <w:color w:val="757679" w:themeColor="text1" w:themeTint="D9"/>
      <w:sz w:val="20"/>
      <w:szCs w:val="20"/>
    </w:rPr>
  </w:style>
  <w:style w:type="paragraph" w:styleId="TOCHeading">
    <w:name w:val="TOC Heading"/>
    <w:basedOn w:val="Heading1"/>
    <w:next w:val="Normal"/>
    <w:uiPriority w:val="39"/>
    <w:semiHidden/>
    <w:unhideWhenUsed/>
    <w:qFormat/>
    <w:rsid w:val="00F80E4E"/>
    <w:pPr>
      <w:pageBreakBefore w:val="0"/>
      <w:spacing w:before="480" w:after="0" w:line="276" w:lineRule="auto"/>
      <w:outlineLvl w:val="9"/>
    </w:pPr>
    <w:rPr>
      <w:rFonts w:asciiTheme="majorHAnsi" w:hAnsiTheme="majorHAnsi"/>
      <w:color w:val="C75D0A" w:themeColor="accent1" w:themeShade="BF"/>
      <w:sz w:val="28"/>
      <w:lang w:val="en-US" w:eastAsia="ja-JP"/>
    </w:rPr>
  </w:style>
  <w:style w:type="paragraph" w:styleId="CommentSubject">
    <w:name w:val="annotation subject"/>
    <w:basedOn w:val="CommentText"/>
    <w:next w:val="CommentText"/>
    <w:link w:val="CommentSubjectChar"/>
    <w:uiPriority w:val="99"/>
    <w:semiHidden/>
    <w:unhideWhenUsed/>
    <w:rsid w:val="002A6A74"/>
    <w:rPr>
      <w:b/>
      <w:bCs/>
    </w:rPr>
  </w:style>
  <w:style w:type="character" w:customStyle="1" w:styleId="CommentSubjectChar">
    <w:name w:val="Comment Subject Char"/>
    <w:basedOn w:val="CommentTextChar"/>
    <w:link w:val="CommentSubject"/>
    <w:uiPriority w:val="99"/>
    <w:semiHidden/>
    <w:rsid w:val="002A6A74"/>
    <w:rPr>
      <w:rFonts w:ascii="Arial" w:hAnsi="Arial"/>
      <w:b/>
      <w:bCs/>
      <w:color w:val="757679" w:themeColor="text1" w:themeTint="D9"/>
      <w:sz w:val="20"/>
      <w:szCs w:val="20"/>
    </w:rPr>
  </w:style>
  <w:style w:type="paragraph" w:styleId="Caption">
    <w:name w:val="caption"/>
    <w:basedOn w:val="Normal"/>
    <w:next w:val="Normal"/>
    <w:uiPriority w:val="35"/>
    <w:unhideWhenUsed/>
    <w:qFormat/>
    <w:rsid w:val="00543F9A"/>
    <w:pPr>
      <w:spacing w:after="200" w:line="240" w:lineRule="auto"/>
    </w:pPr>
    <w:rPr>
      <w:b/>
      <w:bCs/>
      <w:color w:val="F48024" w:themeColor="accent1"/>
      <w:szCs w:val="18"/>
    </w:rPr>
  </w:style>
  <w:style w:type="paragraph" w:customStyle="1" w:styleId="EPLCopyrightandDisclaimer">
    <w:name w:val="EPL Copyright and Disclaimer"/>
    <w:basedOn w:val="BodyText"/>
    <w:rsid w:val="000356C2"/>
    <w:pPr>
      <w:spacing w:before="120" w:line="288" w:lineRule="auto"/>
      <w:jc w:val="both"/>
    </w:pPr>
    <w:rPr>
      <w:rFonts w:eastAsia="SimSun" w:cs="Arial"/>
      <w:color w:val="auto"/>
      <w:sz w:val="16"/>
      <w:szCs w:val="20"/>
      <w:lang w:eastAsia="zh-CN"/>
    </w:rPr>
  </w:style>
  <w:style w:type="paragraph" w:customStyle="1" w:styleId="xl68">
    <w:name w:val="xl68"/>
    <w:basedOn w:val="Normal"/>
    <w:rsid w:val="00035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59"/>
    <w:pPr>
      <w:spacing w:after="280" w:line="280" w:lineRule="atLeast"/>
    </w:pPr>
    <w:rPr>
      <w:rFonts w:ascii="Arial" w:hAnsi="Arial"/>
      <w:color w:val="757679" w:themeColor="text1" w:themeTint="D9"/>
      <w:sz w:val="18"/>
    </w:rPr>
  </w:style>
  <w:style w:type="paragraph" w:styleId="Heading1">
    <w:name w:val="heading 1"/>
    <w:basedOn w:val="Normal"/>
    <w:next w:val="Normal"/>
    <w:link w:val="Heading1Char"/>
    <w:uiPriority w:val="9"/>
    <w:qFormat/>
    <w:rsid w:val="00151914"/>
    <w:pPr>
      <w:keepNext/>
      <w:keepLines/>
      <w:pageBreakBefore/>
      <w:spacing w:after="480" w:line="580" w:lineRule="atLeast"/>
      <w:outlineLvl w:val="0"/>
    </w:pPr>
    <w:rPr>
      <w:rFonts w:eastAsiaTheme="majorEastAsia" w:cstheme="majorBidi"/>
      <w:b/>
      <w:bCs/>
      <w:color w:val="F48024" w:themeColor="accent1"/>
      <w:sz w:val="48"/>
      <w:szCs w:val="28"/>
    </w:rPr>
  </w:style>
  <w:style w:type="paragraph" w:styleId="Heading2">
    <w:name w:val="heading 2"/>
    <w:basedOn w:val="Normal"/>
    <w:next w:val="Normal"/>
    <w:link w:val="Heading2Char"/>
    <w:uiPriority w:val="9"/>
    <w:unhideWhenUsed/>
    <w:qFormat/>
    <w:rsid w:val="00E01148"/>
    <w:pPr>
      <w:keepNext/>
      <w:keepLines/>
      <w:spacing w:before="480" w:line="528" w:lineRule="atLeast"/>
      <w:outlineLvl w:val="1"/>
    </w:pPr>
    <w:rPr>
      <w:rFonts w:eastAsiaTheme="majorEastAsia" w:cstheme="majorBidi"/>
      <w:bCs/>
      <w:color w:val="auto"/>
      <w:sz w:val="44"/>
      <w:szCs w:val="26"/>
    </w:rPr>
  </w:style>
  <w:style w:type="paragraph" w:styleId="Heading3">
    <w:name w:val="heading 3"/>
    <w:basedOn w:val="Normal"/>
    <w:next w:val="Normal"/>
    <w:link w:val="Heading3Char"/>
    <w:unhideWhenUsed/>
    <w:qFormat/>
    <w:rsid w:val="00403D4E"/>
    <w:pPr>
      <w:keepNext/>
      <w:keepLines/>
      <w:spacing w:before="340" w:after="0"/>
      <w:outlineLvl w:val="2"/>
    </w:pPr>
    <w:rPr>
      <w:rFonts w:eastAsiaTheme="majorEastAsia" w:cstheme="majorBidi"/>
      <w:b/>
      <w:bCs/>
      <w:color w:val="5E5F61" w:themeColor="text1"/>
      <w:sz w:val="24"/>
    </w:rPr>
  </w:style>
  <w:style w:type="paragraph" w:styleId="Heading4">
    <w:name w:val="heading 4"/>
    <w:basedOn w:val="Normal"/>
    <w:next w:val="Normal"/>
    <w:link w:val="Heading4Char"/>
    <w:uiPriority w:val="9"/>
    <w:unhideWhenUsed/>
    <w:qFormat/>
    <w:rsid w:val="005F095D"/>
    <w:pPr>
      <w:keepNext/>
      <w:keepLines/>
      <w:spacing w:after="240"/>
      <w:outlineLvl w:val="3"/>
    </w:pPr>
    <w:rPr>
      <w:rFonts w:eastAsiaTheme="majorEastAsia" w:cstheme="majorBidi"/>
      <w:b/>
      <w:bCs/>
      <w:iCs/>
      <w:color w:val="5E5F61" w:themeColor="text1"/>
      <w:sz w:val="20"/>
    </w:rPr>
  </w:style>
  <w:style w:type="paragraph" w:styleId="Heading5">
    <w:name w:val="heading 5"/>
    <w:basedOn w:val="Normal"/>
    <w:next w:val="Normal"/>
    <w:link w:val="Heading5Char"/>
    <w:uiPriority w:val="9"/>
    <w:unhideWhenUsed/>
    <w:qFormat/>
    <w:rsid w:val="00403D4E"/>
    <w:pPr>
      <w:keepNext/>
      <w:keepLines/>
      <w:spacing w:before="340" w:after="0"/>
      <w:outlineLvl w:val="4"/>
    </w:pPr>
    <w:rPr>
      <w:rFonts w:eastAsiaTheme="majorEastAsia" w:cstheme="majorBidi"/>
      <w:b/>
      <w:color w:val="F480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14"/>
    <w:rPr>
      <w:rFonts w:ascii="Arial" w:eastAsiaTheme="majorEastAsia" w:hAnsi="Arial" w:cstheme="majorBidi"/>
      <w:b/>
      <w:bCs/>
      <w:color w:val="F48024" w:themeColor="accent1"/>
      <w:sz w:val="48"/>
      <w:szCs w:val="28"/>
    </w:rPr>
  </w:style>
  <w:style w:type="character" w:customStyle="1" w:styleId="Heading2Char">
    <w:name w:val="Heading 2 Char"/>
    <w:basedOn w:val="DefaultParagraphFont"/>
    <w:link w:val="Heading2"/>
    <w:uiPriority w:val="9"/>
    <w:rsid w:val="00E01148"/>
    <w:rPr>
      <w:rFonts w:ascii="Arial" w:eastAsiaTheme="majorEastAsia" w:hAnsi="Arial" w:cstheme="majorBidi"/>
      <w:bCs/>
      <w:sz w:val="44"/>
      <w:szCs w:val="26"/>
    </w:rPr>
  </w:style>
  <w:style w:type="character" w:customStyle="1" w:styleId="Heading3Char">
    <w:name w:val="Heading 3 Char"/>
    <w:basedOn w:val="DefaultParagraphFont"/>
    <w:link w:val="Heading3"/>
    <w:rsid w:val="00403D4E"/>
    <w:rPr>
      <w:rFonts w:ascii="Arial" w:eastAsiaTheme="majorEastAsia" w:hAnsi="Arial" w:cstheme="majorBidi"/>
      <w:b/>
      <w:bCs/>
      <w:color w:val="5E5F61" w:themeColor="text1"/>
      <w:sz w:val="24"/>
    </w:rPr>
  </w:style>
  <w:style w:type="character" w:customStyle="1" w:styleId="Heading4Char">
    <w:name w:val="Heading 4 Char"/>
    <w:basedOn w:val="DefaultParagraphFont"/>
    <w:link w:val="Heading4"/>
    <w:uiPriority w:val="9"/>
    <w:rsid w:val="005F095D"/>
    <w:rPr>
      <w:rFonts w:ascii="Arial" w:eastAsiaTheme="majorEastAsia" w:hAnsi="Arial" w:cstheme="majorBidi"/>
      <w:b/>
      <w:bCs/>
      <w:iCs/>
      <w:color w:val="5E5F61" w:themeColor="text1"/>
      <w:sz w:val="20"/>
    </w:rPr>
  </w:style>
  <w:style w:type="character" w:customStyle="1" w:styleId="Heading5Char">
    <w:name w:val="Heading 5 Char"/>
    <w:basedOn w:val="DefaultParagraphFont"/>
    <w:link w:val="Heading5"/>
    <w:uiPriority w:val="9"/>
    <w:rsid w:val="00403D4E"/>
    <w:rPr>
      <w:rFonts w:ascii="Arial" w:eastAsiaTheme="majorEastAsia" w:hAnsi="Arial" w:cstheme="majorBidi"/>
      <w:b/>
      <w:color w:val="F48024"/>
      <w:sz w:val="18"/>
    </w:rPr>
  </w:style>
  <w:style w:type="paragraph" w:styleId="Title">
    <w:name w:val="Title"/>
    <w:basedOn w:val="Normal"/>
    <w:next w:val="Normal"/>
    <w:link w:val="TitleChar"/>
    <w:uiPriority w:val="10"/>
    <w:qFormat/>
    <w:rsid w:val="00A86809"/>
    <w:pPr>
      <w:spacing w:before="1200" w:after="0" w:line="400" w:lineRule="atLeast"/>
    </w:pPr>
    <w:rPr>
      <w:rFonts w:ascii="Arial Bold" w:eastAsiaTheme="majorEastAsia" w:hAnsi="Arial Bold" w:cstheme="majorBidi"/>
      <w:b/>
      <w:color w:val="FFFFFF" w:themeColor="background1"/>
      <w:sz w:val="40"/>
      <w:szCs w:val="52"/>
    </w:rPr>
  </w:style>
  <w:style w:type="character" w:customStyle="1" w:styleId="TitleChar">
    <w:name w:val="Title Char"/>
    <w:basedOn w:val="DefaultParagraphFont"/>
    <w:link w:val="Title"/>
    <w:uiPriority w:val="10"/>
    <w:rsid w:val="00A86809"/>
    <w:rPr>
      <w:rFonts w:ascii="Arial Bold" w:eastAsiaTheme="majorEastAsia" w:hAnsi="Arial Bold" w:cstheme="majorBidi"/>
      <w:b/>
      <w:color w:val="FFFFFF" w:themeColor="background1"/>
      <w:sz w:val="40"/>
      <w:szCs w:val="52"/>
    </w:rPr>
  </w:style>
  <w:style w:type="paragraph" w:styleId="TOC1">
    <w:name w:val="toc 1"/>
    <w:basedOn w:val="Normal"/>
    <w:next w:val="Normal"/>
    <w:uiPriority w:val="39"/>
    <w:unhideWhenUsed/>
    <w:rsid w:val="00212D53"/>
    <w:pPr>
      <w:spacing w:after="0" w:line="360" w:lineRule="atLeast"/>
    </w:pPr>
    <w:rPr>
      <w:rFonts w:ascii="Arial Bold" w:hAnsi="Arial Bold"/>
      <w:b/>
    </w:rPr>
  </w:style>
  <w:style w:type="paragraph" w:styleId="TOC3">
    <w:name w:val="toc 3"/>
    <w:basedOn w:val="TOC2"/>
    <w:next w:val="Normal"/>
    <w:uiPriority w:val="39"/>
    <w:unhideWhenUsed/>
    <w:rsid w:val="000024B5"/>
  </w:style>
  <w:style w:type="paragraph" w:styleId="TOC2">
    <w:name w:val="toc 2"/>
    <w:basedOn w:val="TOC1"/>
    <w:next w:val="Normal"/>
    <w:uiPriority w:val="39"/>
    <w:unhideWhenUsed/>
    <w:rsid w:val="000024B5"/>
    <w:pPr>
      <w:tabs>
        <w:tab w:val="right" w:leader="dot" w:pos="9016"/>
      </w:tabs>
    </w:pPr>
  </w:style>
  <w:style w:type="paragraph" w:styleId="NoSpacing">
    <w:name w:val="No Spacing"/>
    <w:basedOn w:val="Normal"/>
    <w:uiPriority w:val="1"/>
    <w:qFormat/>
    <w:rsid w:val="000A1485"/>
    <w:pPr>
      <w:spacing w:after="0"/>
    </w:pPr>
  </w:style>
  <w:style w:type="paragraph" w:styleId="Header">
    <w:name w:val="header"/>
    <w:basedOn w:val="Normal"/>
    <w:link w:val="HeaderChar"/>
    <w:uiPriority w:val="99"/>
    <w:unhideWhenUsed/>
    <w:rsid w:val="00701770"/>
    <w:pPr>
      <w:pBdr>
        <w:bottom w:val="single" w:sz="4" w:space="6" w:color="auto"/>
      </w:pBdr>
      <w:tabs>
        <w:tab w:val="center" w:pos="4513"/>
        <w:tab w:val="right" w:pos="9356"/>
      </w:tabs>
      <w:spacing w:after="0" w:line="240" w:lineRule="auto"/>
      <w:ind w:left="567" w:hanging="567"/>
    </w:pPr>
    <w:rPr>
      <w:noProof/>
    </w:rPr>
  </w:style>
  <w:style w:type="character" w:customStyle="1" w:styleId="HeaderChar">
    <w:name w:val="Header Char"/>
    <w:basedOn w:val="DefaultParagraphFont"/>
    <w:link w:val="Header"/>
    <w:uiPriority w:val="99"/>
    <w:rsid w:val="00701770"/>
    <w:rPr>
      <w:rFonts w:ascii="Arial" w:hAnsi="Arial"/>
      <w:noProof/>
      <w:color w:val="757679" w:themeColor="text1" w:themeTint="D9"/>
      <w:sz w:val="18"/>
    </w:rPr>
  </w:style>
  <w:style w:type="paragraph" w:styleId="Footer">
    <w:name w:val="footer"/>
    <w:basedOn w:val="Normal"/>
    <w:link w:val="FooterChar"/>
    <w:uiPriority w:val="99"/>
    <w:unhideWhenUsed/>
    <w:rsid w:val="0055326C"/>
    <w:pPr>
      <w:tabs>
        <w:tab w:val="center" w:pos="4513"/>
        <w:tab w:val="right" w:pos="9026"/>
      </w:tabs>
      <w:spacing w:after="0" w:line="240" w:lineRule="auto"/>
    </w:pPr>
    <w:rPr>
      <w:i/>
      <w:sz w:val="14"/>
    </w:rPr>
  </w:style>
  <w:style w:type="character" w:customStyle="1" w:styleId="FooterChar">
    <w:name w:val="Footer Char"/>
    <w:basedOn w:val="DefaultParagraphFont"/>
    <w:link w:val="Footer"/>
    <w:uiPriority w:val="99"/>
    <w:rsid w:val="0055326C"/>
    <w:rPr>
      <w:rFonts w:ascii="Arial" w:hAnsi="Arial"/>
      <w:i/>
      <w:color w:val="757679" w:themeColor="text1" w:themeTint="D9"/>
      <w:sz w:val="14"/>
    </w:rPr>
  </w:style>
  <w:style w:type="character" w:styleId="PlaceholderText">
    <w:name w:val="Placeholder Text"/>
    <w:basedOn w:val="DefaultParagraphFont"/>
    <w:uiPriority w:val="99"/>
    <w:semiHidden/>
    <w:rsid w:val="000A1485"/>
    <w:rPr>
      <w:color w:val="808080"/>
    </w:rPr>
  </w:style>
  <w:style w:type="paragraph" w:styleId="Quote">
    <w:name w:val="Quote"/>
    <w:basedOn w:val="Heading5"/>
    <w:next w:val="Normal"/>
    <w:link w:val="QuoteChar"/>
    <w:uiPriority w:val="29"/>
    <w:qFormat/>
    <w:rsid w:val="00BE6A3F"/>
    <w:pPr>
      <w:ind w:left="340" w:right="340"/>
    </w:pPr>
    <w:rPr>
      <w:b w:val="0"/>
      <w:i/>
      <w:sz w:val="24"/>
    </w:rPr>
  </w:style>
  <w:style w:type="character" w:customStyle="1" w:styleId="QuoteChar">
    <w:name w:val="Quote Char"/>
    <w:basedOn w:val="DefaultParagraphFont"/>
    <w:link w:val="Quote"/>
    <w:uiPriority w:val="29"/>
    <w:rsid w:val="00BE6A3F"/>
    <w:rPr>
      <w:rFonts w:ascii="Arial" w:eastAsiaTheme="majorEastAsia" w:hAnsi="Arial" w:cstheme="majorBidi"/>
      <w:i/>
      <w:color w:val="F48024"/>
      <w:sz w:val="24"/>
    </w:rPr>
  </w:style>
  <w:style w:type="paragraph" w:customStyle="1" w:styleId="EPLCallOutTitle">
    <w:name w:val="EPL Call Out Title"/>
    <w:basedOn w:val="Normal"/>
    <w:qFormat/>
    <w:rsid w:val="00CE7E9A"/>
    <w:pPr>
      <w:spacing w:after="0" w:line="400" w:lineRule="atLeast"/>
    </w:pPr>
    <w:rPr>
      <w:color w:val="5E5F61" w:themeColor="text1"/>
      <w:sz w:val="36"/>
    </w:rPr>
  </w:style>
  <w:style w:type="table" w:styleId="TableGrid">
    <w:name w:val="Table Grid"/>
    <w:basedOn w:val="TableNormal"/>
    <w:uiPriority w:val="59"/>
    <w:rsid w:val="00A86809"/>
    <w:pPr>
      <w:spacing w:before="80"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LProjectTableText">
    <w:name w:val="EPL Project Table Text"/>
    <w:basedOn w:val="NoSpacing"/>
    <w:qFormat/>
    <w:rsid w:val="00310FF6"/>
    <w:pPr>
      <w:jc w:val="center"/>
    </w:pPr>
    <w:rPr>
      <w:b/>
      <w:color w:val="FFFFFF" w:themeColor="background1"/>
    </w:rPr>
  </w:style>
  <w:style w:type="paragraph" w:customStyle="1" w:styleId="EPLStageNumber">
    <w:name w:val="EPL Stage Number"/>
    <w:basedOn w:val="Normal"/>
    <w:qFormat/>
    <w:rsid w:val="005B58F7"/>
    <w:pPr>
      <w:spacing w:after="0" w:line="240" w:lineRule="auto"/>
    </w:pPr>
    <w:rPr>
      <w:b/>
      <w:sz w:val="126"/>
    </w:rPr>
  </w:style>
  <w:style w:type="paragraph" w:customStyle="1" w:styleId="EPLStageDate">
    <w:name w:val="EPL Stage Date"/>
    <w:basedOn w:val="Normal"/>
    <w:qFormat/>
    <w:rsid w:val="005B58F7"/>
    <w:pPr>
      <w:spacing w:after="0" w:line="240" w:lineRule="auto"/>
      <w:jc w:val="center"/>
    </w:pPr>
    <w:rPr>
      <w:b/>
      <w:color w:val="F48024"/>
    </w:rPr>
  </w:style>
  <w:style w:type="paragraph" w:styleId="ListParagraph">
    <w:name w:val="List Paragraph"/>
    <w:basedOn w:val="Normal"/>
    <w:uiPriority w:val="34"/>
    <w:qFormat/>
    <w:rsid w:val="002C527A"/>
    <w:pPr>
      <w:numPr>
        <w:numId w:val="3"/>
      </w:numPr>
      <w:spacing w:after="120"/>
      <w:contextualSpacing/>
    </w:pPr>
    <w:rPr>
      <w:b/>
    </w:rPr>
  </w:style>
  <w:style w:type="paragraph" w:customStyle="1" w:styleId="ListIndent">
    <w:name w:val="List Indent"/>
    <w:basedOn w:val="Normal"/>
    <w:qFormat/>
    <w:rsid w:val="00896649"/>
    <w:pPr>
      <w:ind w:left="454"/>
    </w:pPr>
  </w:style>
  <w:style w:type="paragraph" w:customStyle="1" w:styleId="EPLAccountabilityHeading">
    <w:name w:val="EPL Accountability Heading"/>
    <w:basedOn w:val="Normal"/>
    <w:rsid w:val="00A86809"/>
    <w:pPr>
      <w:spacing w:after="0"/>
      <w:jc w:val="center"/>
    </w:pPr>
    <w:rPr>
      <w:b/>
    </w:rPr>
  </w:style>
  <w:style w:type="paragraph" w:customStyle="1" w:styleId="EPLDeliverableName">
    <w:name w:val="EPL Deliverable Name"/>
    <w:basedOn w:val="Normal"/>
    <w:qFormat/>
    <w:rsid w:val="003750E3"/>
    <w:pPr>
      <w:spacing w:before="80" w:after="0" w:line="240" w:lineRule="auto"/>
      <w:jc w:val="center"/>
    </w:pPr>
    <w:rPr>
      <w:color w:val="FFFFFF" w:themeColor="background1"/>
      <w:sz w:val="24"/>
      <w:szCs w:val="16"/>
    </w:rPr>
  </w:style>
  <w:style w:type="paragraph" w:customStyle="1" w:styleId="EPLDeliverableNumber">
    <w:name w:val="EPL Deliverable Number"/>
    <w:basedOn w:val="EPLStageNumber"/>
    <w:rsid w:val="003750E3"/>
    <w:pPr>
      <w:spacing w:line="1200" w:lineRule="exact"/>
      <w:jc w:val="center"/>
    </w:pPr>
    <w:rPr>
      <w:color w:val="FFFFFF" w:themeColor="background1"/>
    </w:rPr>
  </w:style>
  <w:style w:type="paragraph" w:customStyle="1" w:styleId="EPLDeliverablePrice">
    <w:name w:val="EPL Deliverable Price"/>
    <w:basedOn w:val="Normal"/>
    <w:rsid w:val="003750E3"/>
    <w:pPr>
      <w:spacing w:after="0" w:line="240" w:lineRule="auto"/>
      <w:jc w:val="center"/>
    </w:pPr>
    <w:rPr>
      <w:b/>
      <w:sz w:val="36"/>
      <w:szCs w:val="16"/>
    </w:rPr>
  </w:style>
  <w:style w:type="paragraph" w:customStyle="1" w:styleId="EPLDeliverableText">
    <w:name w:val="EPL Deliverable Text"/>
    <w:basedOn w:val="Normal"/>
    <w:rsid w:val="00ED60C8"/>
    <w:pPr>
      <w:spacing w:after="0"/>
    </w:pPr>
    <w:rPr>
      <w:szCs w:val="16"/>
    </w:rPr>
  </w:style>
  <w:style w:type="paragraph" w:customStyle="1" w:styleId="EPLAwardBullet">
    <w:name w:val="EPL Award Bullet"/>
    <w:basedOn w:val="ListParagraph"/>
    <w:qFormat/>
    <w:rsid w:val="0035042C"/>
    <w:pPr>
      <w:numPr>
        <w:numId w:val="15"/>
      </w:numPr>
      <w:ind w:left="453" w:hanging="340"/>
    </w:pPr>
    <w:rPr>
      <w:b w:val="0"/>
    </w:rPr>
  </w:style>
  <w:style w:type="paragraph" w:customStyle="1" w:styleId="EPLAwardDate">
    <w:name w:val="EPL Award Date"/>
    <w:basedOn w:val="Normal"/>
    <w:rsid w:val="007F5B62"/>
    <w:pPr>
      <w:spacing w:after="140"/>
    </w:pPr>
    <w:rPr>
      <w:sz w:val="44"/>
    </w:rPr>
  </w:style>
  <w:style w:type="paragraph" w:customStyle="1" w:styleId="EPLAwardTitle">
    <w:name w:val="EPL Award Title"/>
    <w:basedOn w:val="Heading3"/>
    <w:rsid w:val="00A86809"/>
    <w:pPr>
      <w:spacing w:before="0"/>
    </w:pPr>
  </w:style>
  <w:style w:type="paragraph" w:styleId="Subtitle">
    <w:name w:val="Subtitle"/>
    <w:basedOn w:val="Normal"/>
    <w:next w:val="Normal"/>
    <w:link w:val="SubtitleChar"/>
    <w:uiPriority w:val="11"/>
    <w:rsid w:val="00A86809"/>
    <w:pPr>
      <w:numPr>
        <w:ilvl w:val="1"/>
      </w:numPr>
      <w:spacing w:before="140"/>
    </w:pPr>
    <w:rPr>
      <w:rFonts w:eastAsiaTheme="majorEastAsia" w:cstheme="majorBidi"/>
      <w:iCs/>
      <w:caps/>
      <w:color w:val="FFFFFF" w:themeColor="background1"/>
      <w:sz w:val="28"/>
      <w:szCs w:val="24"/>
    </w:rPr>
  </w:style>
  <w:style w:type="character" w:customStyle="1" w:styleId="SubtitleChar">
    <w:name w:val="Subtitle Char"/>
    <w:basedOn w:val="DefaultParagraphFont"/>
    <w:link w:val="Subtitle"/>
    <w:uiPriority w:val="11"/>
    <w:rsid w:val="00A86809"/>
    <w:rPr>
      <w:rFonts w:ascii="Arial" w:eastAsiaTheme="majorEastAsia" w:hAnsi="Arial" w:cstheme="majorBidi"/>
      <w:iCs/>
      <w:caps/>
      <w:color w:val="FFFFFF" w:themeColor="background1"/>
      <w:sz w:val="28"/>
      <w:szCs w:val="24"/>
    </w:rPr>
  </w:style>
  <w:style w:type="paragraph" w:customStyle="1" w:styleId="EPLProposalSubheading2">
    <w:name w:val="EPL Proposal Subheading 2"/>
    <w:basedOn w:val="Normal"/>
    <w:rsid w:val="00A86809"/>
    <w:pPr>
      <w:spacing w:after="140"/>
    </w:pPr>
    <w:rPr>
      <w:color w:val="FFFFFF" w:themeColor="background1"/>
      <w:sz w:val="28"/>
    </w:rPr>
  </w:style>
  <w:style w:type="paragraph" w:customStyle="1" w:styleId="EPLProposalDate">
    <w:name w:val="EPL Proposal Date"/>
    <w:basedOn w:val="Normal"/>
    <w:qFormat/>
    <w:rsid w:val="00A86809"/>
    <w:rPr>
      <w:color w:val="FFFFFF" w:themeColor="background1"/>
      <w:sz w:val="20"/>
    </w:rPr>
  </w:style>
  <w:style w:type="paragraph" w:customStyle="1" w:styleId="EPLProposalTitle">
    <w:name w:val="EPL Proposal Title"/>
    <w:basedOn w:val="Normal"/>
    <w:rsid w:val="00A86809"/>
    <w:pPr>
      <w:spacing w:before="1200" w:after="140"/>
    </w:pPr>
    <w:rPr>
      <w:b/>
      <w:color w:val="FFFFFF" w:themeColor="background1"/>
      <w:sz w:val="40"/>
    </w:rPr>
  </w:style>
  <w:style w:type="paragraph" w:customStyle="1" w:styleId="EPLProposalSubheading">
    <w:name w:val="EPL Proposal Subheading"/>
    <w:basedOn w:val="Title"/>
    <w:qFormat/>
    <w:rsid w:val="00AD7572"/>
    <w:pPr>
      <w:spacing w:before="0" w:after="700" w:line="280" w:lineRule="atLeast"/>
    </w:pPr>
    <w:rPr>
      <w:rFonts w:ascii="Arial" w:hAnsi="Arial"/>
      <w:b w:val="0"/>
      <w:sz w:val="28"/>
    </w:rPr>
  </w:style>
  <w:style w:type="paragraph" w:customStyle="1" w:styleId="ProjectInfoHeading">
    <w:name w:val="Project Info Heading"/>
    <w:basedOn w:val="EPLAccountabilityHeading"/>
    <w:qFormat/>
    <w:rsid w:val="004074CE"/>
    <w:pPr>
      <w:spacing w:before="80"/>
    </w:pPr>
  </w:style>
  <w:style w:type="paragraph" w:customStyle="1" w:styleId="EnergeticsTableNormal">
    <w:name w:val="Energetics Table Normal"/>
    <w:basedOn w:val="Normal"/>
    <w:qFormat/>
    <w:rsid w:val="008646A1"/>
    <w:pPr>
      <w:spacing w:before="80" w:after="80"/>
    </w:pPr>
  </w:style>
  <w:style w:type="paragraph" w:styleId="ListBullet">
    <w:name w:val="List Bullet"/>
    <w:basedOn w:val="Normal"/>
    <w:uiPriority w:val="99"/>
    <w:unhideWhenUsed/>
    <w:rsid w:val="001F5315"/>
    <w:pPr>
      <w:numPr>
        <w:numId w:val="5"/>
      </w:numPr>
      <w:tabs>
        <w:tab w:val="clear" w:pos="340"/>
      </w:tabs>
      <w:spacing w:after="120"/>
      <w:ind w:left="454" w:hanging="454"/>
      <w:contextualSpacing/>
    </w:pPr>
  </w:style>
  <w:style w:type="paragraph" w:styleId="ListBullet2">
    <w:name w:val="List Bullet 2"/>
    <w:basedOn w:val="Normal"/>
    <w:uiPriority w:val="99"/>
    <w:unhideWhenUsed/>
    <w:rsid w:val="00F24423"/>
    <w:pPr>
      <w:numPr>
        <w:numId w:val="6"/>
      </w:numPr>
      <w:spacing w:after="120"/>
      <w:ind w:left="680" w:hanging="340"/>
      <w:contextualSpacing/>
    </w:pPr>
  </w:style>
  <w:style w:type="paragraph" w:styleId="ListBullet3">
    <w:name w:val="List Bullet 3"/>
    <w:basedOn w:val="Normal"/>
    <w:uiPriority w:val="99"/>
    <w:unhideWhenUsed/>
    <w:rsid w:val="00F24423"/>
    <w:pPr>
      <w:numPr>
        <w:numId w:val="7"/>
      </w:numPr>
      <w:tabs>
        <w:tab w:val="clear" w:pos="926"/>
      </w:tabs>
      <w:spacing w:after="120"/>
      <w:ind w:left="1020" w:hanging="340"/>
      <w:contextualSpacing/>
    </w:pPr>
  </w:style>
  <w:style w:type="character" w:styleId="Hyperlink">
    <w:name w:val="Hyperlink"/>
    <w:basedOn w:val="DefaultParagraphFont"/>
    <w:uiPriority w:val="99"/>
    <w:unhideWhenUsed/>
    <w:rsid w:val="00096AA4"/>
    <w:rPr>
      <w:rFonts w:cs="Times New Roman"/>
      <w:b/>
      <w:color w:val="F48024"/>
      <w:u w:val="none"/>
    </w:rPr>
  </w:style>
  <w:style w:type="character" w:styleId="FollowedHyperlink">
    <w:name w:val="FollowedHyperlink"/>
    <w:basedOn w:val="DefaultParagraphFont"/>
    <w:uiPriority w:val="99"/>
    <w:semiHidden/>
    <w:unhideWhenUsed/>
    <w:rsid w:val="00096AA4"/>
    <w:rPr>
      <w:color w:val="5E5F61" w:themeColor="followedHyperlink"/>
      <w:u w:val="single"/>
    </w:rPr>
  </w:style>
  <w:style w:type="paragraph" w:customStyle="1" w:styleId="EPLStageheading">
    <w:name w:val="EPL Stage heading"/>
    <w:basedOn w:val="NoSpacing"/>
    <w:qFormat/>
    <w:rsid w:val="00187274"/>
    <w:pPr>
      <w:spacing w:before="80"/>
    </w:pPr>
    <w:rPr>
      <w:b/>
    </w:rPr>
  </w:style>
  <w:style w:type="paragraph" w:styleId="BodyText">
    <w:name w:val="Body Text"/>
    <w:basedOn w:val="Normal"/>
    <w:link w:val="BodyTextChar"/>
    <w:uiPriority w:val="99"/>
    <w:unhideWhenUsed/>
    <w:rsid w:val="00782A00"/>
    <w:pPr>
      <w:spacing w:after="120"/>
    </w:pPr>
  </w:style>
  <w:style w:type="character" w:customStyle="1" w:styleId="BodyTextChar">
    <w:name w:val="Body Text Char"/>
    <w:basedOn w:val="DefaultParagraphFont"/>
    <w:link w:val="BodyText"/>
    <w:uiPriority w:val="99"/>
    <w:rsid w:val="00782A00"/>
    <w:rPr>
      <w:rFonts w:ascii="Arial" w:hAnsi="Arial"/>
      <w:color w:val="757679" w:themeColor="text1" w:themeTint="D9"/>
      <w:sz w:val="18"/>
    </w:rPr>
  </w:style>
  <w:style w:type="paragraph" w:customStyle="1" w:styleId="StageDate">
    <w:name w:val="Stage Date"/>
    <w:basedOn w:val="Normal"/>
    <w:qFormat/>
    <w:rsid w:val="00A67A5C"/>
    <w:pPr>
      <w:spacing w:after="0" w:line="240" w:lineRule="auto"/>
      <w:jc w:val="center"/>
    </w:pPr>
    <w:rPr>
      <w:b/>
      <w:color w:val="F48024"/>
    </w:rPr>
  </w:style>
  <w:style w:type="paragraph" w:customStyle="1" w:styleId="Stageheading">
    <w:name w:val="Stage heading"/>
    <w:basedOn w:val="NoSpacing"/>
    <w:qFormat/>
    <w:rsid w:val="00A67A5C"/>
    <w:pPr>
      <w:spacing w:before="80"/>
    </w:pPr>
    <w:rPr>
      <w:b/>
    </w:rPr>
  </w:style>
  <w:style w:type="table" w:customStyle="1" w:styleId="EPLTablePlain">
    <w:name w:val="EPL_Table_Plain"/>
    <w:basedOn w:val="TableNormal"/>
    <w:rsid w:val="0049180F"/>
    <w:pPr>
      <w:spacing w:before="80" w:after="0" w:line="280" w:lineRule="atLeast"/>
      <w:contextualSpacing/>
    </w:pPr>
    <w:rPr>
      <w:rFonts w:ascii="Arial" w:eastAsia="Times New Roman" w:hAnsi="Arial" w:cs="Times New Roman"/>
      <w:color w:val="5E5F61" w:themeColor="text1"/>
      <w:sz w:val="18"/>
      <w:szCs w:val="20"/>
      <w:lang w:eastAsia="en-AU"/>
    </w:rPr>
    <w:tblPr>
      <w:tblCellSpacing w:w="28" w:type="dxa"/>
      <w:tblCellMar>
        <w:left w:w="142" w:type="dxa"/>
        <w:right w:w="142" w:type="dxa"/>
      </w:tblCellMar>
    </w:tblPr>
    <w:trPr>
      <w:tblCellSpacing w:w="28" w:type="dxa"/>
    </w:trPr>
    <w:tcPr>
      <w:shd w:val="clear" w:color="auto" w:fill="F3F3F3"/>
    </w:tcPr>
    <w:tblStylePr w:type="firstRow">
      <w:pPr>
        <w:wordWrap/>
        <w:jc w:val="center"/>
      </w:pPr>
      <w:rPr>
        <w:rFonts w:ascii="Arial Bold" w:hAnsi="Arial Bold"/>
        <w:b/>
        <w:color w:val="5E5F61" w:themeColor="text1"/>
        <w:sz w:val="18"/>
      </w:rPr>
      <w:tblPr/>
      <w:tcPr>
        <w:tcBorders>
          <w:top w:val="single" w:sz="12" w:space="0" w:color="F48024" w:themeColor="accent1"/>
          <w:left w:val="nil"/>
          <w:bottom w:val="nil"/>
          <w:right w:val="nil"/>
          <w:insideH w:val="nil"/>
          <w:insideV w:val="nil"/>
          <w:tl2br w:val="nil"/>
          <w:tr2bl w:val="nil"/>
        </w:tcBorders>
        <w:shd w:val="clear" w:color="auto" w:fill="F3F3F3"/>
      </w:tcPr>
    </w:tblStylePr>
  </w:style>
  <w:style w:type="table" w:customStyle="1" w:styleId="EPLTableStandard">
    <w:name w:val="EPL_Table_Standard"/>
    <w:basedOn w:val="TableNormal"/>
    <w:rsid w:val="0049180F"/>
    <w:pPr>
      <w:spacing w:after="0" w:line="240" w:lineRule="auto"/>
    </w:pPr>
    <w:rPr>
      <w:rFonts w:ascii="Arial" w:eastAsia="Times New Roman" w:hAnsi="Arial" w:cs="Times New Roman"/>
      <w:sz w:val="18"/>
      <w:szCs w:val="18"/>
      <w:lang w:eastAsia="en-AU"/>
    </w:rPr>
    <w:tblPr>
      <w:tblStyleRow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left w:w="142" w:type="dxa"/>
        <w:right w:w="142" w:type="dxa"/>
      </w:tblCellMar>
    </w:tblPr>
    <w:trPr>
      <w:cantSplit/>
    </w:trPr>
    <w:tblStylePr w:type="firstRow">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DD6225" w:themeColor="text2"/>
          <w:right w:val="nil"/>
          <w:insideH w:val="nil"/>
          <w:insideV w:val="nil"/>
          <w:tl2br w:val="nil"/>
          <w:tr2bl w:val="nil"/>
        </w:tcBorders>
      </w:tcPr>
    </w:tblStylePr>
    <w:tblStylePr w:type="firstCol">
      <w:tblPr/>
      <w:tcPr>
        <w:tcBorders>
          <w:top w:val="nil"/>
          <w:left w:val="nil"/>
          <w:bottom w:val="nil"/>
          <w:right w:val="single" w:sz="4" w:space="0" w:color="5E5F61" w:themeColor="text1"/>
          <w:insideH w:val="nil"/>
          <w:insideV w:val="nil"/>
          <w:tl2br w:val="nil"/>
          <w:tr2bl w:val="nil"/>
        </w:tcBorders>
      </w:tcPr>
    </w:tblStylePr>
    <w:tblStylePr w:type="lastCol">
      <w:tblPr/>
      <w:tcPr>
        <w:tcBorders>
          <w:top w:val="nil"/>
          <w:left w:val="single" w:sz="4" w:space="0" w:color="5E5F61" w:themeColor="text1"/>
          <w:bottom w:val="nil"/>
          <w:right w:val="nil"/>
          <w:insideH w:val="nil"/>
          <w:insideV w:val="nil"/>
          <w:tl2br w:val="nil"/>
          <w:tr2bl w:val="nil"/>
        </w:tcBorders>
      </w:tcPr>
    </w:tblStylePr>
    <w:tblStylePr w:type="band1Horz">
      <w:pPr>
        <w:wordWrap/>
        <w:spacing w:beforeLines="0" w:before="80" w:beforeAutospacing="0" w:afterLines="0" w:after="80" w:afterAutospacing="0" w:line="280" w:lineRule="atLeast"/>
      </w:pPr>
      <w:rPr>
        <w:sz w:val="18"/>
      </w:rPr>
      <w:tblPr/>
      <w:tcPr>
        <w:tcBorders>
          <w:top w:val="nil"/>
          <w:left w:val="nil"/>
          <w:bottom w:val="nil"/>
          <w:right w:val="nil"/>
          <w:insideH w:val="nil"/>
          <w:insideV w:val="single" w:sz="4" w:space="0" w:color="5E5F61" w:themeColor="text1"/>
          <w:tl2br w:val="nil"/>
          <w:tr2bl w:val="nil"/>
        </w:tcBorders>
        <w:shd w:val="clear" w:color="auto" w:fill="E5E5E6"/>
      </w:tcPr>
    </w:tblStylePr>
    <w:tblStylePr w:type="band2Horz">
      <w:pPr>
        <w:wordWrap/>
        <w:spacing w:beforeLines="0" w:before="80" w:beforeAutospacing="0" w:afterLines="0" w:after="80" w:afterAutospacing="0" w:line="280" w:lineRule="atLeast"/>
      </w:pPr>
      <w:rPr>
        <w:sz w:val="18"/>
      </w:rPr>
      <w:tblPr/>
      <w:tcPr>
        <w:tcBorders>
          <w:top w:val="nil"/>
          <w:left w:val="nil"/>
          <w:bottom w:val="nil"/>
          <w:right w:val="nil"/>
          <w:insideH w:val="nil"/>
          <w:insideV w:val="single" w:sz="4" w:space="0" w:color="5E5F61" w:themeColor="text1"/>
          <w:tl2br w:val="nil"/>
          <w:tr2bl w:val="nil"/>
        </w:tcBorders>
      </w:tcPr>
    </w:tblStylePr>
  </w:style>
  <w:style w:type="table" w:customStyle="1" w:styleId="EPLTableTenders">
    <w:name w:val="EPL_Table_Tenders"/>
    <w:basedOn w:val="EPLTableStandard"/>
    <w:rsid w:val="0049180F"/>
    <w:rPr>
      <w:szCs w:val="20"/>
    </w:rPr>
    <w:tblPr>
      <w:tblStyleColBandSize w:val="1"/>
      <w:tblBorders>
        <w:top w:val="single" w:sz="4" w:space="0" w:color="BEBEC0" w:themeColor="text1" w:themeTint="66"/>
        <w:left w:val="none" w:sz="0" w:space="0" w:color="auto"/>
        <w:bottom w:val="single" w:sz="4" w:space="0" w:color="BEBEC0" w:themeColor="text1" w:themeTint="66"/>
        <w:right w:val="none" w:sz="0" w:space="0" w:color="auto"/>
        <w:insideH w:val="single" w:sz="4" w:space="0" w:color="BEBEC0" w:themeColor="text1" w:themeTint="66"/>
        <w:insideV w:val="single" w:sz="4" w:space="0" w:color="BEBEC0" w:themeColor="text1" w:themeTint="66"/>
      </w:tblBorders>
    </w:tblPr>
    <w:tcPr>
      <w:shd w:val="clear" w:color="auto" w:fill="auto"/>
    </w:tcPr>
    <w:tblStylePr w:type="firstRow">
      <w:rPr>
        <w:rFonts w:ascii="Arial Bold" w:hAnsi="Arial Bold"/>
        <w:b/>
        <w:i w:val="0"/>
        <w:color w:val="FFFFFF"/>
        <w:sz w:val="18"/>
        <w:szCs w:val="18"/>
      </w:rPr>
      <w:tblPr/>
      <w:tcPr>
        <w:tcBorders>
          <w:top w:val="single" w:sz="2" w:space="0" w:color="FFFFFF"/>
          <w:left w:val="single" w:sz="2" w:space="0" w:color="FFFFFF"/>
          <w:bottom w:val="single" w:sz="12" w:space="0" w:color="F48024" w:themeColor="accent1"/>
          <w:right w:val="single" w:sz="2" w:space="0" w:color="FFFFFF"/>
          <w:insideH w:val="nil"/>
          <w:insideV w:val="single" w:sz="2" w:space="0" w:color="FFFFFF"/>
          <w:tl2br w:val="nil"/>
          <w:tr2bl w:val="nil"/>
        </w:tcBorders>
        <w:shd w:val="clear" w:color="auto" w:fill="E5E5E6"/>
      </w:tcPr>
    </w:tblStylePr>
    <w:tblStylePr w:type="lastRow">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firstCol">
      <w:tblPr/>
      <w:tcPr>
        <w:tcBorders>
          <w:top w:val="single" w:sz="4" w:space="0" w:color="9D9EA0"/>
          <w:left w:val="nil"/>
          <w:bottom w:val="single" w:sz="4" w:space="0" w:color="9D9EA0"/>
          <w:right w:val="single" w:sz="4" w:space="0" w:color="5E5F61" w:themeColor="text1"/>
          <w:insideH w:val="nil"/>
          <w:insideV w:val="nil"/>
          <w:tl2br w:val="nil"/>
          <w:tr2bl w:val="nil"/>
        </w:tcBorders>
        <w:shd w:val="clear" w:color="auto" w:fill="auto"/>
      </w:tcPr>
    </w:tblStylePr>
    <w:tblStylePr w:type="lastCol">
      <w:tblPr/>
      <w:tcPr>
        <w:tcBorders>
          <w:top w:val="nil"/>
          <w:left w:val="single" w:sz="4" w:space="0" w:color="5E5F61" w:themeColor="text1"/>
          <w:bottom w:val="nil"/>
          <w:right w:val="nil"/>
          <w:insideH w:val="nil"/>
          <w:insideV w:val="nil"/>
          <w:tl2br w:val="nil"/>
          <w:tr2bl w:val="nil"/>
        </w:tcBorders>
      </w:tcPr>
    </w:tblStylePr>
    <w:tblStylePr w:type="band1Vert">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2Vert">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1Horz">
      <w:pPr>
        <w:wordWrap/>
        <w:spacing w:beforeLines="0" w:before="80" w:beforeAutospacing="0" w:afterLines="0" w:after="80" w:afterAutospacing="0" w:line="280" w:lineRule="atLeast"/>
      </w:pPr>
      <w:rPr>
        <w:sz w:val="18"/>
      </w:rPr>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band2Horz">
      <w:pPr>
        <w:wordWrap/>
        <w:spacing w:beforeLines="0" w:before="80" w:beforeAutospacing="0" w:afterLines="0" w:after="80" w:afterAutospacing="0" w:line="280" w:lineRule="atLeast"/>
      </w:pPr>
      <w:rPr>
        <w:sz w:val="18"/>
      </w:rPr>
      <w:tblPr/>
      <w:tcPr>
        <w:tcBorders>
          <w:top w:val="single" w:sz="4" w:space="0" w:color="9D9EA0"/>
          <w:left w:val="nil"/>
          <w:bottom w:val="single" w:sz="4" w:space="0" w:color="9D9EA0"/>
          <w:right w:val="nil"/>
          <w:insideH w:val="nil"/>
          <w:insideV w:val="single" w:sz="4" w:space="0" w:color="5E5F61" w:themeColor="text1"/>
          <w:tl2br w:val="nil"/>
          <w:tr2bl w:val="nil"/>
        </w:tcBorders>
        <w:shd w:val="clear" w:color="auto" w:fill="auto"/>
      </w:tcPr>
    </w:tblStylePr>
  </w:style>
  <w:style w:type="paragraph" w:styleId="BalloonText">
    <w:name w:val="Balloon Text"/>
    <w:basedOn w:val="Normal"/>
    <w:link w:val="BalloonTextChar"/>
    <w:uiPriority w:val="99"/>
    <w:semiHidden/>
    <w:unhideWhenUsed/>
    <w:rsid w:val="009F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51"/>
    <w:rPr>
      <w:rFonts w:ascii="Tahoma" w:hAnsi="Tahoma" w:cs="Tahoma"/>
      <w:color w:val="757679" w:themeColor="text1" w:themeTint="D9"/>
      <w:sz w:val="16"/>
      <w:szCs w:val="16"/>
    </w:rPr>
  </w:style>
  <w:style w:type="paragraph" w:styleId="FootnoteText">
    <w:name w:val="footnote text"/>
    <w:basedOn w:val="Normal"/>
    <w:link w:val="FootnoteTextChar"/>
    <w:uiPriority w:val="99"/>
    <w:semiHidden/>
    <w:unhideWhenUsed/>
    <w:rsid w:val="00355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A77"/>
    <w:rPr>
      <w:rFonts w:ascii="Arial" w:hAnsi="Arial"/>
      <w:color w:val="757679" w:themeColor="text1" w:themeTint="D9"/>
      <w:sz w:val="20"/>
      <w:szCs w:val="20"/>
    </w:rPr>
  </w:style>
  <w:style w:type="character" w:styleId="FootnoteReference">
    <w:name w:val="footnote reference"/>
    <w:basedOn w:val="DefaultParagraphFont"/>
    <w:semiHidden/>
    <w:rsid w:val="00355A77"/>
    <w:rPr>
      <w:vertAlign w:val="superscript"/>
    </w:rPr>
  </w:style>
  <w:style w:type="character" w:styleId="CommentReference">
    <w:name w:val="annotation reference"/>
    <w:basedOn w:val="DefaultParagraphFont"/>
    <w:uiPriority w:val="99"/>
    <w:semiHidden/>
    <w:unhideWhenUsed/>
    <w:rsid w:val="00355A77"/>
    <w:rPr>
      <w:sz w:val="16"/>
      <w:szCs w:val="16"/>
    </w:rPr>
  </w:style>
  <w:style w:type="paragraph" w:styleId="CommentText">
    <w:name w:val="annotation text"/>
    <w:basedOn w:val="Normal"/>
    <w:link w:val="CommentTextChar"/>
    <w:uiPriority w:val="99"/>
    <w:unhideWhenUsed/>
    <w:rsid w:val="00355A77"/>
    <w:pPr>
      <w:spacing w:line="240" w:lineRule="auto"/>
    </w:pPr>
    <w:rPr>
      <w:sz w:val="20"/>
      <w:szCs w:val="20"/>
    </w:rPr>
  </w:style>
  <w:style w:type="character" w:customStyle="1" w:styleId="CommentTextChar">
    <w:name w:val="Comment Text Char"/>
    <w:basedOn w:val="DefaultParagraphFont"/>
    <w:link w:val="CommentText"/>
    <w:uiPriority w:val="99"/>
    <w:rsid w:val="00355A77"/>
    <w:rPr>
      <w:rFonts w:ascii="Arial" w:hAnsi="Arial"/>
      <w:color w:val="757679" w:themeColor="text1" w:themeTint="D9"/>
      <w:sz w:val="20"/>
      <w:szCs w:val="20"/>
    </w:rPr>
  </w:style>
  <w:style w:type="paragraph" w:styleId="TOCHeading">
    <w:name w:val="TOC Heading"/>
    <w:basedOn w:val="Heading1"/>
    <w:next w:val="Normal"/>
    <w:uiPriority w:val="39"/>
    <w:semiHidden/>
    <w:unhideWhenUsed/>
    <w:qFormat/>
    <w:rsid w:val="00F80E4E"/>
    <w:pPr>
      <w:pageBreakBefore w:val="0"/>
      <w:spacing w:before="480" w:after="0" w:line="276" w:lineRule="auto"/>
      <w:outlineLvl w:val="9"/>
    </w:pPr>
    <w:rPr>
      <w:rFonts w:asciiTheme="majorHAnsi" w:hAnsiTheme="majorHAnsi"/>
      <w:color w:val="C75D0A" w:themeColor="accent1" w:themeShade="BF"/>
      <w:sz w:val="28"/>
      <w:lang w:val="en-US" w:eastAsia="ja-JP"/>
    </w:rPr>
  </w:style>
  <w:style w:type="paragraph" w:styleId="CommentSubject">
    <w:name w:val="annotation subject"/>
    <w:basedOn w:val="CommentText"/>
    <w:next w:val="CommentText"/>
    <w:link w:val="CommentSubjectChar"/>
    <w:uiPriority w:val="99"/>
    <w:semiHidden/>
    <w:unhideWhenUsed/>
    <w:rsid w:val="002A6A74"/>
    <w:rPr>
      <w:b/>
      <w:bCs/>
    </w:rPr>
  </w:style>
  <w:style w:type="character" w:customStyle="1" w:styleId="CommentSubjectChar">
    <w:name w:val="Comment Subject Char"/>
    <w:basedOn w:val="CommentTextChar"/>
    <w:link w:val="CommentSubject"/>
    <w:uiPriority w:val="99"/>
    <w:semiHidden/>
    <w:rsid w:val="002A6A74"/>
    <w:rPr>
      <w:rFonts w:ascii="Arial" w:hAnsi="Arial"/>
      <w:b/>
      <w:bCs/>
      <w:color w:val="757679" w:themeColor="text1" w:themeTint="D9"/>
      <w:sz w:val="20"/>
      <w:szCs w:val="20"/>
    </w:rPr>
  </w:style>
  <w:style w:type="paragraph" w:styleId="Caption">
    <w:name w:val="caption"/>
    <w:basedOn w:val="Normal"/>
    <w:next w:val="Normal"/>
    <w:uiPriority w:val="35"/>
    <w:unhideWhenUsed/>
    <w:qFormat/>
    <w:rsid w:val="00543F9A"/>
    <w:pPr>
      <w:spacing w:after="200" w:line="240" w:lineRule="auto"/>
    </w:pPr>
    <w:rPr>
      <w:b/>
      <w:bCs/>
      <w:color w:val="F48024" w:themeColor="accent1"/>
      <w:szCs w:val="18"/>
    </w:rPr>
  </w:style>
  <w:style w:type="paragraph" w:customStyle="1" w:styleId="EPLCopyrightandDisclaimer">
    <w:name w:val="EPL Copyright and Disclaimer"/>
    <w:basedOn w:val="BodyText"/>
    <w:rsid w:val="000356C2"/>
    <w:pPr>
      <w:spacing w:before="120" w:line="288" w:lineRule="auto"/>
      <w:jc w:val="both"/>
    </w:pPr>
    <w:rPr>
      <w:rFonts w:eastAsia="SimSun" w:cs="Arial"/>
      <w:color w:val="auto"/>
      <w:sz w:val="16"/>
      <w:szCs w:val="20"/>
      <w:lang w:eastAsia="zh-CN"/>
    </w:rPr>
  </w:style>
  <w:style w:type="paragraph" w:customStyle="1" w:styleId="xl68">
    <w:name w:val="xl68"/>
    <w:basedOn w:val="Normal"/>
    <w:rsid w:val="00035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6"/>
      <w:szCs w:val="16"/>
      <w:lang w:eastAsia="en-AU"/>
    </w:rPr>
  </w:style>
</w:styles>
</file>

<file path=word/webSettings.xml><?xml version="1.0" encoding="utf-8"?>
<w:webSettings xmlns:r="http://schemas.openxmlformats.org/officeDocument/2006/relationships" xmlns:w="http://schemas.openxmlformats.org/wordprocessingml/2006/main">
  <w:divs>
    <w:div w:id="6362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4.png" Id="rId18" /><Relationship Type="http://schemas.openxmlformats.org/officeDocument/2006/relationships/hyperlink" Target="mailto:Peter.Holt@energetics.com.au" TargetMode="External" Id="rId26" /><Relationship Type="http://schemas.openxmlformats.org/officeDocument/2006/relationships/glossaryDocument" Target="glossary/document.xml" Id="rId39" /><Relationship Type="http://schemas.openxmlformats.org/officeDocument/2006/relationships/image" Target="media/image7.png" Id="rId21" /><Relationship Type="http://schemas.openxmlformats.org/officeDocument/2006/relationships/header" Target="header7.xml" Id="rId34" /><Relationship Type="http://schemas.openxmlformats.org/officeDocument/2006/relationships/footnotes" Target="footnotes.xml" Id="rId12" /><Relationship Type="http://schemas.openxmlformats.org/officeDocument/2006/relationships/image" Target="media/image3.png" Id="rId17" /><Relationship Type="http://schemas.openxmlformats.org/officeDocument/2006/relationships/hyperlink" Target="mailto:Emma.Fagan@energetics.com.au" TargetMode="External" Id="rId25" /><Relationship Type="http://schemas.openxmlformats.org/officeDocument/2006/relationships/header" Target="header6.xml" Id="rId33" /><Relationship Type="http://schemas.openxmlformats.org/officeDocument/2006/relationships/fontTable" Target="fontTable.xml" Id="rId38" /><Relationship Type="http://schemas.openxmlformats.org/officeDocument/2006/relationships/header" Target="header2.xml" Id="rId16" /><Relationship Type="http://schemas.openxmlformats.org/officeDocument/2006/relationships/image" Target="media/image6.png" Id="rId20" /><Relationship Type="http://schemas.openxmlformats.org/officeDocument/2006/relationships/footer" Target="footer2.xml" Id="rId29" /><Relationship Type="http://schemas.microsoft.com/office/2007/relationships/stylesWithEffects" Target="stylesWithEffects.xml" Id="rId41" /><Relationship Type="http://schemas.openxmlformats.org/officeDocument/2006/relationships/webSettings" Target="webSettings.xml" Id="rId11" /><Relationship Type="http://schemas.openxmlformats.org/officeDocument/2006/relationships/hyperlink" Target="mailto:Gordon.Weiss@energetics.com.au" TargetMode="External" Id="rId24" /><Relationship Type="http://schemas.openxmlformats.org/officeDocument/2006/relationships/image" Target="media/image10.png" Id="rId32" /><Relationship Type="http://schemas.openxmlformats.org/officeDocument/2006/relationships/footer" Target="footer5.xml" Id="rId37" /><Relationship Type="http://schemas.openxmlformats.org/officeDocument/2006/relationships/theme" Target="theme/theme1.xml" Id="rId40" /><Relationship Type="http://schemas.openxmlformats.org/officeDocument/2006/relationships/footer" Target="footer1.xml" Id="rId15" /><Relationship Type="http://schemas.openxmlformats.org/officeDocument/2006/relationships/image" Target="media/image9.jpeg" Id="rId23" /><Relationship Type="http://schemas.openxmlformats.org/officeDocument/2006/relationships/header" Target="header4.xml" Id="rId28" /><Relationship Type="http://schemas.openxmlformats.org/officeDocument/2006/relationships/header" Target="header8.xml" Id="rId36" /><Relationship Type="http://schemas.openxmlformats.org/officeDocument/2006/relationships/settings" Target="settings.xml" Id="rId10" /><Relationship Type="http://schemas.openxmlformats.org/officeDocument/2006/relationships/image" Target="media/image5.png" Id="rId19" /><Relationship Type="http://schemas.openxmlformats.org/officeDocument/2006/relationships/footer" Target="footer3.xml" Id="rId31"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8.jpeg" Id="rId22" /><Relationship Type="http://schemas.openxmlformats.org/officeDocument/2006/relationships/header" Target="header3.xml" Id="rId27" /><Relationship Type="http://schemas.openxmlformats.org/officeDocument/2006/relationships/header" Target="header5.xml" Id="rId30" /><Relationship Type="http://schemas.openxmlformats.org/officeDocument/2006/relationships/footer" Target="footer4.xml" Id="rId3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771325CC234686960311909BB08D6A"/>
        <w:category>
          <w:name w:val="General"/>
          <w:gallery w:val="placeholder"/>
        </w:category>
        <w:types>
          <w:type w:val="bbPlcHdr"/>
        </w:types>
        <w:behaviors>
          <w:behavior w:val="content"/>
        </w:behaviors>
        <w:guid w:val="{317115F6-C847-4294-BD89-117115CDBB71}"/>
      </w:docPartPr>
      <w:docPartBody>
        <w:p w:rsidR="002330BF" w:rsidRDefault="001540D6">
          <w:pPr>
            <w:pStyle w:val="0A771325CC234686960311909BB08D6A"/>
          </w:pPr>
          <w:r w:rsidRPr="00291FA8">
            <w:t>Proposal Title</w:t>
          </w:r>
        </w:p>
      </w:docPartBody>
    </w:docPart>
    <w:docPart>
      <w:docPartPr>
        <w:name w:val="7AE6A727DFE14A6783BB47487734CF65"/>
        <w:category>
          <w:name w:val="General"/>
          <w:gallery w:val="placeholder"/>
        </w:category>
        <w:types>
          <w:type w:val="bbPlcHdr"/>
        </w:types>
        <w:behaviors>
          <w:behavior w:val="content"/>
        </w:behaviors>
        <w:guid w:val="{35F42D70-3BE7-434E-9C3F-53555F3A69C6}"/>
      </w:docPartPr>
      <w:docPartBody>
        <w:p w:rsidR="002330BF" w:rsidRDefault="001540D6">
          <w:pPr>
            <w:pStyle w:val="7AE6A727DFE14A6783BB47487734CF65"/>
          </w:pPr>
          <w:r w:rsidRPr="00A86809">
            <w:rPr>
              <w:rStyle w:val="PlaceholderText"/>
            </w:rPr>
            <w:t>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 STKaiti">
    <w:altName w:val="MS Mincho"/>
    <w:charset w:val="86"/>
    <w:family w:val="auto"/>
    <w:pitch w:val="variable"/>
    <w:sig w:usb0="00000000" w:usb1="080F0000" w:usb2="00000010" w:usb3="00000000" w:csb0="0004009F" w:csb1="00000000"/>
  </w:font>
  <w:font w:name="MS Shell Dlg 2">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540D6"/>
    <w:rsid w:val="001540D6"/>
    <w:rsid w:val="002330BF"/>
    <w:rsid w:val="0028084A"/>
    <w:rsid w:val="00957D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771325CC234686960311909BB08D6A">
    <w:name w:val="0A771325CC234686960311909BB08D6A"/>
    <w:rsid w:val="00957D6C"/>
  </w:style>
  <w:style w:type="character" w:styleId="PlaceholderText">
    <w:name w:val="Placeholder Text"/>
    <w:basedOn w:val="DefaultParagraphFont"/>
    <w:uiPriority w:val="99"/>
    <w:semiHidden/>
    <w:rsid w:val="001540D6"/>
    <w:rPr>
      <w:color w:val="808080"/>
    </w:rPr>
  </w:style>
  <w:style w:type="paragraph" w:customStyle="1" w:styleId="7AE6A727DFE14A6783BB47487734CF65">
    <w:name w:val="7AE6A727DFE14A6783BB47487734CF65"/>
    <w:rsid w:val="00957D6C"/>
  </w:style>
  <w:style w:type="paragraph" w:customStyle="1" w:styleId="B23E1E0985E04D2CBA3B69A0794C5F6D">
    <w:name w:val="B23E1E0985E04D2CBA3B69A0794C5F6D"/>
    <w:rsid w:val="00957D6C"/>
  </w:style>
  <w:style w:type="paragraph" w:customStyle="1" w:styleId="7E413765532E42F69E824A8F7449C22F">
    <w:name w:val="7E413765532E42F69E824A8F7449C22F"/>
    <w:rsid w:val="00957D6C"/>
  </w:style>
  <w:style w:type="paragraph" w:customStyle="1" w:styleId="ACAFED49893444059DB018CCD90B82FE">
    <w:name w:val="ACAFED49893444059DB018CCD90B82FE"/>
    <w:rsid w:val="00957D6C"/>
  </w:style>
  <w:style w:type="paragraph" w:customStyle="1" w:styleId="BF0AA482C57543C3912D3456EEE24337">
    <w:name w:val="BF0AA482C57543C3912D3456EEE24337"/>
    <w:rsid w:val="00957D6C"/>
  </w:style>
  <w:style w:type="paragraph" w:customStyle="1" w:styleId="78C610F9B46648BBA9CA3E1A432846B3">
    <w:name w:val="78C610F9B46648BBA9CA3E1A432846B3"/>
    <w:rsid w:val="00957D6C"/>
  </w:style>
  <w:style w:type="paragraph" w:customStyle="1" w:styleId="82DA0A72725A4E7FB4F88C98F0A1203E">
    <w:name w:val="82DA0A72725A4E7FB4F88C98F0A1203E"/>
    <w:rsid w:val="00957D6C"/>
  </w:style>
  <w:style w:type="paragraph" w:customStyle="1" w:styleId="023BC28E15D345EAA91DCFB74E35DC50">
    <w:name w:val="023BC28E15D345EAA91DCFB74E35DC50"/>
    <w:rsid w:val="00957D6C"/>
  </w:style>
  <w:style w:type="paragraph" w:customStyle="1" w:styleId="F9E4A873BE9B4372BBDB840E3B7F3C86">
    <w:name w:val="F9E4A873BE9B4372BBDB840E3B7F3C86"/>
    <w:rsid w:val="00957D6C"/>
  </w:style>
  <w:style w:type="paragraph" w:customStyle="1" w:styleId="B241764DB71D4F8ABD66DE0181C1ADB2">
    <w:name w:val="B241764DB71D4F8ABD66DE0181C1ADB2"/>
    <w:rsid w:val="00957D6C"/>
  </w:style>
  <w:style w:type="paragraph" w:customStyle="1" w:styleId="E27092BBCC614C0D8789FFB0CB3C7D18">
    <w:name w:val="E27092BBCC614C0D8789FFB0CB3C7D18"/>
    <w:rsid w:val="00957D6C"/>
  </w:style>
  <w:style w:type="paragraph" w:customStyle="1" w:styleId="F7EC624C92504287845DA21ADE2E412A">
    <w:name w:val="F7EC624C92504287845DA21ADE2E412A"/>
    <w:rsid w:val="00957D6C"/>
  </w:style>
  <w:style w:type="paragraph" w:customStyle="1" w:styleId="BD88CF98FE894D71B3721FC0858A4365">
    <w:name w:val="BD88CF98FE894D71B3721FC0858A4365"/>
    <w:rsid w:val="00957D6C"/>
  </w:style>
  <w:style w:type="paragraph" w:customStyle="1" w:styleId="ACE5F4B7330F4A3688EAA17400A89ED3">
    <w:name w:val="ACE5F4B7330F4A3688EAA17400A89ED3"/>
    <w:rsid w:val="00957D6C"/>
  </w:style>
  <w:style w:type="paragraph" w:customStyle="1" w:styleId="57EA83D85564497FA8DE617833FCCE44">
    <w:name w:val="57EA83D85564497FA8DE617833FCCE44"/>
    <w:rsid w:val="00957D6C"/>
  </w:style>
  <w:style w:type="paragraph" w:customStyle="1" w:styleId="CA9A18C145574F1581624C40DF16C71E">
    <w:name w:val="CA9A18C145574F1581624C40DF16C71E"/>
    <w:rsid w:val="00957D6C"/>
  </w:style>
  <w:style w:type="paragraph" w:customStyle="1" w:styleId="0B33D0453EC04E1FA60EDCFA231F444D">
    <w:name w:val="0B33D0453EC04E1FA60EDCFA231F444D"/>
    <w:rsid w:val="00957D6C"/>
  </w:style>
  <w:style w:type="paragraph" w:customStyle="1" w:styleId="0AEA670DE0144835A3607138AE6622D4">
    <w:name w:val="0AEA670DE0144835A3607138AE6622D4"/>
    <w:rsid w:val="00957D6C"/>
  </w:style>
  <w:style w:type="paragraph" w:customStyle="1" w:styleId="C433C747A16F428F94ABB20C82B5A655">
    <w:name w:val="C433C747A16F428F94ABB20C82B5A655"/>
    <w:rsid w:val="00957D6C"/>
  </w:style>
  <w:style w:type="paragraph" w:customStyle="1" w:styleId="381F489D463C4822BB0F767A7C2087AC">
    <w:name w:val="381F489D463C4822BB0F767A7C2087AC"/>
    <w:rsid w:val="00957D6C"/>
  </w:style>
  <w:style w:type="paragraph" w:customStyle="1" w:styleId="120B4E7C5CA6495CA7CBC2669875778E">
    <w:name w:val="120B4E7C5CA6495CA7CBC2669875778E"/>
    <w:rsid w:val="00957D6C"/>
  </w:style>
  <w:style w:type="paragraph" w:customStyle="1" w:styleId="13C52C115C684497A7E6582EE3B1B6E5">
    <w:name w:val="13C52C115C684497A7E6582EE3B1B6E5"/>
    <w:rsid w:val="00957D6C"/>
  </w:style>
  <w:style w:type="paragraph" w:customStyle="1" w:styleId="E1C7E4580ECB4D2C878EF1E10B345804">
    <w:name w:val="E1C7E4580ECB4D2C878EF1E10B345804"/>
    <w:rsid w:val="00957D6C"/>
  </w:style>
  <w:style w:type="paragraph" w:customStyle="1" w:styleId="BC0D367D887B49A98897F7F55DAC06BF">
    <w:name w:val="BC0D367D887B49A98897F7F55DAC06BF"/>
    <w:rsid w:val="00957D6C"/>
  </w:style>
  <w:style w:type="paragraph" w:customStyle="1" w:styleId="70E1DC7019A54E8CA8F3B466BF35AB68">
    <w:name w:val="70E1DC7019A54E8CA8F3B466BF35AB68"/>
    <w:rsid w:val="00957D6C"/>
  </w:style>
  <w:style w:type="paragraph" w:customStyle="1" w:styleId="D5A59762F4AD45909A27A369C4DDE4B6">
    <w:name w:val="D5A59762F4AD45909A27A369C4DDE4B6"/>
    <w:rsid w:val="00957D6C"/>
  </w:style>
  <w:style w:type="paragraph" w:customStyle="1" w:styleId="675671ADF7CE4595BEFFC813EFECD6AF">
    <w:name w:val="675671ADF7CE4595BEFFC813EFECD6AF"/>
    <w:rsid w:val="00957D6C"/>
  </w:style>
  <w:style w:type="paragraph" w:customStyle="1" w:styleId="AAE2A317411C4E5DA962C82A10F85653">
    <w:name w:val="AAE2A317411C4E5DA962C82A10F85653"/>
    <w:rsid w:val="00957D6C"/>
  </w:style>
  <w:style w:type="paragraph" w:customStyle="1" w:styleId="6D90EAD379424D04BDFFE6DB8502567B">
    <w:name w:val="6D90EAD379424D04BDFFE6DB8502567B"/>
    <w:rsid w:val="00957D6C"/>
  </w:style>
  <w:style w:type="paragraph" w:customStyle="1" w:styleId="ACFC13167B94444E8F02384BC2BCFF62">
    <w:name w:val="ACFC13167B94444E8F02384BC2BCFF62"/>
    <w:rsid w:val="001540D6"/>
  </w:style>
  <w:style w:type="paragraph" w:customStyle="1" w:styleId="4FB9812AF2584A50B1A360F69BDB2A50">
    <w:name w:val="4FB9812AF2584A50B1A360F69BDB2A50"/>
    <w:rsid w:val="001540D6"/>
  </w:style>
  <w:style w:type="paragraph" w:customStyle="1" w:styleId="31F022C271A3407FAC9FD2CB12F76644">
    <w:name w:val="31F022C271A3407FAC9FD2CB12F76644"/>
    <w:rsid w:val="001540D6"/>
  </w:style>
  <w:style w:type="paragraph" w:customStyle="1" w:styleId="3EB713F678EF4E6388E6FB302D847E54">
    <w:name w:val="3EB713F678EF4E6388E6FB302D847E54"/>
    <w:rsid w:val="001540D6"/>
  </w:style>
  <w:style w:type="paragraph" w:customStyle="1" w:styleId="A1EEFAC8F4C14883926EEE54C0CD157E">
    <w:name w:val="A1EEFAC8F4C14883926EEE54C0CD157E"/>
    <w:rsid w:val="001540D6"/>
  </w:style>
  <w:style w:type="paragraph" w:customStyle="1" w:styleId="3BDED32E734C4F4A80BD35E98AD6481E">
    <w:name w:val="3BDED32E734C4F4A80BD35E98AD6481E"/>
    <w:rsid w:val="001540D6"/>
  </w:style>
  <w:style w:type="paragraph" w:customStyle="1" w:styleId="A61D6A045A3C4B57B66083EEC5481287">
    <w:name w:val="A61D6A045A3C4B57B66083EEC5481287"/>
    <w:rsid w:val="001540D6"/>
  </w:style>
  <w:style w:type="paragraph" w:customStyle="1" w:styleId="5D383902BC2D48389E6960134D09A404">
    <w:name w:val="5D383902BC2D48389E6960134D09A404"/>
    <w:rsid w:val="001540D6"/>
  </w:style>
  <w:style w:type="paragraph" w:customStyle="1" w:styleId="33AD3A46DB1B45029C8C200D5C0EF517">
    <w:name w:val="33AD3A46DB1B45029C8C200D5C0EF517"/>
    <w:rsid w:val="001540D6"/>
  </w:style>
  <w:style w:type="paragraph" w:customStyle="1" w:styleId="68993DC4D4494C51BACACF3071875380">
    <w:name w:val="68993DC4D4494C51BACACF3071875380"/>
    <w:rsid w:val="001540D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Energetics">
      <a:dk1>
        <a:srgbClr val="5E5F61"/>
      </a:dk1>
      <a:lt1>
        <a:srgbClr val="FFFFFF"/>
      </a:lt1>
      <a:dk2>
        <a:srgbClr val="DD6225"/>
      </a:dk2>
      <a:lt2>
        <a:srgbClr val="FFFFFF"/>
      </a:lt2>
      <a:accent1>
        <a:srgbClr val="F48024"/>
      </a:accent1>
      <a:accent2>
        <a:srgbClr val="5E5F61"/>
      </a:accent2>
      <a:accent3>
        <a:srgbClr val="FDD4B2"/>
      </a:accent3>
      <a:accent4>
        <a:srgbClr val="F8A76B"/>
      </a:accent4>
      <a:accent5>
        <a:srgbClr val="D9823F"/>
      </a:accent5>
      <a:accent6>
        <a:srgbClr val="808184"/>
      </a:accent6>
      <a:hlink>
        <a:srgbClr val="9D520E"/>
      </a:hlink>
      <a:folHlink>
        <a:srgbClr val="5E5F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Company/>
  <LinksUpToDate>false</LinksUpToDate>
  <CharactersWithSpaces>23805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2016-05-05T05:28:00Z</dcterms:created>
  <dcterms:modified xsi:type="dcterms:W3CDTF">2016-05-05T05:28:00Z</dcterms:modified>
</cp:coreProperties>
</file>