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D13" w:rsidRPr="009573B9" w:rsidRDefault="000B6D13" w:rsidP="000B6D13">
      <w:pPr>
        <w:spacing w:line="240" w:lineRule="auto"/>
        <w:rPr>
          <w:rFonts w:ascii="Calibri Light" w:hAnsi="Calibri Light" w:cs="Arial"/>
          <w:b/>
          <w:sz w:val="28"/>
        </w:rPr>
      </w:pPr>
      <w:r w:rsidRPr="009573B9">
        <w:rPr>
          <w:rFonts w:ascii="Calibri Light" w:hAnsi="Calibri Light" w:cs="Arial"/>
          <w:b/>
          <w:sz w:val="28"/>
        </w:rPr>
        <w:t>Australian World Heritage Advisory Committee (AWHAC) Terms of Reference</w:t>
      </w:r>
      <w:bookmarkStart w:id="0" w:name="_Hlk483154694"/>
    </w:p>
    <w:p w:rsidR="000B6D13" w:rsidRPr="009573B9" w:rsidRDefault="000B6D13" w:rsidP="000B6D13">
      <w:pPr>
        <w:autoSpaceDE w:val="0"/>
        <w:autoSpaceDN w:val="0"/>
        <w:adjustRightInd w:val="0"/>
        <w:spacing w:line="240" w:lineRule="auto"/>
        <w:rPr>
          <w:rFonts w:ascii="Calibri Light" w:hAnsi="Calibri Light" w:cs="Arial"/>
          <w:b/>
          <w:i/>
        </w:rPr>
      </w:pPr>
      <w:r w:rsidRPr="009573B9">
        <w:rPr>
          <w:rFonts w:ascii="Calibri Light" w:hAnsi="Calibri Light" w:cs="Arial"/>
          <w:b/>
          <w:i/>
        </w:rPr>
        <w:t xml:space="preserve">Purpose </w:t>
      </w:r>
    </w:p>
    <w:p w:rsidR="000B6D13" w:rsidRPr="009573B9" w:rsidRDefault="000B6D13" w:rsidP="000B6D13">
      <w:pPr>
        <w:autoSpaceDE w:val="0"/>
        <w:autoSpaceDN w:val="0"/>
        <w:adjustRightInd w:val="0"/>
        <w:spacing w:line="240" w:lineRule="auto"/>
        <w:rPr>
          <w:rFonts w:ascii="Calibri Light" w:hAnsi="Calibri Light" w:cs="Arial"/>
        </w:rPr>
      </w:pPr>
      <w:r w:rsidRPr="009573B9">
        <w:rPr>
          <w:rFonts w:ascii="Calibri Light" w:hAnsi="Calibri Light" w:cs="Arial"/>
        </w:rPr>
        <w:t xml:space="preserve">AWHAC serves to inspire, improve and inform (by providing appropriate advice) World Heritage management in Australia.  AWHAC provides a single voice that is cross-jurisdictional and supports the collaboration between properties in relation to cross-cutting issues and threats to Australia’s World Heritage.    </w:t>
      </w:r>
    </w:p>
    <w:p w:rsidR="000B6D13" w:rsidRPr="009573B9" w:rsidRDefault="000B6D13" w:rsidP="000B6D13">
      <w:pPr>
        <w:autoSpaceDE w:val="0"/>
        <w:autoSpaceDN w:val="0"/>
        <w:adjustRightInd w:val="0"/>
        <w:spacing w:line="240" w:lineRule="auto"/>
        <w:rPr>
          <w:rFonts w:ascii="Calibri Light" w:hAnsi="Calibri Light" w:cs="Arial"/>
        </w:rPr>
      </w:pPr>
      <w:r w:rsidRPr="009573B9">
        <w:rPr>
          <w:rFonts w:ascii="Calibri Light" w:hAnsi="Calibri Light" w:cs="Arial"/>
        </w:rPr>
        <w:t>AWHAC’s terms of reference outlined below will contribute to Australia meeting its World Heritage Convention obligations.  AWHAC’s functions will be to:</w:t>
      </w:r>
      <w:r w:rsidRPr="009573B9">
        <w:rPr>
          <w:rFonts w:ascii="Calibri Light" w:hAnsi="Calibri Light" w:cs="Arial"/>
        </w:rPr>
        <w:tab/>
      </w:r>
      <w:bookmarkStart w:id="1" w:name="_GoBack"/>
      <w:bookmarkEnd w:id="1"/>
    </w:p>
    <w:p w:rsidR="000B6D13" w:rsidRPr="009573B9" w:rsidRDefault="000B6D13" w:rsidP="000B6D13">
      <w:pPr>
        <w:pStyle w:val="ListNumber"/>
        <w:numPr>
          <w:ilvl w:val="0"/>
          <w:numId w:val="2"/>
        </w:numPr>
        <w:spacing w:after="0" w:line="240" w:lineRule="auto"/>
        <w:rPr>
          <w:rFonts w:ascii="Calibri Light" w:hAnsi="Calibri Light" w:cs="Arial"/>
        </w:rPr>
      </w:pPr>
      <w:r w:rsidRPr="009573B9">
        <w:rPr>
          <w:rFonts w:ascii="Calibri Light" w:hAnsi="Calibri Light" w:cs="Arial"/>
        </w:rPr>
        <w:t>advise Australian governments on policies, programs and appropriate cultural protocols which benefit World Heritage properties in areas of common interest and on national or cross-cutting issues;</w:t>
      </w:r>
    </w:p>
    <w:p w:rsidR="000B6D13" w:rsidRPr="009573B9" w:rsidRDefault="000B6D13" w:rsidP="000B6D13">
      <w:pPr>
        <w:pStyle w:val="ListNumber"/>
        <w:numPr>
          <w:ilvl w:val="0"/>
          <w:numId w:val="2"/>
        </w:numPr>
        <w:spacing w:after="0" w:line="240" w:lineRule="auto"/>
        <w:rPr>
          <w:rFonts w:ascii="Calibri Light" w:hAnsi="Calibri Light" w:cs="Arial"/>
        </w:rPr>
      </w:pPr>
      <w:r w:rsidRPr="009573B9">
        <w:rPr>
          <w:rFonts w:ascii="Calibri Light" w:hAnsi="Calibri Light" w:cs="Arial"/>
        </w:rPr>
        <w:t>contribute to, and build upon, the delivery of the Australian Heritage Strategy;</w:t>
      </w:r>
    </w:p>
    <w:p w:rsidR="000B6D13" w:rsidRPr="009573B9" w:rsidRDefault="000B6D13" w:rsidP="000B6D13">
      <w:pPr>
        <w:pStyle w:val="ListNumber"/>
        <w:numPr>
          <w:ilvl w:val="0"/>
          <w:numId w:val="2"/>
        </w:numPr>
        <w:spacing w:after="0" w:line="240" w:lineRule="auto"/>
        <w:rPr>
          <w:rFonts w:ascii="Calibri Light" w:hAnsi="Calibri Light" w:cs="Arial"/>
        </w:rPr>
      </w:pPr>
      <w:r w:rsidRPr="009573B9">
        <w:rPr>
          <w:rFonts w:ascii="Calibri Light" w:hAnsi="Calibri Light" w:cs="Arial"/>
        </w:rPr>
        <w:t>provide a forum for networking, discussion and shared learnings across World Heritage properties in Australia;</w:t>
      </w:r>
    </w:p>
    <w:p w:rsidR="000B6D13" w:rsidRPr="009573B9" w:rsidRDefault="000B6D13" w:rsidP="000B6D13">
      <w:pPr>
        <w:pStyle w:val="ListNumber"/>
        <w:numPr>
          <w:ilvl w:val="0"/>
          <w:numId w:val="2"/>
        </w:numPr>
        <w:spacing w:after="0" w:line="240" w:lineRule="auto"/>
        <w:rPr>
          <w:rFonts w:ascii="Calibri Light" w:hAnsi="Calibri Light" w:cs="Arial"/>
        </w:rPr>
      </w:pPr>
      <w:r w:rsidRPr="009573B9">
        <w:rPr>
          <w:rFonts w:ascii="Calibri Light" w:hAnsi="Calibri Light" w:cs="Arial"/>
        </w:rPr>
        <w:t>identify and consider matters that require agreement or a common approach between multiple jurisdictions;</w:t>
      </w:r>
    </w:p>
    <w:p w:rsidR="000B6D13" w:rsidRPr="009573B9" w:rsidRDefault="000B6D13" w:rsidP="000B6D13">
      <w:pPr>
        <w:pStyle w:val="ListNumber"/>
        <w:numPr>
          <w:ilvl w:val="0"/>
          <w:numId w:val="2"/>
        </w:numPr>
        <w:spacing w:after="0" w:line="240" w:lineRule="auto"/>
        <w:rPr>
          <w:rFonts w:ascii="Calibri Light" w:hAnsi="Calibri Light" w:cs="Arial"/>
        </w:rPr>
      </w:pPr>
      <w:r w:rsidRPr="009573B9">
        <w:rPr>
          <w:rFonts w:ascii="Calibri Light" w:hAnsi="Calibri Light" w:cs="Arial"/>
        </w:rPr>
        <w:t>facilitate the sharing of knowledge and experience in the development and implementation of World Heritage property management and the development of planning instruments among World Heritage properties;</w:t>
      </w:r>
    </w:p>
    <w:p w:rsidR="000B6D13" w:rsidRPr="009573B9" w:rsidRDefault="000B6D13" w:rsidP="000B6D13">
      <w:pPr>
        <w:pStyle w:val="ListNumber"/>
        <w:numPr>
          <w:ilvl w:val="0"/>
          <w:numId w:val="2"/>
        </w:numPr>
        <w:spacing w:after="0" w:line="240" w:lineRule="auto"/>
        <w:rPr>
          <w:rFonts w:ascii="Calibri Light" w:hAnsi="Calibri Light" w:cs="Arial"/>
        </w:rPr>
      </w:pPr>
      <w:r w:rsidRPr="009573B9">
        <w:rPr>
          <w:rFonts w:ascii="Calibri Light" w:hAnsi="Calibri Light" w:cs="Arial"/>
        </w:rPr>
        <w:t xml:space="preserve">identify priorities and provide advice in relation to the management and restoration of the World Heritage properties; </w:t>
      </w:r>
    </w:p>
    <w:p w:rsidR="000B6D13" w:rsidRPr="009573B9" w:rsidRDefault="000B6D13" w:rsidP="000B6D13">
      <w:pPr>
        <w:pStyle w:val="ListNumber"/>
        <w:numPr>
          <w:ilvl w:val="0"/>
          <w:numId w:val="2"/>
        </w:numPr>
        <w:spacing w:after="0" w:line="240" w:lineRule="auto"/>
        <w:rPr>
          <w:rFonts w:ascii="Calibri Light" w:hAnsi="Calibri Light" w:cs="Arial"/>
        </w:rPr>
      </w:pPr>
      <w:r w:rsidRPr="009573B9">
        <w:rPr>
          <w:rFonts w:ascii="Calibri Light" w:hAnsi="Calibri Light" w:cs="Arial"/>
        </w:rPr>
        <w:t>advise on research, monitoring, evaluation and reporting and other information requirements for World Heritage properties;</w:t>
      </w:r>
    </w:p>
    <w:p w:rsidR="000B6D13" w:rsidRPr="009573B9" w:rsidRDefault="000B6D13" w:rsidP="000B6D13">
      <w:pPr>
        <w:pStyle w:val="ListNumber"/>
        <w:numPr>
          <w:ilvl w:val="0"/>
          <w:numId w:val="2"/>
        </w:numPr>
        <w:spacing w:after="0" w:line="240" w:lineRule="auto"/>
        <w:rPr>
          <w:rFonts w:ascii="Calibri Light" w:hAnsi="Calibri Light" w:cs="Arial"/>
        </w:rPr>
      </w:pPr>
      <w:r w:rsidRPr="009573B9">
        <w:rPr>
          <w:rFonts w:ascii="Calibri Light" w:hAnsi="Calibri Light" w:cs="Arial"/>
        </w:rPr>
        <w:t>advise on the presentation, promotion and transmission of Australia’s World Heritage at the local, national and international levels; and</w:t>
      </w:r>
    </w:p>
    <w:p w:rsidR="000B6D13" w:rsidRPr="009573B9" w:rsidRDefault="000B6D13" w:rsidP="000B6D13">
      <w:pPr>
        <w:pStyle w:val="ListNumber"/>
        <w:numPr>
          <w:ilvl w:val="0"/>
          <w:numId w:val="2"/>
        </w:numPr>
        <w:spacing w:after="0" w:line="240" w:lineRule="auto"/>
        <w:rPr>
          <w:rFonts w:ascii="Calibri Light" w:hAnsi="Calibri Light" w:cs="Arial"/>
        </w:rPr>
      </w:pPr>
      <w:proofErr w:type="gramStart"/>
      <w:r w:rsidRPr="009573B9">
        <w:rPr>
          <w:rFonts w:ascii="Calibri Light" w:hAnsi="Calibri Light" w:cs="Arial"/>
        </w:rPr>
        <w:t>provide</w:t>
      </w:r>
      <w:proofErr w:type="gramEnd"/>
      <w:r w:rsidRPr="009573B9">
        <w:rPr>
          <w:rFonts w:ascii="Calibri Light" w:hAnsi="Calibri Light" w:cs="Arial"/>
        </w:rPr>
        <w:t xml:space="preserve"> an Indigenous perspective on the management of World Heritage properties and advice on how best to incorporate Indigenous traditional knowledge and values into management.</w:t>
      </w:r>
    </w:p>
    <w:p w:rsidR="000B6D13" w:rsidRDefault="000B6D13" w:rsidP="000B6D13">
      <w:pPr>
        <w:tabs>
          <w:tab w:val="left" w:pos="360"/>
          <w:tab w:val="left" w:pos="1080"/>
        </w:tabs>
        <w:spacing w:line="240" w:lineRule="auto"/>
        <w:rPr>
          <w:rFonts w:ascii="Calibri Light" w:hAnsi="Calibri Light" w:cs="Arial"/>
          <w:b/>
          <w:i/>
        </w:rPr>
      </w:pPr>
    </w:p>
    <w:p w:rsidR="000B6D13" w:rsidRPr="009573B9" w:rsidRDefault="000B6D13" w:rsidP="000B6D13">
      <w:pPr>
        <w:tabs>
          <w:tab w:val="left" w:pos="360"/>
          <w:tab w:val="left" w:pos="1080"/>
        </w:tabs>
        <w:spacing w:line="240" w:lineRule="auto"/>
        <w:rPr>
          <w:rFonts w:ascii="Calibri Light" w:hAnsi="Calibri Light" w:cs="Arial"/>
          <w:i/>
        </w:rPr>
      </w:pPr>
      <w:r w:rsidRPr="009573B9">
        <w:rPr>
          <w:rFonts w:ascii="Calibri Light" w:hAnsi="Calibri Light" w:cs="Arial"/>
          <w:b/>
          <w:i/>
        </w:rPr>
        <w:t>Membership of AWHAC</w:t>
      </w:r>
    </w:p>
    <w:p w:rsidR="000B6D13" w:rsidRPr="009573B9" w:rsidRDefault="000B6D13" w:rsidP="000B6D13">
      <w:pPr>
        <w:tabs>
          <w:tab w:val="left" w:pos="360"/>
          <w:tab w:val="left" w:pos="1080"/>
        </w:tabs>
        <w:spacing w:line="240" w:lineRule="auto"/>
        <w:rPr>
          <w:rFonts w:ascii="Calibri Light" w:hAnsi="Calibri Light" w:cs="Arial"/>
        </w:rPr>
      </w:pPr>
      <w:r w:rsidRPr="009573B9">
        <w:rPr>
          <w:rFonts w:ascii="Calibri Light" w:hAnsi="Calibri Light" w:cs="Arial"/>
        </w:rPr>
        <w:t>AWHAC comprises one representative (an Advisory Committee Chair) from each World Heritage property. To ensure that AWHAC includes a representative from each jurisdiction with a World Heritage property, it may be necessary to have more than one representative for a property that covers more than one jurisdiction (e.g. the Australian Fossil Mammal Sites Riversleigh (Qld) and Naracoorte (SA)).</w:t>
      </w:r>
    </w:p>
    <w:p w:rsidR="000B6D13" w:rsidRPr="009573B9" w:rsidRDefault="000B6D13" w:rsidP="000B6D13">
      <w:pPr>
        <w:tabs>
          <w:tab w:val="left" w:pos="360"/>
          <w:tab w:val="left" w:pos="1080"/>
        </w:tabs>
        <w:spacing w:line="240" w:lineRule="auto"/>
        <w:rPr>
          <w:rFonts w:ascii="Calibri Light" w:hAnsi="Calibri Light" w:cs="Arial"/>
        </w:rPr>
      </w:pPr>
      <w:r w:rsidRPr="009573B9">
        <w:rPr>
          <w:rFonts w:ascii="Calibri Light" w:hAnsi="Calibri Light" w:cs="Arial"/>
        </w:rPr>
        <w:t xml:space="preserve">AWHAC also includes two representatives from the Australian World Heritage Indigenous Network (AWHIN). These will provide advice to the Committee on Indigenous perspectives of management of Australia’s World Heritage properties, including engagement in policy, planning, programs and operational procedures (regardless of whether the properties are listed for Indigenous cultural values).  </w:t>
      </w:r>
    </w:p>
    <w:p w:rsidR="000B6D13" w:rsidRPr="009573B9" w:rsidRDefault="000B6D13" w:rsidP="000B6D13">
      <w:pPr>
        <w:tabs>
          <w:tab w:val="left" w:pos="360"/>
          <w:tab w:val="left" w:pos="1080"/>
        </w:tabs>
        <w:spacing w:line="240" w:lineRule="auto"/>
        <w:rPr>
          <w:rFonts w:ascii="Calibri Light" w:hAnsi="Calibri Light" w:cs="Arial"/>
          <w:b/>
          <w:i/>
        </w:rPr>
      </w:pPr>
      <w:r w:rsidRPr="009573B9">
        <w:rPr>
          <w:rFonts w:ascii="Calibri Light" w:hAnsi="Calibri Light" w:cs="Arial"/>
          <w:b/>
          <w:i/>
        </w:rPr>
        <w:t>Process for selecting and appointing members of AWHAC</w:t>
      </w:r>
    </w:p>
    <w:p w:rsidR="000B6D13" w:rsidRPr="009573B9" w:rsidRDefault="000B6D13" w:rsidP="000B6D13">
      <w:pPr>
        <w:tabs>
          <w:tab w:val="left" w:pos="360"/>
          <w:tab w:val="left" w:pos="1080"/>
        </w:tabs>
        <w:spacing w:line="240" w:lineRule="auto"/>
        <w:rPr>
          <w:rFonts w:ascii="Calibri Light" w:hAnsi="Calibri Light" w:cs="Arial"/>
        </w:rPr>
      </w:pPr>
      <w:r w:rsidRPr="009573B9">
        <w:rPr>
          <w:rFonts w:ascii="Calibri Light" w:hAnsi="Calibri Light" w:cs="Arial"/>
        </w:rPr>
        <w:t xml:space="preserve">Advisory Committee Chairs, who are already jointly appointed to their respective property-specific Advisory Committees by Commonwealth and State or Territory Ministers, will be the AWHAC member for their property for the duration of their appointment as Chair of an Advisory Committee. Where there is a Board, the Board will select an appropriate representative from amongst its members and will advise the Commonwealth of this decision in writing. This representative will be the AWHAC member. </w:t>
      </w:r>
    </w:p>
    <w:p w:rsidR="000B6D13" w:rsidRPr="009573B9" w:rsidRDefault="000B6D13" w:rsidP="000B6D13">
      <w:pPr>
        <w:tabs>
          <w:tab w:val="left" w:pos="360"/>
          <w:tab w:val="left" w:pos="1080"/>
        </w:tabs>
        <w:spacing w:line="240" w:lineRule="auto"/>
        <w:rPr>
          <w:rFonts w:ascii="Calibri Light" w:hAnsi="Calibri Light" w:cs="Arial"/>
        </w:rPr>
      </w:pPr>
      <w:r w:rsidRPr="009573B9">
        <w:rPr>
          <w:rFonts w:ascii="Calibri Light" w:hAnsi="Calibri Light" w:cs="Arial"/>
        </w:rPr>
        <w:t>In cases where a property does not have an Advisory Committee or Board, the managing agency will select an appropriate representative to represent the World Heritage property and will advise the AWHAC Chair and Commonwealth of this decision in writing. Properties which do not have an Advisory Committee shall not be required to establish one.</w:t>
      </w:r>
    </w:p>
    <w:p w:rsidR="000B6D13" w:rsidRPr="009573B9" w:rsidRDefault="000B6D13" w:rsidP="000B6D13">
      <w:pPr>
        <w:tabs>
          <w:tab w:val="left" w:pos="360"/>
          <w:tab w:val="left" w:pos="1080"/>
        </w:tabs>
        <w:spacing w:line="240" w:lineRule="auto"/>
        <w:rPr>
          <w:rFonts w:ascii="Calibri Light" w:hAnsi="Calibri Light" w:cs="Arial"/>
        </w:rPr>
      </w:pPr>
      <w:r w:rsidRPr="009573B9">
        <w:rPr>
          <w:rFonts w:ascii="Calibri Light" w:hAnsi="Calibri Light" w:cs="Arial"/>
        </w:rPr>
        <w:lastRenderedPageBreak/>
        <w:t>Where an AWHAC member is not able to attend an AWHAC meeting, a member of a World Heritage Advisory Committee for the same property, or a member of AWHIN if the AWHAC member unable to attend is an AWHIN representative, may attend in his or her place.</w:t>
      </w:r>
    </w:p>
    <w:p w:rsidR="000B6D13" w:rsidRPr="009573B9" w:rsidRDefault="000B6D13" w:rsidP="000B6D13">
      <w:pPr>
        <w:tabs>
          <w:tab w:val="left" w:pos="360"/>
          <w:tab w:val="left" w:pos="1080"/>
        </w:tabs>
        <w:spacing w:line="240" w:lineRule="auto"/>
        <w:rPr>
          <w:rFonts w:ascii="Calibri Light" w:hAnsi="Calibri Light" w:cs="Arial"/>
          <w:b/>
          <w:i/>
        </w:rPr>
      </w:pPr>
      <w:r w:rsidRPr="009573B9">
        <w:rPr>
          <w:rFonts w:ascii="Calibri Light" w:hAnsi="Calibri Light" w:cs="Arial"/>
          <w:b/>
          <w:i/>
        </w:rPr>
        <w:t xml:space="preserve">The Chair of AWHAC </w:t>
      </w:r>
    </w:p>
    <w:p w:rsidR="000B6D13" w:rsidRPr="009573B9" w:rsidRDefault="000B6D13" w:rsidP="000B6D13">
      <w:pPr>
        <w:tabs>
          <w:tab w:val="left" w:pos="360"/>
          <w:tab w:val="left" w:pos="1080"/>
        </w:tabs>
        <w:spacing w:line="240" w:lineRule="auto"/>
        <w:rPr>
          <w:rFonts w:ascii="Calibri Light" w:hAnsi="Calibri Light" w:cs="Arial"/>
        </w:rPr>
      </w:pPr>
      <w:r w:rsidRPr="009573B9">
        <w:rPr>
          <w:rFonts w:ascii="Calibri Light" w:hAnsi="Calibri Light" w:cs="Arial"/>
        </w:rPr>
        <w:t>The AWHAC Chair will be nominated and appointed by AWHAC members from AWHAC members and appointed for a three-year term. The AWHAC Chair should not be an employee of an Australian government agency. The position of Chair will be rotated through each jurisdiction.</w:t>
      </w:r>
    </w:p>
    <w:p w:rsidR="000B6D13" w:rsidRPr="009573B9" w:rsidRDefault="000B6D13" w:rsidP="000B6D13">
      <w:pPr>
        <w:tabs>
          <w:tab w:val="left" w:pos="360"/>
          <w:tab w:val="left" w:pos="1080"/>
        </w:tabs>
        <w:spacing w:line="240" w:lineRule="auto"/>
        <w:rPr>
          <w:rFonts w:ascii="Calibri Light" w:hAnsi="Calibri Light" w:cs="Arial"/>
        </w:rPr>
      </w:pPr>
      <w:r w:rsidRPr="009573B9">
        <w:rPr>
          <w:rFonts w:ascii="Calibri Light" w:hAnsi="Calibri Light" w:cs="Arial"/>
        </w:rPr>
        <w:t>The AWHAC Deputy Chair will be nominated and appointed by AWHAC members from AWHAC members and appointed for a three-year term. The position of Deputy Chair will also be rotated through each jurisdiction, where possible attempting to encourage a mixture of property types between the Chair and Deputy.</w:t>
      </w:r>
    </w:p>
    <w:p w:rsidR="000B6D13" w:rsidRPr="009573B9" w:rsidRDefault="000B6D13" w:rsidP="000B6D13">
      <w:pPr>
        <w:tabs>
          <w:tab w:val="left" w:pos="360"/>
          <w:tab w:val="left" w:pos="1080"/>
        </w:tabs>
        <w:spacing w:line="240" w:lineRule="auto"/>
        <w:rPr>
          <w:rFonts w:ascii="Calibri Light" w:hAnsi="Calibri Light" w:cs="Arial"/>
        </w:rPr>
      </w:pPr>
      <w:r w:rsidRPr="009573B9">
        <w:rPr>
          <w:rFonts w:ascii="Calibri Light" w:hAnsi="Calibri Light" w:cs="Arial"/>
        </w:rPr>
        <w:t xml:space="preserve">Where the AWHAC Chair is not able to attend a meeting, the Deputy Chair will chair the meeting. </w:t>
      </w:r>
    </w:p>
    <w:p w:rsidR="000B6D13" w:rsidRPr="009573B9" w:rsidRDefault="000B6D13" w:rsidP="000B6D13">
      <w:pPr>
        <w:tabs>
          <w:tab w:val="left" w:pos="360"/>
          <w:tab w:val="left" w:pos="1080"/>
        </w:tabs>
        <w:spacing w:line="240" w:lineRule="auto"/>
        <w:rPr>
          <w:rFonts w:ascii="Calibri Light" w:hAnsi="Calibri Light" w:cs="Arial"/>
          <w:b/>
        </w:rPr>
      </w:pPr>
      <w:r w:rsidRPr="009573B9">
        <w:rPr>
          <w:rFonts w:ascii="Calibri Light" w:hAnsi="Calibri Light" w:cs="Arial"/>
          <w:b/>
          <w:i/>
        </w:rPr>
        <w:t>Operation of AWHAC</w:t>
      </w:r>
    </w:p>
    <w:p w:rsidR="000B6D13" w:rsidRPr="000B6D13" w:rsidRDefault="000B6D13" w:rsidP="000B6D13">
      <w:pPr>
        <w:tabs>
          <w:tab w:val="left" w:pos="360"/>
          <w:tab w:val="left" w:pos="1080"/>
        </w:tabs>
        <w:spacing w:line="240" w:lineRule="auto"/>
        <w:rPr>
          <w:rFonts w:ascii="Calibri Light" w:hAnsi="Calibri Light" w:cs="Arial"/>
        </w:rPr>
      </w:pPr>
      <w:r w:rsidRPr="009573B9">
        <w:rPr>
          <w:rFonts w:ascii="Calibri Light" w:hAnsi="Calibri Light" w:cs="Arial"/>
        </w:rPr>
        <w:t xml:space="preserve">Secretariat support for the AWHAC meeting will be provided by a World Heritage property with </w:t>
      </w:r>
      <w:r w:rsidRPr="000B6D13">
        <w:rPr>
          <w:rFonts w:ascii="Calibri Light" w:hAnsi="Calibri Light" w:cs="Arial"/>
        </w:rPr>
        <w:t>jurisdictions rotating in the position.</w:t>
      </w:r>
    </w:p>
    <w:p w:rsidR="000B6D13" w:rsidRPr="000B6D13" w:rsidRDefault="000B6D13" w:rsidP="000B6D13">
      <w:pPr>
        <w:spacing w:line="240" w:lineRule="auto"/>
        <w:rPr>
          <w:rFonts w:ascii="Calibri Light" w:hAnsi="Calibri Light"/>
          <w:color w:val="000000"/>
        </w:rPr>
      </w:pPr>
      <w:r w:rsidRPr="000B6D13">
        <w:rPr>
          <w:rFonts w:ascii="Calibri Light" w:hAnsi="Calibri Light"/>
          <w:color w:val="000000"/>
        </w:rPr>
        <w:t xml:space="preserve">AWHAC will meet quarterly, facilitated by the Department.  Two meetings will be held face-to-face and two by teleconference. Where possible, face-to-face meetings will be conducted in conjunction with related events to maximise opportunities for networking and participation.  </w:t>
      </w:r>
    </w:p>
    <w:p w:rsidR="000B6D13" w:rsidRDefault="000B6D13" w:rsidP="000B6D13">
      <w:pPr>
        <w:tabs>
          <w:tab w:val="left" w:pos="1080"/>
        </w:tabs>
        <w:spacing w:line="240" w:lineRule="auto"/>
        <w:rPr>
          <w:rFonts w:ascii="Calibri Light" w:hAnsi="Calibri Light" w:cs="Arial"/>
        </w:rPr>
      </w:pPr>
      <w:r w:rsidRPr="000B6D13">
        <w:rPr>
          <w:rFonts w:ascii="Calibri Light" w:hAnsi="Calibri Light" w:cs="Arial"/>
        </w:rPr>
        <w:t>AWHAC’s structure, objectives and performance will be reviewed by the Committee within the three-year</w:t>
      </w:r>
      <w:r w:rsidRPr="009573B9">
        <w:rPr>
          <w:rFonts w:ascii="Calibri Light" w:hAnsi="Calibri Light" w:cs="Arial"/>
        </w:rPr>
        <w:t xml:space="preserve"> term to ensure it remains effective and appropriate.</w:t>
      </w:r>
      <w:bookmarkEnd w:id="0"/>
    </w:p>
    <w:p w:rsidR="000B6D13" w:rsidRDefault="000B6D13" w:rsidP="000B6D13">
      <w:pPr>
        <w:tabs>
          <w:tab w:val="left" w:pos="1080"/>
        </w:tabs>
        <w:spacing w:line="240" w:lineRule="auto"/>
        <w:rPr>
          <w:rFonts w:ascii="Calibri Light" w:hAnsi="Calibri Light" w:cs="Arial"/>
        </w:rPr>
      </w:pPr>
    </w:p>
    <w:p w:rsidR="000B6D13" w:rsidRDefault="000B6D13" w:rsidP="000B6D13">
      <w:pPr>
        <w:tabs>
          <w:tab w:val="left" w:pos="1080"/>
        </w:tabs>
        <w:spacing w:line="240" w:lineRule="auto"/>
        <w:rPr>
          <w:rFonts w:ascii="Calibri Light" w:hAnsi="Calibri Light" w:cs="Arial"/>
        </w:rPr>
      </w:pPr>
    </w:p>
    <w:p w:rsidR="000B6D13" w:rsidRDefault="000B6D13" w:rsidP="000B6D13">
      <w:pPr>
        <w:tabs>
          <w:tab w:val="left" w:pos="1080"/>
        </w:tabs>
        <w:spacing w:line="240" w:lineRule="auto"/>
        <w:rPr>
          <w:rFonts w:ascii="Calibri Light" w:hAnsi="Calibri Light" w:cs="Arial"/>
        </w:rPr>
      </w:pPr>
    </w:p>
    <w:p w:rsidR="000B6D13" w:rsidRDefault="000B6D13" w:rsidP="000B6D13">
      <w:pPr>
        <w:tabs>
          <w:tab w:val="left" w:pos="1080"/>
        </w:tabs>
        <w:spacing w:line="240" w:lineRule="auto"/>
        <w:rPr>
          <w:rFonts w:ascii="Calibri Light" w:hAnsi="Calibri Light" w:cs="Arial"/>
        </w:rPr>
      </w:pPr>
    </w:p>
    <w:p w:rsidR="000B6D13" w:rsidRDefault="000B6D13" w:rsidP="000B6D13">
      <w:pPr>
        <w:tabs>
          <w:tab w:val="left" w:pos="1080"/>
        </w:tabs>
        <w:spacing w:line="240" w:lineRule="auto"/>
        <w:rPr>
          <w:rFonts w:ascii="Calibri Light" w:hAnsi="Calibri Light" w:cs="Arial"/>
        </w:rPr>
      </w:pPr>
    </w:p>
    <w:p w:rsidR="000B6D13" w:rsidRDefault="000B6D13" w:rsidP="000B6D13">
      <w:pPr>
        <w:tabs>
          <w:tab w:val="left" w:pos="1080"/>
        </w:tabs>
        <w:spacing w:line="240" w:lineRule="auto"/>
        <w:rPr>
          <w:rFonts w:ascii="Calibri Light" w:hAnsi="Calibri Light" w:cs="Arial"/>
        </w:rPr>
      </w:pPr>
    </w:p>
    <w:p w:rsidR="000B6D13" w:rsidRDefault="000B6D13" w:rsidP="000B6D13">
      <w:pPr>
        <w:tabs>
          <w:tab w:val="left" w:pos="1080"/>
        </w:tabs>
        <w:spacing w:line="240" w:lineRule="auto"/>
        <w:rPr>
          <w:rFonts w:ascii="Calibri Light" w:hAnsi="Calibri Light" w:cs="Arial"/>
        </w:rPr>
      </w:pPr>
    </w:p>
    <w:p w:rsidR="000B6D13" w:rsidRDefault="000B6D13" w:rsidP="000B6D13">
      <w:pPr>
        <w:tabs>
          <w:tab w:val="left" w:pos="1080"/>
        </w:tabs>
        <w:spacing w:line="240" w:lineRule="auto"/>
        <w:rPr>
          <w:rFonts w:ascii="Calibri Light" w:hAnsi="Calibri Light" w:cs="Arial"/>
        </w:rPr>
      </w:pPr>
    </w:p>
    <w:p w:rsidR="000B6D13" w:rsidRDefault="000B6D13" w:rsidP="000B6D13">
      <w:pPr>
        <w:tabs>
          <w:tab w:val="left" w:pos="1080"/>
        </w:tabs>
        <w:spacing w:line="240" w:lineRule="auto"/>
        <w:rPr>
          <w:rFonts w:ascii="Calibri Light" w:hAnsi="Calibri Light" w:cs="Arial"/>
        </w:rPr>
      </w:pPr>
    </w:p>
    <w:p w:rsidR="000B6D13" w:rsidRDefault="000B6D13" w:rsidP="000B6D13">
      <w:pPr>
        <w:tabs>
          <w:tab w:val="left" w:pos="1080"/>
        </w:tabs>
        <w:spacing w:line="240" w:lineRule="auto"/>
        <w:rPr>
          <w:rFonts w:ascii="Calibri Light" w:hAnsi="Calibri Light" w:cs="Arial"/>
        </w:rPr>
      </w:pPr>
    </w:p>
    <w:p w:rsidR="000B6D13" w:rsidRDefault="000B6D13" w:rsidP="000B6D13">
      <w:pPr>
        <w:tabs>
          <w:tab w:val="left" w:pos="1080"/>
        </w:tabs>
        <w:spacing w:line="240" w:lineRule="auto"/>
        <w:rPr>
          <w:rFonts w:ascii="Calibri Light" w:hAnsi="Calibri Light" w:cs="Arial"/>
        </w:rPr>
      </w:pPr>
    </w:p>
    <w:p w:rsidR="000B6D13" w:rsidRPr="009573B9" w:rsidRDefault="000B6D13" w:rsidP="000B6D13">
      <w:pPr>
        <w:tabs>
          <w:tab w:val="left" w:pos="1080"/>
        </w:tabs>
        <w:spacing w:line="240" w:lineRule="auto"/>
        <w:rPr>
          <w:rFonts w:ascii="Calibri Light" w:hAnsi="Calibri Light" w:cs="Arial"/>
        </w:rPr>
      </w:pPr>
      <w:r>
        <w:rPr>
          <w:rFonts w:ascii="Calibri Light" w:hAnsi="Calibri Light" w:cs="Arial"/>
        </w:rPr>
        <w:t>Version: Final 24 August 2017</w:t>
      </w:r>
    </w:p>
    <w:p w:rsidR="007D720F" w:rsidRDefault="007D720F"/>
    <w:sectPr w:rsidR="007D720F" w:rsidSect="008E37DC">
      <w:headerReference w:type="even" r:id="rId7"/>
      <w:headerReference w:type="default" r:id="rId8"/>
      <w:footerReference w:type="even" r:id="rId9"/>
      <w:footerReference w:type="default" r:id="rId10"/>
      <w:headerReference w:type="first" r:id="rId11"/>
      <w:footerReference w:type="first" r:id="rId12"/>
      <w:pgSz w:w="11906" w:h="16838"/>
      <w:pgMar w:top="680" w:right="1276" w:bottom="1103" w:left="1134"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D71" w:rsidRDefault="000C2D71" w:rsidP="000C2D71">
      <w:pPr>
        <w:spacing w:after="0" w:line="240" w:lineRule="auto"/>
      </w:pPr>
      <w:r>
        <w:separator/>
      </w:r>
    </w:p>
  </w:endnote>
  <w:endnote w:type="continuationSeparator" w:id="0">
    <w:p w:rsidR="000C2D71" w:rsidRDefault="000C2D71" w:rsidP="000C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71" w:rsidRDefault="000C2D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71" w:rsidRDefault="000C2D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71" w:rsidRDefault="000C2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D71" w:rsidRDefault="000C2D71" w:rsidP="000C2D71">
      <w:pPr>
        <w:spacing w:after="0" w:line="240" w:lineRule="auto"/>
      </w:pPr>
      <w:r>
        <w:separator/>
      </w:r>
    </w:p>
  </w:footnote>
  <w:footnote w:type="continuationSeparator" w:id="0">
    <w:p w:rsidR="000C2D71" w:rsidRDefault="000C2D71" w:rsidP="000C2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71" w:rsidRDefault="000C2D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71" w:rsidRDefault="000C2D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71" w:rsidRDefault="000C2D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F30D7"/>
    <w:multiLevelType w:val="multilevel"/>
    <w:tmpl w:val="D6D8A826"/>
    <w:lvl w:ilvl="0">
      <w:start w:val="1"/>
      <w:numFmt w:val="lowerRoman"/>
      <w:lvlText w:val="%1)"/>
      <w:lvlJc w:val="left"/>
      <w:pPr>
        <w:ind w:left="369" w:hanging="369"/>
      </w:pPr>
      <w:rPr>
        <w:sz w:val="22"/>
      </w:rPr>
    </w:lvl>
    <w:lvl w:ilvl="1">
      <w:start w:val="1"/>
      <w:numFmt w:val="lowerLetter"/>
      <w:lvlText w:val="%2."/>
      <w:lvlJc w:val="left"/>
      <w:pPr>
        <w:ind w:left="738" w:hanging="369"/>
      </w:pPr>
    </w:lvl>
    <w:lvl w:ilvl="2">
      <w:start w:val="1"/>
      <w:numFmt w:val="lowerRoman"/>
      <w:lvlText w:val="%3."/>
      <w:lvlJc w:val="left"/>
      <w:pPr>
        <w:ind w:left="1107" w:hanging="369"/>
      </w:p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 w15:restartNumberingAfterBreak="0">
    <w:nsid w:val="65456429"/>
    <w:multiLevelType w:val="multilevel"/>
    <w:tmpl w:val="987C45B0"/>
    <w:lvl w:ilvl="0">
      <w:start w:val="1"/>
      <w:numFmt w:val="decimal"/>
      <w:pStyle w:val="ListNumber"/>
      <w:lvlText w:val="%1."/>
      <w:lvlJc w:val="left"/>
      <w:pPr>
        <w:ind w:left="369" w:hanging="369"/>
      </w:pPr>
      <w:rPr>
        <w:rFonts w:ascii="Arial" w:hAnsi="Arial" w:cs="Times New Roman" w:hint="default"/>
        <w:sz w:val="22"/>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13"/>
    <w:rsid w:val="00060B7B"/>
    <w:rsid w:val="000B6D13"/>
    <w:rsid w:val="000C2D71"/>
    <w:rsid w:val="000F2163"/>
    <w:rsid w:val="00125453"/>
    <w:rsid w:val="00382A70"/>
    <w:rsid w:val="007D720F"/>
    <w:rsid w:val="007F3CC1"/>
    <w:rsid w:val="00A82E16"/>
    <w:rsid w:val="00AB1C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D1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qFormat/>
    <w:rsid w:val="000B6D13"/>
    <w:pPr>
      <w:numPr>
        <w:numId w:val="1"/>
      </w:numPr>
    </w:pPr>
    <w:rPr>
      <w:rFonts w:ascii="Arial" w:eastAsia="Calibri" w:hAnsi="Arial" w:cs="Times New Roman"/>
    </w:rPr>
  </w:style>
  <w:style w:type="paragraph" w:styleId="ListNumber2">
    <w:name w:val="List Number 2"/>
    <w:basedOn w:val="Normal"/>
    <w:uiPriority w:val="99"/>
    <w:semiHidden/>
    <w:unhideWhenUsed/>
    <w:rsid w:val="000B6D13"/>
    <w:pPr>
      <w:numPr>
        <w:ilvl w:val="1"/>
        <w:numId w:val="1"/>
      </w:numPr>
    </w:pPr>
    <w:rPr>
      <w:rFonts w:ascii="Arial" w:eastAsia="Calibri" w:hAnsi="Arial" w:cs="Times New Roman"/>
    </w:rPr>
  </w:style>
  <w:style w:type="paragraph" w:styleId="ListNumber3">
    <w:name w:val="List Number 3"/>
    <w:basedOn w:val="Normal"/>
    <w:uiPriority w:val="99"/>
    <w:semiHidden/>
    <w:unhideWhenUsed/>
    <w:rsid w:val="000B6D13"/>
    <w:pPr>
      <w:numPr>
        <w:ilvl w:val="2"/>
        <w:numId w:val="1"/>
      </w:numPr>
    </w:pPr>
    <w:rPr>
      <w:rFonts w:ascii="Arial" w:eastAsia="Calibri" w:hAnsi="Arial" w:cs="Times New Roman"/>
    </w:rPr>
  </w:style>
  <w:style w:type="paragraph" w:styleId="ListNumber4">
    <w:name w:val="List Number 4"/>
    <w:basedOn w:val="Normal"/>
    <w:uiPriority w:val="99"/>
    <w:semiHidden/>
    <w:unhideWhenUsed/>
    <w:rsid w:val="000B6D13"/>
    <w:pPr>
      <w:numPr>
        <w:ilvl w:val="3"/>
        <w:numId w:val="1"/>
      </w:numPr>
    </w:pPr>
    <w:rPr>
      <w:rFonts w:ascii="Arial" w:eastAsia="Calibri" w:hAnsi="Arial" w:cs="Times New Roman"/>
    </w:rPr>
  </w:style>
  <w:style w:type="paragraph" w:styleId="ListNumber5">
    <w:name w:val="List Number 5"/>
    <w:basedOn w:val="Normal"/>
    <w:uiPriority w:val="99"/>
    <w:semiHidden/>
    <w:unhideWhenUsed/>
    <w:rsid w:val="000B6D13"/>
    <w:pPr>
      <w:numPr>
        <w:ilvl w:val="4"/>
        <w:numId w:val="1"/>
      </w:numPr>
    </w:pPr>
    <w:rPr>
      <w:rFonts w:ascii="Arial" w:eastAsia="Calibri" w:hAnsi="Arial" w:cs="Times New Roman"/>
    </w:rPr>
  </w:style>
  <w:style w:type="paragraph" w:styleId="Header">
    <w:name w:val="header"/>
    <w:basedOn w:val="Normal"/>
    <w:link w:val="HeaderChar"/>
    <w:uiPriority w:val="99"/>
    <w:unhideWhenUsed/>
    <w:rsid w:val="000C2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1"/>
  </w:style>
  <w:style w:type="paragraph" w:styleId="Footer">
    <w:name w:val="footer"/>
    <w:basedOn w:val="Normal"/>
    <w:link w:val="FooterChar"/>
    <w:uiPriority w:val="99"/>
    <w:unhideWhenUsed/>
    <w:rsid w:val="000C2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682E3F5B.dotm</Template>
  <TotalTime>0</TotalTime>
  <Pages>2</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World Heritage Advisory Committee (AWHAC) Terms of Reference</dc:title>
  <dc:subject/>
  <dc:creator/>
  <cp:keywords/>
  <dc:description/>
  <cp:lastModifiedBy/>
  <cp:revision>1</cp:revision>
  <dcterms:created xsi:type="dcterms:W3CDTF">2018-02-13T00:57:00Z</dcterms:created>
  <dcterms:modified xsi:type="dcterms:W3CDTF">2018-02-13T00:57:00Z</dcterms:modified>
</cp:coreProperties>
</file>