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AEC8" w14:textId="47D27D0E" w:rsidR="006117B1" w:rsidRPr="00ED3AA2" w:rsidRDefault="006117B1" w:rsidP="00ED3AA2">
      <w:pPr>
        <w:pStyle w:val="Heading1"/>
      </w:pPr>
      <w:r w:rsidRPr="00ED3AA2">
        <w:t>Appendix C: Evidence for changes to</w:t>
      </w:r>
      <w:r w:rsidR="00EC4434" w:rsidRPr="00ED3AA2">
        <w:t xml:space="preserve"> the</w:t>
      </w:r>
      <w:r w:rsidRPr="00ED3AA2">
        <w:t xml:space="preserve"> risk species list</w:t>
      </w:r>
      <w:r w:rsidR="00EC4434" w:rsidRPr="00ED3AA2">
        <w:t>s</w:t>
      </w:r>
      <w:r w:rsidRPr="00ED3AA2">
        <w:t xml:space="preserve"> that were not included in the draft update</w:t>
      </w:r>
    </w:p>
    <w:p w14:paraId="4B35F7B6" w14:textId="77777777" w:rsidR="006117B1" w:rsidRPr="00F33996" w:rsidRDefault="006117B1" w:rsidP="00F3399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1297"/>
        <w:gridCol w:w="1778"/>
        <w:gridCol w:w="930"/>
        <w:gridCol w:w="1353"/>
        <w:gridCol w:w="1321"/>
        <w:gridCol w:w="1298"/>
        <w:gridCol w:w="1972"/>
        <w:gridCol w:w="1283"/>
        <w:gridCol w:w="1309"/>
      </w:tblGrid>
      <w:tr w:rsidR="006117B1" w14:paraId="592F496F" w14:textId="77777777" w:rsidTr="002C44CB"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706CDEC6" w14:textId="77777777" w:rsidR="006117B1" w:rsidRPr="0051623C" w:rsidRDefault="006117B1" w:rsidP="00B672F9">
            <w:pPr>
              <w:pStyle w:val="TableText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51623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Host species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14:paraId="1BAB5415" w14:textId="77777777" w:rsidR="006117B1" w:rsidRPr="0051623C" w:rsidRDefault="006117B1" w:rsidP="00B672F9">
            <w:pPr>
              <w:pStyle w:val="TableText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51623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Pathogen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</w:tcPr>
          <w:p w14:paraId="16C570BD" w14:textId="77777777" w:rsidR="006117B1" w:rsidRPr="0051623C" w:rsidRDefault="006117B1" w:rsidP="00B672F9">
            <w:pPr>
              <w:pStyle w:val="TableText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51623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Reference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2F82C499" w14:textId="77777777" w:rsidR="006117B1" w:rsidRPr="0051623C" w:rsidRDefault="006117B1" w:rsidP="00B672F9">
            <w:pPr>
              <w:pStyle w:val="TableText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51623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Pathway of infection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14:paraId="46BCF56D" w14:textId="77777777" w:rsidR="006117B1" w:rsidRPr="0051623C" w:rsidRDefault="006117B1" w:rsidP="00B672F9">
            <w:pPr>
              <w:pStyle w:val="TableText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51623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Identification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14:paraId="5A203A40" w14:textId="77777777" w:rsidR="006117B1" w:rsidRPr="0051623C" w:rsidRDefault="006117B1" w:rsidP="00B672F9">
            <w:pPr>
              <w:pStyle w:val="TableText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51623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Replication and growth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14:paraId="2167996B" w14:textId="77777777" w:rsidR="006117B1" w:rsidRPr="0051623C" w:rsidRDefault="006117B1" w:rsidP="00B672F9">
            <w:pPr>
              <w:pStyle w:val="TableText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51623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Viable pathogen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14:paraId="1E75747E" w14:textId="77777777" w:rsidR="006117B1" w:rsidRPr="0051623C" w:rsidRDefault="006117B1" w:rsidP="00B672F9">
            <w:pPr>
              <w:pStyle w:val="TableText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51623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Pathology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14:paraId="1B02B85A" w14:textId="77777777" w:rsidR="006117B1" w:rsidRPr="0051623C" w:rsidRDefault="006117B1" w:rsidP="00B672F9">
            <w:pPr>
              <w:pStyle w:val="TableText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51623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Location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2671F79" w14:textId="77777777" w:rsidR="006117B1" w:rsidRPr="0051623C" w:rsidRDefault="006117B1" w:rsidP="00B672F9">
            <w:pPr>
              <w:pStyle w:val="TableText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51623C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Outcome of procedure</w:t>
            </w:r>
          </w:p>
        </w:tc>
      </w:tr>
      <w:tr w:rsidR="009E4BBA" w14:paraId="3E666BC0" w14:textId="77777777" w:rsidTr="002C44CB">
        <w:tc>
          <w:tcPr>
            <w:tcW w:w="1461" w:type="dxa"/>
          </w:tcPr>
          <w:p w14:paraId="4B05E20F" w14:textId="5CD5D486" w:rsidR="009E4BBA" w:rsidRPr="009E4BBA" w:rsidRDefault="009E4BBA" w:rsidP="009E4BBA">
            <w:pPr>
              <w:pStyle w:val="TableText"/>
              <w:rPr>
                <w:i/>
                <w:iCs/>
                <w:sz w:val="17"/>
                <w:szCs w:val="17"/>
              </w:rPr>
            </w:pPr>
            <w:proofErr w:type="spellStart"/>
            <w:r w:rsidRPr="009E4BBA">
              <w:rPr>
                <w:i/>
                <w:iCs/>
                <w:sz w:val="17"/>
                <w:szCs w:val="17"/>
                <w:lang w:val="en-AU"/>
              </w:rPr>
              <w:t>Acanthopagrus</w:t>
            </w:r>
            <w:proofErr w:type="spellEnd"/>
            <w:r w:rsidRPr="009E4BBA">
              <w:rPr>
                <w:i/>
                <w:iCs/>
                <w:sz w:val="17"/>
                <w:szCs w:val="17"/>
                <w:lang w:val="en-AU"/>
              </w:rPr>
              <w:t xml:space="preserve"> </w:t>
            </w:r>
            <w:proofErr w:type="spellStart"/>
            <w:r w:rsidRPr="009E4BBA">
              <w:rPr>
                <w:i/>
                <w:iCs/>
                <w:sz w:val="17"/>
                <w:szCs w:val="17"/>
                <w:lang w:val="en-AU"/>
              </w:rPr>
              <w:t>schlegeli</w:t>
            </w:r>
            <w:r w:rsidR="00C85EE2">
              <w:rPr>
                <w:i/>
                <w:iCs/>
                <w:sz w:val="17"/>
                <w:szCs w:val="17"/>
                <w:lang w:val="en-AU"/>
              </w:rPr>
              <w:t>i</w:t>
            </w:r>
            <w:proofErr w:type="spellEnd"/>
            <w:r w:rsidRPr="009E4BBA">
              <w:rPr>
                <w:i/>
                <w:iCs/>
                <w:sz w:val="17"/>
                <w:szCs w:val="17"/>
              </w:rPr>
              <w:t xml:space="preserve"> </w:t>
            </w:r>
            <w:r w:rsidRPr="00C85EE2">
              <w:rPr>
                <w:sz w:val="17"/>
                <w:szCs w:val="17"/>
              </w:rPr>
              <w:t>and</w:t>
            </w:r>
            <w:r w:rsidRPr="009E4BBA">
              <w:rPr>
                <w:i/>
                <w:iCs/>
                <w:sz w:val="17"/>
                <w:szCs w:val="17"/>
              </w:rPr>
              <w:t xml:space="preserve"> </w:t>
            </w:r>
          </w:p>
          <w:p w14:paraId="43BE6664" w14:textId="3BBE2F9E" w:rsidR="009E4BBA" w:rsidRPr="005421F9" w:rsidRDefault="009E4BBA" w:rsidP="009E4BBA">
            <w:pPr>
              <w:pStyle w:val="TableText"/>
              <w:rPr>
                <w:i/>
                <w:iCs/>
                <w:sz w:val="17"/>
                <w:szCs w:val="17"/>
              </w:rPr>
            </w:pPr>
            <w:r w:rsidRPr="009E4BBA">
              <w:rPr>
                <w:i/>
                <w:iCs/>
                <w:sz w:val="17"/>
                <w:szCs w:val="17"/>
                <w:lang w:val="en-AU"/>
              </w:rPr>
              <w:t>A. latus</w:t>
            </w:r>
          </w:p>
        </w:tc>
        <w:tc>
          <w:tcPr>
            <w:tcW w:w="1297" w:type="dxa"/>
          </w:tcPr>
          <w:p w14:paraId="7A6AE8BC" w14:textId="1C3FE8C5" w:rsidR="009E4BBA" w:rsidRPr="00B672F9" w:rsidRDefault="009E4BBA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 w:rsidRPr="009E4BBA">
              <w:rPr>
                <w:rFonts w:asciiTheme="minorHAnsi" w:hAnsiTheme="minorHAnsi" w:cstheme="minorHAnsi"/>
                <w:sz w:val="17"/>
                <w:szCs w:val="17"/>
                <w:lang w:val="en-AU"/>
              </w:rPr>
              <w:t>Causative agent of RSIVD</w:t>
            </w:r>
          </w:p>
        </w:tc>
        <w:tc>
          <w:tcPr>
            <w:tcW w:w="1778" w:type="dxa"/>
          </w:tcPr>
          <w:p w14:paraId="726F6F67" w14:textId="3D9D665F" w:rsidR="009E4BBA" w:rsidRDefault="009E4BBA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OIE (2019)</w:t>
            </w:r>
          </w:p>
        </w:tc>
        <w:tc>
          <w:tcPr>
            <w:tcW w:w="930" w:type="dxa"/>
          </w:tcPr>
          <w:p w14:paraId="3811AD0B" w14:textId="29347B99" w:rsidR="009E4BBA" w:rsidRDefault="009E4BBA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n/a</w:t>
            </w:r>
          </w:p>
        </w:tc>
        <w:tc>
          <w:tcPr>
            <w:tcW w:w="1353" w:type="dxa"/>
          </w:tcPr>
          <w:p w14:paraId="192844C2" w14:textId="4584A8EF" w:rsidR="009E4BBA" w:rsidRDefault="009E4BBA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 w:rsidRPr="009E4BBA">
              <w:rPr>
                <w:rFonts w:asciiTheme="minorHAnsi" w:hAnsiTheme="minorHAnsi" w:cstheme="minorHAnsi"/>
                <w:sz w:val="17"/>
                <w:szCs w:val="17"/>
                <w:lang w:val="en-AU"/>
              </w:rPr>
              <w:t>n/a</w:t>
            </w:r>
          </w:p>
        </w:tc>
        <w:tc>
          <w:tcPr>
            <w:tcW w:w="1321" w:type="dxa"/>
          </w:tcPr>
          <w:p w14:paraId="38E27E13" w14:textId="1BA1E92C" w:rsidR="009E4BBA" w:rsidRDefault="009E4BBA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 w:rsidRPr="009E4BBA">
              <w:rPr>
                <w:rFonts w:asciiTheme="minorHAnsi" w:hAnsiTheme="minorHAnsi" w:cstheme="minorHAnsi"/>
                <w:sz w:val="17"/>
                <w:szCs w:val="17"/>
                <w:lang w:val="en-AU"/>
              </w:rPr>
              <w:t>n/a</w:t>
            </w:r>
          </w:p>
        </w:tc>
        <w:tc>
          <w:tcPr>
            <w:tcW w:w="1298" w:type="dxa"/>
          </w:tcPr>
          <w:p w14:paraId="640B7033" w14:textId="163D4E92" w:rsidR="009E4BBA" w:rsidRDefault="009E4BBA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 w:rsidRPr="009E4BBA">
              <w:rPr>
                <w:rFonts w:asciiTheme="minorHAnsi" w:hAnsiTheme="minorHAnsi" w:cstheme="minorHAnsi"/>
                <w:sz w:val="17"/>
                <w:szCs w:val="17"/>
                <w:lang w:val="en-AU"/>
              </w:rPr>
              <w:t>n/a</w:t>
            </w:r>
          </w:p>
        </w:tc>
        <w:tc>
          <w:tcPr>
            <w:tcW w:w="1972" w:type="dxa"/>
          </w:tcPr>
          <w:p w14:paraId="25DC3171" w14:textId="06D5F3CC" w:rsidR="009E4BBA" w:rsidRDefault="009E4BBA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 w:rsidRPr="009E4BBA">
              <w:rPr>
                <w:rFonts w:asciiTheme="minorHAnsi" w:hAnsiTheme="minorHAnsi" w:cstheme="minorHAnsi"/>
                <w:sz w:val="17"/>
                <w:szCs w:val="17"/>
                <w:lang w:val="en-AU"/>
              </w:rPr>
              <w:t>n/a</w:t>
            </w:r>
          </w:p>
        </w:tc>
        <w:tc>
          <w:tcPr>
            <w:tcW w:w="1283" w:type="dxa"/>
          </w:tcPr>
          <w:p w14:paraId="0B617885" w14:textId="7D5CFE1C" w:rsidR="009E4BBA" w:rsidRDefault="009E4BBA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 w:rsidRPr="009E4BBA">
              <w:rPr>
                <w:rFonts w:asciiTheme="minorHAnsi" w:hAnsiTheme="minorHAnsi" w:cstheme="minorHAnsi"/>
                <w:sz w:val="17"/>
                <w:szCs w:val="17"/>
                <w:lang w:val="en-AU"/>
              </w:rPr>
              <w:t>n/a</w:t>
            </w:r>
          </w:p>
        </w:tc>
        <w:tc>
          <w:tcPr>
            <w:tcW w:w="1309" w:type="dxa"/>
          </w:tcPr>
          <w:p w14:paraId="35595032" w14:textId="48DAF25E" w:rsidR="009E4BBA" w:rsidRDefault="009E4BBA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</w:t>
            </w:r>
          </w:p>
        </w:tc>
      </w:tr>
      <w:tr w:rsidR="006117B1" w14:paraId="54132FA6" w14:textId="77777777" w:rsidTr="002C44CB">
        <w:tc>
          <w:tcPr>
            <w:tcW w:w="1461" w:type="dxa"/>
          </w:tcPr>
          <w:p w14:paraId="0621176C" w14:textId="77777777" w:rsidR="006117B1" w:rsidRPr="005421F9" w:rsidRDefault="006117B1" w:rsidP="00687806">
            <w:pPr>
              <w:pStyle w:val="TableText"/>
              <w:rPr>
                <w:i/>
                <w:iCs/>
                <w:sz w:val="17"/>
                <w:szCs w:val="17"/>
              </w:rPr>
            </w:pPr>
            <w:proofErr w:type="spellStart"/>
            <w:r w:rsidRPr="005421F9">
              <w:rPr>
                <w:i/>
                <w:iCs/>
                <w:sz w:val="17"/>
                <w:szCs w:val="17"/>
              </w:rPr>
              <w:t>Leiognathus</w:t>
            </w:r>
            <w:proofErr w:type="spellEnd"/>
            <w:r w:rsidRPr="005421F9">
              <w:rPr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5421F9">
              <w:rPr>
                <w:i/>
                <w:iCs/>
                <w:sz w:val="17"/>
                <w:szCs w:val="17"/>
              </w:rPr>
              <w:t>equulus</w:t>
            </w:r>
            <w:proofErr w:type="spellEnd"/>
            <w:r w:rsidRPr="005421F9">
              <w:rPr>
                <w:i/>
                <w:iCs/>
                <w:sz w:val="17"/>
                <w:szCs w:val="17"/>
              </w:rPr>
              <w:t xml:space="preserve"> </w:t>
            </w:r>
          </w:p>
        </w:tc>
        <w:tc>
          <w:tcPr>
            <w:tcW w:w="1297" w:type="dxa"/>
          </w:tcPr>
          <w:p w14:paraId="3E8C3385" w14:textId="77777777" w:rsidR="006117B1" w:rsidRPr="00B672F9" w:rsidRDefault="006117B1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 w:rsidRPr="00B672F9">
              <w:rPr>
                <w:rFonts w:asciiTheme="minorHAnsi" w:hAnsiTheme="minorHAnsi" w:cstheme="minorHAnsi"/>
                <w:sz w:val="17"/>
                <w:szCs w:val="17"/>
              </w:rPr>
              <w:t>Causative agent of RSIVD</w:t>
            </w:r>
          </w:p>
        </w:tc>
        <w:tc>
          <w:tcPr>
            <w:tcW w:w="1778" w:type="dxa"/>
          </w:tcPr>
          <w:p w14:paraId="23A15261" w14:textId="77777777" w:rsidR="006117B1" w:rsidRPr="00B672F9" w:rsidRDefault="006117B1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Wang et al. (2009)</w:t>
            </w:r>
          </w:p>
        </w:tc>
        <w:tc>
          <w:tcPr>
            <w:tcW w:w="930" w:type="dxa"/>
          </w:tcPr>
          <w:p w14:paraId="7EE21DA3" w14:textId="77777777" w:rsidR="006117B1" w:rsidRPr="00B672F9" w:rsidRDefault="006117B1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Natural</w:t>
            </w:r>
          </w:p>
        </w:tc>
        <w:tc>
          <w:tcPr>
            <w:tcW w:w="1353" w:type="dxa"/>
          </w:tcPr>
          <w:p w14:paraId="43980494" w14:textId="77777777" w:rsidR="006117B1" w:rsidRPr="00B672F9" w:rsidRDefault="006117B1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Yes – PCR followed by sequencing </w:t>
            </w:r>
          </w:p>
        </w:tc>
        <w:tc>
          <w:tcPr>
            <w:tcW w:w="1321" w:type="dxa"/>
          </w:tcPr>
          <w:p w14:paraId="39F4801A" w14:textId="77777777" w:rsidR="006117B1" w:rsidRPr="00B672F9" w:rsidRDefault="006117B1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>
              <w:rPr>
                <w:rFonts w:asciiTheme="minorHAnsi" w:hAnsiTheme="minorHAnsi" w:cstheme="minorHAnsi"/>
                <w:sz w:val="17"/>
                <w:szCs w:val="17"/>
              </w:rPr>
              <w:t>nd</w:t>
            </w:r>
            <w:proofErr w:type="spellEnd"/>
          </w:p>
        </w:tc>
        <w:tc>
          <w:tcPr>
            <w:tcW w:w="1298" w:type="dxa"/>
          </w:tcPr>
          <w:p w14:paraId="73E33338" w14:textId="77777777" w:rsidR="006117B1" w:rsidRPr="00B672F9" w:rsidRDefault="006117B1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>
              <w:rPr>
                <w:rFonts w:asciiTheme="minorHAnsi" w:hAnsiTheme="minorHAnsi" w:cstheme="minorHAnsi"/>
                <w:sz w:val="17"/>
                <w:szCs w:val="17"/>
              </w:rPr>
              <w:t>nd</w:t>
            </w:r>
            <w:proofErr w:type="spellEnd"/>
          </w:p>
        </w:tc>
        <w:tc>
          <w:tcPr>
            <w:tcW w:w="1972" w:type="dxa"/>
          </w:tcPr>
          <w:p w14:paraId="6E30DA03" w14:textId="77777777" w:rsidR="006117B1" w:rsidRPr="00B672F9" w:rsidRDefault="006117B1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 –</w:t>
            </w:r>
            <w:r w:rsidRPr="0079036F">
              <w:rPr>
                <w:rFonts w:asciiTheme="minorHAnsi" w:hAnsiTheme="minorHAnsi" w:cstheme="minorHAnsi"/>
                <w:sz w:val="17"/>
                <w:szCs w:val="17"/>
                <w:lang w:val="en-AU"/>
              </w:rPr>
              <w:t xml:space="preserve"> Affected fish showed abnormal swimming behaviour and lethargy and cumulative mortality of 30-50% within one month</w:t>
            </w:r>
          </w:p>
        </w:tc>
        <w:tc>
          <w:tcPr>
            <w:tcW w:w="1283" w:type="dxa"/>
          </w:tcPr>
          <w:p w14:paraId="632889DE" w14:textId="77777777" w:rsidR="006117B1" w:rsidRPr="00B672F9" w:rsidRDefault="006117B1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 – positive PCR from spleen tissue</w:t>
            </w:r>
          </w:p>
        </w:tc>
        <w:tc>
          <w:tcPr>
            <w:tcW w:w="1309" w:type="dxa"/>
          </w:tcPr>
          <w:p w14:paraId="253DEF54" w14:textId="77777777" w:rsidR="006117B1" w:rsidRPr="00B672F9" w:rsidRDefault="006117B1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2a</w:t>
            </w:r>
          </w:p>
        </w:tc>
      </w:tr>
      <w:tr w:rsidR="006117B1" w14:paraId="3696A1F8" w14:textId="77777777" w:rsidTr="002C44CB">
        <w:tc>
          <w:tcPr>
            <w:tcW w:w="1461" w:type="dxa"/>
          </w:tcPr>
          <w:p w14:paraId="7F17CDBD" w14:textId="77777777" w:rsidR="006117B1" w:rsidRPr="005421F9" w:rsidRDefault="006117B1" w:rsidP="00687806">
            <w:pPr>
              <w:pStyle w:val="TableText"/>
              <w:rPr>
                <w:i/>
                <w:iCs/>
                <w:sz w:val="17"/>
                <w:szCs w:val="17"/>
              </w:rPr>
            </w:pPr>
            <w:r w:rsidRPr="005421F9">
              <w:rPr>
                <w:i/>
                <w:iCs/>
                <w:sz w:val="17"/>
                <w:szCs w:val="17"/>
              </w:rPr>
              <w:t xml:space="preserve">Mugil </w:t>
            </w:r>
            <w:proofErr w:type="spellStart"/>
            <w:r w:rsidRPr="005421F9">
              <w:rPr>
                <w:i/>
                <w:iCs/>
                <w:sz w:val="17"/>
                <w:szCs w:val="17"/>
              </w:rPr>
              <w:t>cephalus</w:t>
            </w:r>
            <w:proofErr w:type="spellEnd"/>
          </w:p>
        </w:tc>
        <w:tc>
          <w:tcPr>
            <w:tcW w:w="1297" w:type="dxa"/>
          </w:tcPr>
          <w:p w14:paraId="4F3CD514" w14:textId="77777777" w:rsidR="006117B1" w:rsidRPr="00B672F9" w:rsidRDefault="006117B1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 w:rsidRPr="00F32243">
              <w:rPr>
                <w:rFonts w:asciiTheme="minorHAnsi" w:hAnsiTheme="minorHAnsi" w:cstheme="minorHAnsi"/>
                <w:sz w:val="17"/>
                <w:szCs w:val="17"/>
                <w:lang w:val="en-AU"/>
              </w:rPr>
              <w:t>Causative agent of RSIVD</w:t>
            </w:r>
          </w:p>
        </w:tc>
        <w:tc>
          <w:tcPr>
            <w:tcW w:w="1778" w:type="dxa"/>
          </w:tcPr>
          <w:p w14:paraId="6BC73F33" w14:textId="77777777" w:rsidR="006117B1" w:rsidRDefault="006117B1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OIE (2019)</w:t>
            </w:r>
          </w:p>
        </w:tc>
        <w:tc>
          <w:tcPr>
            <w:tcW w:w="930" w:type="dxa"/>
          </w:tcPr>
          <w:p w14:paraId="55D066AF" w14:textId="77777777" w:rsidR="006117B1" w:rsidRPr="00B672F9" w:rsidRDefault="006117B1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n/a</w:t>
            </w:r>
          </w:p>
        </w:tc>
        <w:tc>
          <w:tcPr>
            <w:tcW w:w="1353" w:type="dxa"/>
          </w:tcPr>
          <w:p w14:paraId="37003BCA" w14:textId="77777777" w:rsidR="006117B1" w:rsidRPr="00B672F9" w:rsidRDefault="006117B1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n/a</w:t>
            </w:r>
          </w:p>
        </w:tc>
        <w:tc>
          <w:tcPr>
            <w:tcW w:w="1321" w:type="dxa"/>
          </w:tcPr>
          <w:p w14:paraId="1F0283A9" w14:textId="77777777" w:rsidR="006117B1" w:rsidRPr="00B672F9" w:rsidRDefault="006117B1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n/a</w:t>
            </w:r>
          </w:p>
        </w:tc>
        <w:tc>
          <w:tcPr>
            <w:tcW w:w="1298" w:type="dxa"/>
          </w:tcPr>
          <w:p w14:paraId="3E81A49D" w14:textId="77777777" w:rsidR="006117B1" w:rsidRPr="00B672F9" w:rsidRDefault="006117B1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n/a</w:t>
            </w:r>
          </w:p>
        </w:tc>
        <w:tc>
          <w:tcPr>
            <w:tcW w:w="1972" w:type="dxa"/>
          </w:tcPr>
          <w:p w14:paraId="0E94FA0C" w14:textId="77777777" w:rsidR="006117B1" w:rsidRPr="00B672F9" w:rsidRDefault="006117B1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n/a</w:t>
            </w:r>
          </w:p>
        </w:tc>
        <w:tc>
          <w:tcPr>
            <w:tcW w:w="1283" w:type="dxa"/>
          </w:tcPr>
          <w:p w14:paraId="04495E21" w14:textId="77777777" w:rsidR="006117B1" w:rsidRPr="00B672F9" w:rsidRDefault="006117B1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n/a</w:t>
            </w:r>
          </w:p>
        </w:tc>
        <w:tc>
          <w:tcPr>
            <w:tcW w:w="1309" w:type="dxa"/>
          </w:tcPr>
          <w:p w14:paraId="0DACBB35" w14:textId="77777777" w:rsidR="006117B1" w:rsidRPr="00B672F9" w:rsidRDefault="006117B1" w:rsidP="00B672F9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</w:t>
            </w:r>
          </w:p>
        </w:tc>
      </w:tr>
      <w:tr w:rsidR="006117B1" w14:paraId="5409D910" w14:textId="77777777" w:rsidTr="00171D05">
        <w:tc>
          <w:tcPr>
            <w:tcW w:w="1461" w:type="dxa"/>
          </w:tcPr>
          <w:p w14:paraId="4BD06608" w14:textId="77777777" w:rsidR="006117B1" w:rsidRPr="005421F9" w:rsidRDefault="006117B1" w:rsidP="0079036F">
            <w:pPr>
              <w:pStyle w:val="TableText"/>
              <w:rPr>
                <w:i/>
                <w:iCs/>
                <w:sz w:val="17"/>
                <w:szCs w:val="17"/>
              </w:rPr>
            </w:pPr>
            <w:proofErr w:type="spellStart"/>
            <w:r w:rsidRPr="005475B9">
              <w:rPr>
                <w:i/>
                <w:iCs/>
                <w:sz w:val="17"/>
                <w:szCs w:val="17"/>
                <w:lang w:val="en-AU"/>
              </w:rPr>
              <w:t>Rhabdosargus</w:t>
            </w:r>
            <w:proofErr w:type="spellEnd"/>
            <w:r w:rsidRPr="005421F9">
              <w:rPr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5421F9">
              <w:rPr>
                <w:i/>
                <w:iCs/>
                <w:sz w:val="17"/>
                <w:szCs w:val="17"/>
              </w:rPr>
              <w:t>sarba</w:t>
            </w:r>
            <w:proofErr w:type="spellEnd"/>
          </w:p>
        </w:tc>
        <w:tc>
          <w:tcPr>
            <w:tcW w:w="1297" w:type="dxa"/>
          </w:tcPr>
          <w:p w14:paraId="14E730ED" w14:textId="77777777" w:rsidR="006117B1" w:rsidRPr="00B672F9" w:rsidRDefault="006117B1" w:rsidP="0079036F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 w:rsidRPr="00B672F9">
              <w:rPr>
                <w:rFonts w:asciiTheme="minorHAnsi" w:hAnsiTheme="minorHAnsi" w:cstheme="minorHAnsi"/>
                <w:sz w:val="17"/>
                <w:szCs w:val="17"/>
              </w:rPr>
              <w:t>Causative agent of RSIVD</w:t>
            </w:r>
          </w:p>
        </w:tc>
        <w:tc>
          <w:tcPr>
            <w:tcW w:w="1778" w:type="dxa"/>
          </w:tcPr>
          <w:p w14:paraId="044CBCC8" w14:textId="77777777" w:rsidR="006117B1" w:rsidRPr="00B672F9" w:rsidRDefault="006117B1" w:rsidP="0079036F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Wang et al. (2009)</w:t>
            </w:r>
          </w:p>
        </w:tc>
        <w:tc>
          <w:tcPr>
            <w:tcW w:w="930" w:type="dxa"/>
          </w:tcPr>
          <w:p w14:paraId="0EF2FF7A" w14:textId="77777777" w:rsidR="006117B1" w:rsidRPr="00B672F9" w:rsidRDefault="006117B1" w:rsidP="0079036F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Natural</w:t>
            </w:r>
          </w:p>
        </w:tc>
        <w:tc>
          <w:tcPr>
            <w:tcW w:w="1353" w:type="dxa"/>
          </w:tcPr>
          <w:p w14:paraId="1B3FB55A" w14:textId="77777777" w:rsidR="006117B1" w:rsidRPr="00B672F9" w:rsidRDefault="006117B1" w:rsidP="0079036F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Yes – PCR followed by sequencing </w:t>
            </w:r>
          </w:p>
        </w:tc>
        <w:tc>
          <w:tcPr>
            <w:tcW w:w="1321" w:type="dxa"/>
          </w:tcPr>
          <w:p w14:paraId="761D02DA" w14:textId="77777777" w:rsidR="006117B1" w:rsidRPr="00B672F9" w:rsidRDefault="006117B1" w:rsidP="0079036F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>
              <w:rPr>
                <w:rFonts w:asciiTheme="minorHAnsi" w:hAnsiTheme="minorHAnsi" w:cstheme="minorHAnsi"/>
                <w:sz w:val="17"/>
                <w:szCs w:val="17"/>
              </w:rPr>
              <w:t>nd</w:t>
            </w:r>
            <w:proofErr w:type="spellEnd"/>
          </w:p>
        </w:tc>
        <w:tc>
          <w:tcPr>
            <w:tcW w:w="1298" w:type="dxa"/>
          </w:tcPr>
          <w:p w14:paraId="52035822" w14:textId="77777777" w:rsidR="006117B1" w:rsidRPr="00B672F9" w:rsidRDefault="006117B1" w:rsidP="0079036F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proofErr w:type="spellStart"/>
            <w:r>
              <w:rPr>
                <w:rFonts w:asciiTheme="minorHAnsi" w:hAnsiTheme="minorHAnsi" w:cstheme="minorHAnsi"/>
                <w:sz w:val="17"/>
                <w:szCs w:val="17"/>
              </w:rPr>
              <w:t>nd</w:t>
            </w:r>
            <w:proofErr w:type="spellEnd"/>
          </w:p>
        </w:tc>
        <w:tc>
          <w:tcPr>
            <w:tcW w:w="1972" w:type="dxa"/>
          </w:tcPr>
          <w:p w14:paraId="655902C4" w14:textId="77777777" w:rsidR="006117B1" w:rsidRPr="00B672F9" w:rsidRDefault="006117B1" w:rsidP="0079036F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 –Affected fish showed abnormal swimming behaviour and lethargy and cumulative mortality of 30-50% within one month</w:t>
            </w:r>
          </w:p>
        </w:tc>
        <w:tc>
          <w:tcPr>
            <w:tcW w:w="1283" w:type="dxa"/>
          </w:tcPr>
          <w:p w14:paraId="22CC010E" w14:textId="77777777" w:rsidR="006117B1" w:rsidRPr="00B672F9" w:rsidRDefault="006117B1" w:rsidP="0079036F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Yes – positive PCR from spleen tissue</w:t>
            </w:r>
          </w:p>
        </w:tc>
        <w:tc>
          <w:tcPr>
            <w:tcW w:w="1309" w:type="dxa"/>
          </w:tcPr>
          <w:p w14:paraId="0751467D" w14:textId="77777777" w:rsidR="006117B1" w:rsidRPr="00B672F9" w:rsidRDefault="006117B1" w:rsidP="0079036F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2a</w:t>
            </w:r>
          </w:p>
        </w:tc>
      </w:tr>
      <w:tr w:rsidR="006117B1" w14:paraId="4A3075FA" w14:textId="77777777" w:rsidTr="00171D05">
        <w:tc>
          <w:tcPr>
            <w:tcW w:w="1461" w:type="dxa"/>
            <w:tcBorders>
              <w:bottom w:val="single" w:sz="4" w:space="0" w:color="auto"/>
            </w:tcBorders>
          </w:tcPr>
          <w:p w14:paraId="18D928BC" w14:textId="77777777" w:rsidR="006117B1" w:rsidRPr="005421F9" w:rsidRDefault="006117B1" w:rsidP="00C65BAB">
            <w:pPr>
              <w:pStyle w:val="TableText"/>
              <w:rPr>
                <w:sz w:val="17"/>
                <w:szCs w:val="17"/>
              </w:rPr>
            </w:pPr>
            <w:r w:rsidRPr="005421F9">
              <w:rPr>
                <w:rStyle w:val="Emphasis"/>
                <w:sz w:val="17"/>
                <w:szCs w:val="17"/>
              </w:rPr>
              <w:t>Sciaenops ocellatus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5DFC79AE" w14:textId="77777777" w:rsidR="006117B1" w:rsidRPr="004A73BF" w:rsidRDefault="006117B1" w:rsidP="00C65BAB">
            <w:pPr>
              <w:pStyle w:val="TableText"/>
              <w:rPr>
                <w:sz w:val="17"/>
                <w:szCs w:val="17"/>
              </w:rPr>
            </w:pPr>
            <w:r w:rsidRPr="004A73BF">
              <w:rPr>
                <w:sz w:val="17"/>
                <w:szCs w:val="17"/>
              </w:rPr>
              <w:t>Causative agent of RSIVD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39D4E9B1" w14:textId="77777777" w:rsidR="006117B1" w:rsidRPr="00B672F9" w:rsidRDefault="006117B1" w:rsidP="00C65BAB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OIE (2019)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38161134" w14:textId="77777777" w:rsidR="006117B1" w:rsidRPr="00B672F9" w:rsidRDefault="006117B1" w:rsidP="00C65BAB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n/a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419ED2EE" w14:textId="77777777" w:rsidR="006117B1" w:rsidRPr="00B672F9" w:rsidRDefault="006117B1" w:rsidP="00C65BAB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n/a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050EC28A" w14:textId="77777777" w:rsidR="006117B1" w:rsidRPr="00B672F9" w:rsidRDefault="006117B1" w:rsidP="00C65BAB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n/a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14:paraId="2249E5F3" w14:textId="77777777" w:rsidR="006117B1" w:rsidRPr="00B672F9" w:rsidRDefault="006117B1" w:rsidP="00C65BAB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n/a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08076F80" w14:textId="77777777" w:rsidR="006117B1" w:rsidRPr="00B672F9" w:rsidRDefault="006117B1" w:rsidP="00C65BAB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n/a</w:t>
            </w: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14:paraId="204D3B46" w14:textId="77777777" w:rsidR="006117B1" w:rsidRPr="00B672F9" w:rsidRDefault="006117B1" w:rsidP="00C65BAB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n/a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14:paraId="4DE7A1A1" w14:textId="77777777" w:rsidR="006117B1" w:rsidRPr="00B672F9" w:rsidRDefault="006117B1" w:rsidP="00C65BAB">
            <w:pPr>
              <w:pStyle w:val="TableText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1</w:t>
            </w:r>
          </w:p>
        </w:tc>
      </w:tr>
    </w:tbl>
    <w:p w14:paraId="402AE584" w14:textId="77777777" w:rsidR="006117B1" w:rsidRPr="00AD1945" w:rsidRDefault="006117B1" w:rsidP="002F7157">
      <w:pPr>
        <w:rPr>
          <w:b/>
          <w:bCs/>
          <w:sz w:val="18"/>
          <w:szCs w:val="18"/>
        </w:rPr>
      </w:pPr>
    </w:p>
    <w:p w14:paraId="48B3CFCB" w14:textId="21F5251D" w:rsidR="006117B1" w:rsidRPr="00AD1945" w:rsidRDefault="006117B1" w:rsidP="002F7157">
      <w:pPr>
        <w:rPr>
          <w:sz w:val="18"/>
          <w:szCs w:val="18"/>
        </w:rPr>
      </w:pPr>
      <w:r w:rsidRPr="00AD1945">
        <w:rPr>
          <w:b/>
          <w:bCs/>
          <w:sz w:val="18"/>
          <w:szCs w:val="18"/>
        </w:rPr>
        <w:t xml:space="preserve">RSIVD </w:t>
      </w:r>
      <w:r w:rsidRPr="00AD1945">
        <w:rPr>
          <w:sz w:val="18"/>
          <w:szCs w:val="18"/>
        </w:rPr>
        <w:t xml:space="preserve">Red sea bream iridoviral disease. </w:t>
      </w:r>
      <w:r w:rsidRPr="00AD1945">
        <w:rPr>
          <w:b/>
          <w:bCs/>
          <w:sz w:val="18"/>
          <w:szCs w:val="18"/>
        </w:rPr>
        <w:t xml:space="preserve">n/a </w:t>
      </w:r>
      <w:r w:rsidRPr="00AD1945">
        <w:rPr>
          <w:sz w:val="18"/>
          <w:szCs w:val="18"/>
        </w:rPr>
        <w:t>Not applicable as recognised as susceptible by the World Organisation for Animal Health (OIE).</w:t>
      </w:r>
      <w:r w:rsidRPr="00AD1945">
        <w:rPr>
          <w:rFonts w:ascii="Calibri-Bold" w:eastAsia="Cambria" w:hAnsi="Calibri-Bold" w:cs="Calibri-Bold"/>
          <w:b/>
          <w:bCs/>
          <w:sz w:val="18"/>
          <w:szCs w:val="18"/>
          <w:lang w:eastAsia="en-AU"/>
        </w:rPr>
        <w:t xml:space="preserve"> </w:t>
      </w:r>
      <w:proofErr w:type="spellStart"/>
      <w:r w:rsidRPr="00AD1945">
        <w:rPr>
          <w:b/>
          <w:bCs/>
          <w:sz w:val="18"/>
          <w:szCs w:val="18"/>
        </w:rPr>
        <w:t>nd</w:t>
      </w:r>
      <w:proofErr w:type="spellEnd"/>
      <w:r w:rsidRPr="00AD1945">
        <w:rPr>
          <w:b/>
          <w:bCs/>
          <w:sz w:val="18"/>
          <w:szCs w:val="18"/>
        </w:rPr>
        <w:t xml:space="preserve"> </w:t>
      </w:r>
      <w:r w:rsidRPr="00AD1945">
        <w:rPr>
          <w:sz w:val="18"/>
          <w:szCs w:val="18"/>
        </w:rPr>
        <w:t>Not done in the scientific paper.</w:t>
      </w:r>
      <w:r w:rsidRPr="00AD1945">
        <w:rPr>
          <w:b/>
          <w:bCs/>
          <w:sz w:val="18"/>
          <w:szCs w:val="18"/>
        </w:rPr>
        <w:t xml:space="preserve"> PCR </w:t>
      </w:r>
      <w:r w:rsidRPr="00AD1945">
        <w:rPr>
          <w:sz w:val="18"/>
          <w:szCs w:val="18"/>
        </w:rPr>
        <w:t xml:space="preserve">Polymerase Chain Reaction. </w:t>
      </w:r>
      <w:r w:rsidRPr="00AD1945">
        <w:rPr>
          <w:b/>
          <w:bCs/>
          <w:sz w:val="18"/>
          <w:szCs w:val="18"/>
        </w:rPr>
        <w:t>TEM</w:t>
      </w:r>
      <w:r w:rsidRPr="00AD1945">
        <w:rPr>
          <w:sz w:val="18"/>
          <w:szCs w:val="18"/>
        </w:rPr>
        <w:t xml:space="preserve"> Transmission electron microscopy. </w:t>
      </w:r>
      <w:r w:rsidRPr="00AD1945">
        <w:rPr>
          <w:b/>
          <w:bCs/>
          <w:sz w:val="18"/>
          <w:szCs w:val="18"/>
        </w:rPr>
        <w:t xml:space="preserve">Outcome of procedure </w:t>
      </w:r>
      <w:proofErr w:type="gramStart"/>
      <w:r w:rsidRPr="00AD1945">
        <w:rPr>
          <w:sz w:val="18"/>
          <w:szCs w:val="18"/>
        </w:rPr>
        <w:t>The</w:t>
      </w:r>
      <w:proofErr w:type="gramEnd"/>
      <w:r w:rsidRPr="00AD1945">
        <w:rPr>
          <w:sz w:val="18"/>
          <w:szCs w:val="18"/>
        </w:rPr>
        <w:t xml:space="preserve"> combination of evidence of susceptibility (1, 2a or 2b) that the evidence fulfills as outlined in the 'Procedure to determine finfish susceptibility to infection with a specific pathogenic agent'</w:t>
      </w:r>
      <w:r w:rsidR="00C85EE2">
        <w:rPr>
          <w:sz w:val="18"/>
          <w:szCs w:val="18"/>
        </w:rPr>
        <w:t xml:space="preserve"> (Appendix A)</w:t>
      </w:r>
      <w:r w:rsidRPr="00AD1945">
        <w:rPr>
          <w:sz w:val="18"/>
          <w:szCs w:val="18"/>
        </w:rPr>
        <w:t>.</w:t>
      </w:r>
    </w:p>
    <w:p w14:paraId="35378C98" w14:textId="77777777" w:rsidR="006117B1" w:rsidRPr="00AD1945" w:rsidRDefault="006117B1" w:rsidP="00EB1199">
      <w:pPr>
        <w:rPr>
          <w:sz w:val="18"/>
          <w:szCs w:val="18"/>
        </w:rPr>
      </w:pPr>
      <w:r w:rsidRPr="00AD1945">
        <w:rPr>
          <w:sz w:val="18"/>
          <w:szCs w:val="18"/>
        </w:rPr>
        <w:t>Note: A causative agent of RSIVD is defined here as either red sea bream iridovirus (RSIV) or infectious spleen and kidney necrosis virus (ISKNV) (OIE 2019).</w:t>
      </w:r>
    </w:p>
    <w:p w14:paraId="2F1961A3" w14:textId="77777777" w:rsidR="006117B1" w:rsidRDefault="006117B1" w:rsidP="00F420F5">
      <w:pPr>
        <w:pStyle w:val="Heading3"/>
        <w:pageBreakBefore/>
      </w:pPr>
      <w:r>
        <w:lastRenderedPageBreak/>
        <w:t xml:space="preserve">References </w:t>
      </w:r>
    </w:p>
    <w:p w14:paraId="7BC36973" w14:textId="4314EF9A" w:rsidR="006117B1" w:rsidRPr="00AF5225" w:rsidRDefault="006117B1" w:rsidP="00AF5225">
      <w:r w:rsidRPr="00AF5225">
        <w:t xml:space="preserve">OIE 2019, </w:t>
      </w:r>
      <w:r w:rsidRPr="00AF5225">
        <w:rPr>
          <w:i/>
          <w:iCs/>
        </w:rPr>
        <w:t>Manual of diagnostic tests for aquatic animals</w:t>
      </w:r>
      <w:r w:rsidRPr="00AF5225">
        <w:t xml:space="preserve"> 2019, World Organisation for Animal Health (OIE), Paris, available at http://www.oie.int/en/standard-setting/aquatic-manual/access-online/ accessed 2</w:t>
      </w:r>
      <w:r w:rsidR="001B3D6E">
        <w:t>5</w:t>
      </w:r>
      <w:r w:rsidRPr="00AF5225">
        <w:t xml:space="preserve"> Ju</w:t>
      </w:r>
      <w:r w:rsidR="001B3D6E">
        <w:t>ne</w:t>
      </w:r>
      <w:r w:rsidRPr="00AF5225">
        <w:t xml:space="preserve"> 202</w:t>
      </w:r>
      <w:r w:rsidR="001B3D6E">
        <w:t>1</w:t>
      </w:r>
      <w:r w:rsidRPr="00AF5225">
        <w:t>.</w:t>
      </w:r>
    </w:p>
    <w:p w14:paraId="12B16CAC" w14:textId="77777777" w:rsidR="006117B1" w:rsidRPr="00AF5225" w:rsidRDefault="006117B1" w:rsidP="00AF5225">
      <w:r w:rsidRPr="00AF5225">
        <w:t xml:space="preserve">Wang CS, Chao SY, Ku CC, Wen CM, Shih HH (2009) PCR amplification and sequence analysis of the major capsid protein gene of </w:t>
      </w:r>
      <w:proofErr w:type="spellStart"/>
      <w:r w:rsidRPr="00AF5225">
        <w:t>megalocytiviruses</w:t>
      </w:r>
      <w:proofErr w:type="spellEnd"/>
      <w:r w:rsidRPr="00AF5225">
        <w:t xml:space="preserve"> isolated in Taiwan. </w:t>
      </w:r>
      <w:r w:rsidRPr="00AF5225">
        <w:rPr>
          <w:i/>
          <w:iCs/>
        </w:rPr>
        <w:t>Journal of Fish Diseases</w:t>
      </w:r>
      <w:r w:rsidRPr="00AF5225">
        <w:t xml:space="preserve"> 32 pp.543-550.</w:t>
      </w:r>
    </w:p>
    <w:p w14:paraId="3BA2BAC2" w14:textId="77777777" w:rsidR="006117B1" w:rsidRPr="00AF5225" w:rsidRDefault="006117B1" w:rsidP="00AF5225"/>
    <w:p w14:paraId="6CE367C2" w14:textId="77777777" w:rsidR="00E92199" w:rsidRDefault="00E92199"/>
    <w:sectPr w:rsidR="00E92199" w:rsidSect="001A466D">
      <w:headerReference w:type="default" r:id="rId7"/>
      <w:footerReference w:type="default" r:id="rId8"/>
      <w:headerReference w:type="first" r:id="rId9"/>
      <w:footerReference w:type="first" r:id="rId10"/>
      <w:footnotePr>
        <w:numFmt w:val="lowerLetter"/>
      </w:footnotePr>
      <w:pgSz w:w="16838" w:h="11906" w:orient="landscape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2E07" w14:textId="77777777" w:rsidR="00C517BD" w:rsidRDefault="00C517BD" w:rsidP="006117B1">
      <w:pPr>
        <w:spacing w:after="0" w:line="240" w:lineRule="auto"/>
      </w:pPr>
      <w:r>
        <w:separator/>
      </w:r>
    </w:p>
  </w:endnote>
  <w:endnote w:type="continuationSeparator" w:id="0">
    <w:p w14:paraId="5C6F0D25" w14:textId="77777777" w:rsidR="00C517BD" w:rsidRDefault="00C517BD" w:rsidP="0061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8317" w14:textId="77777777" w:rsidR="006117B1" w:rsidRDefault="006117B1" w:rsidP="006117B1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1C6F3615" w14:textId="052ED791" w:rsidR="006117B1" w:rsidRDefault="006117B1" w:rsidP="006117B1">
    <w:pPr>
      <w:pStyle w:val="Footer"/>
      <w:tabs>
        <w:tab w:val="left" w:pos="6888"/>
      </w:tabs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E4C42" w14:textId="77777777" w:rsidR="006117B1" w:rsidRDefault="006117B1" w:rsidP="006117B1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0A3AE81D" w14:textId="25A00A4A" w:rsidR="006117B1" w:rsidRPr="006117B1" w:rsidRDefault="006117B1" w:rsidP="006117B1">
    <w:pPr>
      <w:pStyle w:val="Footer"/>
      <w:tabs>
        <w:tab w:val="left" w:pos="6888"/>
      </w:tabs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96A3" w14:textId="77777777" w:rsidR="00C517BD" w:rsidRDefault="00C517BD" w:rsidP="006117B1">
      <w:pPr>
        <w:spacing w:after="0" w:line="240" w:lineRule="auto"/>
      </w:pPr>
      <w:r>
        <w:separator/>
      </w:r>
    </w:p>
  </w:footnote>
  <w:footnote w:type="continuationSeparator" w:id="0">
    <w:p w14:paraId="32F5537C" w14:textId="77777777" w:rsidR="00C517BD" w:rsidRDefault="00C517BD" w:rsidP="0061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AFC1" w14:textId="77777777" w:rsidR="009D43E6" w:rsidRPr="009D43E6" w:rsidRDefault="009D43E6" w:rsidP="009D43E6">
    <w:pPr>
      <w:tabs>
        <w:tab w:val="center" w:pos="4820"/>
      </w:tabs>
      <w:spacing w:after="120" w:line="240" w:lineRule="auto"/>
      <w:jc w:val="center"/>
      <w:rPr>
        <w:rFonts w:ascii="Calibri" w:eastAsia="Calibri" w:hAnsi="Calibri" w:cs="Times New Roman"/>
        <w:sz w:val="20"/>
      </w:rPr>
    </w:pPr>
    <w:bookmarkStart w:id="0" w:name="_Hlk75425463"/>
    <w:bookmarkStart w:id="1" w:name="_Hlk75425464"/>
    <w:bookmarkStart w:id="2" w:name="_Hlk75425465"/>
    <w:bookmarkStart w:id="3" w:name="_Hlk75425466"/>
    <w:bookmarkStart w:id="4" w:name="_Hlk75425467"/>
    <w:bookmarkStart w:id="5" w:name="_Hlk75425468"/>
    <w:bookmarkStart w:id="6" w:name="_Hlk75425469"/>
    <w:bookmarkStart w:id="7" w:name="_Hlk75425470"/>
    <w:bookmarkStart w:id="8" w:name="_Hlk75425471"/>
    <w:bookmarkStart w:id="9" w:name="_Hlk75425472"/>
    <w:bookmarkStart w:id="10" w:name="_Hlk75425473"/>
    <w:bookmarkStart w:id="11" w:name="_Hlk75425474"/>
    <w:bookmarkStart w:id="12" w:name="_Hlk75425475"/>
    <w:bookmarkStart w:id="13" w:name="_Hlk75425476"/>
    <w:r w:rsidRPr="009D43E6">
      <w:rPr>
        <w:rFonts w:ascii="Calibri" w:eastAsia="Calibri" w:hAnsi="Calibri" w:cs="Times New Roman"/>
        <w:sz w:val="20"/>
      </w:rPr>
      <w:t>Biosecurity advice 2021/A02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  <w:p w14:paraId="0480A0F7" w14:textId="77777777" w:rsidR="009D43E6" w:rsidRDefault="009D43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0915" w14:textId="2DF3EF3E" w:rsidR="006117B1" w:rsidRPr="006117B1" w:rsidRDefault="00973C9A" w:rsidP="006117B1">
    <w:pPr>
      <w:tabs>
        <w:tab w:val="center" w:pos="4820"/>
      </w:tabs>
      <w:spacing w:after="120" w:line="240" w:lineRule="auto"/>
      <w:jc w:val="center"/>
      <w:rPr>
        <w:rFonts w:ascii="Calibri" w:eastAsia="Calibri" w:hAnsi="Calibri" w:cs="Times New Roman"/>
        <w:sz w:val="20"/>
      </w:rPr>
    </w:pPr>
    <w:r>
      <w:rPr>
        <w:rFonts w:ascii="Calibri" w:eastAsia="Calibri" w:hAnsi="Calibri" w:cs="Times New Roman"/>
        <w:sz w:val="20"/>
      </w:rPr>
      <w:t>Animal B</w:t>
    </w:r>
    <w:r w:rsidR="006117B1" w:rsidRPr="006117B1">
      <w:rPr>
        <w:rFonts w:ascii="Calibri" w:eastAsia="Calibri" w:hAnsi="Calibri" w:cs="Times New Roman"/>
        <w:sz w:val="20"/>
      </w:rPr>
      <w:t xml:space="preserve">iosecurity </w:t>
    </w:r>
    <w:r w:rsidR="003031F2">
      <w:rPr>
        <w:rFonts w:ascii="Calibri" w:eastAsia="Calibri" w:hAnsi="Calibri" w:cs="Times New Roman"/>
        <w:sz w:val="20"/>
      </w:rPr>
      <w:t>A</w:t>
    </w:r>
    <w:r w:rsidR="006117B1" w:rsidRPr="006117B1">
      <w:rPr>
        <w:rFonts w:ascii="Calibri" w:eastAsia="Calibri" w:hAnsi="Calibri" w:cs="Times New Roman"/>
        <w:sz w:val="20"/>
      </w:rPr>
      <w:t>dvice 2021</w:t>
    </w:r>
    <w:r w:rsidR="003031F2">
      <w:rPr>
        <w:rFonts w:ascii="Calibri" w:eastAsia="Calibri" w:hAnsi="Calibri" w:cs="Times New Roman"/>
        <w:sz w:val="20"/>
      </w:rPr>
      <w:t xml:space="preserve"> </w:t>
    </w:r>
    <w:r w:rsidR="006117B1" w:rsidRPr="006117B1">
      <w:rPr>
        <w:rFonts w:ascii="Calibri" w:eastAsia="Calibri" w:hAnsi="Calibri" w:cs="Times New Roman"/>
        <w:sz w:val="20"/>
      </w:rPr>
      <w:t>A02</w:t>
    </w:r>
  </w:p>
  <w:p w14:paraId="6ED5F311" w14:textId="77777777" w:rsidR="00EC68D2" w:rsidRDefault="00C517BD" w:rsidP="00F6403C">
    <w:pPr>
      <w:pStyle w:val="Header"/>
      <w:tabs>
        <w:tab w:val="clear" w:pos="4820"/>
        <w:tab w:val="left" w:pos="7499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73C0"/>
    <w:multiLevelType w:val="multilevel"/>
    <w:tmpl w:val="BE624F0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2"/>
      <w:numFmt w:val="decimal"/>
      <w:lvlText w:val="%2b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" w15:restartNumberingAfterBreak="0">
    <w:nsid w:val="196B606F"/>
    <w:multiLevelType w:val="hybridMultilevel"/>
    <w:tmpl w:val="E0560262"/>
    <w:lvl w:ilvl="0" w:tplc="1D52313A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202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7C13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0A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886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E24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88A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C42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C6AD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328D5"/>
    <w:multiLevelType w:val="multilevel"/>
    <w:tmpl w:val="BE78A4F8"/>
    <w:numStyleLink w:val="Numberlist"/>
  </w:abstractNum>
  <w:abstractNum w:abstractNumId="3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4" w15:restartNumberingAfterBreak="0">
    <w:nsid w:val="60877522"/>
    <w:multiLevelType w:val="hybridMultilevel"/>
    <w:tmpl w:val="E51E6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77EB5"/>
    <w:multiLevelType w:val="hybridMultilevel"/>
    <w:tmpl w:val="7736E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66B06"/>
    <w:multiLevelType w:val="multilevel"/>
    <w:tmpl w:val="9C0E3A0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2"/>
      <w:numFmt w:val="decimal"/>
      <w:lvlText w:val="%2a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B1"/>
    <w:rsid w:val="001B3D6E"/>
    <w:rsid w:val="003031F2"/>
    <w:rsid w:val="006117B1"/>
    <w:rsid w:val="00973C9A"/>
    <w:rsid w:val="009D43E6"/>
    <w:rsid w:val="009E4BBA"/>
    <w:rsid w:val="00C517BD"/>
    <w:rsid w:val="00C85EE2"/>
    <w:rsid w:val="00E92199"/>
    <w:rsid w:val="00EC4434"/>
    <w:rsid w:val="00ED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5B24A"/>
  <w15:chartTrackingRefBased/>
  <w15:docId w15:val="{23262AD0-5166-4453-9D1D-72FEBD86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1"/>
    <w:qFormat/>
    <w:rsid w:val="00ED3AA2"/>
    <w:pPr>
      <w:outlineLvl w:val="0"/>
    </w:pPr>
  </w:style>
  <w:style w:type="paragraph" w:styleId="Heading2">
    <w:name w:val="heading 2"/>
    <w:basedOn w:val="Normal"/>
    <w:next w:val="Normal"/>
    <w:link w:val="Heading2Char"/>
    <w:uiPriority w:val="3"/>
    <w:rsid w:val="006117B1"/>
    <w:pPr>
      <w:keepNext/>
      <w:spacing w:before="120" w:after="120" w:line="240" w:lineRule="auto"/>
      <w:ind w:left="720" w:hanging="720"/>
      <w:outlineLvl w:val="1"/>
    </w:pPr>
    <w:rPr>
      <w:rFonts w:ascii="Calibri" w:eastAsiaTheme="minorEastAsia" w:hAnsi="Calibri"/>
      <w:b/>
      <w:bCs/>
      <w:color w:val="EF3829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6117B1"/>
    <w:pPr>
      <w:keepNext/>
      <w:keepLines/>
      <w:spacing w:after="0" w:line="240" w:lineRule="auto"/>
      <w:ind w:left="964" w:hanging="964"/>
      <w:outlineLvl w:val="2"/>
    </w:pPr>
    <w:rPr>
      <w:rFonts w:ascii="Calibri" w:eastAsia="Times New Roman" w:hAnsi="Calibri" w:cs="Times New Roman"/>
      <w:b/>
      <w:bCs/>
      <w:sz w:val="28"/>
      <w:szCs w:val="24"/>
    </w:rPr>
  </w:style>
  <w:style w:type="paragraph" w:styleId="Heading4">
    <w:name w:val="heading 4"/>
    <w:next w:val="Normal"/>
    <w:link w:val="Heading4Char"/>
    <w:uiPriority w:val="5"/>
    <w:qFormat/>
    <w:rsid w:val="006117B1"/>
    <w:pPr>
      <w:keepNext/>
      <w:spacing w:after="0" w:line="240" w:lineRule="auto"/>
      <w:ind w:left="964" w:hanging="964"/>
      <w:outlineLvl w:val="3"/>
    </w:pPr>
    <w:rPr>
      <w:rFonts w:ascii="Calibri" w:eastAsia="Times New Roman" w:hAnsi="Calibri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D3AA2"/>
    <w:rPr>
      <w:rFonts w:ascii="Calibri" w:eastAsiaTheme="minorEastAsia" w:hAnsi="Calibri"/>
      <w:b/>
      <w:bCs/>
      <w:color w:val="EF3829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6117B1"/>
    <w:rPr>
      <w:rFonts w:ascii="Calibri" w:eastAsiaTheme="minorEastAsia" w:hAnsi="Calibri"/>
      <w:b/>
      <w:bCs/>
      <w:color w:val="EF3829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6117B1"/>
    <w:rPr>
      <w:rFonts w:ascii="Calibri" w:eastAsia="Times New Roman" w:hAnsi="Calibri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6117B1"/>
    <w:rPr>
      <w:rFonts w:ascii="Calibri" w:eastAsia="Times New Roman" w:hAnsi="Calibri" w:cs="Times New Roman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6117B1"/>
    <w:pPr>
      <w:spacing w:after="120" w:line="276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17B1"/>
    <w:rPr>
      <w:sz w:val="20"/>
      <w:szCs w:val="20"/>
    </w:rPr>
  </w:style>
  <w:style w:type="paragraph" w:styleId="Header">
    <w:name w:val="header"/>
    <w:basedOn w:val="Normal"/>
    <w:link w:val="HeaderChar"/>
    <w:uiPriority w:val="26"/>
    <w:rsid w:val="006117B1"/>
    <w:pPr>
      <w:tabs>
        <w:tab w:val="center" w:pos="4820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sid w:val="006117B1"/>
    <w:rPr>
      <w:rFonts w:ascii="Calibri" w:hAnsi="Calibri"/>
      <w:sz w:val="20"/>
    </w:rPr>
  </w:style>
  <w:style w:type="paragraph" w:styleId="Footer">
    <w:name w:val="footer"/>
    <w:basedOn w:val="Normal"/>
    <w:link w:val="FooterChar"/>
    <w:uiPriority w:val="27"/>
    <w:rsid w:val="006117B1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6117B1"/>
    <w:rPr>
      <w:rFonts w:ascii="Calibri" w:hAnsi="Calibri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117B1"/>
    <w:rPr>
      <w:sz w:val="16"/>
      <w:szCs w:val="16"/>
    </w:rPr>
  </w:style>
  <w:style w:type="table" w:styleId="TableGrid">
    <w:name w:val="Table Grid"/>
    <w:basedOn w:val="TableNormal"/>
    <w:uiPriority w:val="59"/>
    <w:rsid w:val="006117B1"/>
    <w:pPr>
      <w:spacing w:before="60" w:after="60" w:line="240" w:lineRule="auto"/>
    </w:pPr>
    <w:rPr>
      <w:rFonts w:ascii="Cambria" w:eastAsia="Times New Roman" w:hAnsi="Cambria" w:cs="Times New Roman"/>
      <w:sz w:val="18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2"/>
    <w:qFormat/>
    <w:rsid w:val="006117B1"/>
    <w:pPr>
      <w:keepNext/>
      <w:spacing w:after="120"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6117B1"/>
    <w:pPr>
      <w:spacing w:before="120" w:after="120" w:line="264" w:lineRule="auto"/>
      <w:contextualSpacing/>
    </w:pPr>
    <w:rPr>
      <w:rFonts w:ascii="Calibri" w:hAnsi="Calibri"/>
      <w:sz w:val="18"/>
    </w:rPr>
  </w:style>
  <w:style w:type="character" w:styleId="Hyperlink">
    <w:name w:val="Hyperlink"/>
    <w:basedOn w:val="DefaultParagraphFont"/>
    <w:uiPriority w:val="99"/>
    <w:qFormat/>
    <w:rsid w:val="006117B1"/>
    <w:rPr>
      <w:color w:val="165788"/>
      <w:u w:val="single"/>
    </w:rPr>
  </w:style>
  <w:style w:type="paragraph" w:styleId="ListNumber">
    <w:name w:val="List Number"/>
    <w:basedOn w:val="Normal"/>
    <w:uiPriority w:val="9"/>
    <w:qFormat/>
    <w:rsid w:val="006117B1"/>
    <w:pPr>
      <w:numPr>
        <w:numId w:val="3"/>
      </w:numPr>
      <w:tabs>
        <w:tab w:val="left" w:pos="142"/>
      </w:tabs>
      <w:spacing w:before="120" w:after="120" w:line="276" w:lineRule="auto"/>
    </w:pPr>
  </w:style>
  <w:style w:type="paragraph" w:styleId="ListNumber2">
    <w:name w:val="List Number 2"/>
    <w:uiPriority w:val="10"/>
    <w:qFormat/>
    <w:rsid w:val="006117B1"/>
    <w:pPr>
      <w:numPr>
        <w:ilvl w:val="1"/>
        <w:numId w:val="3"/>
      </w:numPr>
      <w:tabs>
        <w:tab w:val="left" w:pos="567"/>
      </w:tabs>
      <w:spacing w:before="120" w:after="120" w:line="264" w:lineRule="auto"/>
    </w:pPr>
    <w:rPr>
      <w:rFonts w:ascii="Cambria" w:eastAsia="Times New Roman" w:hAnsi="Cambria" w:cs="Times New Roman"/>
      <w:szCs w:val="24"/>
    </w:rPr>
  </w:style>
  <w:style w:type="paragraph" w:styleId="ListNumber3">
    <w:name w:val="List Number 3"/>
    <w:uiPriority w:val="11"/>
    <w:qFormat/>
    <w:rsid w:val="006117B1"/>
    <w:pPr>
      <w:numPr>
        <w:ilvl w:val="2"/>
        <w:numId w:val="3"/>
      </w:numPr>
      <w:spacing w:before="120" w:after="120" w:line="264" w:lineRule="auto"/>
    </w:pPr>
    <w:rPr>
      <w:rFonts w:ascii="Cambria" w:eastAsia="Times New Roman" w:hAnsi="Cambria" w:cs="Times New Roman"/>
      <w:szCs w:val="24"/>
    </w:rPr>
  </w:style>
  <w:style w:type="character" w:styleId="Emphasis">
    <w:name w:val="Emphasis"/>
    <w:basedOn w:val="DefaultParagraphFont"/>
    <w:uiPriority w:val="99"/>
    <w:qFormat/>
    <w:rsid w:val="006117B1"/>
    <w:rPr>
      <w:i/>
      <w:iCs/>
    </w:rPr>
  </w:style>
  <w:style w:type="paragraph" w:customStyle="1" w:styleId="TableBullet1">
    <w:name w:val="Table Bullet 1"/>
    <w:basedOn w:val="Normal"/>
    <w:uiPriority w:val="15"/>
    <w:qFormat/>
    <w:rsid w:val="006117B1"/>
    <w:pPr>
      <w:numPr>
        <w:numId w:val="1"/>
      </w:numPr>
      <w:spacing w:before="60" w:after="60" w:line="240" w:lineRule="auto"/>
      <w:ind w:left="284" w:hanging="284"/>
    </w:pPr>
    <w:rPr>
      <w:sz w:val="20"/>
    </w:rPr>
  </w:style>
  <w:style w:type="numbering" w:customStyle="1" w:styleId="Numberlist">
    <w:name w:val="Number list"/>
    <w:uiPriority w:val="99"/>
    <w:rsid w:val="006117B1"/>
    <w:pPr>
      <w:numPr>
        <w:numId w:val="2"/>
      </w:numPr>
    </w:pPr>
  </w:style>
  <w:style w:type="paragraph" w:customStyle="1" w:styleId="TableText">
    <w:name w:val="Table Text"/>
    <w:qFormat/>
    <w:rsid w:val="006117B1"/>
    <w:pPr>
      <w:spacing w:before="60" w:after="60" w:line="240" w:lineRule="auto"/>
    </w:pPr>
    <w:rPr>
      <w:rFonts w:ascii="Calibri" w:eastAsia="Times New Roman" w:hAnsi="Calibri" w:cs="Arial"/>
      <w:color w:val="000000"/>
      <w:sz w:val="19"/>
      <w:lang w:val="en-GB" w:eastAsia="en-AU"/>
    </w:rPr>
  </w:style>
  <w:style w:type="paragraph" w:styleId="Date">
    <w:name w:val="Date"/>
    <w:basedOn w:val="Normal"/>
    <w:next w:val="Normal"/>
    <w:link w:val="DateChar"/>
    <w:uiPriority w:val="99"/>
    <w:unhideWhenUsed/>
    <w:rsid w:val="006117B1"/>
    <w:pPr>
      <w:spacing w:before="600" w:after="120" w:line="276" w:lineRule="auto"/>
    </w:pPr>
  </w:style>
  <w:style w:type="character" w:customStyle="1" w:styleId="DateChar">
    <w:name w:val="Date Char"/>
    <w:basedOn w:val="DefaultParagraphFont"/>
    <w:link w:val="Date"/>
    <w:uiPriority w:val="99"/>
    <w:rsid w:val="006117B1"/>
  </w:style>
  <w:style w:type="paragraph" w:customStyle="1" w:styleId="Advicenumber">
    <w:name w:val="Advice number"/>
    <w:basedOn w:val="Normal"/>
    <w:qFormat/>
    <w:rsid w:val="006117B1"/>
    <w:pPr>
      <w:spacing w:after="120" w:line="276" w:lineRule="auto"/>
    </w:pPr>
    <w:rPr>
      <w:b/>
      <w:sz w:val="28"/>
    </w:rPr>
  </w:style>
  <w:style w:type="paragraph" w:styleId="ListParagraph">
    <w:name w:val="List Paragraph"/>
    <w:basedOn w:val="Normal"/>
    <w:uiPriority w:val="99"/>
    <w:qFormat/>
    <w:rsid w:val="006117B1"/>
    <w:pPr>
      <w:spacing w:after="12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C: Evidence for changes to the risk species lists that were not included in the draft update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C: Evidence for changes to the risk species lists that were not included in the draft update</dc:title>
  <dc:subject/>
  <dc:creator>Department of Agriculture, Water and the Environment</dc:creator>
  <cp:keywords/>
  <dc:description/>
  <cp:lastModifiedBy>Dang, Van</cp:lastModifiedBy>
  <cp:revision>9</cp:revision>
  <dcterms:created xsi:type="dcterms:W3CDTF">2021-06-24T01:09:00Z</dcterms:created>
  <dcterms:modified xsi:type="dcterms:W3CDTF">2021-06-25T04:49:00Z</dcterms:modified>
</cp:coreProperties>
</file>