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55C3" w14:textId="098A80EC" w:rsidR="001A137B" w:rsidRPr="007815CC" w:rsidRDefault="00A626DD">
      <w:pPr>
        <w:pStyle w:val="Date"/>
      </w:pPr>
      <w:r w:rsidRPr="00A626DD">
        <w:t>24</w:t>
      </w:r>
      <w:r w:rsidR="002A5C17" w:rsidRPr="00A626DD">
        <w:t xml:space="preserve"> </w:t>
      </w:r>
      <w:r w:rsidR="0009217E" w:rsidRPr="00A626DD">
        <w:t>June</w:t>
      </w:r>
      <w:r w:rsidR="00D52F50">
        <w:t xml:space="preserve"> 20</w:t>
      </w:r>
      <w:r w:rsidR="002A5C17">
        <w:t>2</w:t>
      </w:r>
      <w:r w:rsidR="0009217E">
        <w:t>2</w:t>
      </w:r>
    </w:p>
    <w:p w14:paraId="5AFC55C4" w14:textId="6663BAD9" w:rsidR="001A137B" w:rsidRDefault="00941985">
      <w:pPr>
        <w:pStyle w:val="Advicenumber"/>
      </w:pPr>
      <w:r>
        <w:t>Animal B</w:t>
      </w:r>
      <w:r w:rsidR="00D52F50">
        <w:t xml:space="preserve">iosecurity </w:t>
      </w:r>
      <w:r>
        <w:t>A</w:t>
      </w:r>
      <w:r w:rsidR="00D52F50">
        <w:t>dvice 20</w:t>
      </w:r>
      <w:r w:rsidR="002A5C17">
        <w:t>2</w:t>
      </w:r>
      <w:r w:rsidR="00DF1DF0">
        <w:t>2</w:t>
      </w:r>
      <w:r w:rsidR="007B1608">
        <w:t>-</w:t>
      </w:r>
      <w:r w:rsidR="00A626DD">
        <w:t>A04</w:t>
      </w:r>
    </w:p>
    <w:p w14:paraId="5AFC55C5" w14:textId="60D1EA33" w:rsidR="001A137B" w:rsidRDefault="008D4764" w:rsidP="00D52F50">
      <w:pPr>
        <w:pStyle w:val="Heading1"/>
      </w:pPr>
      <w:r>
        <w:t>Invocation of the ‘Contingency import policy for specific pathogen free (SPF) chicken eggs’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137B" w14:paraId="5AFC55C8" w14:textId="77777777">
        <w:tc>
          <w:tcPr>
            <w:tcW w:w="9060" w:type="dxa"/>
            <w:shd w:val="clear" w:color="auto" w:fill="F2F2F2" w:themeFill="background1" w:themeFillShade="F2"/>
          </w:tcPr>
          <w:p w14:paraId="4CF29DA1" w14:textId="4C4952F7" w:rsidR="008D4764" w:rsidRDefault="002A5C17" w:rsidP="002A5C17">
            <w:r w:rsidRPr="00684770">
              <w:t>Th</w:t>
            </w:r>
            <w:r w:rsidR="00213FF8">
              <w:t xml:space="preserve">is advice provides </w:t>
            </w:r>
            <w:r w:rsidR="008D4764">
              <w:t xml:space="preserve">notification of </w:t>
            </w:r>
            <w:r w:rsidR="004E0D3F">
              <w:t xml:space="preserve">a limited </w:t>
            </w:r>
            <w:hyperlink r:id="rId8" w:history="1">
              <w:r w:rsidR="004018E1">
                <w:rPr>
                  <w:rStyle w:val="Hyperlink"/>
                </w:rPr>
                <w:t>invocation of the ‘Contingency import policy for specific pathogen free (SPF) chicken eggs’</w:t>
              </w:r>
            </w:hyperlink>
            <w:r w:rsidR="008D4764">
              <w:t xml:space="preserve"> (the contingency policy).</w:t>
            </w:r>
            <w:r w:rsidR="00E0441A">
              <w:t xml:space="preserve"> SPF eggs can now be imported for laboratory use and vaccine production. </w:t>
            </w:r>
          </w:p>
          <w:p w14:paraId="6CF02885" w14:textId="77777777" w:rsidR="001A137B" w:rsidRDefault="002A5C17" w:rsidP="002A5C17">
            <w:pPr>
              <w:rPr>
                <w:rStyle w:val="Hyperlink"/>
              </w:rPr>
            </w:pPr>
            <w:r w:rsidRPr="006B4939">
              <w:t xml:space="preserve">Enquiries </w:t>
            </w:r>
            <w:r w:rsidR="008D4764">
              <w:t xml:space="preserve">regarding the invocation </w:t>
            </w:r>
            <w:r w:rsidRPr="006B4939">
              <w:t>can be directed</w:t>
            </w:r>
            <w:r>
              <w:t xml:space="preserve"> to </w:t>
            </w:r>
            <w:hyperlink r:id="rId9" w:history="1">
              <w:r w:rsidRPr="008E5679">
                <w:rPr>
                  <w:rStyle w:val="Hyperlink"/>
                </w:rPr>
                <w:t>animal@awe.gov.au</w:t>
              </w:r>
            </w:hyperlink>
          </w:p>
          <w:p w14:paraId="5AFC55C7" w14:textId="6CFC898E" w:rsidR="00E0441A" w:rsidRDefault="00E0441A" w:rsidP="002A5C17">
            <w:r w:rsidRPr="006B4939">
              <w:t xml:space="preserve">Enquiries </w:t>
            </w:r>
            <w:r>
              <w:t xml:space="preserve">regarding the import permit application process </w:t>
            </w:r>
            <w:r w:rsidRPr="006B4939">
              <w:t>can be directed</w:t>
            </w:r>
            <w:r>
              <w:t xml:space="preserve"> to </w:t>
            </w:r>
            <w:hyperlink r:id="rId10" w:history="1">
              <w:r w:rsidRPr="00C86F20">
                <w:rPr>
                  <w:rStyle w:val="Hyperlink"/>
                </w:rPr>
                <w:t>imports@awe.gov.au</w:t>
              </w:r>
            </w:hyperlink>
            <w:r>
              <w:t xml:space="preserve"> </w:t>
            </w:r>
          </w:p>
        </w:tc>
      </w:tr>
    </w:tbl>
    <w:p w14:paraId="1ADF4A92" w14:textId="77777777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16CF1" w14:textId="55D14161" w:rsidR="00213FF8" w:rsidRPr="004E0D3F" w:rsidRDefault="008D4764" w:rsidP="004E0D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E0D3F">
        <w:rPr>
          <w:rFonts w:cstheme="minorHAnsi"/>
        </w:rPr>
        <w:t xml:space="preserve">Following </w:t>
      </w:r>
      <w:r w:rsidR="004E0D3F">
        <w:rPr>
          <w:rFonts w:cstheme="minorHAnsi"/>
        </w:rPr>
        <w:t>an assessment by the</w:t>
      </w:r>
      <w:r w:rsidRPr="004E0D3F">
        <w:rPr>
          <w:rFonts w:cstheme="minorHAnsi"/>
        </w:rPr>
        <w:t xml:space="preserve"> Department of Agriculture, Water and the Environment, the delegate has </w:t>
      </w:r>
      <w:r w:rsidR="00724B6C">
        <w:rPr>
          <w:rFonts w:cstheme="minorHAnsi"/>
        </w:rPr>
        <w:t>decided to invoke</w:t>
      </w:r>
      <w:r w:rsidRPr="004E0D3F">
        <w:rPr>
          <w:rFonts w:cstheme="minorHAnsi"/>
        </w:rPr>
        <w:t xml:space="preserve"> the contingency policy. </w:t>
      </w:r>
      <w:r w:rsidR="004E0D3F" w:rsidRPr="004E0D3F">
        <w:rPr>
          <w:rFonts w:eastAsia="Cambria" w:cstheme="minorHAnsi"/>
          <w:lang w:eastAsia="en-AU"/>
        </w:rPr>
        <w:t>This approval is to permit the use of E</w:t>
      </w:r>
      <w:r w:rsidR="00E0441A">
        <w:rPr>
          <w:rFonts w:eastAsia="Cambria" w:cstheme="minorHAnsi"/>
          <w:lang w:eastAsia="en-AU"/>
        </w:rPr>
        <w:t xml:space="preserve">uropean </w:t>
      </w:r>
      <w:r w:rsidR="004E0D3F" w:rsidRPr="004E0D3F">
        <w:rPr>
          <w:rFonts w:eastAsia="Cambria" w:cstheme="minorHAnsi"/>
          <w:lang w:eastAsia="en-AU"/>
        </w:rPr>
        <w:t>U</w:t>
      </w:r>
      <w:r w:rsidR="00E0441A">
        <w:rPr>
          <w:rFonts w:eastAsia="Cambria" w:cstheme="minorHAnsi"/>
          <w:lang w:eastAsia="en-AU"/>
        </w:rPr>
        <w:t>nion</w:t>
      </w:r>
      <w:r w:rsidR="004E0D3F" w:rsidRPr="004E0D3F">
        <w:rPr>
          <w:rFonts w:eastAsia="Cambria" w:cstheme="minorHAnsi"/>
          <w:lang w:eastAsia="en-AU"/>
        </w:rPr>
        <w:t xml:space="preserve"> and U</w:t>
      </w:r>
      <w:r w:rsidR="00E0441A">
        <w:rPr>
          <w:rFonts w:eastAsia="Cambria" w:cstheme="minorHAnsi"/>
          <w:lang w:eastAsia="en-AU"/>
        </w:rPr>
        <w:t xml:space="preserve">nited </w:t>
      </w:r>
      <w:r w:rsidR="004E0D3F" w:rsidRPr="004E0D3F">
        <w:rPr>
          <w:rFonts w:eastAsia="Cambria" w:cstheme="minorHAnsi"/>
          <w:lang w:eastAsia="en-AU"/>
        </w:rPr>
        <w:t>S</w:t>
      </w:r>
      <w:r w:rsidR="00E0441A">
        <w:rPr>
          <w:rFonts w:eastAsia="Cambria" w:cstheme="minorHAnsi"/>
          <w:lang w:eastAsia="en-AU"/>
        </w:rPr>
        <w:t>tates</w:t>
      </w:r>
      <w:r w:rsidR="004E0D3F" w:rsidRPr="004E0D3F">
        <w:rPr>
          <w:rFonts w:eastAsia="Cambria" w:cstheme="minorHAnsi"/>
          <w:lang w:eastAsia="en-AU"/>
        </w:rPr>
        <w:t xml:space="preserve"> origin, EU Pharmacopeia specification SPF eggs which also meet the requirements of the contingency policy, for laboratory use and vaccine production until 31 May 2023.</w:t>
      </w:r>
      <w:r w:rsidRPr="004E0D3F">
        <w:rPr>
          <w:rFonts w:cstheme="minorHAnsi"/>
        </w:rPr>
        <w:t xml:space="preserve"> </w:t>
      </w:r>
    </w:p>
    <w:p w14:paraId="6FFA12D5" w14:textId="77777777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D4B470" w14:textId="4838F29D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eastAsia="Cambria" w:cstheme="minorHAnsi"/>
          <w:lang w:eastAsia="en-AU"/>
        </w:rPr>
      </w:pPr>
      <w:r w:rsidRPr="004E0D3F">
        <w:rPr>
          <w:rFonts w:cstheme="minorHAnsi"/>
        </w:rPr>
        <w:t xml:space="preserve">The final decision to permit importation of SPF eggs for a specified purpose rests with the Director of Biosecurity (or delegate) under the </w:t>
      </w:r>
      <w:r w:rsidRPr="004E0D3F">
        <w:rPr>
          <w:rFonts w:cstheme="minorHAnsi"/>
          <w:i/>
          <w:iCs/>
        </w:rPr>
        <w:t>Biosecurity Act 2015,</w:t>
      </w:r>
      <w:r w:rsidRPr="004E0D3F">
        <w:rPr>
          <w:rFonts w:cstheme="minorHAnsi"/>
        </w:rPr>
        <w:t xml:space="preserve"> </w:t>
      </w:r>
      <w:proofErr w:type="gramStart"/>
      <w:r w:rsidRPr="004E0D3F">
        <w:rPr>
          <w:rFonts w:cstheme="minorHAnsi"/>
        </w:rPr>
        <w:t>on the basis of</w:t>
      </w:r>
      <w:proofErr w:type="gramEnd"/>
      <w:r w:rsidRPr="004E0D3F">
        <w:rPr>
          <w:rFonts w:cstheme="minorHAnsi"/>
        </w:rPr>
        <w:t xml:space="preserve"> an import permit. </w:t>
      </w:r>
      <w:r w:rsidRPr="004E0D3F">
        <w:rPr>
          <w:rFonts w:eastAsia="Cambria" w:cstheme="minorHAnsi"/>
          <w:lang w:eastAsia="en-AU"/>
        </w:rPr>
        <w:t xml:space="preserve">Before this final decision can be made, </w:t>
      </w:r>
      <w:r>
        <w:rPr>
          <w:rFonts w:eastAsia="Cambria" w:cstheme="minorHAnsi"/>
          <w:lang w:eastAsia="en-AU"/>
        </w:rPr>
        <w:t>an</w:t>
      </w:r>
      <w:r w:rsidRPr="004E0D3F">
        <w:rPr>
          <w:rFonts w:eastAsia="Cambria" w:cstheme="minorHAnsi"/>
          <w:lang w:eastAsia="en-AU"/>
        </w:rPr>
        <w:t xml:space="preserve"> importer should apply for an import permit for </w:t>
      </w:r>
      <w:proofErr w:type="gramStart"/>
      <w:r w:rsidRPr="004E0D3F">
        <w:rPr>
          <w:rFonts w:eastAsia="Cambria" w:cstheme="minorHAnsi"/>
          <w:lang w:eastAsia="en-AU"/>
        </w:rPr>
        <w:t>each individual</w:t>
      </w:r>
      <w:proofErr w:type="gramEnd"/>
    </w:p>
    <w:p w14:paraId="141B0C86" w14:textId="77777777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eastAsia="Cambria" w:cstheme="minorHAnsi"/>
          <w:lang w:eastAsia="en-AU"/>
        </w:rPr>
      </w:pPr>
      <w:r w:rsidRPr="004E0D3F">
        <w:rPr>
          <w:rFonts w:eastAsia="Cambria" w:cstheme="minorHAnsi"/>
          <w:lang w:eastAsia="en-AU"/>
        </w:rPr>
        <w:t>consignment. This can be done through the standard import permit application process using</w:t>
      </w:r>
    </w:p>
    <w:p w14:paraId="6CBC3071" w14:textId="48A4B31A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eastAsia="Cambria" w:cstheme="minorHAnsi"/>
          <w:lang w:eastAsia="en-AU"/>
        </w:rPr>
      </w:pPr>
      <w:r w:rsidRPr="004E0D3F">
        <w:rPr>
          <w:rFonts w:eastAsia="Cambria" w:cstheme="minorHAnsi"/>
          <w:lang w:eastAsia="en-AU"/>
        </w:rPr>
        <w:t>the department’s biosecurity import conditions database,</w:t>
      </w:r>
      <w:r w:rsidR="009F7CCE">
        <w:rPr>
          <w:rFonts w:eastAsia="Cambria" w:cstheme="minorHAnsi"/>
          <w:lang w:eastAsia="en-AU"/>
        </w:rPr>
        <w:t xml:space="preserve"> </w:t>
      </w:r>
      <w:hyperlink r:id="rId11" w:history="1">
        <w:r w:rsidR="009F7CCE">
          <w:rPr>
            <w:rStyle w:val="Hyperlink"/>
          </w:rPr>
          <w:t>BICON</w:t>
        </w:r>
      </w:hyperlink>
      <w:r w:rsidRPr="004E0D3F">
        <w:rPr>
          <w:rFonts w:eastAsia="Cambria" w:cstheme="minorHAnsi"/>
          <w:lang w:eastAsia="en-AU"/>
        </w:rPr>
        <w:t>. To ensure that the conditions</w:t>
      </w:r>
    </w:p>
    <w:p w14:paraId="0A9B4EFF" w14:textId="77777777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eastAsia="Cambria" w:cstheme="minorHAnsi"/>
          <w:lang w:eastAsia="en-AU"/>
        </w:rPr>
      </w:pPr>
      <w:r w:rsidRPr="004E0D3F">
        <w:rPr>
          <w:rFonts w:eastAsia="Cambria" w:cstheme="minorHAnsi"/>
          <w:lang w:eastAsia="en-AU"/>
        </w:rPr>
        <w:t>of the contingency policy are met (including disease testing of the source flock), and the</w:t>
      </w:r>
    </w:p>
    <w:p w14:paraId="03324E81" w14:textId="77777777" w:rsidR="004E0D3F" w:rsidRPr="004E0D3F" w:rsidRDefault="004E0D3F" w:rsidP="004E0D3F">
      <w:pPr>
        <w:autoSpaceDE w:val="0"/>
        <w:autoSpaceDN w:val="0"/>
        <w:adjustRightInd w:val="0"/>
        <w:spacing w:after="0" w:line="240" w:lineRule="auto"/>
        <w:rPr>
          <w:rFonts w:eastAsia="Cambria" w:cstheme="minorHAnsi"/>
          <w:lang w:eastAsia="en-AU"/>
        </w:rPr>
      </w:pPr>
      <w:r w:rsidRPr="004E0D3F">
        <w:rPr>
          <w:rFonts w:eastAsia="Cambria" w:cstheme="minorHAnsi"/>
          <w:lang w:eastAsia="en-AU"/>
        </w:rPr>
        <w:t>biosecurity risks are appropriately managed, import permits will only be issued on an individual</w:t>
      </w:r>
    </w:p>
    <w:p w14:paraId="70A09DAD" w14:textId="3BFA5161" w:rsidR="008D4764" w:rsidRPr="004E0D3F" w:rsidRDefault="004E0D3F" w:rsidP="004E0D3F">
      <w:pPr>
        <w:rPr>
          <w:rFonts w:cstheme="minorHAnsi"/>
        </w:rPr>
      </w:pPr>
      <w:r w:rsidRPr="004E0D3F">
        <w:rPr>
          <w:rFonts w:eastAsia="Cambria" w:cstheme="minorHAnsi"/>
          <w:lang w:eastAsia="en-AU"/>
        </w:rPr>
        <w:t>consignment basis.</w:t>
      </w:r>
    </w:p>
    <w:p w14:paraId="0FBDFCC7" w14:textId="113740A4" w:rsidR="00213FF8" w:rsidRPr="004E0D3F" w:rsidRDefault="00213FF8" w:rsidP="00213FF8">
      <w:pPr>
        <w:rPr>
          <w:rFonts w:cstheme="minorHAnsi"/>
        </w:rPr>
      </w:pPr>
      <w:r w:rsidRPr="004E0D3F">
        <w:rPr>
          <w:rFonts w:cstheme="minorHAnsi"/>
        </w:rPr>
        <w:t xml:space="preserve">To receive information and updates on </w:t>
      </w:r>
      <w:r w:rsidR="004E0D3F" w:rsidRPr="004E0D3F">
        <w:rPr>
          <w:rFonts w:cstheme="minorHAnsi"/>
        </w:rPr>
        <w:t xml:space="preserve">key activities involving animal </w:t>
      </w:r>
      <w:r w:rsidRPr="004E0D3F">
        <w:rPr>
          <w:rFonts w:cstheme="minorHAnsi"/>
        </w:rPr>
        <w:t>biosecurity</w:t>
      </w:r>
      <w:r w:rsidR="004E0D3F" w:rsidRPr="004E0D3F">
        <w:rPr>
          <w:rFonts w:cstheme="minorHAnsi"/>
        </w:rPr>
        <w:t xml:space="preserve"> policy, stakeholders can</w:t>
      </w:r>
      <w:r w:rsidRPr="004E0D3F">
        <w:rPr>
          <w:rFonts w:cstheme="minorHAnsi"/>
        </w:rPr>
        <w:t xml:space="preserve"> subscribe</w:t>
      </w:r>
      <w:r w:rsidR="004E0D3F" w:rsidRPr="004E0D3F">
        <w:rPr>
          <w:rFonts w:cstheme="minorHAnsi"/>
        </w:rPr>
        <w:t xml:space="preserve"> </w:t>
      </w:r>
      <w:r w:rsidRPr="004E0D3F">
        <w:rPr>
          <w:rFonts w:cstheme="minorHAnsi"/>
        </w:rPr>
        <w:t xml:space="preserve">at </w:t>
      </w:r>
      <w:hyperlink r:id="rId12" w:history="1">
        <w:r w:rsidRPr="004E0D3F">
          <w:rPr>
            <w:rStyle w:val="Hyperlink"/>
            <w:rFonts w:cstheme="minorHAnsi"/>
          </w:rPr>
          <w:t>subscribe.agriculture.gov.au/subscribe</w:t>
        </w:r>
      </w:hyperlink>
      <w:r w:rsidRPr="004E0D3F">
        <w:rPr>
          <w:rFonts w:cstheme="minorHAnsi"/>
        </w:rPr>
        <w:t xml:space="preserve">. </w:t>
      </w:r>
    </w:p>
    <w:p w14:paraId="24E6B95F" w14:textId="77777777" w:rsidR="002A5C17" w:rsidRDefault="002A5C17"/>
    <w:p w14:paraId="3170244C" w14:textId="77777777" w:rsidR="002A5C17" w:rsidRDefault="002A5C17" w:rsidP="002A5C17">
      <w:pPr>
        <w:spacing w:after="0"/>
      </w:pPr>
      <w:r>
        <w:t>Dr Peter Finnin</w:t>
      </w:r>
    </w:p>
    <w:p w14:paraId="362D57AB" w14:textId="77777777" w:rsidR="002A5C17" w:rsidRDefault="002A5C17" w:rsidP="002A5C17">
      <w:pPr>
        <w:spacing w:after="0"/>
      </w:pPr>
      <w:r>
        <w:t>Assistant Secretary</w:t>
      </w:r>
    </w:p>
    <w:p w14:paraId="04890FB8" w14:textId="77777777" w:rsidR="002A5C17" w:rsidRDefault="002A5C17" w:rsidP="002A5C17">
      <w:pPr>
        <w:spacing w:after="0"/>
      </w:pPr>
      <w:r>
        <w:t>Animal Biosecurity</w:t>
      </w:r>
    </w:p>
    <w:p w14:paraId="5AFC55DB" w14:textId="4C0FBFD3" w:rsidR="008911E4" w:rsidRDefault="008911E4" w:rsidP="002A5C17"/>
    <w:sectPr w:rsidR="008911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E6DF" w14:textId="77777777" w:rsidR="00755652" w:rsidRDefault="00755652">
      <w:r>
        <w:separator/>
      </w:r>
    </w:p>
    <w:p w14:paraId="6011B9AC" w14:textId="77777777" w:rsidR="00755652" w:rsidRDefault="00755652"/>
    <w:p w14:paraId="230CF253" w14:textId="77777777" w:rsidR="00755652" w:rsidRDefault="00755652"/>
  </w:endnote>
  <w:endnote w:type="continuationSeparator" w:id="0">
    <w:p w14:paraId="50C565BA" w14:textId="77777777" w:rsidR="00755652" w:rsidRDefault="00755652">
      <w:r>
        <w:continuationSeparator/>
      </w:r>
    </w:p>
    <w:p w14:paraId="3FDC7CB1" w14:textId="77777777" w:rsidR="00755652" w:rsidRDefault="00755652"/>
    <w:p w14:paraId="08A87044" w14:textId="77777777" w:rsidR="00755652" w:rsidRDefault="00755652"/>
  </w:endnote>
  <w:endnote w:type="continuationNotice" w:id="1">
    <w:p w14:paraId="0DE4C921" w14:textId="77777777" w:rsidR="00755652" w:rsidRDefault="00755652">
      <w:pPr>
        <w:pStyle w:val="Footer"/>
      </w:pPr>
    </w:p>
    <w:p w14:paraId="1D04B375" w14:textId="77777777" w:rsidR="00755652" w:rsidRDefault="00755652"/>
    <w:p w14:paraId="58655962" w14:textId="77777777" w:rsidR="00755652" w:rsidRDefault="00755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5EF" w14:textId="4D1422D2" w:rsidR="001A137B" w:rsidRDefault="00D52F50">
    <w:pPr>
      <w:pStyle w:val="Footer"/>
    </w:pPr>
    <w:r>
      <w:t>Department of Agriculture</w:t>
    </w:r>
    <w:r w:rsidR="003D2487">
      <w:t>, Water and the Environment</w:t>
    </w:r>
  </w:p>
  <w:p w14:paraId="5AFC55F0" w14:textId="77777777" w:rsidR="001A137B" w:rsidRDefault="008911E4" w:rsidP="008911E4">
    <w:pPr>
      <w:pStyle w:val="Footer"/>
      <w:tabs>
        <w:tab w:val="clear" w:pos="4536"/>
        <w:tab w:val="center" w:pos="4535"/>
        <w:tab w:val="left" w:pos="6888"/>
      </w:tabs>
      <w:jc w:val="left"/>
    </w:pPr>
    <w:r>
      <w:tab/>
    </w:r>
    <w:r w:rsidR="00D52F50">
      <w:fldChar w:fldCharType="begin"/>
    </w:r>
    <w:r w:rsidR="00D52F50">
      <w:instrText xml:space="preserve"> PAGE   \* MERGEFORMAT </w:instrText>
    </w:r>
    <w:r w:rsidR="00D52F50">
      <w:fldChar w:fldCharType="separate"/>
    </w:r>
    <w:r w:rsidR="005B7E04">
      <w:rPr>
        <w:noProof/>
      </w:rPr>
      <w:t>2</w:t>
    </w:r>
    <w:r w:rsidR="00D52F50">
      <w:rPr>
        <w:noProof/>
      </w:rPr>
      <w:fldChar w:fldCharType="end"/>
    </w: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5F2" w14:textId="77777777" w:rsidR="001A137B" w:rsidRDefault="00D52F50">
    <w:pPr>
      <w:pStyle w:val="Footer"/>
    </w:pPr>
    <w:r>
      <w:t>GPO Box 858 Canberra ACT 2601 Australia. Telephone 1800 900 090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9A48" w14:textId="77777777" w:rsidR="00755652" w:rsidRDefault="00755652">
      <w:r>
        <w:separator/>
      </w:r>
    </w:p>
    <w:p w14:paraId="7FC8A6B3" w14:textId="77777777" w:rsidR="00755652" w:rsidRDefault="00755652"/>
    <w:p w14:paraId="4FB02C78" w14:textId="77777777" w:rsidR="00755652" w:rsidRDefault="00755652"/>
  </w:footnote>
  <w:footnote w:type="continuationSeparator" w:id="0">
    <w:p w14:paraId="7EF11EAA" w14:textId="77777777" w:rsidR="00755652" w:rsidRDefault="00755652">
      <w:r>
        <w:continuationSeparator/>
      </w:r>
    </w:p>
    <w:p w14:paraId="03326210" w14:textId="77777777" w:rsidR="00755652" w:rsidRDefault="00755652"/>
    <w:p w14:paraId="3EE8AE7E" w14:textId="77777777" w:rsidR="00755652" w:rsidRDefault="00755652"/>
  </w:footnote>
  <w:footnote w:type="continuationNotice" w:id="1">
    <w:p w14:paraId="2B8291FA" w14:textId="77777777" w:rsidR="00755652" w:rsidRDefault="00755652">
      <w:pPr>
        <w:pStyle w:val="Footer"/>
      </w:pPr>
    </w:p>
    <w:p w14:paraId="4B26F75D" w14:textId="77777777" w:rsidR="00755652" w:rsidRDefault="00755652"/>
    <w:p w14:paraId="30EC98EE" w14:textId="77777777" w:rsidR="00755652" w:rsidRDefault="00755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5EE" w14:textId="77777777" w:rsidR="001A137B" w:rsidRDefault="00D52F50">
    <w:pPr>
      <w:pStyle w:val="Header"/>
    </w:pPr>
    <w:r w:rsidRPr="009C2D1D">
      <w:rPr>
        <w:rStyle w:val="Emphasis"/>
        <w:i w:val="0"/>
        <w:iCs w:val="0"/>
      </w:rPr>
      <w:t xml:space="preserve">Biosecurity advice </w:t>
    </w:r>
    <w:r>
      <w:t>2019/[XX]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55F1" w14:textId="77777777" w:rsidR="001A137B" w:rsidRDefault="00D52F50" w:rsidP="00F6403C">
    <w:pPr>
      <w:pStyle w:val="Header"/>
      <w:tabs>
        <w:tab w:val="clear" w:pos="4820"/>
        <w:tab w:val="left" w:pos="7499"/>
      </w:tabs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AFC55F3" wp14:editId="5AFC55F4">
          <wp:simplePos x="0" y="0"/>
          <wp:positionH relativeFrom="page">
            <wp:align>left</wp:align>
          </wp:positionH>
          <wp:positionV relativeFrom="paragraph">
            <wp:posOffset>-466923</wp:posOffset>
          </wp:positionV>
          <wp:extent cx="7559741" cy="208089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741" cy="208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EA1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3A0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E4CC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660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8D5"/>
    <w:multiLevelType w:val="multilevel"/>
    <w:tmpl w:val="BE78A4F8"/>
    <w:numStyleLink w:val="Numberlist"/>
  </w:abstractNum>
  <w:abstractNum w:abstractNumId="1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03637"/>
    <w:multiLevelType w:val="multilevel"/>
    <w:tmpl w:val="BE78A4F8"/>
    <w:numStyleLink w:val="Numberlist"/>
  </w:abstractNum>
  <w:abstractNum w:abstractNumId="14" w15:restartNumberingAfterBreak="0">
    <w:nsid w:val="394A15FE"/>
    <w:multiLevelType w:val="multilevel"/>
    <w:tmpl w:val="F36C17E8"/>
    <w:numStyleLink w:val="Headinglist"/>
  </w:abstractNum>
  <w:abstractNum w:abstractNumId="15" w15:restartNumberingAfterBreak="0">
    <w:nsid w:val="414F4729"/>
    <w:multiLevelType w:val="multilevel"/>
    <w:tmpl w:val="A0241B28"/>
    <w:numStyleLink w:val="List1"/>
  </w:abstractNum>
  <w:abstractNum w:abstractNumId="16" w15:restartNumberingAfterBreak="0">
    <w:nsid w:val="486800B4"/>
    <w:multiLevelType w:val="multilevel"/>
    <w:tmpl w:val="A0241B28"/>
    <w:numStyleLink w:val="List1"/>
  </w:abstractNum>
  <w:abstractNum w:abstractNumId="1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9DC"/>
    <w:multiLevelType w:val="multilevel"/>
    <w:tmpl w:val="BE78A4F8"/>
    <w:numStyleLink w:val="Numberlist"/>
  </w:abstractNum>
  <w:abstractNum w:abstractNumId="1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10A1"/>
    <w:multiLevelType w:val="multilevel"/>
    <w:tmpl w:val="BE78A4F8"/>
    <w:numStyleLink w:val="Numberlist"/>
  </w:abstractNum>
  <w:abstractNum w:abstractNumId="26" w15:restartNumberingAfterBreak="0">
    <w:nsid w:val="733934B7"/>
    <w:multiLevelType w:val="multilevel"/>
    <w:tmpl w:val="A0241B28"/>
    <w:numStyleLink w:val="List1"/>
  </w:abstractNum>
  <w:num w:numId="1" w16cid:durableId="1062094219">
    <w:abstractNumId w:val="6"/>
  </w:num>
  <w:num w:numId="2" w16cid:durableId="328145951">
    <w:abstractNumId w:val="16"/>
  </w:num>
  <w:num w:numId="3" w16cid:durableId="457995186">
    <w:abstractNumId w:val="17"/>
  </w:num>
  <w:num w:numId="4" w16cid:durableId="126628098">
    <w:abstractNumId w:val="9"/>
  </w:num>
  <w:num w:numId="5" w16cid:durableId="1591625817">
    <w:abstractNumId w:val="22"/>
  </w:num>
  <w:num w:numId="6" w16cid:durableId="952135441">
    <w:abstractNumId w:val="23"/>
  </w:num>
  <w:num w:numId="7" w16cid:durableId="1001158790">
    <w:abstractNumId w:val="7"/>
  </w:num>
  <w:num w:numId="8" w16cid:durableId="864944610">
    <w:abstractNumId w:val="12"/>
  </w:num>
  <w:num w:numId="9" w16cid:durableId="2049641170">
    <w:abstractNumId w:val="14"/>
  </w:num>
  <w:num w:numId="10" w16cid:durableId="716396339">
    <w:abstractNumId w:val="7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925569">
    <w:abstractNumId w:val="5"/>
  </w:num>
  <w:num w:numId="12" w16cid:durableId="1088306718">
    <w:abstractNumId w:val="4"/>
  </w:num>
  <w:num w:numId="13" w16cid:durableId="2133860791">
    <w:abstractNumId w:val="3"/>
  </w:num>
  <w:num w:numId="14" w16cid:durableId="617611897">
    <w:abstractNumId w:val="2"/>
  </w:num>
  <w:num w:numId="15" w16cid:durableId="520974962">
    <w:abstractNumId w:val="10"/>
  </w:num>
  <w:num w:numId="16" w16cid:durableId="837237172">
    <w:abstractNumId w:val="20"/>
  </w:num>
  <w:num w:numId="17" w16cid:durableId="596451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0617846">
    <w:abstractNumId w:val="24"/>
  </w:num>
  <w:num w:numId="19" w16cid:durableId="1985305576">
    <w:abstractNumId w:val="1"/>
  </w:num>
  <w:num w:numId="20" w16cid:durableId="1740324433">
    <w:abstractNumId w:val="0"/>
  </w:num>
  <w:num w:numId="21" w16cid:durableId="577054864">
    <w:abstractNumId w:val="13"/>
  </w:num>
  <w:num w:numId="22" w16cid:durableId="325475030">
    <w:abstractNumId w:val="18"/>
  </w:num>
  <w:num w:numId="23" w16cid:durableId="1751652746">
    <w:abstractNumId w:val="25"/>
  </w:num>
  <w:num w:numId="24" w16cid:durableId="1441684817">
    <w:abstractNumId w:val="11"/>
  </w:num>
  <w:num w:numId="25" w16cid:durableId="399594769">
    <w:abstractNumId w:val="15"/>
  </w:num>
  <w:num w:numId="26" w16cid:durableId="18983190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4241400">
    <w:abstractNumId w:val="26"/>
  </w:num>
  <w:num w:numId="28" w16cid:durableId="1901597288">
    <w:abstractNumId w:val="19"/>
  </w:num>
  <w:num w:numId="29" w16cid:durableId="2096701623">
    <w:abstractNumId w:val="21"/>
  </w:num>
  <w:num w:numId="30" w16cid:durableId="83442127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7B"/>
    <w:rsid w:val="0005586F"/>
    <w:rsid w:val="00090645"/>
    <w:rsid w:val="0009217E"/>
    <w:rsid w:val="000D5E78"/>
    <w:rsid w:val="00115B02"/>
    <w:rsid w:val="001A137B"/>
    <w:rsid w:val="00213947"/>
    <w:rsid w:val="00213FF8"/>
    <w:rsid w:val="002347C1"/>
    <w:rsid w:val="00274295"/>
    <w:rsid w:val="002A5C17"/>
    <w:rsid w:val="002D16E1"/>
    <w:rsid w:val="00305338"/>
    <w:rsid w:val="0034575D"/>
    <w:rsid w:val="003D2487"/>
    <w:rsid w:val="004018E1"/>
    <w:rsid w:val="00413635"/>
    <w:rsid w:val="00441B40"/>
    <w:rsid w:val="00483C07"/>
    <w:rsid w:val="004E0D3F"/>
    <w:rsid w:val="00510B24"/>
    <w:rsid w:val="005A11C4"/>
    <w:rsid w:val="005B7E04"/>
    <w:rsid w:val="006C673E"/>
    <w:rsid w:val="00724B6C"/>
    <w:rsid w:val="00755652"/>
    <w:rsid w:val="007815CC"/>
    <w:rsid w:val="00784AF6"/>
    <w:rsid w:val="007B1608"/>
    <w:rsid w:val="007B56A0"/>
    <w:rsid w:val="008911E4"/>
    <w:rsid w:val="008D2761"/>
    <w:rsid w:val="008D4764"/>
    <w:rsid w:val="00941985"/>
    <w:rsid w:val="009C2D1D"/>
    <w:rsid w:val="009F0F47"/>
    <w:rsid w:val="009F7CCE"/>
    <w:rsid w:val="00A626DD"/>
    <w:rsid w:val="00A965F9"/>
    <w:rsid w:val="00B244B6"/>
    <w:rsid w:val="00BD461E"/>
    <w:rsid w:val="00D52F50"/>
    <w:rsid w:val="00DF1DF0"/>
    <w:rsid w:val="00E0441A"/>
    <w:rsid w:val="00E973CC"/>
    <w:rsid w:val="00F1550E"/>
    <w:rsid w:val="00F6403C"/>
    <w:rsid w:val="00F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C55C3"/>
  <w15:docId w15:val="{F864AE9E-E761-4252-86AE-883D3606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EF3829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/>
      <w:bCs/>
      <w:color w:val="EF3829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2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GB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="Calibri" w:eastAsia="Times New Roman" w:hAnsi="Calibr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vicenumber">
    <w:name w:val="Advice number"/>
    <w:basedOn w:val="Normal"/>
    <w:qFormat/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D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on.agriculture.gov.au/BiconWeb4.0/ViewElement/Element/Alert?elementPk=181915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subscribe.agriculture.gov.au/subscri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con.agriculture.gov.au/BiconWeb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mports@awe.gov.a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animal@awe.gov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DEDDD261-57E3-4DB9-B924-62B1FD360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789DB-5900-428A-8CA4-7E89A663920C}"/>
</file>

<file path=customXml/itemProps3.xml><?xml version="1.0" encoding="utf-8"?>
<ds:datastoreItem xmlns:ds="http://schemas.openxmlformats.org/officeDocument/2006/customXml" ds:itemID="{FC337BBB-F536-43CC-9674-84DF7274EA83}"/>
</file>

<file path=customXml/itemProps4.xml><?xml version="1.0" encoding="utf-8"?>
<ds:datastoreItem xmlns:ds="http://schemas.openxmlformats.org/officeDocument/2006/customXml" ds:itemID="{F17A19EB-80DC-463A-AE58-1A0EBFDC0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Invocation of the Contingency import policy for specific pathogen free (SPF) chicken eggs</vt:lpstr>
    </vt:vector>
  </TitlesOfParts>
  <Company/>
  <LinksUpToDate>false</LinksUpToDate>
  <CharactersWithSpaces>2154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Invocation of the Contingency import policy for specific pathogen free (SPF) chicken eggs</dc:title>
  <dc:subject/>
  <dc:creator>Department of Agriculture, Water and the Environment</dc:creator>
  <cp:keywords/>
  <cp:lastModifiedBy>Amanda NOV</cp:lastModifiedBy>
  <cp:revision>2</cp:revision>
  <dcterms:created xsi:type="dcterms:W3CDTF">2022-06-17T06:14:00Z</dcterms:created>
  <dcterms:modified xsi:type="dcterms:W3CDTF">2022-06-17T06:14:00Z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