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2CFF" w14:textId="77777777" w:rsidR="00E3548B" w:rsidRDefault="008C7F19" w:rsidP="00E3548B">
      <w:pPr>
        <w:pStyle w:val="Heading1"/>
      </w:pPr>
      <w:r>
        <w:t>BAC</w:t>
      </w:r>
      <w:r w:rsidRPr="008C7F19">
        <w:rPr>
          <w:i/>
        </w:rPr>
        <w:t>Gene</w:t>
      </w:r>
      <w:r w:rsidR="00E3548B">
        <w:t xml:space="preserve"> </w:t>
      </w:r>
      <w:r w:rsidR="00DA0434">
        <w:rPr>
          <w:i/>
        </w:rPr>
        <w:t>E. coli</w:t>
      </w:r>
      <w:r w:rsidR="00E3548B">
        <w:t xml:space="preserve"> </w:t>
      </w:r>
      <w:r w:rsidR="00DA0434">
        <w:t>O157:H7 Workflow</w:t>
      </w:r>
      <w:r>
        <w:t xml:space="preserve"> – AOAC </w:t>
      </w:r>
      <w:r w:rsidR="00DA0434">
        <w:t>022002</w:t>
      </w:r>
    </w:p>
    <w:p w14:paraId="6A562DF7" w14:textId="77777777" w:rsidR="00E3548B" w:rsidRDefault="00E3548B" w:rsidP="00FB4446">
      <w:pPr>
        <w:pStyle w:val="Heading2"/>
        <w:tabs>
          <w:tab w:val="center" w:pos="4393"/>
        </w:tabs>
      </w:pPr>
      <w:r>
        <w:t>SCOPE</w:t>
      </w:r>
      <w:r w:rsidR="00FB4446">
        <w:tab/>
      </w:r>
    </w:p>
    <w:p w14:paraId="072E5C56" w14:textId="77777777" w:rsidR="0024200C" w:rsidRDefault="0024200C" w:rsidP="00E3548B">
      <w:pPr>
        <w:pStyle w:val="Heading2"/>
        <w:rPr>
          <w:rFonts w:ascii="Cambria" w:hAnsi="Cambria"/>
          <w:b w:val="0"/>
          <w:bCs w:val="0"/>
          <w:spacing w:val="0"/>
          <w:sz w:val="22"/>
          <w:szCs w:val="20"/>
        </w:rPr>
      </w:pPr>
      <w:r w:rsidRPr="0024200C">
        <w:rPr>
          <w:rFonts w:ascii="Cambria" w:hAnsi="Cambria"/>
          <w:b w:val="0"/>
          <w:bCs w:val="0"/>
          <w:spacing w:val="0"/>
          <w:sz w:val="22"/>
          <w:szCs w:val="20"/>
        </w:rPr>
        <w:t>This method is applicable to raw ground beef</w:t>
      </w:r>
      <w:r w:rsidR="00B46071">
        <w:rPr>
          <w:rFonts w:ascii="Cambria" w:hAnsi="Cambria"/>
          <w:b w:val="0"/>
          <w:bCs w:val="0"/>
          <w:spacing w:val="0"/>
          <w:sz w:val="22"/>
          <w:szCs w:val="20"/>
        </w:rPr>
        <w:t xml:space="preserve">, </w:t>
      </w:r>
      <w:r w:rsidR="00DA0434">
        <w:rPr>
          <w:rFonts w:ascii="Cambria" w:hAnsi="Cambria"/>
          <w:b w:val="0"/>
          <w:bCs w:val="0"/>
          <w:spacing w:val="0"/>
          <w:sz w:val="22"/>
          <w:szCs w:val="20"/>
        </w:rPr>
        <w:t xml:space="preserve">raw beef trim, and </w:t>
      </w:r>
      <w:r w:rsidRPr="0024200C">
        <w:rPr>
          <w:rFonts w:ascii="Cambria" w:hAnsi="Cambria"/>
          <w:b w:val="0"/>
          <w:bCs w:val="0"/>
          <w:spacing w:val="0"/>
          <w:sz w:val="22"/>
          <w:szCs w:val="20"/>
        </w:rPr>
        <w:t>other</w:t>
      </w:r>
      <w:r w:rsidR="00DA0434">
        <w:rPr>
          <w:rFonts w:ascii="Cambria" w:hAnsi="Cambria"/>
          <w:b w:val="0"/>
          <w:bCs w:val="0"/>
          <w:spacing w:val="0"/>
          <w:sz w:val="22"/>
          <w:szCs w:val="20"/>
        </w:rPr>
        <w:t xml:space="preserve"> selected foods</w:t>
      </w:r>
      <w:r w:rsidRPr="0024200C">
        <w:rPr>
          <w:rFonts w:ascii="Cambria" w:hAnsi="Cambria"/>
          <w:b w:val="0"/>
          <w:bCs w:val="0"/>
          <w:spacing w:val="0"/>
          <w:sz w:val="22"/>
          <w:szCs w:val="20"/>
        </w:rPr>
        <w:t xml:space="preserve">. This method has been validated </w:t>
      </w:r>
      <w:r w:rsidR="00B46071">
        <w:rPr>
          <w:rFonts w:ascii="Cambria" w:hAnsi="Cambria"/>
          <w:b w:val="0"/>
          <w:bCs w:val="0"/>
          <w:spacing w:val="0"/>
          <w:sz w:val="22"/>
          <w:szCs w:val="20"/>
        </w:rPr>
        <w:t>i</w:t>
      </w:r>
      <w:r w:rsidRPr="0024200C">
        <w:rPr>
          <w:rFonts w:ascii="Cambria" w:hAnsi="Cambria"/>
          <w:b w:val="0"/>
          <w:bCs w:val="0"/>
          <w:spacing w:val="0"/>
          <w:sz w:val="22"/>
          <w:szCs w:val="20"/>
        </w:rPr>
        <w:t xml:space="preserve">n 375 g of raw ground beef </w:t>
      </w:r>
      <w:r w:rsidR="00DA0434">
        <w:rPr>
          <w:rFonts w:ascii="Cambria" w:hAnsi="Cambria"/>
          <w:b w:val="0"/>
          <w:bCs w:val="0"/>
          <w:spacing w:val="0"/>
          <w:sz w:val="22"/>
          <w:szCs w:val="20"/>
        </w:rPr>
        <w:t xml:space="preserve">and beef trim </w:t>
      </w:r>
      <w:r w:rsidRPr="0024200C">
        <w:rPr>
          <w:rFonts w:ascii="Cambria" w:hAnsi="Cambria"/>
          <w:b w:val="0"/>
          <w:bCs w:val="0"/>
          <w:spacing w:val="0"/>
          <w:sz w:val="22"/>
          <w:szCs w:val="20"/>
        </w:rPr>
        <w:t>samples.</w:t>
      </w:r>
    </w:p>
    <w:p w14:paraId="18990F89" w14:textId="77777777" w:rsidR="00E3548B" w:rsidRDefault="00E3548B" w:rsidP="00E3548B">
      <w:pPr>
        <w:pStyle w:val="Heading2"/>
      </w:pPr>
      <w:r>
        <w:t>PRINCIPLES</w:t>
      </w:r>
    </w:p>
    <w:p w14:paraId="42F5A867" w14:textId="77777777" w:rsidR="00032033" w:rsidRPr="001C6007" w:rsidRDefault="00FB2533" w:rsidP="00032033">
      <w:r>
        <w:t>The BAC</w:t>
      </w:r>
      <w:r w:rsidRPr="00FB2533">
        <w:rPr>
          <w:i/>
        </w:rPr>
        <w:t>Gene</w:t>
      </w:r>
      <w:r w:rsidR="00E3548B">
        <w:t xml:space="preserve"> </w:t>
      </w:r>
      <w:r w:rsidR="00DA0434">
        <w:rPr>
          <w:i/>
        </w:rPr>
        <w:t>E. coli</w:t>
      </w:r>
      <w:r w:rsidR="00E3548B">
        <w:t xml:space="preserve"> </w:t>
      </w:r>
      <w:r w:rsidR="00DA0434">
        <w:t xml:space="preserve">O157:H7 workflow </w:t>
      </w:r>
      <w:r w:rsidR="00E3548B">
        <w:t xml:space="preserve">is a </w:t>
      </w:r>
      <w:r w:rsidR="00032033">
        <w:t>qualitative real-time PCR assay that u</w:t>
      </w:r>
      <w:r w:rsidR="00032033" w:rsidRPr="001C6007">
        <w:t xml:space="preserve">tilizes </w:t>
      </w:r>
      <w:r w:rsidR="00C03D0F">
        <w:t>BAC</w:t>
      </w:r>
      <w:r w:rsidR="00C03D0F" w:rsidRPr="00C03D0F">
        <w:rPr>
          <w:i/>
        </w:rPr>
        <w:t xml:space="preserve">Gene E. coli </w:t>
      </w:r>
      <w:r w:rsidR="00C03D0F">
        <w:t>O157:H7 and BAC</w:t>
      </w:r>
      <w:r w:rsidR="00C03D0F" w:rsidRPr="00C03D0F">
        <w:rPr>
          <w:i/>
        </w:rPr>
        <w:t>Gene</w:t>
      </w:r>
      <w:r w:rsidR="00C03D0F">
        <w:t xml:space="preserve"> Mplex STEC Screen test kits </w:t>
      </w:r>
      <w:r w:rsidR="005B12D6">
        <w:t xml:space="preserve">for </w:t>
      </w:r>
      <w:r w:rsidR="00032033" w:rsidRPr="001C6007">
        <w:t xml:space="preserve">detection </w:t>
      </w:r>
      <w:r w:rsidR="0024200C">
        <w:t xml:space="preserve">of </w:t>
      </w:r>
      <w:r w:rsidR="00DA0434">
        <w:rPr>
          <w:i/>
          <w:iCs/>
        </w:rPr>
        <w:t>E. coli</w:t>
      </w:r>
      <w:r w:rsidR="00DA0434">
        <w:t xml:space="preserve"> O157:H7</w:t>
      </w:r>
      <w:r w:rsidR="00032033" w:rsidRPr="001C6007">
        <w:t xml:space="preserve">. Target DNA </w:t>
      </w:r>
      <w:r w:rsidR="00032033">
        <w:t>fragments when detected are</w:t>
      </w:r>
      <w:r w:rsidR="00032033" w:rsidRPr="001C6007">
        <w:t xml:space="preserve"> amplified</w:t>
      </w:r>
      <w:r w:rsidR="00032033">
        <w:t xml:space="preserve"> and </w:t>
      </w:r>
      <w:r w:rsidR="0024200C">
        <w:t xml:space="preserve">then identified with a fluorescence-labelled hybridization probe. </w:t>
      </w:r>
    </w:p>
    <w:p w14:paraId="654A42A5" w14:textId="77777777" w:rsidR="00B12024" w:rsidRDefault="00B12024" w:rsidP="00E3548B"/>
    <w:p w14:paraId="6CEB9BDD" w14:textId="77777777" w:rsidR="00E3548B" w:rsidRDefault="00E3548B" w:rsidP="00E3548B">
      <w:r>
        <w:t xml:space="preserve">Detection of </w:t>
      </w:r>
      <w:r w:rsidR="00DA0434">
        <w:rPr>
          <w:i/>
        </w:rPr>
        <w:t>E. coli</w:t>
      </w:r>
      <w:r>
        <w:t xml:space="preserve"> </w:t>
      </w:r>
      <w:r w:rsidR="00DA0434">
        <w:t xml:space="preserve">O157:H7 </w:t>
      </w:r>
      <w:r>
        <w:t>involves the follow steps:</w:t>
      </w:r>
    </w:p>
    <w:p w14:paraId="25C76B04" w14:textId="77777777" w:rsidR="00E3548B" w:rsidRDefault="00E3548B" w:rsidP="00E3548B">
      <w:pPr>
        <w:pStyle w:val="Heading3"/>
      </w:pPr>
      <w:r>
        <w:t>Enrichment</w:t>
      </w:r>
    </w:p>
    <w:p w14:paraId="6E614A7F" w14:textId="77777777" w:rsidR="00E3548B" w:rsidRDefault="00437BAC" w:rsidP="003E3EF2">
      <w:pPr>
        <w:pStyle w:val="Normal-para"/>
      </w:pPr>
      <w:r>
        <w:t>Sample</w:t>
      </w:r>
      <w:r w:rsidR="00A805BD">
        <w:t xml:space="preserve"> (</w:t>
      </w:r>
      <w:r w:rsidR="00F47359">
        <w:t>375</w:t>
      </w:r>
      <w:r w:rsidR="00B028CF">
        <w:t xml:space="preserve"> ±37.5</w:t>
      </w:r>
      <w:r w:rsidR="0046433C">
        <w:t xml:space="preserve"> g</w:t>
      </w:r>
      <w:r w:rsidR="00A805BD">
        <w:t>)</w:t>
      </w:r>
      <w:r>
        <w:t xml:space="preserve"> </w:t>
      </w:r>
      <w:r w:rsidR="00E3548B">
        <w:t>is enri</w:t>
      </w:r>
      <w:r w:rsidR="00660383">
        <w:t xml:space="preserve">ched in </w:t>
      </w:r>
      <w:r w:rsidR="003C6E2B">
        <w:t>750</w:t>
      </w:r>
      <w:r w:rsidR="00F47359">
        <w:t xml:space="preserve"> </w:t>
      </w:r>
      <w:r w:rsidR="0022157B">
        <w:t>m</w:t>
      </w:r>
      <w:r w:rsidR="00F47359">
        <w:t>L</w:t>
      </w:r>
      <w:r w:rsidR="00A805BD">
        <w:t xml:space="preserve"> </w:t>
      </w:r>
      <w:r w:rsidR="00932138">
        <w:t>(1:</w:t>
      </w:r>
      <w:r w:rsidR="003C6E2B">
        <w:t>2</w:t>
      </w:r>
      <w:r w:rsidR="00932138">
        <w:t xml:space="preserve">) </w:t>
      </w:r>
      <w:r w:rsidR="00A805BD">
        <w:t>of</w:t>
      </w:r>
      <w:r>
        <w:t xml:space="preserve"> pre-warmed</w:t>
      </w:r>
      <w:r w:rsidR="0046433C">
        <w:t xml:space="preserve"> (to </w:t>
      </w:r>
      <w:r w:rsidR="00F47359">
        <w:t>41.5±1°C)</w:t>
      </w:r>
      <w:r w:rsidR="0046433C">
        <w:t xml:space="preserve"> mTSB</w:t>
      </w:r>
      <w:r w:rsidR="00F47359">
        <w:t>.</w:t>
      </w:r>
      <w:r w:rsidR="005B12D6">
        <w:t xml:space="preserve"> </w:t>
      </w:r>
      <w:r w:rsidR="0046433C">
        <w:t>Sample and enrichment media are place</w:t>
      </w:r>
      <w:r w:rsidR="006E72C0">
        <w:t>d</w:t>
      </w:r>
      <w:r w:rsidR="0046433C">
        <w:t xml:space="preserve"> in a stomacher bag fitted with a side filter and homogenized by hand massage or using a stomacher.</w:t>
      </w:r>
      <w:r w:rsidR="00E3548B">
        <w:t xml:space="preserve"> Incubation is carried out </w:t>
      </w:r>
      <w:r>
        <w:t xml:space="preserve">at </w:t>
      </w:r>
      <w:r w:rsidR="00F47359">
        <w:t>41.5</w:t>
      </w:r>
      <w:r>
        <w:t xml:space="preserve"> ± 1</w:t>
      </w:r>
      <w:r w:rsidR="00E3548B">
        <w:t>°C</w:t>
      </w:r>
      <w:r w:rsidR="00FC1F80">
        <w:t xml:space="preserve"> for 1</w:t>
      </w:r>
      <w:r w:rsidR="00F47359">
        <w:t>0</w:t>
      </w:r>
      <w:r w:rsidR="00FC1F80">
        <w:t xml:space="preserve"> - 24 h</w:t>
      </w:r>
      <w:r w:rsidR="00E3548B">
        <w:t xml:space="preserve">. </w:t>
      </w:r>
      <w:r w:rsidR="0022157B">
        <w:t xml:space="preserve">It is essential that the temperature of the broth and sample is at 41.5±1°C for a minimum of 10 h. </w:t>
      </w:r>
      <w:r w:rsidR="00E3548B">
        <w:t xml:space="preserve">A positive </w:t>
      </w:r>
      <w:r w:rsidR="0046433C">
        <w:t xml:space="preserve">and a negative </w:t>
      </w:r>
      <w:r w:rsidR="00E3548B">
        <w:t>control culture must be run through all procedures daily or w</w:t>
      </w:r>
      <w:r w:rsidR="003E3EF2">
        <w:t xml:space="preserve">hen testing is carried out. </w:t>
      </w:r>
    </w:p>
    <w:p w14:paraId="2573E65F" w14:textId="77777777" w:rsidR="00E3548B" w:rsidRDefault="00E3548B" w:rsidP="00E3548B">
      <w:pPr>
        <w:pStyle w:val="Heading3"/>
      </w:pPr>
      <w:r>
        <w:t>PCR Assay</w:t>
      </w:r>
    </w:p>
    <w:p w14:paraId="6A598447" w14:textId="77777777" w:rsidR="008C7F19" w:rsidRDefault="008C7F19" w:rsidP="008C7F19">
      <w:pPr>
        <w:pStyle w:val="Normal-para"/>
      </w:pPr>
      <w:r w:rsidRPr="008C7F19">
        <w:t xml:space="preserve">Sample preparation for bacterial DNA extraction </w:t>
      </w:r>
      <w:r>
        <w:t xml:space="preserve">and </w:t>
      </w:r>
      <w:r w:rsidR="0068666F">
        <w:t>BAC</w:t>
      </w:r>
      <w:r w:rsidR="0068666F" w:rsidRPr="001477A6">
        <w:rPr>
          <w:i/>
        </w:rPr>
        <w:t>Gene</w:t>
      </w:r>
      <w:r w:rsidR="0068666F">
        <w:t xml:space="preserve"> </w:t>
      </w:r>
      <w:r w:rsidR="0068666F" w:rsidRPr="001477A6">
        <w:rPr>
          <w:i/>
        </w:rPr>
        <w:t>E. coli</w:t>
      </w:r>
      <w:r w:rsidR="0068666F">
        <w:t xml:space="preserve"> O157:H7 </w:t>
      </w:r>
      <w:r>
        <w:t>PCR assay is carried out</w:t>
      </w:r>
      <w:r w:rsidRPr="008C7F19">
        <w:t xml:space="preserve"> following the manufacturer’s recommended protocol. </w:t>
      </w:r>
      <w:r w:rsidR="0068666F">
        <w:t>Sample</w:t>
      </w:r>
      <w:r w:rsidR="003C6E2B">
        <w:t>s</w:t>
      </w:r>
      <w:r w:rsidR="0068666F">
        <w:t xml:space="preserve"> that return</w:t>
      </w:r>
      <w:r w:rsidR="003C6E2B">
        <w:t xml:space="preserve"> an</w:t>
      </w:r>
      <w:r w:rsidR="0068666F">
        <w:t xml:space="preserve"> O157 </w:t>
      </w:r>
      <w:r w:rsidR="003C6E2B">
        <w:t xml:space="preserve">positive </w:t>
      </w:r>
      <w:r w:rsidR="00380154">
        <w:t>(</w:t>
      </w:r>
      <w:r w:rsidR="0068666F">
        <w:t>H7</w:t>
      </w:r>
      <w:r w:rsidR="0084460B">
        <w:rPr>
          <w:rStyle w:val="FootnoteReference"/>
        </w:rPr>
        <w:footnoteReference w:id="1"/>
      </w:r>
      <w:r w:rsidR="0068666F">
        <w:t xml:space="preserve"> </w:t>
      </w:r>
      <w:r w:rsidR="003C6E2B">
        <w:t>negative</w:t>
      </w:r>
      <w:r w:rsidR="00380154">
        <w:t xml:space="preserve"> or positive)</w:t>
      </w:r>
      <w:r w:rsidR="003C6E2B">
        <w:t xml:space="preserve"> </w:t>
      </w:r>
      <w:r w:rsidR="0068666F">
        <w:t xml:space="preserve">must be </w:t>
      </w:r>
      <w:r w:rsidR="003C6E2B">
        <w:t>tested using</w:t>
      </w:r>
      <w:r w:rsidR="0068666F">
        <w:t xml:space="preserve"> </w:t>
      </w:r>
      <w:r w:rsidR="003C6E2B">
        <w:t>the</w:t>
      </w:r>
      <w:r w:rsidR="0068666F">
        <w:t xml:space="preserve"> BAC</w:t>
      </w:r>
      <w:r w:rsidR="0068666F" w:rsidRPr="001477A6">
        <w:rPr>
          <w:i/>
        </w:rPr>
        <w:t>Gene</w:t>
      </w:r>
      <w:r w:rsidR="0068666F">
        <w:t xml:space="preserve"> Mplex STEC </w:t>
      </w:r>
      <w:r w:rsidR="006D4561">
        <w:t xml:space="preserve">Screen </w:t>
      </w:r>
      <w:r w:rsidR="0068666F">
        <w:t xml:space="preserve">PCR assay </w:t>
      </w:r>
      <w:r w:rsidR="0010393D">
        <w:t xml:space="preserve">for confirmation of the Shiga </w:t>
      </w:r>
      <w:r w:rsidR="006D4561">
        <w:t xml:space="preserve">toxin encoding genes </w:t>
      </w:r>
      <w:r w:rsidR="006D4561" w:rsidRPr="003B3D15">
        <w:rPr>
          <w:i/>
        </w:rPr>
        <w:t>stx1</w:t>
      </w:r>
      <w:r w:rsidR="006D4561">
        <w:t>/</w:t>
      </w:r>
      <w:r w:rsidR="006D4561" w:rsidRPr="003B3D15">
        <w:rPr>
          <w:i/>
        </w:rPr>
        <w:t>stx2</w:t>
      </w:r>
      <w:r w:rsidR="006D4561">
        <w:t xml:space="preserve"> and </w:t>
      </w:r>
      <w:r w:rsidR="006D4561" w:rsidRPr="003B3D15">
        <w:rPr>
          <w:i/>
        </w:rPr>
        <w:t>eae</w:t>
      </w:r>
      <w:r w:rsidR="006D4561">
        <w:t xml:space="preserve"> </w:t>
      </w:r>
      <w:r w:rsidR="0068666F">
        <w:t xml:space="preserve">as per </w:t>
      </w:r>
      <w:r w:rsidR="003C6E2B">
        <w:t xml:space="preserve">the </w:t>
      </w:r>
      <w:r w:rsidR="0068666F">
        <w:t>manufacturer’s recommended protocol.</w:t>
      </w:r>
    </w:p>
    <w:p w14:paraId="073499B9" w14:textId="77777777" w:rsidR="00E3548B" w:rsidRDefault="00E3548B" w:rsidP="00E3548B">
      <w:pPr>
        <w:pStyle w:val="Heading3"/>
      </w:pPr>
      <w:r>
        <w:t>Interpretation</w:t>
      </w:r>
    </w:p>
    <w:p w14:paraId="07FA0056" w14:textId="77777777" w:rsidR="00380154" w:rsidRDefault="00380154" w:rsidP="00E3548B">
      <w:pPr>
        <w:pStyle w:val="Normal-para"/>
      </w:pPr>
      <w:r>
        <w:t>Sample</w:t>
      </w:r>
      <w:r w:rsidR="00C552AF">
        <w:t>s</w:t>
      </w:r>
      <w:r>
        <w:t xml:space="preserve"> that are positive for O157 by BAC</w:t>
      </w:r>
      <w:r w:rsidRPr="001477A6">
        <w:rPr>
          <w:i/>
        </w:rPr>
        <w:t>Gene E. coli</w:t>
      </w:r>
      <w:r>
        <w:t xml:space="preserve"> O157:H7 assay and positive for stx1/stx2 and eae </w:t>
      </w:r>
      <w:r w:rsidR="00AE3719">
        <w:t>genes by BAC</w:t>
      </w:r>
      <w:r w:rsidR="00AE3719" w:rsidRPr="001477A6">
        <w:rPr>
          <w:i/>
        </w:rPr>
        <w:t>Gene</w:t>
      </w:r>
      <w:r w:rsidR="00AE3719">
        <w:t xml:space="preserve"> Mplex STEC Screen PCR assay are</w:t>
      </w:r>
      <w:r w:rsidR="003C6E2B">
        <w:t xml:space="preserve"> regarded as potential positive and </w:t>
      </w:r>
      <w:r w:rsidR="0068666F">
        <w:t>must undergo confirmation.</w:t>
      </w:r>
    </w:p>
    <w:p w14:paraId="1CEBAA94" w14:textId="77777777" w:rsidR="00E3548B" w:rsidRDefault="008875AD" w:rsidP="00E3548B">
      <w:pPr>
        <w:pStyle w:val="Normal-para"/>
      </w:pPr>
      <w:r>
        <w:t>If</w:t>
      </w:r>
      <w:r w:rsidR="003F291F">
        <w:t xml:space="preserve"> the</w:t>
      </w:r>
      <w:r>
        <w:t xml:space="preserve"> internal positive control is invalid</w:t>
      </w:r>
      <w:r w:rsidR="006D4561">
        <w:t xml:space="preserve"> in negative samples</w:t>
      </w:r>
      <w:r>
        <w:t xml:space="preserve">, </w:t>
      </w:r>
      <w:r w:rsidR="00E3548B">
        <w:t xml:space="preserve">the test must be repeated using the same enrichment cultures. If the </w:t>
      </w:r>
      <w:r>
        <w:t>internal positive control</w:t>
      </w:r>
      <w:r w:rsidR="00B12024">
        <w:t xml:space="preserve"> </w:t>
      </w:r>
      <w:r w:rsidR="003F291F">
        <w:t>for</w:t>
      </w:r>
      <w:r w:rsidR="00B12024">
        <w:t xml:space="preserve"> </w:t>
      </w:r>
      <w:r w:rsidR="003F291F">
        <w:t xml:space="preserve">the </w:t>
      </w:r>
      <w:r w:rsidR="00B12024">
        <w:t>re</w:t>
      </w:r>
      <w:r w:rsidR="003F291F">
        <w:t>-</w:t>
      </w:r>
      <w:r w:rsidR="00B12024">
        <w:t>test sample is</w:t>
      </w:r>
      <w:r>
        <w:t xml:space="preserve"> </w:t>
      </w:r>
      <w:r w:rsidR="006D4561">
        <w:t xml:space="preserve">still </w:t>
      </w:r>
      <w:r>
        <w:t>invalid,</w:t>
      </w:r>
      <w:r w:rsidR="00E3548B">
        <w:t xml:space="preserve"> </w:t>
      </w:r>
      <w:r w:rsidR="006D4561">
        <w:t xml:space="preserve">the enrichment sample should be diluted 1:5 and 1:10 in nuclease-free water and re-tested in PCR. If inhibition remains in the diluted samples </w:t>
      </w:r>
      <w:r w:rsidR="00E3548B">
        <w:t xml:space="preserve">the equipment supplier must be contacted for </w:t>
      </w:r>
      <w:r w:rsidR="003F291F">
        <w:t xml:space="preserve">advice, and </w:t>
      </w:r>
      <w:r w:rsidR="00E3548B">
        <w:t>the enrichment broth must be analysed using an alternate method or the sample deemed positive for</w:t>
      </w:r>
      <w:r w:rsidR="0022157B">
        <w:t xml:space="preserve"> </w:t>
      </w:r>
      <w:r w:rsidR="005B12D6">
        <w:rPr>
          <w:i/>
        </w:rPr>
        <w:t xml:space="preserve">E. coli </w:t>
      </w:r>
      <w:r w:rsidR="005B12D6" w:rsidRPr="0022157B">
        <w:t>O157:H7</w:t>
      </w:r>
      <w:r w:rsidR="00E3548B" w:rsidRPr="0022157B">
        <w:t>.</w:t>
      </w:r>
    </w:p>
    <w:p w14:paraId="17FBA03F" w14:textId="77777777" w:rsidR="00E3548B" w:rsidRDefault="00E3548B" w:rsidP="00E3548B">
      <w:pPr>
        <w:pStyle w:val="Heading3"/>
      </w:pPr>
      <w:r>
        <w:t xml:space="preserve">Confirmation of </w:t>
      </w:r>
      <w:r w:rsidR="00D93FFB">
        <w:t>p</w:t>
      </w:r>
      <w:r>
        <w:t>ositive results</w:t>
      </w:r>
    </w:p>
    <w:p w14:paraId="2B3F585F" w14:textId="0B896C6A" w:rsidR="001E48B7" w:rsidRPr="00C965EA" w:rsidRDefault="003F291F" w:rsidP="00E3548B">
      <w:pPr>
        <w:pStyle w:val="Normal-para"/>
        <w:sectPr w:rsidR="001E48B7" w:rsidRPr="00C965EA" w:rsidSect="00657E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737" w:left="1701" w:header="567" w:footer="567" w:gutter="0"/>
          <w:cols w:space="708"/>
          <w:docGrid w:linePitch="360"/>
        </w:sectPr>
      </w:pPr>
      <w:r>
        <w:t>For a</w:t>
      </w:r>
      <w:r w:rsidR="00E3548B">
        <w:t xml:space="preserve">ll </w:t>
      </w:r>
      <w:r w:rsidR="00F76AD0">
        <w:t>positive</w:t>
      </w:r>
      <w:r>
        <w:t xml:space="preserve"> samples</w:t>
      </w:r>
      <w:r w:rsidR="00F76AD0">
        <w:t xml:space="preserve"> and</w:t>
      </w:r>
      <w:r w:rsidR="00E3548B">
        <w:t xml:space="preserve"> </w:t>
      </w:r>
      <w:r w:rsidR="006D4561">
        <w:t xml:space="preserve">negative </w:t>
      </w:r>
      <w:r w:rsidR="008875AD">
        <w:t>sample</w:t>
      </w:r>
      <w:r>
        <w:t>s</w:t>
      </w:r>
      <w:r w:rsidR="008875AD">
        <w:t xml:space="preserve"> with </w:t>
      </w:r>
      <w:r>
        <w:t xml:space="preserve">an </w:t>
      </w:r>
      <w:r w:rsidR="008875AD">
        <w:t>invalid positive control</w:t>
      </w:r>
      <w:r>
        <w:t xml:space="preserve"> result</w:t>
      </w:r>
      <w:r w:rsidR="00E3548B">
        <w:t xml:space="preserve">, </w:t>
      </w:r>
      <w:r w:rsidR="005B12D6">
        <w:t xml:space="preserve">enriched media </w:t>
      </w:r>
      <w:r w:rsidR="00E3548B">
        <w:t>must be analysed using</w:t>
      </w:r>
      <w:r w:rsidR="005B12D6">
        <w:t xml:space="preserve"> </w:t>
      </w:r>
      <w:r w:rsidR="005B268E">
        <w:t>a</w:t>
      </w:r>
      <w:r w:rsidR="00CA3363">
        <w:t xml:space="preserve"> DAFF</w:t>
      </w:r>
      <w:r w:rsidR="00380154">
        <w:t xml:space="preserve"> approved confirmatory method</w:t>
      </w:r>
      <w:r w:rsidR="005B12D6">
        <w:t>.</w:t>
      </w:r>
      <w:r w:rsidR="0022157B">
        <w:t xml:space="preserve"> </w:t>
      </w:r>
      <w:r w:rsidR="00E3548B">
        <w:t xml:space="preserve">Confirmation must be carried out at a </w:t>
      </w:r>
      <w:r w:rsidR="00CA3363">
        <w:t xml:space="preserve">DAFF </w:t>
      </w:r>
      <w:r w:rsidR="00E3548B">
        <w:t>approved laboratory.</w:t>
      </w:r>
    </w:p>
    <w:p w14:paraId="382DF2EE" w14:textId="77777777" w:rsidR="00E3548B" w:rsidRDefault="00E3548B" w:rsidP="00E3548B">
      <w:pPr>
        <w:pStyle w:val="Heading2"/>
      </w:pPr>
      <w:r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E3548B" w14:paraId="7400531E" w14:textId="77777777" w:rsidTr="00B76BCF">
        <w:tc>
          <w:tcPr>
            <w:tcW w:w="1800" w:type="dxa"/>
            <w:tcBorders>
              <w:top w:val="single" w:sz="4" w:space="0" w:color="auto"/>
            </w:tcBorders>
          </w:tcPr>
          <w:p w14:paraId="55CD53B3" w14:textId="77777777" w:rsidR="00E3548B" w:rsidRDefault="00FB4446" w:rsidP="00E3548B">
            <w:pPr>
              <w:pStyle w:val="TableHeading"/>
            </w:pPr>
            <w:r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4110DF8E" w14:textId="77777777" w:rsidR="00E3548B" w:rsidRDefault="0022157B" w:rsidP="0022157B">
            <w:pPr>
              <w:pStyle w:val="TableBody"/>
            </w:pPr>
            <w:r>
              <w:t xml:space="preserve">Is the </w:t>
            </w:r>
            <w:r w:rsidR="00541B3C">
              <w:t>enrichment media</w:t>
            </w:r>
            <w:r>
              <w:t xml:space="preserve"> pre-warmed to 41.5 ± 1°C before use?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F5D2925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22157B" w14:paraId="2D973106" w14:textId="77777777" w:rsidTr="0022157B">
        <w:tc>
          <w:tcPr>
            <w:tcW w:w="1800" w:type="dxa"/>
          </w:tcPr>
          <w:p w14:paraId="4B81AE91" w14:textId="77777777" w:rsidR="0022157B" w:rsidRDefault="0022157B" w:rsidP="00E3548B">
            <w:pPr>
              <w:pStyle w:val="TableHeading"/>
            </w:pPr>
          </w:p>
        </w:tc>
        <w:tc>
          <w:tcPr>
            <w:tcW w:w="5040" w:type="dxa"/>
          </w:tcPr>
          <w:p w14:paraId="4912D681" w14:textId="77777777" w:rsidR="0022157B" w:rsidRDefault="0022157B" w:rsidP="0022157B">
            <w:pPr>
              <w:pStyle w:val="TableBody"/>
            </w:pPr>
            <w:r>
              <w:t>Is enrichment carried out at 41.5 ± 1°C an</w:t>
            </w:r>
            <w:r w:rsidR="00541B3C">
              <w:t>d is the enrichment broth and sample at 41.5 ± 1°C</w:t>
            </w:r>
            <w:r>
              <w:t xml:space="preserve"> </w:t>
            </w:r>
            <w:r w:rsidR="00541B3C">
              <w:t xml:space="preserve">for a minimum of </w:t>
            </w:r>
            <w:r>
              <w:t>10</w:t>
            </w:r>
            <w:r w:rsidR="00541B3C">
              <w:t xml:space="preserve"> h</w:t>
            </w:r>
            <w:r>
              <w:t>?</w:t>
            </w:r>
          </w:p>
        </w:tc>
        <w:tc>
          <w:tcPr>
            <w:tcW w:w="2340" w:type="dxa"/>
            <w:vAlign w:val="center"/>
          </w:tcPr>
          <w:p w14:paraId="72BBE6EE" w14:textId="77777777" w:rsidR="0022157B" w:rsidRDefault="0022157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6A0C7820" w14:textId="77777777" w:rsidTr="00B76BCF">
        <w:tc>
          <w:tcPr>
            <w:tcW w:w="1800" w:type="dxa"/>
          </w:tcPr>
          <w:p w14:paraId="1C4070B3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6F303B5F" w14:textId="77777777" w:rsidR="00E3548B" w:rsidRDefault="00E3548B" w:rsidP="00F36DA2">
            <w:pPr>
              <w:pStyle w:val="TableBody"/>
            </w:pPr>
            <w:r>
              <w:t xml:space="preserve"> Is the correct amount of</w:t>
            </w:r>
            <w:r w:rsidR="009B1C4B">
              <w:t xml:space="preserve"> enrichme</w:t>
            </w:r>
            <w:r w:rsidR="00F36DA2">
              <w:t>nt broth used?</w:t>
            </w:r>
          </w:p>
        </w:tc>
        <w:tc>
          <w:tcPr>
            <w:tcW w:w="2340" w:type="dxa"/>
            <w:vAlign w:val="center"/>
          </w:tcPr>
          <w:p w14:paraId="28629C21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17BEAC20" w14:textId="77777777" w:rsidTr="00B76BCF">
        <w:tc>
          <w:tcPr>
            <w:tcW w:w="1800" w:type="dxa"/>
          </w:tcPr>
          <w:p w14:paraId="7B69512B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125BCDE5" w14:textId="77777777" w:rsidR="00E3548B" w:rsidRDefault="00E3548B" w:rsidP="005B12D6">
            <w:pPr>
              <w:pStyle w:val="TableBody"/>
            </w:pPr>
            <w:r>
              <w:t>Is a positive</w:t>
            </w:r>
            <w:r w:rsidR="005B12D6">
              <w:t xml:space="preserve"> and a negative </w:t>
            </w:r>
            <w:r>
              <w:t>control run with each batch of samples/daily?</w:t>
            </w:r>
          </w:p>
        </w:tc>
        <w:tc>
          <w:tcPr>
            <w:tcW w:w="2340" w:type="dxa"/>
            <w:vAlign w:val="center"/>
          </w:tcPr>
          <w:p w14:paraId="66F673A0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238ADADA" w14:textId="77777777" w:rsidTr="00B76BCF">
        <w:tc>
          <w:tcPr>
            <w:tcW w:w="1800" w:type="dxa"/>
          </w:tcPr>
          <w:p w14:paraId="08DE09CA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492A4CC5" w14:textId="77777777" w:rsidR="00E3548B" w:rsidRDefault="00E3548B" w:rsidP="00E3548B">
            <w:pPr>
              <w:pStyle w:val="TableBody"/>
            </w:pPr>
            <w:r>
              <w:t>Are reference cultures inoculated into enrichment media at a level of 10-100 cells per sample?</w:t>
            </w:r>
          </w:p>
        </w:tc>
        <w:tc>
          <w:tcPr>
            <w:tcW w:w="2340" w:type="dxa"/>
            <w:vAlign w:val="center"/>
          </w:tcPr>
          <w:p w14:paraId="76CFF8DB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43A33178" w14:textId="77777777" w:rsidTr="00B76BCF">
        <w:tc>
          <w:tcPr>
            <w:tcW w:w="1800" w:type="dxa"/>
            <w:vMerge w:val="restart"/>
          </w:tcPr>
          <w:p w14:paraId="20FAA940" w14:textId="77777777" w:rsidR="00E3548B" w:rsidRDefault="00E3548B" w:rsidP="00E3548B">
            <w:pPr>
              <w:pStyle w:val="TableHeading"/>
            </w:pPr>
            <w:r>
              <w:t>PCR Assay</w:t>
            </w:r>
          </w:p>
        </w:tc>
        <w:tc>
          <w:tcPr>
            <w:tcW w:w="5040" w:type="dxa"/>
          </w:tcPr>
          <w:p w14:paraId="4B3BBDBD" w14:textId="77777777" w:rsidR="00E3548B" w:rsidRDefault="003B3D15" w:rsidP="00E3548B">
            <w:pPr>
              <w:pStyle w:val="TableBody"/>
            </w:pPr>
            <w:r>
              <w:t>Are manufacturer´s instructions followed in regards of cross-contamination prevention?</w:t>
            </w:r>
          </w:p>
        </w:tc>
        <w:tc>
          <w:tcPr>
            <w:tcW w:w="2340" w:type="dxa"/>
            <w:vAlign w:val="center"/>
          </w:tcPr>
          <w:p w14:paraId="4DEACC0F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6F38AE4A" w14:textId="77777777" w:rsidTr="00B76BCF">
        <w:tc>
          <w:tcPr>
            <w:tcW w:w="1800" w:type="dxa"/>
            <w:vMerge/>
          </w:tcPr>
          <w:p w14:paraId="66AD9026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2B7FED8E" w14:textId="77777777" w:rsidR="00E3548B" w:rsidRDefault="00E3548B" w:rsidP="00E3548B">
            <w:pPr>
              <w:pStyle w:val="TableBody"/>
            </w:pPr>
            <w:r>
              <w:t>Are internal controls run with each batch of samples?</w:t>
            </w:r>
          </w:p>
        </w:tc>
        <w:tc>
          <w:tcPr>
            <w:tcW w:w="2340" w:type="dxa"/>
            <w:vAlign w:val="center"/>
          </w:tcPr>
          <w:p w14:paraId="65C91BB4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3D273A09" w14:textId="77777777" w:rsidTr="00B76BCF">
        <w:tc>
          <w:tcPr>
            <w:tcW w:w="1800" w:type="dxa"/>
          </w:tcPr>
          <w:p w14:paraId="6C834E48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045F14AC" w14:textId="77777777" w:rsidR="00380154" w:rsidRDefault="00E3548B" w:rsidP="00AE3719">
            <w:pPr>
              <w:pStyle w:val="TableBody"/>
            </w:pPr>
            <w:r>
              <w:t xml:space="preserve">Are technicians familiar with and trained in the operation of </w:t>
            </w:r>
            <w:r w:rsidR="00E167B7">
              <w:t>PCR a</w:t>
            </w:r>
            <w:r>
              <w:t xml:space="preserve">utomated </w:t>
            </w:r>
            <w:r w:rsidR="00E167B7">
              <w:t>instruments</w:t>
            </w:r>
            <w:r>
              <w:t xml:space="preserve"> and the </w:t>
            </w:r>
            <w:r w:rsidR="00E167B7">
              <w:t>associated software</w:t>
            </w:r>
            <w:r>
              <w:t>?</w:t>
            </w:r>
          </w:p>
        </w:tc>
        <w:tc>
          <w:tcPr>
            <w:tcW w:w="2340" w:type="dxa"/>
          </w:tcPr>
          <w:p w14:paraId="4EA8CF58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AE3719" w14:paraId="4AF51C0A" w14:textId="77777777" w:rsidTr="00B76BCF">
        <w:tc>
          <w:tcPr>
            <w:tcW w:w="1800" w:type="dxa"/>
          </w:tcPr>
          <w:p w14:paraId="24EA47A8" w14:textId="77777777" w:rsidR="00AE3719" w:rsidRDefault="00AE3719" w:rsidP="00AE3719">
            <w:pPr>
              <w:pStyle w:val="TableHeading"/>
            </w:pPr>
          </w:p>
        </w:tc>
        <w:tc>
          <w:tcPr>
            <w:tcW w:w="5040" w:type="dxa"/>
          </w:tcPr>
          <w:p w14:paraId="4ACBD072" w14:textId="77777777" w:rsidR="00AE3719" w:rsidRDefault="00AE3719" w:rsidP="00AE3719">
            <w:pPr>
              <w:pStyle w:val="TableBody"/>
            </w:pPr>
            <w:r>
              <w:t>Are O157 positive samples further analysed by BAC</w:t>
            </w:r>
            <w:r w:rsidRPr="00AE3719">
              <w:rPr>
                <w:i/>
                <w:iCs/>
              </w:rPr>
              <w:t>Gene</w:t>
            </w:r>
            <w:r>
              <w:t xml:space="preserve"> Mplex STEC Screen PCR assay?</w:t>
            </w:r>
          </w:p>
        </w:tc>
        <w:tc>
          <w:tcPr>
            <w:tcW w:w="2340" w:type="dxa"/>
          </w:tcPr>
          <w:p w14:paraId="08088C25" w14:textId="77777777" w:rsidR="00AE3719" w:rsidRDefault="00AE3719" w:rsidP="00AE3719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AE3719" w14:paraId="2E907417" w14:textId="77777777" w:rsidTr="00B76BCF">
        <w:tc>
          <w:tcPr>
            <w:tcW w:w="1800" w:type="dxa"/>
            <w:vAlign w:val="center"/>
          </w:tcPr>
          <w:p w14:paraId="3841991B" w14:textId="77777777" w:rsidR="00AE3719" w:rsidRDefault="00AE3719" w:rsidP="00AE3719">
            <w:pPr>
              <w:pStyle w:val="TableHeading"/>
            </w:pPr>
          </w:p>
        </w:tc>
        <w:tc>
          <w:tcPr>
            <w:tcW w:w="5040" w:type="dxa"/>
          </w:tcPr>
          <w:p w14:paraId="479B62BF" w14:textId="77777777" w:rsidR="00AE3719" w:rsidRDefault="00AE3719" w:rsidP="00AE3719">
            <w:pPr>
              <w:pStyle w:val="TableBody"/>
            </w:pPr>
            <w:r>
              <w:t>Is the shelf-life of media and kits controlled?</w:t>
            </w:r>
          </w:p>
        </w:tc>
        <w:tc>
          <w:tcPr>
            <w:tcW w:w="2340" w:type="dxa"/>
          </w:tcPr>
          <w:p w14:paraId="2F280D3C" w14:textId="77777777" w:rsidR="00AE3719" w:rsidRDefault="00AE3719" w:rsidP="00AE3719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AE3719" w14:paraId="1F0B7130" w14:textId="77777777" w:rsidTr="00B76BCF">
        <w:tc>
          <w:tcPr>
            <w:tcW w:w="1800" w:type="dxa"/>
            <w:vAlign w:val="center"/>
          </w:tcPr>
          <w:p w14:paraId="76C26028" w14:textId="77777777" w:rsidR="00AE3719" w:rsidRDefault="00AE3719" w:rsidP="00AE3719">
            <w:pPr>
              <w:pStyle w:val="TableHeading"/>
            </w:pPr>
            <w:r>
              <w:t>Confirmation</w:t>
            </w:r>
          </w:p>
        </w:tc>
        <w:tc>
          <w:tcPr>
            <w:tcW w:w="5040" w:type="dxa"/>
          </w:tcPr>
          <w:p w14:paraId="19EFDB84" w14:textId="77777777" w:rsidR="00AE3719" w:rsidRDefault="00AE3719" w:rsidP="00AE3719">
            <w:pPr>
              <w:pStyle w:val="TableBody"/>
            </w:pPr>
            <w:r>
              <w:t>Is confirmation carried out from the enrichment culture (mTSB)?</w:t>
            </w:r>
          </w:p>
        </w:tc>
        <w:tc>
          <w:tcPr>
            <w:tcW w:w="2340" w:type="dxa"/>
            <w:vAlign w:val="center"/>
          </w:tcPr>
          <w:p w14:paraId="21C50988" w14:textId="77777777" w:rsidR="00AE3719" w:rsidRDefault="00AE3719" w:rsidP="00AE3719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AE3719" w14:paraId="746841F6" w14:textId="77777777" w:rsidTr="00B76BCF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01FC8E" w14:textId="77777777" w:rsidR="00AE3719" w:rsidRDefault="00AE3719" w:rsidP="00AE3719">
            <w:pPr>
              <w:pStyle w:val="TableHeading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08429D52" w14:textId="7EAABF4A" w:rsidR="00AE3719" w:rsidRDefault="00AE3719" w:rsidP="00AE3719">
            <w:pPr>
              <w:pStyle w:val="TableBody"/>
            </w:pPr>
            <w:r>
              <w:t xml:space="preserve">Is confirmation carried out using a </w:t>
            </w:r>
            <w:r w:rsidR="00DA402A">
              <w:t xml:space="preserve">DAFF </w:t>
            </w:r>
            <w:r>
              <w:t xml:space="preserve">approved confirmatory method at a </w:t>
            </w:r>
            <w:r w:rsidR="00DA402A">
              <w:t xml:space="preserve">DAFF </w:t>
            </w:r>
            <w:r>
              <w:t>approved laboratory?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E99FC12" w14:textId="77777777" w:rsidR="00AE3719" w:rsidRDefault="00AE3719" w:rsidP="00AE3719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</w:tbl>
    <w:p w14:paraId="5EB76B48" w14:textId="77777777" w:rsidR="00ED64A6" w:rsidRPr="00606974" w:rsidRDefault="00ED64A6" w:rsidP="005E14A8">
      <w:pPr>
        <w:pStyle w:val="Heading2"/>
        <w:ind w:left="0"/>
        <w:rPr>
          <w:b w:val="0"/>
        </w:rPr>
      </w:pPr>
    </w:p>
    <w:sectPr w:rsidR="00ED64A6" w:rsidRPr="006069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53C8" w14:textId="77777777" w:rsidR="006F69EA" w:rsidRDefault="006F69EA" w:rsidP="00E0322F">
      <w:pPr>
        <w:spacing w:before="0" w:after="0"/>
      </w:pPr>
      <w:r>
        <w:separator/>
      </w:r>
    </w:p>
  </w:endnote>
  <w:endnote w:type="continuationSeparator" w:id="0">
    <w:p w14:paraId="4C4B6EE2" w14:textId="77777777" w:rsidR="006F69EA" w:rsidRDefault="006F69EA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50E5" w14:textId="68D9529A" w:rsidR="00CA2CA4" w:rsidRDefault="00BC3E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442CE69" wp14:editId="74789A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59941556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177C4" w14:textId="6A1C4A3B" w:rsidR="00BC3EF9" w:rsidRPr="00BC3EF9" w:rsidRDefault="00BC3EF9" w:rsidP="00BC3E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E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2CE6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5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EsrOVI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5C177C4" w14:textId="6A1C4A3B" w:rsidR="00BC3EF9" w:rsidRPr="00BC3EF9" w:rsidRDefault="00BC3EF9" w:rsidP="00BC3E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E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79C9" w14:textId="6F27673C" w:rsidR="001E48B7" w:rsidRDefault="00C56A77" w:rsidP="00767922">
    <w:pPr>
      <w:pStyle w:val="Footer"/>
      <w:tabs>
        <w:tab w:val="clear" w:pos="4513"/>
        <w:tab w:val="center" w:pos="8647"/>
      </w:tabs>
    </w:pPr>
    <w:r>
      <w:t>I</w:t>
    </w:r>
    <w:r w:rsidR="00476D87">
      <w:t>ssue 202</w:t>
    </w:r>
    <w:r w:rsidR="00122391">
      <w:t>55</w:t>
    </w:r>
    <w:r w:rsidR="00E167B7">
      <w:t xml:space="preserve"> 0</w:t>
    </w:r>
    <w:r w:rsidR="00122391">
      <w:t>5</w:t>
    </w:r>
    <w:r w:rsidR="00B90580">
      <w:t xml:space="preserve"> </w:t>
    </w:r>
    <w:r w:rsidR="00122391">
      <w:t>02</w:t>
    </w:r>
    <w:r w:rsidR="00C117CA">
      <w:t xml:space="preserve"> | </w:t>
    </w:r>
    <w:r w:rsidR="001E48B7" w:rsidRPr="001E48B7">
      <w:t>Approve</w:t>
    </w:r>
    <w:r w:rsidR="00C117CA">
      <w:t>d Methods Manual</w:t>
    </w:r>
  </w:p>
  <w:p w14:paraId="429AF367" w14:textId="77777777" w:rsidR="001E48B7" w:rsidRDefault="001E48B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</w:t>
    </w:r>
    <w:r w:rsidR="00670835">
      <w:t>dards Branch | Exports</w:t>
    </w:r>
    <w:r w:rsidR="00487727">
      <w:t xml:space="preserve"> Veterinary Services</w:t>
    </w:r>
    <w:r w:rsidR="00670835">
      <w:t xml:space="preserve"> Division</w:t>
    </w:r>
    <w:r w:rsidR="00670835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0AB8">
      <w:rPr>
        <w:noProof/>
      </w:rPr>
      <w:t>1</w:t>
    </w:r>
    <w:r>
      <w:fldChar w:fldCharType="end"/>
    </w:r>
    <w:r>
      <w:t xml:space="preserve"> of </w:t>
    </w:r>
    <w:fldSimple w:instr=" NUMPAGES  ">
      <w:r w:rsidR="00080AB8">
        <w:rPr>
          <w:noProof/>
        </w:rPr>
        <w:t>2</w:t>
      </w:r>
    </w:fldSimple>
  </w:p>
  <w:p w14:paraId="4D789906" w14:textId="2CBB185B" w:rsidR="00C117CA" w:rsidRPr="001E48B7" w:rsidRDefault="00C117CA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476D87">
      <w:t xml:space="preserve">, </w:t>
    </w:r>
    <w:r w:rsidR="00122391">
      <w:t>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10D4" w14:textId="2D4C27BA" w:rsidR="00CA2CA4" w:rsidRDefault="00BC3E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D9CC6A9" wp14:editId="182474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19481343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25927" w14:textId="7F8309ED" w:rsidR="00BC3EF9" w:rsidRPr="00BC3EF9" w:rsidRDefault="00BC3EF9" w:rsidP="00BC3E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E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CC6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5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JpSLbw4CAAAc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DE25927" w14:textId="7F8309ED" w:rsidR="00BC3EF9" w:rsidRPr="00BC3EF9" w:rsidRDefault="00BC3EF9" w:rsidP="00BC3E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E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0F83" w14:textId="4267D73C" w:rsidR="00BC3EF9" w:rsidRDefault="00BC3E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4B8ECDE" wp14:editId="4CC69A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912733347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E312C" w14:textId="7471335B" w:rsidR="00BC3EF9" w:rsidRPr="00BC3EF9" w:rsidRDefault="00BC3EF9" w:rsidP="00BC3E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E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8ECD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5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3CZL1A4CAAAd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DBE312C" w14:textId="7471335B" w:rsidR="00BC3EF9" w:rsidRPr="00BC3EF9" w:rsidRDefault="00BC3EF9" w:rsidP="00BC3E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E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0BCC" w14:textId="68ED3706" w:rsidR="00670835" w:rsidRDefault="00C56A77" w:rsidP="00767922">
    <w:pPr>
      <w:pStyle w:val="Footer"/>
      <w:tabs>
        <w:tab w:val="clear" w:pos="4513"/>
        <w:tab w:val="center" w:pos="8505"/>
      </w:tabs>
    </w:pPr>
    <w:r>
      <w:t>I</w:t>
    </w:r>
    <w:r w:rsidR="00B90580">
      <w:t>ssue 202</w:t>
    </w:r>
    <w:r w:rsidR="00122391">
      <w:t>5</w:t>
    </w:r>
    <w:r w:rsidR="00B90580">
      <w:t xml:space="preserve"> 0</w:t>
    </w:r>
    <w:r w:rsidR="00122391">
      <w:t>5</w:t>
    </w:r>
    <w:r w:rsidR="00B90580">
      <w:t xml:space="preserve"> </w:t>
    </w:r>
    <w:r w:rsidR="00122391">
      <w:t>02</w:t>
    </w:r>
    <w:r>
      <w:t xml:space="preserve"> | </w:t>
    </w:r>
    <w:r w:rsidR="00670835" w:rsidRPr="001E48B7">
      <w:t>Approve</w:t>
    </w:r>
    <w:r>
      <w:t>d Methods Manual</w:t>
    </w:r>
  </w:p>
  <w:p w14:paraId="59DA6B3F" w14:textId="77777777" w:rsidR="00670835" w:rsidRDefault="00670835" w:rsidP="00670835">
    <w:pPr>
      <w:pStyle w:val="Footer"/>
      <w:tabs>
        <w:tab w:val="clear" w:pos="4513"/>
        <w:tab w:val="center" w:pos="8789"/>
      </w:tabs>
    </w:pPr>
    <w:r>
      <w:t xml:space="preserve">Export Standards Branch | Exports </w:t>
    </w:r>
    <w:r w:rsidR="00487727">
      <w:t xml:space="preserve">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0AB8">
      <w:rPr>
        <w:noProof/>
      </w:rPr>
      <w:t>2</w:t>
    </w:r>
    <w:r>
      <w:fldChar w:fldCharType="end"/>
    </w:r>
    <w:r>
      <w:t xml:space="preserve"> of </w:t>
    </w:r>
    <w:fldSimple w:instr=" NUMPAGES  ">
      <w:r w:rsidR="00080AB8">
        <w:rPr>
          <w:noProof/>
        </w:rPr>
        <w:t>2</w:t>
      </w:r>
    </w:fldSimple>
  </w:p>
  <w:p w14:paraId="2B513D6F" w14:textId="6EB6120B" w:rsidR="00670835" w:rsidRPr="001E48B7" w:rsidRDefault="00670835" w:rsidP="001E48B7">
    <w:pPr>
      <w:pStyle w:val="Footer"/>
    </w:pPr>
    <w:r>
      <w:t>Department of Agriculture</w:t>
    </w:r>
    <w:r w:rsidR="00476D87">
      <w:t xml:space="preserve">, </w:t>
    </w:r>
    <w:r w:rsidR="00122391">
      <w:t>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8C3D" w14:textId="03201BA4" w:rsidR="00BC3EF9" w:rsidRDefault="00BC3E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1D11BFA" wp14:editId="79983D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94682044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6A430" w14:textId="17D5741F" w:rsidR="00BC3EF9" w:rsidRPr="00BC3EF9" w:rsidRDefault="00BC3EF9" w:rsidP="00BC3E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E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11B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5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AxVcuk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606A430" w14:textId="17D5741F" w:rsidR="00BC3EF9" w:rsidRPr="00BC3EF9" w:rsidRDefault="00BC3EF9" w:rsidP="00BC3E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E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2811" w14:textId="77777777" w:rsidR="006F69EA" w:rsidRDefault="006F69EA" w:rsidP="00E0322F">
      <w:pPr>
        <w:spacing w:before="0" w:after="0"/>
      </w:pPr>
      <w:r>
        <w:separator/>
      </w:r>
    </w:p>
  </w:footnote>
  <w:footnote w:type="continuationSeparator" w:id="0">
    <w:p w14:paraId="0C867FB5" w14:textId="77777777" w:rsidR="006F69EA" w:rsidRDefault="006F69EA" w:rsidP="00E0322F">
      <w:pPr>
        <w:spacing w:before="0" w:after="0"/>
      </w:pPr>
      <w:r>
        <w:continuationSeparator/>
      </w:r>
    </w:p>
  </w:footnote>
  <w:footnote w:id="1">
    <w:p w14:paraId="78DE7798" w14:textId="77777777" w:rsidR="0084460B" w:rsidRDefault="008446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460B">
        <w:t>Testing for the H7 gene/antigen is not required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A0CC" w14:textId="2D136F50" w:rsidR="00CA2CA4" w:rsidRDefault="00BC3E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A21FB6" wp14:editId="2933B9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17977359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EE988" w14:textId="23820B1B" w:rsidR="00BC3EF9" w:rsidRPr="00BC3EF9" w:rsidRDefault="00BC3EF9" w:rsidP="00BC3E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E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21F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5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7EEE988" w14:textId="23820B1B" w:rsidR="00BC3EF9" w:rsidRPr="00BC3EF9" w:rsidRDefault="00BC3EF9" w:rsidP="00BC3E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E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162C8" w14:textId="5D5B008A" w:rsidR="00670835" w:rsidRDefault="00BC3EF9" w:rsidP="00657E4A">
    <w:pPr>
      <w:pStyle w:val="Header"/>
      <w:spacing w:after="720"/>
      <w:jc w:val="left"/>
    </w:pPr>
    <w:r w:rsidRPr="00D2639F">
      <w:rPr>
        <w:noProof/>
      </w:rPr>
      <w:drawing>
        <wp:inline distT="0" distB="0" distL="0" distR="0" wp14:anchorId="1710C190" wp14:editId="07309DEE">
          <wp:extent cx="3821430" cy="532130"/>
          <wp:effectExtent l="0" t="0" r="0" b="0"/>
          <wp:docPr id="1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14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AEFE6" w14:textId="369925AA" w:rsidR="00CA2CA4" w:rsidRDefault="00BC3E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46CCD7" wp14:editId="00BC3B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11153953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C10E5" w14:textId="4FF0E932" w:rsidR="00BC3EF9" w:rsidRPr="00BC3EF9" w:rsidRDefault="00BC3EF9" w:rsidP="00BC3E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E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6CC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1E0C10E5" w14:textId="4FF0E932" w:rsidR="00BC3EF9" w:rsidRPr="00BC3EF9" w:rsidRDefault="00BC3EF9" w:rsidP="00BC3E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E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A5448" w14:textId="33F0F30D" w:rsidR="00BC3EF9" w:rsidRDefault="00BC3E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A90ADF" wp14:editId="61B1B2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167601149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EC5E5" w14:textId="375AA075" w:rsidR="00BC3EF9" w:rsidRPr="00BC3EF9" w:rsidRDefault="00BC3EF9" w:rsidP="00BC3E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E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90A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5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2DEC5E5" w14:textId="375AA075" w:rsidR="00BC3EF9" w:rsidRPr="00BC3EF9" w:rsidRDefault="00BC3EF9" w:rsidP="00BC3E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E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FAA7" w14:textId="55B05657" w:rsidR="00272AAC" w:rsidRPr="00FB4446" w:rsidRDefault="00FB4446" w:rsidP="00FB4446">
    <w:pPr>
      <w:pStyle w:val="Header"/>
    </w:pPr>
    <w:r w:rsidRPr="00FB4446">
      <w:t>BAC</w:t>
    </w:r>
    <w:r w:rsidRPr="00FB4446">
      <w:rPr>
        <w:i/>
      </w:rPr>
      <w:t>Gene</w:t>
    </w:r>
    <w:r w:rsidRPr="00FB4446">
      <w:t xml:space="preserve"> </w:t>
    </w:r>
    <w:r w:rsidR="005B12D6">
      <w:rPr>
        <w:i/>
      </w:rPr>
      <w:t xml:space="preserve">E. coli </w:t>
    </w:r>
    <w:r w:rsidR="005B12D6" w:rsidRPr="005B12D6">
      <w:t>O157:H7</w:t>
    </w:r>
    <w:r w:rsidRPr="00FB4446">
      <w:t xml:space="preserve"> – AOAC </w:t>
    </w:r>
    <w:r w:rsidR="005B12D6">
      <w:t>022002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EDFFE" w14:textId="6E38D226" w:rsidR="00BC3EF9" w:rsidRDefault="00BC3E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E2FB69" wp14:editId="56ACE1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55718687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79FE9" w14:textId="008E6FA9" w:rsidR="00BC3EF9" w:rsidRPr="00BC3EF9" w:rsidRDefault="00BC3EF9" w:rsidP="00BC3E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E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2FB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5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5079FE9" w14:textId="008E6FA9" w:rsidR="00BC3EF9" w:rsidRPr="00BC3EF9" w:rsidRDefault="00BC3EF9" w:rsidP="00BC3E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E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107627735">
    <w:abstractNumId w:val="0"/>
  </w:num>
  <w:num w:numId="2" w16cid:durableId="2114738824">
    <w:abstractNumId w:val="1"/>
  </w:num>
  <w:num w:numId="3" w16cid:durableId="1799226396">
    <w:abstractNumId w:val="3"/>
  </w:num>
  <w:num w:numId="4" w16cid:durableId="160341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abf121e6-1dfd-417e-a2d2-f17a1b36b36f"/>
  </w:docVars>
  <w:rsids>
    <w:rsidRoot w:val="0023008E"/>
    <w:rsid w:val="000122A2"/>
    <w:rsid w:val="00013257"/>
    <w:rsid w:val="000222C8"/>
    <w:rsid w:val="000236E5"/>
    <w:rsid w:val="00032033"/>
    <w:rsid w:val="00037B44"/>
    <w:rsid w:val="000763DC"/>
    <w:rsid w:val="00080AB8"/>
    <w:rsid w:val="000E1166"/>
    <w:rsid w:val="000F385C"/>
    <w:rsid w:val="0010393D"/>
    <w:rsid w:val="00104392"/>
    <w:rsid w:val="001104EB"/>
    <w:rsid w:val="00112A98"/>
    <w:rsid w:val="00122391"/>
    <w:rsid w:val="00123703"/>
    <w:rsid w:val="001477A6"/>
    <w:rsid w:val="00187BE5"/>
    <w:rsid w:val="001A25B8"/>
    <w:rsid w:val="001B09CB"/>
    <w:rsid w:val="001B1761"/>
    <w:rsid w:val="001D196F"/>
    <w:rsid w:val="001D6A5B"/>
    <w:rsid w:val="001E48B7"/>
    <w:rsid w:val="00202FC9"/>
    <w:rsid w:val="002079F4"/>
    <w:rsid w:val="00213832"/>
    <w:rsid w:val="00221386"/>
    <w:rsid w:val="0022157B"/>
    <w:rsid w:val="0023008E"/>
    <w:rsid w:val="00234F1B"/>
    <w:rsid w:val="0024200C"/>
    <w:rsid w:val="0026209E"/>
    <w:rsid w:val="002623E8"/>
    <w:rsid w:val="00263C32"/>
    <w:rsid w:val="00272AAC"/>
    <w:rsid w:val="00275544"/>
    <w:rsid w:val="00275DB7"/>
    <w:rsid w:val="0028375D"/>
    <w:rsid w:val="002B6BFB"/>
    <w:rsid w:val="002C7146"/>
    <w:rsid w:val="002D24D9"/>
    <w:rsid w:val="002D521C"/>
    <w:rsid w:val="002D72E5"/>
    <w:rsid w:val="002E1679"/>
    <w:rsid w:val="002E54FA"/>
    <w:rsid w:val="002E6220"/>
    <w:rsid w:val="0035329E"/>
    <w:rsid w:val="00360055"/>
    <w:rsid w:val="0036515E"/>
    <w:rsid w:val="00367E78"/>
    <w:rsid w:val="00371076"/>
    <w:rsid w:val="00380154"/>
    <w:rsid w:val="003B3D15"/>
    <w:rsid w:val="003C6E2B"/>
    <w:rsid w:val="003E3EF2"/>
    <w:rsid w:val="003E49B8"/>
    <w:rsid w:val="003F291F"/>
    <w:rsid w:val="00415641"/>
    <w:rsid w:val="0042242B"/>
    <w:rsid w:val="0042371A"/>
    <w:rsid w:val="00423964"/>
    <w:rsid w:val="00437BAC"/>
    <w:rsid w:val="00456234"/>
    <w:rsid w:val="00457C0D"/>
    <w:rsid w:val="0046433C"/>
    <w:rsid w:val="00476D87"/>
    <w:rsid w:val="00482BDE"/>
    <w:rsid w:val="00487727"/>
    <w:rsid w:val="0049340F"/>
    <w:rsid w:val="004C644E"/>
    <w:rsid w:val="004E57B3"/>
    <w:rsid w:val="00517BA2"/>
    <w:rsid w:val="00520782"/>
    <w:rsid w:val="005276AA"/>
    <w:rsid w:val="00541B3C"/>
    <w:rsid w:val="0054695F"/>
    <w:rsid w:val="00552335"/>
    <w:rsid w:val="0059214B"/>
    <w:rsid w:val="00595BF4"/>
    <w:rsid w:val="00597206"/>
    <w:rsid w:val="005A1BA4"/>
    <w:rsid w:val="005B12D6"/>
    <w:rsid w:val="005B268E"/>
    <w:rsid w:val="005E14A8"/>
    <w:rsid w:val="005F295F"/>
    <w:rsid w:val="00606974"/>
    <w:rsid w:val="00614646"/>
    <w:rsid w:val="0063113D"/>
    <w:rsid w:val="006325A0"/>
    <w:rsid w:val="00657E4A"/>
    <w:rsid w:val="00660383"/>
    <w:rsid w:val="00664AF3"/>
    <w:rsid w:val="00667B90"/>
    <w:rsid w:val="00667F57"/>
    <w:rsid w:val="00670835"/>
    <w:rsid w:val="0067788A"/>
    <w:rsid w:val="0068666F"/>
    <w:rsid w:val="006A0E1A"/>
    <w:rsid w:val="006D4561"/>
    <w:rsid w:val="006E72C0"/>
    <w:rsid w:val="006F69EA"/>
    <w:rsid w:val="00711D45"/>
    <w:rsid w:val="00740CA0"/>
    <w:rsid w:val="00750EB1"/>
    <w:rsid w:val="00756B59"/>
    <w:rsid w:val="00767922"/>
    <w:rsid w:val="00782B79"/>
    <w:rsid w:val="007830A5"/>
    <w:rsid w:val="007832FD"/>
    <w:rsid w:val="00783E37"/>
    <w:rsid w:val="00793118"/>
    <w:rsid w:val="00793DA8"/>
    <w:rsid w:val="00794971"/>
    <w:rsid w:val="007B2C7D"/>
    <w:rsid w:val="007B672F"/>
    <w:rsid w:val="007B75C7"/>
    <w:rsid w:val="007E2690"/>
    <w:rsid w:val="007E4068"/>
    <w:rsid w:val="007E7C98"/>
    <w:rsid w:val="007F69EF"/>
    <w:rsid w:val="00831519"/>
    <w:rsid w:val="00836218"/>
    <w:rsid w:val="0084460B"/>
    <w:rsid w:val="00852040"/>
    <w:rsid w:val="00867346"/>
    <w:rsid w:val="008875AD"/>
    <w:rsid w:val="008B049F"/>
    <w:rsid w:val="008C7F19"/>
    <w:rsid w:val="008D5E0F"/>
    <w:rsid w:val="008E5D7C"/>
    <w:rsid w:val="00904AA1"/>
    <w:rsid w:val="009264DB"/>
    <w:rsid w:val="00932138"/>
    <w:rsid w:val="00932FD0"/>
    <w:rsid w:val="0094660E"/>
    <w:rsid w:val="00947CE5"/>
    <w:rsid w:val="00952047"/>
    <w:rsid w:val="00975EA7"/>
    <w:rsid w:val="0098528F"/>
    <w:rsid w:val="00995707"/>
    <w:rsid w:val="009A02D1"/>
    <w:rsid w:val="009B0083"/>
    <w:rsid w:val="009B1C4B"/>
    <w:rsid w:val="009E4708"/>
    <w:rsid w:val="009E60CA"/>
    <w:rsid w:val="009E6DCC"/>
    <w:rsid w:val="009F2FC4"/>
    <w:rsid w:val="00A020BB"/>
    <w:rsid w:val="00A061D0"/>
    <w:rsid w:val="00A30F9B"/>
    <w:rsid w:val="00A31608"/>
    <w:rsid w:val="00A376C5"/>
    <w:rsid w:val="00A805BD"/>
    <w:rsid w:val="00A81F44"/>
    <w:rsid w:val="00A83672"/>
    <w:rsid w:val="00AA6BE4"/>
    <w:rsid w:val="00AA755C"/>
    <w:rsid w:val="00AB4DB9"/>
    <w:rsid w:val="00AD7EC2"/>
    <w:rsid w:val="00AE3719"/>
    <w:rsid w:val="00AF326D"/>
    <w:rsid w:val="00AF3B01"/>
    <w:rsid w:val="00B028CF"/>
    <w:rsid w:val="00B1149D"/>
    <w:rsid w:val="00B12024"/>
    <w:rsid w:val="00B15B9C"/>
    <w:rsid w:val="00B1687D"/>
    <w:rsid w:val="00B32BD2"/>
    <w:rsid w:val="00B32EA5"/>
    <w:rsid w:val="00B35DA1"/>
    <w:rsid w:val="00B46071"/>
    <w:rsid w:val="00B54A9F"/>
    <w:rsid w:val="00B629CE"/>
    <w:rsid w:val="00B63D41"/>
    <w:rsid w:val="00B73FC4"/>
    <w:rsid w:val="00B76BCF"/>
    <w:rsid w:val="00B90580"/>
    <w:rsid w:val="00BA04E6"/>
    <w:rsid w:val="00BC3EF9"/>
    <w:rsid w:val="00BD3DF6"/>
    <w:rsid w:val="00BE2028"/>
    <w:rsid w:val="00C03D0F"/>
    <w:rsid w:val="00C117CA"/>
    <w:rsid w:val="00C552AF"/>
    <w:rsid w:val="00C56A77"/>
    <w:rsid w:val="00C65A59"/>
    <w:rsid w:val="00C86337"/>
    <w:rsid w:val="00C965EA"/>
    <w:rsid w:val="00CA2CA4"/>
    <w:rsid w:val="00CA3363"/>
    <w:rsid w:val="00CA4C6A"/>
    <w:rsid w:val="00CB6924"/>
    <w:rsid w:val="00CF03BF"/>
    <w:rsid w:val="00D04B8A"/>
    <w:rsid w:val="00D1679C"/>
    <w:rsid w:val="00D91CEE"/>
    <w:rsid w:val="00D93FFB"/>
    <w:rsid w:val="00DA0434"/>
    <w:rsid w:val="00DA402A"/>
    <w:rsid w:val="00DA7025"/>
    <w:rsid w:val="00DB0834"/>
    <w:rsid w:val="00DE485E"/>
    <w:rsid w:val="00DF6A32"/>
    <w:rsid w:val="00E0322F"/>
    <w:rsid w:val="00E06588"/>
    <w:rsid w:val="00E167B7"/>
    <w:rsid w:val="00E220DF"/>
    <w:rsid w:val="00E256DE"/>
    <w:rsid w:val="00E272E5"/>
    <w:rsid w:val="00E3548B"/>
    <w:rsid w:val="00E6013C"/>
    <w:rsid w:val="00EB137A"/>
    <w:rsid w:val="00EC1940"/>
    <w:rsid w:val="00ED64A6"/>
    <w:rsid w:val="00EE61BF"/>
    <w:rsid w:val="00EF3F21"/>
    <w:rsid w:val="00F01F9E"/>
    <w:rsid w:val="00F12FAB"/>
    <w:rsid w:val="00F36DA2"/>
    <w:rsid w:val="00F45214"/>
    <w:rsid w:val="00F47359"/>
    <w:rsid w:val="00F55D31"/>
    <w:rsid w:val="00F60B79"/>
    <w:rsid w:val="00F666A2"/>
    <w:rsid w:val="00F66EF1"/>
    <w:rsid w:val="00F7562A"/>
    <w:rsid w:val="00F75E04"/>
    <w:rsid w:val="00F76AD0"/>
    <w:rsid w:val="00F86C58"/>
    <w:rsid w:val="00F91501"/>
    <w:rsid w:val="00FA2D1F"/>
    <w:rsid w:val="00FA2F64"/>
    <w:rsid w:val="00FB2533"/>
    <w:rsid w:val="00FB4446"/>
    <w:rsid w:val="00FC1F80"/>
    <w:rsid w:val="00FD54DF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4AB711F"/>
  <w15:chartTrackingRefBased/>
  <w15:docId w15:val="{02B20417-D946-434E-B56D-F2FB9F55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48B"/>
    <w:pPr>
      <w:overflowPunct w:val="0"/>
      <w:autoSpaceDE w:val="0"/>
      <w:autoSpaceDN w:val="0"/>
      <w:adjustRightInd w:val="0"/>
      <w:spacing w:before="120" w:after="120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E3548B"/>
    <w:pPr>
      <w:keepNext/>
      <w:keepLines/>
      <w:spacing w:before="0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3548B"/>
    <w:pPr>
      <w:keepNext/>
      <w:keepLines/>
      <w:spacing w:before="240" w:after="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548B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E3548B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qFormat/>
    <w:rsid w:val="009A02D1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595959"/>
      <w:sz w:val="18"/>
      <w:szCs w:val="24"/>
    </w:rPr>
  </w:style>
  <w:style w:type="character" w:customStyle="1" w:styleId="HeaderChar">
    <w:name w:val="Header Char"/>
    <w:link w:val="Header"/>
    <w:rsid w:val="009A02D1"/>
    <w:rPr>
      <w:rFonts w:ascii="Cambria" w:hAnsi="Cambria"/>
      <w:color w:val="595959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CF03BF"/>
    <w:pPr>
      <w:spacing w:before="0"/>
    </w:pPr>
    <w:rPr>
      <w:sz w:val="16"/>
    </w:rPr>
  </w:style>
  <w:style w:type="character" w:customStyle="1" w:styleId="FootnoteTextChar">
    <w:name w:val="Footnote Text Char"/>
    <w:link w:val="FootnoteText"/>
    <w:rsid w:val="00CF03BF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character" w:styleId="CommentReference">
    <w:name w:val="annotation reference"/>
    <w:rsid w:val="00B460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071"/>
    <w:rPr>
      <w:sz w:val="20"/>
    </w:rPr>
  </w:style>
  <w:style w:type="character" w:customStyle="1" w:styleId="CommentTextChar">
    <w:name w:val="Comment Text Char"/>
    <w:link w:val="CommentText"/>
    <w:rsid w:val="00B46071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rsid w:val="00B46071"/>
    <w:rPr>
      <w:b/>
      <w:bCs/>
    </w:rPr>
  </w:style>
  <w:style w:type="character" w:customStyle="1" w:styleId="CommentSubjectChar">
    <w:name w:val="Comment Subject Char"/>
    <w:link w:val="CommentSubject"/>
    <w:rsid w:val="00B46071"/>
    <w:rPr>
      <w:rFonts w:ascii="Cambria" w:hAnsi="Cambria"/>
      <w:b/>
      <w:bCs/>
    </w:rPr>
  </w:style>
  <w:style w:type="paragraph" w:styleId="BalloonText">
    <w:name w:val="Balloon Text"/>
    <w:basedOn w:val="Normal"/>
    <w:link w:val="BalloonTextChar"/>
    <w:rsid w:val="00B460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6071"/>
    <w:rPr>
      <w:rFonts w:ascii="Segoe UI" w:hAnsi="Segoe UI" w:cs="Segoe UI"/>
      <w:sz w:val="18"/>
      <w:szCs w:val="18"/>
    </w:rPr>
  </w:style>
  <w:style w:type="character" w:styleId="Hyperlink">
    <w:name w:val="Hyperlink"/>
    <w:rsid w:val="005F295F"/>
    <w:rPr>
      <w:color w:val="0000FF"/>
      <w:u w:val="single"/>
    </w:rPr>
  </w:style>
  <w:style w:type="paragraph" w:styleId="Revision">
    <w:name w:val="Revision"/>
    <w:hidden/>
    <w:uiPriority w:val="99"/>
    <w:semiHidden/>
    <w:rsid w:val="00122391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C71D-B8C8-42F4-B252-97930D48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2980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BACGene E. coli O157:H7 Workflow – AOAC 022002</vt:lpstr>
      <vt:lpstr>BACGene Salmonella spp. – AOAC 121501</vt:lpstr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BACGene E. coli O157:H7 Workflow – AOAC 022002</dc:title>
  <dc:subject>Approved Method Manual</dc:subject>
  <dc:creator>Arefin Chowdhury</dc:creator>
  <cp:keywords>Microbiological Testing, Meat testing</cp:keywords>
  <cp:lastModifiedBy>Chowdhury, Arefin</cp:lastModifiedBy>
  <cp:revision>4</cp:revision>
  <cp:lastPrinted>2025-06-04T01:51:00Z</cp:lastPrinted>
  <dcterms:created xsi:type="dcterms:W3CDTF">2025-06-04T01:50:00Z</dcterms:created>
  <dcterms:modified xsi:type="dcterms:W3CDTF">2025-06-04T01:51:00Z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427b9538,6b2745e7,47b646da,2135ff39,63e5e7e4,16e281e2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473767f7,23ba5b0b,18ea4cc9,740a1f5f,366734a3,18732bee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2025-06-04T01:50:29Z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b1b26336-0e0a-433e-83d4-5090e897a91e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