
<file path=[Content_Types].xml><?xml version="1.0" encoding="utf-8"?>
<Types xmlns="http://schemas.openxmlformats.org/package/2006/content-types">
  <Override PartName="/word/footnotes.xml" ContentType="application/vnd.openxmlformats-officedocument.wordprocessingml.footnotes+xml"/>
  <Override PartName="/word/header18.xml" ContentType="application/vnd.openxmlformats-officedocument.wordprocessingml.header+xml"/>
  <Override PartName="/word/header29.xml" ContentType="application/vnd.openxmlformats-officedocument.wordprocessingml.header+xml"/>
  <Override PartName="/word/header16.xml" ContentType="application/vnd.openxmlformats-officedocument.wordprocessingml.header+xml"/>
  <Override PartName="/word/header27.xml" ContentType="application/vnd.openxmlformats-officedocument.wordprocessingml.header+xml"/>
  <Override PartName="/word/header14.xml" ContentType="application/vnd.openxmlformats-officedocument.wordprocessingml.header+xml"/>
  <Override PartName="/word/header25.xml" ContentType="application/vnd.openxmlformats-officedocument.wordprocessingml.header+xml"/>
  <Override PartName="/word/footer7.xml" ContentType="application/vnd.openxmlformats-officedocument.wordprocessingml.footer+xml"/>
  <Override PartName="/word/header34.xml" ContentType="application/vnd.openxmlformats-officedocument.wordprocessingml.header+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20.xml" ContentType="application/vnd.openxmlformats-officedocument.wordprocessingml.header+xml"/>
  <Override PartName="/word/header30.xml" ContentType="application/vnd.openxmlformats-officedocument.wordprocessingml.header+xml"/>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commentsExtended.xml" ContentType="application/vnd.openxmlformats-officedocument.wordprocessingml.commentsExtended+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Override PartName="/word/people.xml" ContentType="application/vnd.openxmlformats-officedocument.wordprocessingml.people+xml"/>
  <Default Extension="png" ContentType="image/png"/>
  <Override PartName="/word/header19.xml" ContentType="application/vnd.openxmlformats-officedocument.wordprocessingml.header+xml"/>
  <Override PartName="/word/header28.xml" ContentType="application/vnd.openxmlformats-officedocument.wordprocessingml.header+xml"/>
  <Override PartName="/word/header17.xml" ContentType="application/vnd.openxmlformats-officedocument.wordprocessingml.header+xml"/>
  <Override PartName="/word/header26.xml" ContentType="application/vnd.openxmlformats-officedocument.wordprocessingml.header+xml"/>
  <Override PartName="/word/footer8.xml" ContentType="application/vnd.openxmlformats-officedocument.wordprocessingml.footer+xml"/>
  <Override PartName="/word/header35.xml" ContentType="application/vnd.openxmlformats-officedocument.wordprocessingml.header+xml"/>
  <Default Extension="jpeg" ContentType="image/jpeg"/>
  <Default Extension="emf" ContentType="image/x-emf"/>
  <Override PartName="/word/header15.xml" ContentType="application/vnd.openxmlformats-officedocument.wordprocessingml.header+xml"/>
  <Override PartName="/word/header24.xml" ContentType="application/vnd.openxmlformats-officedocument.wordprocessingml.header+xml"/>
  <Override PartName="/word/footer6.xml" ContentType="application/vnd.openxmlformats-officedocument.wordprocessingml.footer+xml"/>
  <Override PartName="/word/header33.xml" ContentType="application/vnd.openxmlformats-officedocument.wordprocessingml.header+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71ADA" w:rsidRDefault="00E23933" w:rsidP="00F71ADA">
      <w:pPr>
        <w:widowControl/>
        <w:suppressAutoHyphens w:val="0"/>
        <w:autoSpaceDE/>
        <w:autoSpaceDN/>
        <w:adjustRightInd/>
        <w:spacing w:after="200" w:line="240" w:lineRule="auto"/>
        <w:textAlignment w:val="auto"/>
      </w:pPr>
      <w:r>
        <w:rPr>
          <w:noProof/>
          <w:lang w:val="en-AU" w:eastAsia="en-AU"/>
        </w:rPr>
        <w:pict>
          <v:group id="Group 14" o:spid="_x0000_s1027" alt="Title: IESC and Department of the Environment logos&#10;&#10;The Independent Expert Scientific Committee on Coal Seam Gas and Large Coal Mining Development (IESC) symbol on the left, and the Australian Government Department of the Environment symbol on the right." style="position:absolute;margin-left:-13.95pt;margin-top:5.35pt;width:481.45pt;height:117.15pt;z-index:251668480" coordsize="61141,148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 o:spid="_x0000_s1028" type="#_x0000_t75" alt="The Independent Expert Scientific Committee on Coal Seam Gas and Large Coal Mining Development (IESC) symbol." style="position:absolute;top:2320;width:29615;height:106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1mKp69AAAA2wAAAA8AAABkcnMvZG93bnJldi54bWxET0sKwjAQ3QveIYzgRjTVRZFqFBGKgiD+&#10;DjA0Y1tsJqVJtd7eCIK7ebzvLNedqcSTGldaVjCdRCCIM6tLzhXcrul4DsJ5ZI2VZVLwJgfrVb+3&#10;xETbF5/pefG5CCHsElRQeF8nUrqsIINuYmviwN1tY9AH2ORSN/gK4aaSsyiKpcGSQ0OBNW0Lyh6X&#10;1iigUToqd62MD6fjsd1v0nmkb5lSw0G3WYDw1Pm/+Ofe6zA/hu8v4QC5+gA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XWYqnr0AAADbAAAADwAAAAAAAAAAAAAAAACfAgAAZHJz&#10;L2Rvd25yZXYueG1sUEsFBgAAAAAEAAQA9wAAAIkDAAAAAA==&#10;">
              <v:imagedata r:id="rId7" o:title="The Independent Expert Scientific Committee on Coal Seam Gas and Large Coal Mining Development (IESC) symbol"/>
              <v:path arrowok="t"/>
            </v:shape>
            <v:shape id="Picture 20" o:spid="_x0000_s1029" type="#_x0000_t75" alt="The Australian Government Department of the Environment symbol." style="position:absolute;left:38077;width:23064;height:148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gGcGHCAAAA2wAAAA8AAABkcnMvZG93bnJldi54bWxET89rwjAUvg/8H8ITdptpyxyjGkWEwcAd&#10;tFPQ26N5NsXmpTZRO/96cxB2/Ph+T+e9bcSVOl87VpCOEhDEpdM1Vwq2v19vnyB8QNbYOCYFf+Rh&#10;Phu8TDHX7sYbuhahEjGEfY4KTAhtLqUvDVn0I9cSR+7oOoshwq6SusNbDLeNzJLkQ1qsOTYYbGlp&#10;qDwVF6vgvNoeCl77olneM2PSfTp+/9kp9TrsFxMQgfrwL366v7WCLK6PX+IPkLMH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YBnBhwgAAANsAAAAPAAAAAAAAAAAAAAAAAJ8C&#10;AABkcnMvZG93bnJldi54bWxQSwUGAAAAAAQABAD3AAAAjgMAAAAA&#10;">
              <v:imagedata r:id="rId8" o:title="The Australian Government Department of the Environment symbol"/>
              <v:path arrowok="t"/>
            </v:shape>
            <w10:wrap type="square"/>
          </v:group>
        </w:pict>
      </w:r>
    </w:p>
    <w:p w:rsidR="00F71ADA" w:rsidRPr="00CA626F" w:rsidRDefault="00F71ADA" w:rsidP="00F71ADA">
      <w:pPr>
        <w:pStyle w:val="BRCoverPageH1"/>
        <w:spacing w:before="2400"/>
        <w:ind w:left="2410"/>
      </w:pPr>
      <w:r>
        <w:t>Background review</w:t>
      </w:r>
    </w:p>
    <w:p w:rsidR="00F71ADA" w:rsidRPr="004923D3" w:rsidRDefault="00F71ADA" w:rsidP="005F6513">
      <w:pPr>
        <w:pStyle w:val="BRCoverPageH2"/>
      </w:pPr>
      <w:r w:rsidRPr="00F71ADA">
        <w:t>Aquifer connectivity within the Great Artesian Basin, and the Surat, Bowen and Galilee Basins</w:t>
      </w:r>
    </w:p>
    <w:p w:rsidR="00F71ADA" w:rsidRPr="00CF283E" w:rsidRDefault="00F71ADA" w:rsidP="00F71ADA">
      <w:pPr>
        <w:pStyle w:val="BRCoverPageH3"/>
      </w:pPr>
      <w:r w:rsidRPr="00F71ADA">
        <w:t xml:space="preserve">This background review was commissioned by the Department of the Environment on the advice of the Interim Independent Expert Scientific Committee on Coal Seam Gas and Coal Mining. The review was prepared by the CSIRO and revised by the Department of the Environment following peer review. </w:t>
      </w:r>
    </w:p>
    <w:p w:rsidR="00F71ADA" w:rsidRDefault="00F71ADA" w:rsidP="00F71ADA">
      <w:pPr>
        <w:pStyle w:val="BRCoverPageH3"/>
      </w:pPr>
      <w:r>
        <w:t>June</w:t>
      </w:r>
      <w:r w:rsidRPr="000061F4">
        <w:t xml:space="preserve"> 2014</w:t>
      </w:r>
    </w:p>
    <w:p w:rsidR="00F71ADA" w:rsidRDefault="00F71ADA" w:rsidP="00F71ADA">
      <w:pPr>
        <w:pStyle w:val="BRCoverPageH3"/>
        <w:sectPr w:rsidR="00F71ADA" w:rsidSect="00F71ADA">
          <w:headerReference w:type="even" r:id="rId9"/>
          <w:headerReference w:type="default" r:id="rId10"/>
          <w:footerReference w:type="even" r:id="rId11"/>
          <w:footerReference w:type="default" r:id="rId12"/>
          <w:headerReference w:type="first" r:id="rId13"/>
          <w:footerReference w:type="first" r:id="rId14"/>
          <w:type w:val="continuous"/>
          <w:pgSz w:w="11900" w:h="16840" w:code="9"/>
          <w:pgMar w:top="1960" w:right="1418" w:bottom="1418" w:left="1418" w:header="142" w:footer="709" w:gutter="0"/>
          <w:pgNumType w:start="1"/>
          <w:cols w:space="284"/>
          <w:noEndnote/>
          <w:titlePg/>
          <w:docGrid w:linePitch="326"/>
        </w:sectPr>
      </w:pPr>
    </w:p>
    <w:p w:rsidR="00861793" w:rsidRDefault="00861793" w:rsidP="00D16BE1">
      <w:pPr>
        <w:pStyle w:val="TitlepageB"/>
      </w:pPr>
    </w:p>
    <w:p w:rsidR="00861793" w:rsidRDefault="00861793" w:rsidP="00D16BE1">
      <w:pPr>
        <w:pStyle w:val="TitlepageB"/>
      </w:pPr>
    </w:p>
    <w:p w:rsidR="00861793" w:rsidRDefault="00861793" w:rsidP="00D16BE1">
      <w:pPr>
        <w:pStyle w:val="TitlepageB"/>
      </w:pPr>
    </w:p>
    <w:p w:rsidR="00861793" w:rsidRDefault="00861793" w:rsidP="00861793">
      <w:pPr>
        <w:pStyle w:val="TitlepageB"/>
        <w:ind w:left="2127"/>
      </w:pPr>
    </w:p>
    <w:p w:rsidR="00872565" w:rsidRPr="005F6513" w:rsidRDefault="00872565" w:rsidP="005F6513">
      <w:pPr>
        <w:pStyle w:val="Page2Heading2"/>
      </w:pPr>
      <w:bookmarkStart w:id="0" w:name="_Toc383593509"/>
      <w:bookmarkStart w:id="1" w:name="_Toc389055198"/>
      <w:bookmarkStart w:id="2" w:name="_Toc371671722"/>
      <w:r w:rsidRPr="005F6513">
        <w:lastRenderedPageBreak/>
        <w:t>Copyright</w:t>
      </w:r>
      <w:bookmarkEnd w:id="0"/>
      <w:bookmarkEnd w:id="1"/>
    </w:p>
    <w:bookmarkEnd w:id="2"/>
    <w:p w:rsidR="00E4592D" w:rsidRDefault="00E4592D" w:rsidP="00E4592D">
      <w:pPr>
        <w:pStyle w:val="BR-normal-CopyrightPage"/>
      </w:pPr>
      <w:r>
        <w:t>© Copyright Commonwealth of Australia, 2014.</w:t>
      </w:r>
    </w:p>
    <w:p w:rsidR="00E4592D" w:rsidRDefault="00E4592D" w:rsidP="00E4592D">
      <w:pPr>
        <w:pStyle w:val="BR-normal-CopyrightPage"/>
      </w:pPr>
      <w:r w:rsidRPr="00CF283E">
        <w:rPr>
          <w:noProof/>
        </w:rPr>
        <w:drawing>
          <wp:inline distT="0" distB="0" distL="0" distR="0">
            <wp:extent cx="1000125" cy="361950"/>
            <wp:effectExtent l="19050" t="0" r="9525" b="0"/>
            <wp:docPr id="4" name="Picture 2" descr="Creative Commons Logo. Attribution 3.0 Australia (CC BY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reative Commons Logo. Attribution 3.0 Australia (CC BY 3.0)."/>
                    <pic:cNvPicPr>
                      <a:picLocks noChangeAspect="1" noChangeArrowheads="1"/>
                    </pic:cNvPicPr>
                  </pic:nvPicPr>
                  <pic:blipFill>
                    <a:blip r:embed="rId15"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00125" cy="361950"/>
                    </a:xfrm>
                    <a:prstGeom prst="rect">
                      <a:avLst/>
                    </a:prstGeom>
                    <a:noFill/>
                    <a:ln>
                      <a:noFill/>
                    </a:ln>
                  </pic:spPr>
                </pic:pic>
              </a:graphicData>
            </a:graphic>
          </wp:inline>
        </w:drawing>
      </w:r>
      <w:r>
        <w:br/>
      </w:r>
      <w:r w:rsidRPr="0067638E">
        <w:t>A</w:t>
      </w:r>
      <w:r w:rsidRPr="00BD64D4">
        <w:rPr>
          <w:i/>
        </w:rPr>
        <w:t>quifer connectivity within the Great Artesian Basin, and the Surat, Bowen and Galilee Basins</w:t>
      </w:r>
      <w:r>
        <w:t>,</w:t>
      </w:r>
      <w:r w:rsidRPr="0067638E">
        <w:t xml:space="preserve"> </w:t>
      </w:r>
      <w:r w:rsidRPr="00E4592D">
        <w:rPr>
          <w:i/>
        </w:rPr>
        <w:t>Background review</w:t>
      </w:r>
      <w:r>
        <w:t xml:space="preserve"> is licensed by the Commonwealth of Australia for use under a Creative Commons By Attribution 3.0 Australia licence with the exception of the Coat of Arms of the Commonwealth of Australia, the logo of the agency responsible for publishing the report, content supplied by third parties, and any images depicting people. For licence conditions see: </w:t>
      </w:r>
      <w:hyperlink r:id="rId16" w:history="1">
        <w:r w:rsidRPr="007C44A7">
          <w:rPr>
            <w:rStyle w:val="Hyperlink"/>
            <w:color w:val="3966BF"/>
          </w:rPr>
          <w:t>http://creativecommons.org/licenses/by/3.0/au/</w:t>
        </w:r>
      </w:hyperlink>
      <w:r>
        <w:t xml:space="preserve"> </w:t>
      </w:r>
    </w:p>
    <w:p w:rsidR="00E4592D" w:rsidRDefault="00E4592D" w:rsidP="00E4592D">
      <w:pPr>
        <w:pStyle w:val="BR-normal-CopyrightPage"/>
      </w:pPr>
      <w:r>
        <w:t>This report should be attributed as ‘</w:t>
      </w:r>
      <w:r w:rsidRPr="00E4592D">
        <w:t xml:space="preserve">Aquifer connectivity within the Great Artesian Basin, and the Surat, Bowen and Galilee Basins, </w:t>
      </w:r>
      <w:r w:rsidRPr="0067638E">
        <w:t>Background</w:t>
      </w:r>
      <w:r w:rsidRPr="0075269C">
        <w:t xml:space="preserve"> </w:t>
      </w:r>
      <w:r>
        <w:t>review, Commonwealth of Australia 2014’.</w:t>
      </w:r>
    </w:p>
    <w:p w:rsidR="00E4592D" w:rsidRDefault="00E4592D" w:rsidP="00E4592D">
      <w:pPr>
        <w:pStyle w:val="BR-normal-CopyrightPage"/>
      </w:pPr>
      <w:r>
        <w:t>The Commonwealth of Australia has made all reasonable efforts to identify content supplied by third parties using the following format ‘© Copyright, [</w:t>
      </w:r>
      <w:r>
        <w:rPr>
          <w:i/>
          <w:iCs/>
        </w:rPr>
        <w:t>name of third party</w:t>
      </w:r>
      <w:r>
        <w:t>] ’.</w:t>
      </w:r>
    </w:p>
    <w:p w:rsidR="00872565" w:rsidRPr="0075269C" w:rsidRDefault="00872565" w:rsidP="001C3374">
      <w:pPr>
        <w:pStyle w:val="BR-normal-CopyrightPage"/>
      </w:pPr>
      <w:r w:rsidRPr="0075269C">
        <w:t xml:space="preserve">Enquiries concerning reproduction and rights should be addressed to: </w:t>
      </w:r>
    </w:p>
    <w:p w:rsidR="00872565" w:rsidRPr="0075269C" w:rsidRDefault="00872565" w:rsidP="007C44A7">
      <w:pPr>
        <w:pStyle w:val="BR-normal-CopyrightPage"/>
        <w:spacing w:after="0"/>
      </w:pPr>
      <w:r w:rsidRPr="0075269C">
        <w:t xml:space="preserve">Department of the Environment, Public Affairs </w:t>
      </w:r>
    </w:p>
    <w:p w:rsidR="00872565" w:rsidRPr="0075269C" w:rsidRDefault="00872565" w:rsidP="007C44A7">
      <w:pPr>
        <w:pStyle w:val="BR-normal-CopyrightPage"/>
      </w:pPr>
      <w:r w:rsidRPr="0075269C">
        <w:t>GPO Box 787 Canberra ACT 2601</w:t>
      </w:r>
    </w:p>
    <w:p w:rsidR="00872565" w:rsidRPr="0075269C" w:rsidRDefault="00872565" w:rsidP="007C44A7">
      <w:pPr>
        <w:pStyle w:val="BR-normal-CopyrightPage"/>
      </w:pPr>
      <w:r w:rsidRPr="0075269C">
        <w:t>Or by email to:  public.affairs@environment.gov.au</w:t>
      </w:r>
    </w:p>
    <w:p w:rsidR="00E4592D" w:rsidRPr="00DD20BC" w:rsidRDefault="00E4592D" w:rsidP="00E4592D">
      <w:pPr>
        <w:pStyle w:val="BR-normal-CopyrightPage"/>
        <w:rPr>
          <w:rStyle w:val="Hyperlink"/>
          <w:color w:val="auto"/>
          <w:u w:val="none"/>
        </w:rPr>
      </w:pPr>
      <w:bookmarkStart w:id="3" w:name="_Toc384302920"/>
      <w:r w:rsidRPr="00DD20BC">
        <w:t xml:space="preserve">This publication can be accessed at: </w:t>
      </w:r>
      <w:r w:rsidR="000D27E1" w:rsidRPr="006B4757">
        <w:t>www.iesc.environment.gov.au</w:t>
      </w:r>
    </w:p>
    <w:p w:rsidR="00872565" w:rsidRPr="0075269C" w:rsidRDefault="00872565" w:rsidP="005F6513">
      <w:pPr>
        <w:pStyle w:val="Page2Heading2"/>
      </w:pPr>
      <w:bookmarkStart w:id="4" w:name="_Toc389055199"/>
      <w:r>
        <w:t>Acknowledgements</w:t>
      </w:r>
      <w:bookmarkEnd w:id="3"/>
      <w:bookmarkEnd w:id="4"/>
    </w:p>
    <w:p w:rsidR="00872565" w:rsidRPr="0075269C" w:rsidRDefault="00872565" w:rsidP="001C3374">
      <w:pPr>
        <w:pStyle w:val="BR-normal-CopyrightPage"/>
      </w:pPr>
      <w:r w:rsidRPr="0075269C">
        <w:t>This background review was commissioned by the Department of the Environment on the advice of the Interim Independent Expert Scientific Committee on Coal Seam Gas and Coal Mining. The review was prepared by</w:t>
      </w:r>
      <w:r>
        <w:t xml:space="preserve"> CSIRO, with input from </w:t>
      </w:r>
      <w:r w:rsidRPr="00872565">
        <w:t>Sinclair Knight Merz Pty Ltd</w:t>
      </w:r>
      <w:r w:rsidR="00F250F9">
        <w:t xml:space="preserve">, </w:t>
      </w:r>
      <w:r w:rsidR="00544404" w:rsidRPr="00A76016">
        <w:t>Queensland University of Technology and National Centre for Groundwater Research and Training</w:t>
      </w:r>
      <w:r w:rsidRPr="00A76016">
        <w:rPr>
          <w:lang w:val="en-GB"/>
        </w:rPr>
        <w:t>.</w:t>
      </w:r>
      <w:r w:rsidRPr="0075269C">
        <w:rPr>
          <w:lang w:val="en-GB"/>
        </w:rPr>
        <w:t xml:space="preserve"> It was </w:t>
      </w:r>
      <w:r w:rsidRPr="0075269C">
        <w:t xml:space="preserve">revised by the </w:t>
      </w:r>
      <w:r>
        <w:t xml:space="preserve">Department of the Environment </w:t>
      </w:r>
      <w:r w:rsidRPr="002635AA">
        <w:t>following peer review by Mr Doug Anderson and Dr William Glamore (University of NSW</w:t>
      </w:r>
      <w:r w:rsidR="00103038">
        <w:t xml:space="preserve"> Water</w:t>
      </w:r>
      <w:r w:rsidRPr="002635AA">
        <w:t xml:space="preserve"> Research Laboratory)</w:t>
      </w:r>
      <w:r w:rsidRPr="002635AA">
        <w:rPr>
          <w:lang w:val="en-GB"/>
        </w:rPr>
        <w:t xml:space="preserve"> </w:t>
      </w:r>
      <w:r w:rsidRPr="002635AA">
        <w:t>and relevant Queensland, New So</w:t>
      </w:r>
      <w:r w:rsidR="00E06CE4">
        <w:t>uth Wales and South Australian G</w:t>
      </w:r>
      <w:r w:rsidRPr="002635AA">
        <w:t xml:space="preserve">overnment departments. </w:t>
      </w:r>
    </w:p>
    <w:p w:rsidR="0067638E" w:rsidRPr="00CF283E" w:rsidRDefault="0067638E" w:rsidP="005F6513">
      <w:pPr>
        <w:pStyle w:val="Page2Heading2"/>
      </w:pPr>
      <w:bookmarkStart w:id="5" w:name="_Toc383593513"/>
      <w:bookmarkStart w:id="6" w:name="_Toc389055200"/>
      <w:bookmarkStart w:id="7" w:name="_Toc370301048"/>
      <w:bookmarkStart w:id="8" w:name="_Toc371671724"/>
      <w:bookmarkStart w:id="9" w:name="_Toc378082839"/>
      <w:bookmarkStart w:id="10" w:name="_Toc381961070"/>
      <w:r w:rsidRPr="00CF283E">
        <w:t>Disclaimer</w:t>
      </w:r>
      <w:bookmarkEnd w:id="5"/>
      <w:bookmarkEnd w:id="6"/>
    </w:p>
    <w:bookmarkEnd w:id="7"/>
    <w:bookmarkEnd w:id="8"/>
    <w:bookmarkEnd w:id="9"/>
    <w:bookmarkEnd w:id="10"/>
    <w:p w:rsidR="00CE5DBF" w:rsidRDefault="00CE5DBF" w:rsidP="00CE5DBF">
      <w:pPr>
        <w:pStyle w:val="BR-normal-CopyrightPage"/>
      </w:pPr>
      <w:r w:rsidRPr="00CE5DBF">
        <w:t xml:space="preserve">The views and opinions expressed in this publication are those of the authors and do not necessarily reflect those of the Australian Government or the Minister for the Environment or the </w:t>
      </w:r>
      <w:r w:rsidR="00A748EC">
        <w:t>I</w:t>
      </w:r>
      <w:r w:rsidRPr="00CE5DBF">
        <w:t xml:space="preserve">nterim Independent Expert Scientific Committee on Coal Seam Gas and Coal Mining or the </w:t>
      </w:r>
      <w:r w:rsidR="00E06CE4">
        <w:t xml:space="preserve">statutory </w:t>
      </w:r>
      <w:r w:rsidR="007C44A7" w:rsidRPr="00CE5DBF">
        <w:t xml:space="preserve">Independent Expert Scientific Committee on Coal Seam Gas and </w:t>
      </w:r>
      <w:r w:rsidR="007C44A7">
        <w:t xml:space="preserve">Large </w:t>
      </w:r>
      <w:r w:rsidR="007C44A7" w:rsidRPr="00CE5DBF">
        <w:t>Coal Mining</w:t>
      </w:r>
      <w:r w:rsidR="007C44A7">
        <w:t xml:space="preserve"> Development</w:t>
      </w:r>
      <w:r w:rsidR="00725C65">
        <w:t xml:space="preserve"> (IESC)</w:t>
      </w:r>
      <w:r w:rsidR="00055AEB">
        <w:t>.</w:t>
      </w:r>
      <w:r w:rsidRPr="00CE5DBF">
        <w:br/>
      </w:r>
      <w:r w:rsidRPr="00CE5DBF">
        <w:br/>
      </w:r>
      <w:r w:rsidR="005404B3" w:rsidRPr="00CE5DBF">
        <w:t>While reasonable efforts have been made to ensure that the contents of this publication are fact</w:t>
      </w:r>
      <w:r w:rsidR="005404B3">
        <w:t xml:space="preserve">ually correct, the Commonwealth </w:t>
      </w:r>
      <w:r w:rsidR="007C44A7">
        <w:t xml:space="preserve">and IESC </w:t>
      </w:r>
      <w:r w:rsidR="005404B3" w:rsidRPr="00CE5DBF">
        <w:t>do not accept responsibility for the accuracy or completeness of the contents, and shall not be liable for any loss or damage that may be occasioned directly or indirectly through the use of, or reliance on, the contents of this publication.</w:t>
      </w:r>
    </w:p>
    <w:p w:rsidR="00EF13AB" w:rsidRPr="0075269C" w:rsidRDefault="00EF13AB" w:rsidP="005F6513">
      <w:pPr>
        <w:pStyle w:val="Page2Heading2"/>
      </w:pPr>
      <w:bookmarkStart w:id="11" w:name="_Toc389055201"/>
      <w:r w:rsidRPr="0075269C">
        <w:t>Addendum</w:t>
      </w:r>
      <w:bookmarkEnd w:id="11"/>
    </w:p>
    <w:p w:rsidR="00EF13AB" w:rsidRPr="0075269C" w:rsidRDefault="00104C1A" w:rsidP="001C3374">
      <w:pPr>
        <w:pStyle w:val="BR-normal-CopyrightPage"/>
      </w:pPr>
      <w:r>
        <w:t>Changes to state government d</w:t>
      </w:r>
      <w:r w:rsidR="00EF13AB" w:rsidRPr="0075269C">
        <w:t xml:space="preserve">epartments have occurred since the finalisation of this report by the authors. The Queensland, New South Wales and South Australian Government agencies were contacted and updated </w:t>
      </w:r>
      <w:r w:rsidR="00EF13AB" w:rsidRPr="002635AA">
        <w:t>information provided in September 2013;</w:t>
      </w:r>
      <w:r w:rsidR="00EF13AB" w:rsidRPr="0075269C">
        <w:t xml:space="preserve"> however, no guarantees can be made as to the completeness of these updates</w:t>
      </w:r>
      <w:r w:rsidR="00EF13AB">
        <w:t>.</w:t>
      </w:r>
      <w:r w:rsidR="00EF13AB" w:rsidRPr="0075269C">
        <w:t xml:space="preserve"> </w:t>
      </w:r>
      <w:r w:rsidR="00EF13AB">
        <w:t>U</w:t>
      </w:r>
      <w:r w:rsidR="00EF13AB" w:rsidRPr="0075269C">
        <w:t xml:space="preserve">p-to-date information should be sourced from the relevant department. </w:t>
      </w:r>
    </w:p>
    <w:p w:rsidR="00C919F2" w:rsidRDefault="00EF13AB" w:rsidP="001C3374">
      <w:pPr>
        <w:pStyle w:val="BR-normal-CopyrightPage"/>
      </w:pPr>
      <w:r w:rsidRPr="0075269C">
        <w:lastRenderedPageBreak/>
        <w:t xml:space="preserve">On 1 January 2013, the Queensland Water Commission (QWC) ceased operations. </w:t>
      </w:r>
      <w:r w:rsidR="00544404">
        <w:t>T</w:t>
      </w:r>
      <w:r w:rsidRPr="0075269C">
        <w:t>he Office of Groundwater Impact Assessment (OGIA)</w:t>
      </w:r>
      <w:r w:rsidR="00544404">
        <w:t xml:space="preserve"> </w:t>
      </w:r>
      <w:r w:rsidRPr="0075269C">
        <w:t xml:space="preserve">retains the same powers as the former QWC under Chapter 3 of the </w:t>
      </w:r>
      <w:r w:rsidRPr="0075269C">
        <w:rPr>
          <w:i/>
        </w:rPr>
        <w:t>Water Act 2000</w:t>
      </w:r>
      <w:r w:rsidR="00E06CE4">
        <w:t xml:space="preserve"> (Qld</w:t>
      </w:r>
      <w:r w:rsidR="008B00B9">
        <w:t xml:space="preserve">). </w:t>
      </w:r>
    </w:p>
    <w:p w:rsidR="002F446A" w:rsidRDefault="002F446A" w:rsidP="005F6513">
      <w:pPr>
        <w:pStyle w:val="Page2Heading2"/>
      </w:pPr>
      <w:bookmarkStart w:id="12" w:name="_Toc381961074"/>
      <w:bookmarkStart w:id="13" w:name="_Toc389055202"/>
      <w:r>
        <w:t>Contributors</w:t>
      </w:r>
      <w:bookmarkEnd w:id="12"/>
      <w:bookmarkEnd w:id="13"/>
    </w:p>
    <w:p w:rsidR="002F446A" w:rsidRDefault="002F446A" w:rsidP="002F446A">
      <w:pPr>
        <w:pStyle w:val="BR-normal-CopyrightPage"/>
      </w:pPr>
      <w:r>
        <w:t>The following list acknowledges the primary authors and contributors for each section of this report:</w:t>
      </w:r>
    </w:p>
    <w:p w:rsidR="002F446A" w:rsidRPr="00640F01" w:rsidRDefault="002F446A" w:rsidP="002F446A">
      <w:pPr>
        <w:pStyle w:val="BR-normal-CopyrightPage"/>
      </w:pPr>
      <w:r w:rsidRPr="00640F01">
        <w:t>Exec</w:t>
      </w:r>
      <w:r>
        <w:t>utive</w:t>
      </w:r>
      <w:r w:rsidRPr="00640F01">
        <w:t xml:space="preserve"> Summary – Glenn Harrington</w:t>
      </w:r>
      <w:r>
        <w:rPr>
          <w:vertAlign w:val="superscript"/>
        </w:rPr>
        <w:t>A</w:t>
      </w:r>
    </w:p>
    <w:p w:rsidR="002F446A" w:rsidRPr="00640F01" w:rsidRDefault="002F446A" w:rsidP="002F446A">
      <w:pPr>
        <w:pStyle w:val="BR-normal-CopyrightPage"/>
      </w:pPr>
      <w:r w:rsidRPr="00640F01">
        <w:t>Chapter 1 – Glenn Harrington</w:t>
      </w:r>
      <w:r>
        <w:rPr>
          <w:vertAlign w:val="superscript"/>
        </w:rPr>
        <w:t>A</w:t>
      </w:r>
    </w:p>
    <w:p w:rsidR="002F446A" w:rsidRPr="00640F01" w:rsidRDefault="002F446A" w:rsidP="002F446A">
      <w:pPr>
        <w:pStyle w:val="BR-normal-CopyrightPage"/>
      </w:pPr>
      <w:r w:rsidRPr="00640F01">
        <w:t>Chapter 2 – Luk Peeters</w:t>
      </w:r>
      <w:r>
        <w:rPr>
          <w:vertAlign w:val="superscript"/>
        </w:rPr>
        <w:t>A</w:t>
      </w:r>
      <w:r w:rsidRPr="00640F01">
        <w:t>, Glenn Harrington</w:t>
      </w:r>
      <w:r>
        <w:rPr>
          <w:vertAlign w:val="superscript"/>
        </w:rPr>
        <w:t>A</w:t>
      </w:r>
      <w:r w:rsidRPr="00640F01">
        <w:t>, Rick Evans</w:t>
      </w:r>
      <w:r>
        <w:rPr>
          <w:vertAlign w:val="superscript"/>
        </w:rPr>
        <w:t>B</w:t>
      </w:r>
    </w:p>
    <w:p w:rsidR="002F446A" w:rsidRPr="00640F01" w:rsidRDefault="002F446A" w:rsidP="002F446A">
      <w:pPr>
        <w:pStyle w:val="BR-normal-CopyrightPage"/>
      </w:pPr>
      <w:r w:rsidRPr="00640F01">
        <w:t>Chapter 3 – Stephanie Villeneuve</w:t>
      </w:r>
      <w:r>
        <w:rPr>
          <w:vertAlign w:val="superscript"/>
        </w:rPr>
        <w:t>C</w:t>
      </w:r>
      <w:r w:rsidRPr="00640F01">
        <w:t>, Glenn Harrington</w:t>
      </w:r>
      <w:r>
        <w:rPr>
          <w:vertAlign w:val="superscript"/>
        </w:rPr>
        <w:t>A</w:t>
      </w:r>
      <w:r w:rsidRPr="00640F01">
        <w:t>, Karsten Michael</w:t>
      </w:r>
      <w:r>
        <w:rPr>
          <w:vertAlign w:val="superscript"/>
        </w:rPr>
        <w:t>A</w:t>
      </w:r>
      <w:r w:rsidRPr="00640F01">
        <w:t>, Rick Evans</w:t>
      </w:r>
      <w:r>
        <w:rPr>
          <w:vertAlign w:val="superscript"/>
        </w:rPr>
        <w:t>B</w:t>
      </w:r>
    </w:p>
    <w:p w:rsidR="002F446A" w:rsidRPr="00640F01" w:rsidRDefault="002F446A" w:rsidP="002F446A">
      <w:pPr>
        <w:pStyle w:val="BR-normal-CopyrightPage"/>
      </w:pPr>
      <w:r w:rsidRPr="00640F01">
        <w:t>Chapter 4 – John Kozuskanich</w:t>
      </w:r>
      <w:r>
        <w:rPr>
          <w:vertAlign w:val="superscript"/>
        </w:rPr>
        <w:t>C</w:t>
      </w:r>
      <w:r w:rsidRPr="00640F01">
        <w:t>, Rick Evans</w:t>
      </w:r>
      <w:r>
        <w:rPr>
          <w:vertAlign w:val="superscript"/>
        </w:rPr>
        <w:t>B</w:t>
      </w:r>
      <w:r w:rsidRPr="00640F01">
        <w:t>, Karsten Michael</w:t>
      </w:r>
      <w:r>
        <w:rPr>
          <w:vertAlign w:val="superscript"/>
        </w:rPr>
        <w:t>A</w:t>
      </w:r>
    </w:p>
    <w:p w:rsidR="002F446A" w:rsidRPr="00640F01" w:rsidRDefault="002F446A" w:rsidP="002F446A">
      <w:pPr>
        <w:pStyle w:val="BR-normal-CopyrightPage"/>
      </w:pPr>
      <w:r w:rsidRPr="00640F01">
        <w:t>Chapter 5 – Chris Turnadge</w:t>
      </w:r>
      <w:r>
        <w:rPr>
          <w:vertAlign w:val="superscript"/>
        </w:rPr>
        <w:t>A</w:t>
      </w:r>
      <w:r w:rsidRPr="00640F01">
        <w:t>, Luk Peeters</w:t>
      </w:r>
      <w:r>
        <w:rPr>
          <w:vertAlign w:val="superscript"/>
        </w:rPr>
        <w:t>A</w:t>
      </w:r>
      <w:r w:rsidRPr="00640F01">
        <w:t>, Brian Smerdon</w:t>
      </w:r>
      <w:r>
        <w:rPr>
          <w:vertAlign w:val="superscript"/>
        </w:rPr>
        <w:t>A</w:t>
      </w:r>
    </w:p>
    <w:p w:rsidR="002F446A" w:rsidRPr="00640F01" w:rsidRDefault="002F446A" w:rsidP="002F446A">
      <w:pPr>
        <w:pStyle w:val="BR-normal-CopyrightPage"/>
      </w:pPr>
      <w:r w:rsidRPr="00640F01">
        <w:t>Chapter 6 – Chris Turnadge</w:t>
      </w:r>
      <w:r>
        <w:rPr>
          <w:vertAlign w:val="superscript"/>
        </w:rPr>
        <w:t>A</w:t>
      </w:r>
      <w:r w:rsidRPr="00640F01">
        <w:t>, Luk Peeters</w:t>
      </w:r>
      <w:r>
        <w:rPr>
          <w:vertAlign w:val="superscript"/>
        </w:rPr>
        <w:t>A</w:t>
      </w:r>
      <w:r w:rsidRPr="00640F01">
        <w:t>, Brian Smerdon</w:t>
      </w:r>
      <w:r>
        <w:rPr>
          <w:vertAlign w:val="superscript"/>
        </w:rPr>
        <w:t>A</w:t>
      </w:r>
      <w:r w:rsidRPr="00640F01">
        <w:t> </w:t>
      </w:r>
    </w:p>
    <w:p w:rsidR="002F446A" w:rsidRPr="00640F01" w:rsidRDefault="002F446A" w:rsidP="002F446A">
      <w:pPr>
        <w:pStyle w:val="BR-normal-CopyrightPage"/>
      </w:pPr>
      <w:r w:rsidRPr="00640F01">
        <w:t>Chapter 7 – Tim Ezzy</w:t>
      </w:r>
      <w:r>
        <w:rPr>
          <w:vertAlign w:val="superscript"/>
        </w:rPr>
        <w:t>B</w:t>
      </w:r>
      <w:r w:rsidRPr="00640F01">
        <w:t>, Rick Evans</w:t>
      </w:r>
      <w:r>
        <w:rPr>
          <w:vertAlign w:val="superscript"/>
        </w:rPr>
        <w:t>B</w:t>
      </w:r>
      <w:r w:rsidRPr="00640F01">
        <w:t>, Karsten Michael</w:t>
      </w:r>
      <w:r>
        <w:rPr>
          <w:vertAlign w:val="superscript"/>
        </w:rPr>
        <w:t>A</w:t>
      </w:r>
      <w:r w:rsidRPr="00640F01">
        <w:t>, Malcolm Cox</w:t>
      </w:r>
      <w:r>
        <w:rPr>
          <w:vertAlign w:val="superscript"/>
        </w:rPr>
        <w:t>D</w:t>
      </w:r>
    </w:p>
    <w:p w:rsidR="002F446A" w:rsidRPr="00640F01" w:rsidRDefault="002F446A" w:rsidP="002F446A">
      <w:pPr>
        <w:pStyle w:val="BR-normal-CopyrightPage"/>
      </w:pPr>
      <w:r w:rsidRPr="00640F01">
        <w:t>Chapter 8 – Stephen Parsons</w:t>
      </w:r>
      <w:r>
        <w:rPr>
          <w:vertAlign w:val="superscript"/>
        </w:rPr>
        <w:t>B</w:t>
      </w:r>
      <w:r w:rsidRPr="00640F01">
        <w:t>, Rick Evans</w:t>
      </w:r>
      <w:r>
        <w:rPr>
          <w:vertAlign w:val="superscript"/>
        </w:rPr>
        <w:t>B</w:t>
      </w:r>
      <w:r w:rsidRPr="00640F01">
        <w:t>, Malcolm Cox</w:t>
      </w:r>
      <w:r>
        <w:rPr>
          <w:vertAlign w:val="superscript"/>
        </w:rPr>
        <w:t>D</w:t>
      </w:r>
    </w:p>
    <w:p w:rsidR="002F446A" w:rsidRPr="00640F01" w:rsidRDefault="002F446A" w:rsidP="002F446A">
      <w:pPr>
        <w:pStyle w:val="BR-normal-CopyrightPage"/>
      </w:pPr>
      <w:r w:rsidRPr="00640F01">
        <w:t>Chapter 9 – Glenn Harrington</w:t>
      </w:r>
      <w:r>
        <w:rPr>
          <w:vertAlign w:val="superscript"/>
        </w:rPr>
        <w:t>A</w:t>
      </w:r>
    </w:p>
    <w:p w:rsidR="002F446A" w:rsidRPr="00640F01" w:rsidRDefault="002F446A" w:rsidP="002F446A">
      <w:pPr>
        <w:pStyle w:val="BR-normal-CopyrightPage"/>
      </w:pPr>
      <w:r w:rsidRPr="00640F01">
        <w:t>Chapter 10 – Glenn Harrington</w:t>
      </w:r>
      <w:r>
        <w:rPr>
          <w:vertAlign w:val="superscript"/>
        </w:rPr>
        <w:t>A</w:t>
      </w:r>
    </w:p>
    <w:p w:rsidR="00F250F9" w:rsidRDefault="002F446A" w:rsidP="002F446A">
      <w:pPr>
        <w:pStyle w:val="BR-normal-CopyrightPage"/>
      </w:pPr>
      <w:r>
        <w:t>The</w:t>
      </w:r>
      <w:r w:rsidRPr="00640F01">
        <w:t xml:space="preserve"> </w:t>
      </w:r>
      <w:r>
        <w:t xml:space="preserve">authors would also like to thank </w:t>
      </w:r>
      <w:r w:rsidRPr="00640F01">
        <w:t>Brian Smerdon</w:t>
      </w:r>
      <w:r>
        <w:rPr>
          <w:vertAlign w:val="superscript"/>
        </w:rPr>
        <w:t>A</w:t>
      </w:r>
      <w:r>
        <w:t xml:space="preserve"> </w:t>
      </w:r>
      <w:r w:rsidRPr="00640F01">
        <w:t xml:space="preserve">for </w:t>
      </w:r>
      <w:r>
        <w:t xml:space="preserve">useful </w:t>
      </w:r>
      <w:r w:rsidRPr="00640F01">
        <w:t xml:space="preserve">peer review comments on </w:t>
      </w:r>
      <w:r>
        <w:t>a preliminary draft of this</w:t>
      </w:r>
      <w:r w:rsidRPr="00640F01">
        <w:t xml:space="preserve"> report.</w:t>
      </w:r>
    </w:p>
    <w:p w:rsidR="002F446A" w:rsidRDefault="002F446A" w:rsidP="002F446A">
      <w:pPr>
        <w:pStyle w:val="Body"/>
      </w:pPr>
    </w:p>
    <w:p w:rsidR="002F446A" w:rsidRDefault="002F446A" w:rsidP="002F446A">
      <w:pPr>
        <w:pStyle w:val="BR-normal-CopyrightPage"/>
      </w:pPr>
      <w:r>
        <w:rPr>
          <w:vertAlign w:val="superscript"/>
        </w:rPr>
        <w:t xml:space="preserve">A </w:t>
      </w:r>
      <w:r>
        <w:t>CSIRO Water for a Healthy Country National Research Flagship</w:t>
      </w:r>
    </w:p>
    <w:p w:rsidR="002F446A" w:rsidRDefault="002F446A" w:rsidP="002F446A">
      <w:pPr>
        <w:pStyle w:val="BR-normal-CopyrightPage"/>
      </w:pPr>
      <w:r>
        <w:rPr>
          <w:vertAlign w:val="superscript"/>
        </w:rPr>
        <w:t xml:space="preserve">B </w:t>
      </w:r>
      <w:r>
        <w:t>Sinclair Knight Merz Pty Ltd</w:t>
      </w:r>
      <w:r w:rsidR="00104C1A">
        <w:t xml:space="preserve"> (now Jacobs SKM)</w:t>
      </w:r>
    </w:p>
    <w:p w:rsidR="002F446A" w:rsidRDefault="002F446A" w:rsidP="002F446A">
      <w:pPr>
        <w:pStyle w:val="BR-normal-CopyrightPage"/>
      </w:pPr>
      <w:r>
        <w:rPr>
          <w:vertAlign w:val="superscript"/>
        </w:rPr>
        <w:t xml:space="preserve">C </w:t>
      </w:r>
      <w:r>
        <w:t>National Centre for Groundwater Research and Training</w:t>
      </w:r>
    </w:p>
    <w:p w:rsidR="002F446A" w:rsidRDefault="002F446A" w:rsidP="002F446A">
      <w:pPr>
        <w:pStyle w:val="BR-normal-CopyrightPage"/>
      </w:pPr>
      <w:r>
        <w:rPr>
          <w:vertAlign w:val="superscript"/>
        </w:rPr>
        <w:t xml:space="preserve">D </w:t>
      </w:r>
      <w:r>
        <w:t>Queensland</w:t>
      </w:r>
      <w:r w:rsidRPr="00F359B4">
        <w:t xml:space="preserve"> </w:t>
      </w:r>
      <w:r>
        <w:t>University of Technology</w:t>
      </w:r>
    </w:p>
    <w:p w:rsidR="00C919F2" w:rsidRDefault="00C919F2" w:rsidP="001C3374">
      <w:pPr>
        <w:pStyle w:val="BR-normal-CopyrightPage"/>
      </w:pPr>
      <w:r>
        <w:br w:type="page"/>
      </w:r>
    </w:p>
    <w:bookmarkStart w:id="14" w:name="_Toc389055203" w:displacedByCustomXml="next"/>
    <w:sdt>
      <w:sdtPr>
        <w:rPr>
          <w:b w:val="0"/>
          <w:bCs w:val="0"/>
          <w:color w:val="000000"/>
          <w:sz w:val="22"/>
          <w:szCs w:val="22"/>
        </w:rPr>
        <w:id w:val="-891036755"/>
        <w:docPartObj>
          <w:docPartGallery w:val="Table of Contents"/>
          <w:docPartUnique/>
        </w:docPartObj>
      </w:sdtPr>
      <w:sdtEndPr>
        <w:rPr>
          <w:noProof/>
        </w:rPr>
      </w:sdtEndPr>
      <w:sdtContent>
        <w:p w:rsidR="00C919F2" w:rsidRPr="005F6513" w:rsidRDefault="00C919F2" w:rsidP="00D039BF">
          <w:pPr>
            <w:pStyle w:val="SummaryH1"/>
          </w:pPr>
          <w:r w:rsidRPr="005F6513">
            <w:t>Contents</w:t>
          </w:r>
          <w:bookmarkEnd w:id="14"/>
        </w:p>
        <w:p w:rsidR="00D039BF" w:rsidRDefault="00E23933">
          <w:pPr>
            <w:pStyle w:val="TOC2"/>
            <w:tabs>
              <w:tab w:val="right" w:leader="dot" w:pos="9054"/>
            </w:tabs>
            <w:rPr>
              <w:rFonts w:asciiTheme="minorHAnsi" w:hAnsiTheme="minorHAnsi" w:cstheme="minorBidi"/>
              <w:noProof/>
              <w:color w:val="auto"/>
              <w:sz w:val="22"/>
              <w:lang w:val="en-AU" w:eastAsia="en-AU"/>
            </w:rPr>
          </w:pPr>
          <w:r>
            <w:rPr>
              <w:noProof/>
            </w:rPr>
            <w:fldChar w:fldCharType="begin"/>
          </w:r>
          <w:r w:rsidR="002F446A">
            <w:rPr>
              <w:noProof/>
            </w:rPr>
            <w:instrText xml:space="preserve"> TOC \o "1-2" \h \z \u </w:instrText>
          </w:r>
          <w:r>
            <w:rPr>
              <w:noProof/>
            </w:rPr>
            <w:fldChar w:fldCharType="separate"/>
          </w:r>
          <w:hyperlink w:anchor="_Toc389055198" w:history="1">
            <w:r w:rsidR="00D039BF" w:rsidRPr="001E454D">
              <w:rPr>
                <w:rStyle w:val="Hyperlink"/>
                <w:noProof/>
              </w:rPr>
              <w:t>Copyright</w:t>
            </w:r>
            <w:r w:rsidR="00D039BF">
              <w:rPr>
                <w:noProof/>
                <w:webHidden/>
              </w:rPr>
              <w:tab/>
            </w:r>
            <w:r>
              <w:rPr>
                <w:noProof/>
                <w:webHidden/>
              </w:rPr>
              <w:fldChar w:fldCharType="begin"/>
            </w:r>
            <w:r w:rsidR="00D039BF">
              <w:rPr>
                <w:noProof/>
                <w:webHidden/>
              </w:rPr>
              <w:instrText xml:space="preserve"> PAGEREF _Toc389055198 \h </w:instrText>
            </w:r>
            <w:r>
              <w:rPr>
                <w:noProof/>
                <w:webHidden/>
              </w:rPr>
            </w:r>
            <w:r>
              <w:rPr>
                <w:noProof/>
                <w:webHidden/>
              </w:rPr>
              <w:fldChar w:fldCharType="separate"/>
            </w:r>
            <w:r w:rsidR="000B1D24">
              <w:rPr>
                <w:noProof/>
                <w:webHidden/>
              </w:rPr>
              <w:t>2</w:t>
            </w:r>
            <w:r>
              <w:rPr>
                <w:noProof/>
                <w:webHidden/>
              </w:rPr>
              <w:fldChar w:fldCharType="end"/>
            </w:r>
          </w:hyperlink>
        </w:p>
        <w:p w:rsidR="00D039BF" w:rsidRDefault="00E23933">
          <w:pPr>
            <w:pStyle w:val="TOC2"/>
            <w:tabs>
              <w:tab w:val="right" w:leader="dot" w:pos="9054"/>
            </w:tabs>
            <w:rPr>
              <w:rFonts w:asciiTheme="minorHAnsi" w:hAnsiTheme="minorHAnsi" w:cstheme="minorBidi"/>
              <w:noProof/>
              <w:color w:val="auto"/>
              <w:sz w:val="22"/>
              <w:lang w:val="en-AU" w:eastAsia="en-AU"/>
            </w:rPr>
          </w:pPr>
          <w:hyperlink w:anchor="_Toc389055199" w:history="1">
            <w:r w:rsidR="00D039BF" w:rsidRPr="001E454D">
              <w:rPr>
                <w:rStyle w:val="Hyperlink"/>
                <w:noProof/>
              </w:rPr>
              <w:t>Acknowledgements</w:t>
            </w:r>
            <w:r w:rsidR="00D039BF">
              <w:rPr>
                <w:noProof/>
                <w:webHidden/>
              </w:rPr>
              <w:tab/>
            </w:r>
            <w:r>
              <w:rPr>
                <w:noProof/>
                <w:webHidden/>
              </w:rPr>
              <w:fldChar w:fldCharType="begin"/>
            </w:r>
            <w:r w:rsidR="00D039BF">
              <w:rPr>
                <w:noProof/>
                <w:webHidden/>
              </w:rPr>
              <w:instrText xml:space="preserve"> PAGEREF _Toc389055199 \h </w:instrText>
            </w:r>
            <w:r>
              <w:rPr>
                <w:noProof/>
                <w:webHidden/>
              </w:rPr>
            </w:r>
            <w:r>
              <w:rPr>
                <w:noProof/>
                <w:webHidden/>
              </w:rPr>
              <w:fldChar w:fldCharType="separate"/>
            </w:r>
            <w:r w:rsidR="000B1D24">
              <w:rPr>
                <w:noProof/>
                <w:webHidden/>
              </w:rPr>
              <w:t>2</w:t>
            </w:r>
            <w:r>
              <w:rPr>
                <w:noProof/>
                <w:webHidden/>
              </w:rPr>
              <w:fldChar w:fldCharType="end"/>
            </w:r>
          </w:hyperlink>
        </w:p>
        <w:p w:rsidR="00D039BF" w:rsidRDefault="00E23933">
          <w:pPr>
            <w:pStyle w:val="TOC2"/>
            <w:tabs>
              <w:tab w:val="right" w:leader="dot" w:pos="9054"/>
            </w:tabs>
            <w:rPr>
              <w:rFonts w:asciiTheme="minorHAnsi" w:hAnsiTheme="minorHAnsi" w:cstheme="minorBidi"/>
              <w:noProof/>
              <w:color w:val="auto"/>
              <w:sz w:val="22"/>
              <w:lang w:val="en-AU" w:eastAsia="en-AU"/>
            </w:rPr>
          </w:pPr>
          <w:hyperlink w:anchor="_Toc389055200" w:history="1">
            <w:r w:rsidR="00D039BF" w:rsidRPr="001E454D">
              <w:rPr>
                <w:rStyle w:val="Hyperlink"/>
                <w:noProof/>
              </w:rPr>
              <w:t>Disclaimer</w:t>
            </w:r>
            <w:r w:rsidR="00D039BF">
              <w:rPr>
                <w:noProof/>
                <w:webHidden/>
              </w:rPr>
              <w:tab/>
            </w:r>
            <w:r>
              <w:rPr>
                <w:noProof/>
                <w:webHidden/>
              </w:rPr>
              <w:fldChar w:fldCharType="begin"/>
            </w:r>
            <w:r w:rsidR="00D039BF">
              <w:rPr>
                <w:noProof/>
                <w:webHidden/>
              </w:rPr>
              <w:instrText xml:space="preserve"> PAGEREF _Toc389055200 \h </w:instrText>
            </w:r>
            <w:r>
              <w:rPr>
                <w:noProof/>
                <w:webHidden/>
              </w:rPr>
            </w:r>
            <w:r>
              <w:rPr>
                <w:noProof/>
                <w:webHidden/>
              </w:rPr>
              <w:fldChar w:fldCharType="separate"/>
            </w:r>
            <w:r w:rsidR="000B1D24">
              <w:rPr>
                <w:noProof/>
                <w:webHidden/>
              </w:rPr>
              <w:t>2</w:t>
            </w:r>
            <w:r>
              <w:rPr>
                <w:noProof/>
                <w:webHidden/>
              </w:rPr>
              <w:fldChar w:fldCharType="end"/>
            </w:r>
          </w:hyperlink>
        </w:p>
        <w:p w:rsidR="00D039BF" w:rsidRDefault="00E23933">
          <w:pPr>
            <w:pStyle w:val="TOC2"/>
            <w:tabs>
              <w:tab w:val="right" w:leader="dot" w:pos="9054"/>
            </w:tabs>
            <w:rPr>
              <w:rFonts w:asciiTheme="minorHAnsi" w:hAnsiTheme="minorHAnsi" w:cstheme="minorBidi"/>
              <w:noProof/>
              <w:color w:val="auto"/>
              <w:sz w:val="22"/>
              <w:lang w:val="en-AU" w:eastAsia="en-AU"/>
            </w:rPr>
          </w:pPr>
          <w:hyperlink w:anchor="_Toc389055201" w:history="1">
            <w:r w:rsidR="00D039BF" w:rsidRPr="001E454D">
              <w:rPr>
                <w:rStyle w:val="Hyperlink"/>
                <w:noProof/>
              </w:rPr>
              <w:t>Addendum</w:t>
            </w:r>
            <w:r w:rsidR="00D039BF">
              <w:rPr>
                <w:noProof/>
                <w:webHidden/>
              </w:rPr>
              <w:tab/>
            </w:r>
            <w:r>
              <w:rPr>
                <w:noProof/>
                <w:webHidden/>
              </w:rPr>
              <w:fldChar w:fldCharType="begin"/>
            </w:r>
            <w:r w:rsidR="00D039BF">
              <w:rPr>
                <w:noProof/>
                <w:webHidden/>
              </w:rPr>
              <w:instrText xml:space="preserve"> PAGEREF _Toc389055201 \h </w:instrText>
            </w:r>
            <w:r>
              <w:rPr>
                <w:noProof/>
                <w:webHidden/>
              </w:rPr>
            </w:r>
            <w:r>
              <w:rPr>
                <w:noProof/>
                <w:webHidden/>
              </w:rPr>
              <w:fldChar w:fldCharType="separate"/>
            </w:r>
            <w:r w:rsidR="000B1D24">
              <w:rPr>
                <w:noProof/>
                <w:webHidden/>
              </w:rPr>
              <w:t>2</w:t>
            </w:r>
            <w:r>
              <w:rPr>
                <w:noProof/>
                <w:webHidden/>
              </w:rPr>
              <w:fldChar w:fldCharType="end"/>
            </w:r>
          </w:hyperlink>
        </w:p>
        <w:p w:rsidR="00D039BF" w:rsidRDefault="00E23933">
          <w:pPr>
            <w:pStyle w:val="TOC2"/>
            <w:tabs>
              <w:tab w:val="right" w:leader="dot" w:pos="9054"/>
            </w:tabs>
            <w:rPr>
              <w:rFonts w:asciiTheme="minorHAnsi" w:hAnsiTheme="minorHAnsi" w:cstheme="minorBidi"/>
              <w:noProof/>
              <w:color w:val="auto"/>
              <w:sz w:val="22"/>
              <w:lang w:val="en-AU" w:eastAsia="en-AU"/>
            </w:rPr>
          </w:pPr>
          <w:hyperlink w:anchor="_Toc389055202" w:history="1">
            <w:r w:rsidR="00D039BF" w:rsidRPr="001E454D">
              <w:rPr>
                <w:rStyle w:val="Hyperlink"/>
                <w:noProof/>
              </w:rPr>
              <w:t>Contributors</w:t>
            </w:r>
            <w:r w:rsidR="00D039BF">
              <w:rPr>
                <w:noProof/>
                <w:webHidden/>
              </w:rPr>
              <w:tab/>
            </w:r>
            <w:r>
              <w:rPr>
                <w:noProof/>
                <w:webHidden/>
              </w:rPr>
              <w:fldChar w:fldCharType="begin"/>
            </w:r>
            <w:r w:rsidR="00D039BF">
              <w:rPr>
                <w:noProof/>
                <w:webHidden/>
              </w:rPr>
              <w:instrText xml:space="preserve"> PAGEREF _Toc389055202 \h </w:instrText>
            </w:r>
            <w:r>
              <w:rPr>
                <w:noProof/>
                <w:webHidden/>
              </w:rPr>
            </w:r>
            <w:r>
              <w:rPr>
                <w:noProof/>
                <w:webHidden/>
              </w:rPr>
              <w:fldChar w:fldCharType="separate"/>
            </w:r>
            <w:r w:rsidR="000B1D24">
              <w:rPr>
                <w:noProof/>
                <w:webHidden/>
              </w:rPr>
              <w:t>3</w:t>
            </w:r>
            <w:r>
              <w:rPr>
                <w:noProof/>
                <w:webHidden/>
              </w:rPr>
              <w:fldChar w:fldCharType="end"/>
            </w:r>
          </w:hyperlink>
        </w:p>
        <w:p w:rsidR="00D039BF" w:rsidRDefault="00E23933">
          <w:pPr>
            <w:pStyle w:val="TOC1"/>
            <w:tabs>
              <w:tab w:val="right" w:leader="dot" w:pos="9054"/>
            </w:tabs>
            <w:rPr>
              <w:rFonts w:asciiTheme="minorHAnsi" w:hAnsiTheme="minorHAnsi" w:cstheme="minorBidi"/>
              <w:noProof/>
              <w:color w:val="auto"/>
              <w:sz w:val="22"/>
              <w:lang w:val="en-AU" w:eastAsia="en-AU"/>
            </w:rPr>
          </w:pPr>
          <w:hyperlink w:anchor="_Toc389055203" w:history="1">
            <w:r w:rsidR="00D039BF" w:rsidRPr="001E454D">
              <w:rPr>
                <w:rStyle w:val="Hyperlink"/>
                <w:noProof/>
              </w:rPr>
              <w:t>Contents</w:t>
            </w:r>
            <w:r w:rsidR="00D039BF">
              <w:rPr>
                <w:noProof/>
                <w:webHidden/>
              </w:rPr>
              <w:tab/>
            </w:r>
            <w:r>
              <w:rPr>
                <w:noProof/>
                <w:webHidden/>
              </w:rPr>
              <w:fldChar w:fldCharType="begin"/>
            </w:r>
            <w:r w:rsidR="00D039BF">
              <w:rPr>
                <w:noProof/>
                <w:webHidden/>
              </w:rPr>
              <w:instrText xml:space="preserve"> PAGEREF _Toc389055203 \h </w:instrText>
            </w:r>
            <w:r>
              <w:rPr>
                <w:noProof/>
                <w:webHidden/>
              </w:rPr>
            </w:r>
            <w:r>
              <w:rPr>
                <w:noProof/>
                <w:webHidden/>
              </w:rPr>
              <w:fldChar w:fldCharType="separate"/>
            </w:r>
            <w:r w:rsidR="000B1D24">
              <w:rPr>
                <w:noProof/>
                <w:webHidden/>
              </w:rPr>
              <w:t>4</w:t>
            </w:r>
            <w:r>
              <w:rPr>
                <w:noProof/>
                <w:webHidden/>
              </w:rPr>
              <w:fldChar w:fldCharType="end"/>
            </w:r>
          </w:hyperlink>
        </w:p>
        <w:p w:rsidR="00D039BF" w:rsidRDefault="00E23933">
          <w:pPr>
            <w:pStyle w:val="TOC1"/>
            <w:tabs>
              <w:tab w:val="right" w:leader="dot" w:pos="9054"/>
            </w:tabs>
            <w:rPr>
              <w:rFonts w:asciiTheme="minorHAnsi" w:hAnsiTheme="minorHAnsi" w:cstheme="minorBidi"/>
              <w:noProof/>
              <w:color w:val="auto"/>
              <w:sz w:val="22"/>
              <w:lang w:val="en-AU" w:eastAsia="en-AU"/>
            </w:rPr>
          </w:pPr>
          <w:hyperlink w:anchor="_Toc389055204" w:history="1">
            <w:r w:rsidR="00D039BF" w:rsidRPr="001E454D">
              <w:rPr>
                <w:rStyle w:val="Hyperlink"/>
                <w:noProof/>
              </w:rPr>
              <w:t>Summary</w:t>
            </w:r>
            <w:r w:rsidR="00D039BF">
              <w:rPr>
                <w:noProof/>
                <w:webHidden/>
              </w:rPr>
              <w:tab/>
            </w:r>
            <w:r>
              <w:rPr>
                <w:noProof/>
                <w:webHidden/>
              </w:rPr>
              <w:fldChar w:fldCharType="begin"/>
            </w:r>
            <w:r w:rsidR="00D039BF">
              <w:rPr>
                <w:noProof/>
                <w:webHidden/>
              </w:rPr>
              <w:instrText xml:space="preserve"> PAGEREF _Toc389055204 \h </w:instrText>
            </w:r>
            <w:r>
              <w:rPr>
                <w:noProof/>
                <w:webHidden/>
              </w:rPr>
            </w:r>
            <w:r>
              <w:rPr>
                <w:noProof/>
                <w:webHidden/>
              </w:rPr>
              <w:fldChar w:fldCharType="separate"/>
            </w:r>
            <w:r w:rsidR="000B1D24">
              <w:rPr>
                <w:noProof/>
                <w:webHidden/>
              </w:rPr>
              <w:t>7</w:t>
            </w:r>
            <w:r>
              <w:rPr>
                <w:noProof/>
                <w:webHidden/>
              </w:rPr>
              <w:fldChar w:fldCharType="end"/>
            </w:r>
          </w:hyperlink>
        </w:p>
        <w:p w:rsidR="00D039BF" w:rsidRDefault="00E23933">
          <w:pPr>
            <w:pStyle w:val="TOC1"/>
            <w:tabs>
              <w:tab w:val="right" w:leader="dot" w:pos="9054"/>
            </w:tabs>
            <w:rPr>
              <w:rFonts w:asciiTheme="minorHAnsi" w:hAnsiTheme="minorHAnsi" w:cstheme="minorBidi"/>
              <w:noProof/>
              <w:color w:val="auto"/>
              <w:sz w:val="22"/>
              <w:lang w:val="en-AU" w:eastAsia="en-AU"/>
            </w:rPr>
          </w:pPr>
          <w:hyperlink w:anchor="_Toc389055205" w:history="1">
            <w:r w:rsidR="00D039BF" w:rsidRPr="001E454D">
              <w:rPr>
                <w:rStyle w:val="Hyperlink"/>
                <w:noProof/>
              </w:rPr>
              <w:t>Abbreviations</w:t>
            </w:r>
            <w:bookmarkStart w:id="15" w:name="_GoBack"/>
            <w:bookmarkEnd w:id="15"/>
            <w:r w:rsidR="00D039BF">
              <w:rPr>
                <w:noProof/>
                <w:webHidden/>
              </w:rPr>
              <w:tab/>
            </w:r>
            <w:r>
              <w:rPr>
                <w:noProof/>
                <w:webHidden/>
              </w:rPr>
              <w:fldChar w:fldCharType="begin"/>
            </w:r>
            <w:r w:rsidR="00D039BF">
              <w:rPr>
                <w:noProof/>
                <w:webHidden/>
              </w:rPr>
              <w:instrText xml:space="preserve"> PAGEREF _Toc389055205 \h </w:instrText>
            </w:r>
            <w:r>
              <w:rPr>
                <w:noProof/>
                <w:webHidden/>
              </w:rPr>
            </w:r>
            <w:r>
              <w:rPr>
                <w:noProof/>
                <w:webHidden/>
              </w:rPr>
              <w:fldChar w:fldCharType="separate"/>
            </w:r>
            <w:r w:rsidR="000B1D24">
              <w:rPr>
                <w:noProof/>
                <w:webHidden/>
              </w:rPr>
              <w:t>11</w:t>
            </w:r>
            <w:r>
              <w:rPr>
                <w:noProof/>
                <w:webHidden/>
              </w:rPr>
              <w:fldChar w:fldCharType="end"/>
            </w:r>
          </w:hyperlink>
        </w:p>
        <w:p w:rsidR="00D039BF" w:rsidRDefault="00E23933">
          <w:pPr>
            <w:pStyle w:val="TOC1"/>
            <w:tabs>
              <w:tab w:val="right" w:leader="dot" w:pos="9054"/>
            </w:tabs>
            <w:rPr>
              <w:rFonts w:asciiTheme="minorHAnsi" w:hAnsiTheme="minorHAnsi" w:cstheme="minorBidi"/>
              <w:noProof/>
              <w:color w:val="auto"/>
              <w:sz w:val="22"/>
              <w:lang w:val="en-AU" w:eastAsia="en-AU"/>
            </w:rPr>
          </w:pPr>
          <w:hyperlink w:anchor="_Toc389055206" w:history="1">
            <w:r w:rsidR="00D039BF" w:rsidRPr="001E454D">
              <w:rPr>
                <w:rStyle w:val="Hyperlink"/>
                <w:noProof/>
              </w:rPr>
              <w:t>Glossary</w:t>
            </w:r>
            <w:r w:rsidR="00D039BF">
              <w:rPr>
                <w:noProof/>
                <w:webHidden/>
              </w:rPr>
              <w:tab/>
            </w:r>
            <w:r>
              <w:rPr>
                <w:noProof/>
                <w:webHidden/>
              </w:rPr>
              <w:fldChar w:fldCharType="begin"/>
            </w:r>
            <w:r w:rsidR="00D039BF">
              <w:rPr>
                <w:noProof/>
                <w:webHidden/>
              </w:rPr>
              <w:instrText xml:space="preserve"> PAGEREF _Toc389055206 \h </w:instrText>
            </w:r>
            <w:r>
              <w:rPr>
                <w:noProof/>
                <w:webHidden/>
              </w:rPr>
            </w:r>
            <w:r>
              <w:rPr>
                <w:noProof/>
                <w:webHidden/>
              </w:rPr>
              <w:fldChar w:fldCharType="separate"/>
            </w:r>
            <w:r w:rsidR="000B1D24">
              <w:rPr>
                <w:noProof/>
                <w:webHidden/>
              </w:rPr>
              <w:t>18</w:t>
            </w:r>
            <w:r>
              <w:rPr>
                <w:noProof/>
                <w:webHidden/>
              </w:rPr>
              <w:fldChar w:fldCharType="end"/>
            </w:r>
          </w:hyperlink>
        </w:p>
        <w:p w:rsidR="00D039BF" w:rsidRDefault="00E23933">
          <w:pPr>
            <w:pStyle w:val="TOC1"/>
            <w:tabs>
              <w:tab w:val="left" w:pos="480"/>
              <w:tab w:val="right" w:leader="dot" w:pos="9054"/>
            </w:tabs>
            <w:rPr>
              <w:rFonts w:asciiTheme="minorHAnsi" w:hAnsiTheme="minorHAnsi" w:cstheme="minorBidi"/>
              <w:noProof/>
              <w:color w:val="auto"/>
              <w:sz w:val="22"/>
              <w:lang w:val="en-AU" w:eastAsia="en-AU"/>
            </w:rPr>
          </w:pPr>
          <w:hyperlink w:anchor="_Toc389055207" w:history="1">
            <w:r w:rsidR="00D039BF" w:rsidRPr="001E454D">
              <w:rPr>
                <w:rStyle w:val="Hyperlink"/>
                <w:noProof/>
              </w:rPr>
              <w:t>1</w:t>
            </w:r>
            <w:r w:rsidR="00D039BF">
              <w:rPr>
                <w:rFonts w:asciiTheme="minorHAnsi" w:hAnsiTheme="minorHAnsi" w:cstheme="minorBidi"/>
                <w:noProof/>
                <w:color w:val="auto"/>
                <w:sz w:val="22"/>
                <w:lang w:val="en-AU" w:eastAsia="en-AU"/>
              </w:rPr>
              <w:tab/>
            </w:r>
            <w:r w:rsidR="00D039BF" w:rsidRPr="001E454D">
              <w:rPr>
                <w:rStyle w:val="Hyperlink"/>
                <w:noProof/>
              </w:rPr>
              <w:t>Introduction</w:t>
            </w:r>
            <w:r w:rsidR="00D039BF">
              <w:rPr>
                <w:noProof/>
                <w:webHidden/>
              </w:rPr>
              <w:tab/>
            </w:r>
            <w:r>
              <w:rPr>
                <w:noProof/>
                <w:webHidden/>
              </w:rPr>
              <w:fldChar w:fldCharType="begin"/>
            </w:r>
            <w:r w:rsidR="00D039BF">
              <w:rPr>
                <w:noProof/>
                <w:webHidden/>
              </w:rPr>
              <w:instrText xml:space="preserve"> PAGEREF _Toc389055207 \h </w:instrText>
            </w:r>
            <w:r>
              <w:rPr>
                <w:noProof/>
                <w:webHidden/>
              </w:rPr>
            </w:r>
            <w:r>
              <w:rPr>
                <w:noProof/>
                <w:webHidden/>
              </w:rPr>
              <w:fldChar w:fldCharType="separate"/>
            </w:r>
            <w:r w:rsidR="000B1D24">
              <w:rPr>
                <w:noProof/>
                <w:webHidden/>
              </w:rPr>
              <w:t>26</w:t>
            </w:r>
            <w:r>
              <w:rPr>
                <w:noProof/>
                <w:webHidden/>
              </w:rPr>
              <w:fldChar w:fldCharType="end"/>
            </w:r>
          </w:hyperlink>
        </w:p>
        <w:p w:rsidR="00D039BF" w:rsidRDefault="00E23933">
          <w:pPr>
            <w:pStyle w:val="TOC2"/>
            <w:tabs>
              <w:tab w:val="left" w:pos="960"/>
              <w:tab w:val="right" w:leader="dot" w:pos="9054"/>
            </w:tabs>
            <w:rPr>
              <w:rFonts w:asciiTheme="minorHAnsi" w:hAnsiTheme="minorHAnsi" w:cstheme="minorBidi"/>
              <w:noProof/>
              <w:color w:val="auto"/>
              <w:sz w:val="22"/>
              <w:lang w:val="en-AU" w:eastAsia="en-AU"/>
            </w:rPr>
          </w:pPr>
          <w:hyperlink w:anchor="_Toc389055208" w:history="1">
            <w:r w:rsidR="00D039BF" w:rsidRPr="001E454D">
              <w:rPr>
                <w:rStyle w:val="Hyperlink"/>
                <w:noProof/>
              </w:rPr>
              <w:t>1.1</w:t>
            </w:r>
            <w:r w:rsidR="00D039BF">
              <w:rPr>
                <w:rFonts w:asciiTheme="minorHAnsi" w:hAnsiTheme="minorHAnsi" w:cstheme="minorBidi"/>
                <w:noProof/>
                <w:color w:val="auto"/>
                <w:sz w:val="22"/>
                <w:lang w:val="en-AU" w:eastAsia="en-AU"/>
              </w:rPr>
              <w:tab/>
            </w:r>
            <w:r w:rsidR="00D039BF" w:rsidRPr="001E454D">
              <w:rPr>
                <w:rStyle w:val="Hyperlink"/>
                <w:noProof/>
              </w:rPr>
              <w:t>Background</w:t>
            </w:r>
            <w:r w:rsidR="00D039BF">
              <w:rPr>
                <w:noProof/>
                <w:webHidden/>
              </w:rPr>
              <w:tab/>
            </w:r>
            <w:r>
              <w:rPr>
                <w:noProof/>
                <w:webHidden/>
              </w:rPr>
              <w:fldChar w:fldCharType="begin"/>
            </w:r>
            <w:r w:rsidR="00D039BF">
              <w:rPr>
                <w:noProof/>
                <w:webHidden/>
              </w:rPr>
              <w:instrText xml:space="preserve"> PAGEREF _Toc389055208 \h </w:instrText>
            </w:r>
            <w:r>
              <w:rPr>
                <w:noProof/>
                <w:webHidden/>
              </w:rPr>
            </w:r>
            <w:r>
              <w:rPr>
                <w:noProof/>
                <w:webHidden/>
              </w:rPr>
              <w:fldChar w:fldCharType="separate"/>
            </w:r>
            <w:r w:rsidR="000B1D24">
              <w:rPr>
                <w:noProof/>
                <w:webHidden/>
              </w:rPr>
              <w:t>26</w:t>
            </w:r>
            <w:r>
              <w:rPr>
                <w:noProof/>
                <w:webHidden/>
              </w:rPr>
              <w:fldChar w:fldCharType="end"/>
            </w:r>
          </w:hyperlink>
        </w:p>
        <w:p w:rsidR="00D039BF" w:rsidRDefault="00E23933">
          <w:pPr>
            <w:pStyle w:val="TOC2"/>
            <w:tabs>
              <w:tab w:val="left" w:pos="960"/>
              <w:tab w:val="right" w:leader="dot" w:pos="9054"/>
            </w:tabs>
            <w:rPr>
              <w:rFonts w:asciiTheme="minorHAnsi" w:hAnsiTheme="minorHAnsi" w:cstheme="minorBidi"/>
              <w:noProof/>
              <w:color w:val="auto"/>
              <w:sz w:val="22"/>
              <w:lang w:val="en-AU" w:eastAsia="en-AU"/>
            </w:rPr>
          </w:pPr>
          <w:hyperlink w:anchor="_Toc389055209" w:history="1">
            <w:r w:rsidR="00D039BF" w:rsidRPr="001E454D">
              <w:rPr>
                <w:rStyle w:val="Hyperlink"/>
                <w:noProof/>
              </w:rPr>
              <w:t>1.2</w:t>
            </w:r>
            <w:r w:rsidR="00D039BF">
              <w:rPr>
                <w:rFonts w:asciiTheme="minorHAnsi" w:hAnsiTheme="minorHAnsi" w:cstheme="minorBidi"/>
                <w:noProof/>
                <w:color w:val="auto"/>
                <w:sz w:val="22"/>
                <w:lang w:val="en-AU" w:eastAsia="en-AU"/>
              </w:rPr>
              <w:tab/>
            </w:r>
            <w:r w:rsidR="00D039BF" w:rsidRPr="001E454D">
              <w:rPr>
                <w:rStyle w:val="Hyperlink"/>
                <w:noProof/>
              </w:rPr>
              <w:t>Definition and relevance</w:t>
            </w:r>
            <w:r w:rsidR="00D039BF">
              <w:rPr>
                <w:noProof/>
                <w:webHidden/>
              </w:rPr>
              <w:tab/>
            </w:r>
            <w:r>
              <w:rPr>
                <w:noProof/>
                <w:webHidden/>
              </w:rPr>
              <w:fldChar w:fldCharType="begin"/>
            </w:r>
            <w:r w:rsidR="00D039BF">
              <w:rPr>
                <w:noProof/>
                <w:webHidden/>
              </w:rPr>
              <w:instrText xml:space="preserve"> PAGEREF _Toc389055209 \h </w:instrText>
            </w:r>
            <w:r>
              <w:rPr>
                <w:noProof/>
                <w:webHidden/>
              </w:rPr>
            </w:r>
            <w:r>
              <w:rPr>
                <w:noProof/>
                <w:webHidden/>
              </w:rPr>
              <w:fldChar w:fldCharType="separate"/>
            </w:r>
            <w:r w:rsidR="000B1D24">
              <w:rPr>
                <w:noProof/>
                <w:webHidden/>
              </w:rPr>
              <w:t>26</w:t>
            </w:r>
            <w:r>
              <w:rPr>
                <w:noProof/>
                <w:webHidden/>
              </w:rPr>
              <w:fldChar w:fldCharType="end"/>
            </w:r>
          </w:hyperlink>
        </w:p>
        <w:p w:rsidR="00D039BF" w:rsidRDefault="00E23933">
          <w:pPr>
            <w:pStyle w:val="TOC2"/>
            <w:tabs>
              <w:tab w:val="left" w:pos="960"/>
              <w:tab w:val="right" w:leader="dot" w:pos="9054"/>
            </w:tabs>
            <w:rPr>
              <w:rFonts w:asciiTheme="minorHAnsi" w:hAnsiTheme="minorHAnsi" w:cstheme="minorBidi"/>
              <w:noProof/>
              <w:color w:val="auto"/>
              <w:sz w:val="22"/>
              <w:lang w:val="en-AU" w:eastAsia="en-AU"/>
            </w:rPr>
          </w:pPr>
          <w:hyperlink w:anchor="_Toc389055210" w:history="1">
            <w:r w:rsidR="00D039BF" w:rsidRPr="001E454D">
              <w:rPr>
                <w:rStyle w:val="Hyperlink"/>
                <w:noProof/>
              </w:rPr>
              <w:t>1.3</w:t>
            </w:r>
            <w:r w:rsidR="00D039BF">
              <w:rPr>
                <w:rFonts w:asciiTheme="minorHAnsi" w:hAnsiTheme="minorHAnsi" w:cstheme="minorBidi"/>
                <w:noProof/>
                <w:color w:val="auto"/>
                <w:sz w:val="22"/>
                <w:lang w:val="en-AU" w:eastAsia="en-AU"/>
              </w:rPr>
              <w:tab/>
            </w:r>
            <w:r w:rsidR="00D039BF" w:rsidRPr="001E454D">
              <w:rPr>
                <w:rStyle w:val="Hyperlink"/>
                <w:noProof/>
              </w:rPr>
              <w:t>Objectives and scope</w:t>
            </w:r>
            <w:r w:rsidR="00D039BF">
              <w:rPr>
                <w:noProof/>
                <w:webHidden/>
              </w:rPr>
              <w:tab/>
            </w:r>
            <w:r>
              <w:rPr>
                <w:noProof/>
                <w:webHidden/>
              </w:rPr>
              <w:fldChar w:fldCharType="begin"/>
            </w:r>
            <w:r w:rsidR="00D039BF">
              <w:rPr>
                <w:noProof/>
                <w:webHidden/>
              </w:rPr>
              <w:instrText xml:space="preserve"> PAGEREF _Toc389055210 \h </w:instrText>
            </w:r>
            <w:r>
              <w:rPr>
                <w:noProof/>
                <w:webHidden/>
              </w:rPr>
            </w:r>
            <w:r>
              <w:rPr>
                <w:noProof/>
                <w:webHidden/>
              </w:rPr>
              <w:fldChar w:fldCharType="separate"/>
            </w:r>
            <w:r w:rsidR="000B1D24">
              <w:rPr>
                <w:noProof/>
                <w:webHidden/>
              </w:rPr>
              <w:t>28</w:t>
            </w:r>
            <w:r>
              <w:rPr>
                <w:noProof/>
                <w:webHidden/>
              </w:rPr>
              <w:fldChar w:fldCharType="end"/>
            </w:r>
          </w:hyperlink>
        </w:p>
        <w:p w:rsidR="00D039BF" w:rsidRDefault="00E23933">
          <w:pPr>
            <w:pStyle w:val="TOC2"/>
            <w:tabs>
              <w:tab w:val="left" w:pos="960"/>
              <w:tab w:val="right" w:leader="dot" w:pos="9054"/>
            </w:tabs>
            <w:rPr>
              <w:rFonts w:asciiTheme="minorHAnsi" w:hAnsiTheme="minorHAnsi" w:cstheme="minorBidi"/>
              <w:noProof/>
              <w:color w:val="auto"/>
              <w:sz w:val="22"/>
              <w:lang w:val="en-AU" w:eastAsia="en-AU"/>
            </w:rPr>
          </w:pPr>
          <w:hyperlink w:anchor="_Toc389055211" w:history="1">
            <w:r w:rsidR="00D039BF" w:rsidRPr="001E454D">
              <w:rPr>
                <w:rStyle w:val="Hyperlink"/>
                <w:noProof/>
              </w:rPr>
              <w:t>1.4</w:t>
            </w:r>
            <w:r w:rsidR="00D039BF">
              <w:rPr>
                <w:rFonts w:asciiTheme="minorHAnsi" w:hAnsiTheme="minorHAnsi" w:cstheme="minorBidi"/>
                <w:noProof/>
                <w:color w:val="auto"/>
                <w:sz w:val="22"/>
                <w:lang w:val="en-AU" w:eastAsia="en-AU"/>
              </w:rPr>
              <w:tab/>
            </w:r>
            <w:r w:rsidR="00D039BF" w:rsidRPr="001E454D">
              <w:rPr>
                <w:rStyle w:val="Hyperlink"/>
                <w:noProof/>
              </w:rPr>
              <w:t>Outline</w:t>
            </w:r>
            <w:r w:rsidR="00D039BF">
              <w:rPr>
                <w:noProof/>
                <w:webHidden/>
              </w:rPr>
              <w:tab/>
            </w:r>
            <w:r>
              <w:rPr>
                <w:noProof/>
                <w:webHidden/>
              </w:rPr>
              <w:fldChar w:fldCharType="begin"/>
            </w:r>
            <w:r w:rsidR="00D039BF">
              <w:rPr>
                <w:noProof/>
                <w:webHidden/>
              </w:rPr>
              <w:instrText xml:space="preserve"> PAGEREF _Toc389055211 \h </w:instrText>
            </w:r>
            <w:r>
              <w:rPr>
                <w:noProof/>
                <w:webHidden/>
              </w:rPr>
            </w:r>
            <w:r>
              <w:rPr>
                <w:noProof/>
                <w:webHidden/>
              </w:rPr>
              <w:fldChar w:fldCharType="separate"/>
            </w:r>
            <w:r w:rsidR="000B1D24">
              <w:rPr>
                <w:noProof/>
                <w:webHidden/>
              </w:rPr>
              <w:t>28</w:t>
            </w:r>
            <w:r>
              <w:rPr>
                <w:noProof/>
                <w:webHidden/>
              </w:rPr>
              <w:fldChar w:fldCharType="end"/>
            </w:r>
          </w:hyperlink>
        </w:p>
        <w:p w:rsidR="00D039BF" w:rsidRDefault="00E23933">
          <w:pPr>
            <w:pStyle w:val="TOC1"/>
            <w:tabs>
              <w:tab w:val="left" w:pos="480"/>
              <w:tab w:val="right" w:leader="dot" w:pos="9054"/>
            </w:tabs>
            <w:rPr>
              <w:rFonts w:asciiTheme="minorHAnsi" w:hAnsiTheme="minorHAnsi" w:cstheme="minorBidi"/>
              <w:noProof/>
              <w:color w:val="auto"/>
              <w:sz w:val="22"/>
              <w:lang w:val="en-AU" w:eastAsia="en-AU"/>
            </w:rPr>
          </w:pPr>
          <w:hyperlink w:anchor="_Toc389055212" w:history="1">
            <w:r w:rsidR="00D039BF" w:rsidRPr="001E454D">
              <w:rPr>
                <w:rStyle w:val="Hyperlink"/>
                <w:noProof/>
              </w:rPr>
              <w:t>2</w:t>
            </w:r>
            <w:r w:rsidR="00D039BF">
              <w:rPr>
                <w:rFonts w:asciiTheme="minorHAnsi" w:hAnsiTheme="minorHAnsi" w:cstheme="minorBidi"/>
                <w:noProof/>
                <w:color w:val="auto"/>
                <w:sz w:val="22"/>
                <w:lang w:val="en-AU" w:eastAsia="en-AU"/>
              </w:rPr>
              <w:tab/>
            </w:r>
            <w:r w:rsidR="00D039BF" w:rsidRPr="001E454D">
              <w:rPr>
                <w:rStyle w:val="Hyperlink"/>
                <w:noProof/>
              </w:rPr>
              <w:t>Aquifer connectivity</w:t>
            </w:r>
            <w:r w:rsidR="00D039BF">
              <w:rPr>
                <w:noProof/>
                <w:webHidden/>
              </w:rPr>
              <w:tab/>
            </w:r>
            <w:r>
              <w:rPr>
                <w:noProof/>
                <w:webHidden/>
              </w:rPr>
              <w:fldChar w:fldCharType="begin"/>
            </w:r>
            <w:r w:rsidR="00D039BF">
              <w:rPr>
                <w:noProof/>
                <w:webHidden/>
              </w:rPr>
              <w:instrText xml:space="preserve"> PAGEREF _Toc389055212 \h </w:instrText>
            </w:r>
            <w:r>
              <w:rPr>
                <w:noProof/>
                <w:webHidden/>
              </w:rPr>
            </w:r>
            <w:r>
              <w:rPr>
                <w:noProof/>
                <w:webHidden/>
              </w:rPr>
              <w:fldChar w:fldCharType="separate"/>
            </w:r>
            <w:r w:rsidR="000B1D24">
              <w:rPr>
                <w:noProof/>
                <w:webHidden/>
              </w:rPr>
              <w:t>30</w:t>
            </w:r>
            <w:r>
              <w:rPr>
                <w:noProof/>
                <w:webHidden/>
              </w:rPr>
              <w:fldChar w:fldCharType="end"/>
            </w:r>
          </w:hyperlink>
        </w:p>
        <w:p w:rsidR="00D039BF" w:rsidRDefault="00E23933">
          <w:pPr>
            <w:pStyle w:val="TOC2"/>
            <w:tabs>
              <w:tab w:val="left" w:pos="960"/>
              <w:tab w:val="right" w:leader="dot" w:pos="9054"/>
            </w:tabs>
            <w:rPr>
              <w:rFonts w:asciiTheme="minorHAnsi" w:hAnsiTheme="minorHAnsi" w:cstheme="minorBidi"/>
              <w:noProof/>
              <w:color w:val="auto"/>
              <w:sz w:val="22"/>
              <w:lang w:val="en-AU" w:eastAsia="en-AU"/>
            </w:rPr>
          </w:pPr>
          <w:hyperlink w:anchor="_Toc389055213" w:history="1">
            <w:r w:rsidR="00D039BF" w:rsidRPr="001E454D">
              <w:rPr>
                <w:rStyle w:val="Hyperlink"/>
                <w:noProof/>
              </w:rPr>
              <w:t>2.1</w:t>
            </w:r>
            <w:r w:rsidR="00D039BF">
              <w:rPr>
                <w:rFonts w:asciiTheme="minorHAnsi" w:hAnsiTheme="minorHAnsi" w:cstheme="minorBidi"/>
                <w:noProof/>
                <w:color w:val="auto"/>
                <w:sz w:val="22"/>
                <w:lang w:val="en-AU" w:eastAsia="en-AU"/>
              </w:rPr>
              <w:tab/>
            </w:r>
            <w:r w:rsidR="00D039BF" w:rsidRPr="001E454D">
              <w:rPr>
                <w:rStyle w:val="Hyperlink"/>
                <w:noProof/>
              </w:rPr>
              <w:t>Introduction</w:t>
            </w:r>
            <w:r w:rsidR="00D039BF">
              <w:rPr>
                <w:noProof/>
                <w:webHidden/>
              </w:rPr>
              <w:tab/>
            </w:r>
            <w:r>
              <w:rPr>
                <w:noProof/>
                <w:webHidden/>
              </w:rPr>
              <w:fldChar w:fldCharType="begin"/>
            </w:r>
            <w:r w:rsidR="00D039BF">
              <w:rPr>
                <w:noProof/>
                <w:webHidden/>
              </w:rPr>
              <w:instrText xml:space="preserve"> PAGEREF _Toc389055213 \h </w:instrText>
            </w:r>
            <w:r>
              <w:rPr>
                <w:noProof/>
                <w:webHidden/>
              </w:rPr>
            </w:r>
            <w:r>
              <w:rPr>
                <w:noProof/>
                <w:webHidden/>
              </w:rPr>
              <w:fldChar w:fldCharType="separate"/>
            </w:r>
            <w:r w:rsidR="000B1D24">
              <w:rPr>
                <w:noProof/>
                <w:webHidden/>
              </w:rPr>
              <w:t>30</w:t>
            </w:r>
            <w:r>
              <w:rPr>
                <w:noProof/>
                <w:webHidden/>
              </w:rPr>
              <w:fldChar w:fldCharType="end"/>
            </w:r>
          </w:hyperlink>
        </w:p>
        <w:p w:rsidR="00D039BF" w:rsidRDefault="00E23933">
          <w:pPr>
            <w:pStyle w:val="TOC2"/>
            <w:tabs>
              <w:tab w:val="left" w:pos="960"/>
              <w:tab w:val="right" w:leader="dot" w:pos="9054"/>
            </w:tabs>
            <w:rPr>
              <w:rFonts w:asciiTheme="minorHAnsi" w:hAnsiTheme="minorHAnsi" w:cstheme="minorBidi"/>
              <w:noProof/>
              <w:color w:val="auto"/>
              <w:sz w:val="22"/>
              <w:lang w:val="en-AU" w:eastAsia="en-AU"/>
            </w:rPr>
          </w:pPr>
          <w:hyperlink w:anchor="_Toc389055214" w:history="1">
            <w:r w:rsidR="00D039BF" w:rsidRPr="001E454D">
              <w:rPr>
                <w:rStyle w:val="Hyperlink"/>
                <w:noProof/>
              </w:rPr>
              <w:t>2.2</w:t>
            </w:r>
            <w:r w:rsidR="00D039BF">
              <w:rPr>
                <w:rFonts w:asciiTheme="minorHAnsi" w:hAnsiTheme="minorHAnsi" w:cstheme="minorBidi"/>
                <w:noProof/>
                <w:color w:val="auto"/>
                <w:sz w:val="22"/>
                <w:lang w:val="en-AU" w:eastAsia="en-AU"/>
              </w:rPr>
              <w:tab/>
            </w:r>
            <w:r w:rsidR="00D039BF" w:rsidRPr="001E454D">
              <w:rPr>
                <w:rStyle w:val="Hyperlink"/>
                <w:noProof/>
              </w:rPr>
              <w:t>Types of aquifer connectivity</w:t>
            </w:r>
            <w:r w:rsidR="00D039BF">
              <w:rPr>
                <w:noProof/>
                <w:webHidden/>
              </w:rPr>
              <w:tab/>
            </w:r>
            <w:r>
              <w:rPr>
                <w:noProof/>
                <w:webHidden/>
              </w:rPr>
              <w:fldChar w:fldCharType="begin"/>
            </w:r>
            <w:r w:rsidR="00D039BF">
              <w:rPr>
                <w:noProof/>
                <w:webHidden/>
              </w:rPr>
              <w:instrText xml:space="preserve"> PAGEREF _Toc389055214 \h </w:instrText>
            </w:r>
            <w:r>
              <w:rPr>
                <w:noProof/>
                <w:webHidden/>
              </w:rPr>
            </w:r>
            <w:r>
              <w:rPr>
                <w:noProof/>
                <w:webHidden/>
              </w:rPr>
              <w:fldChar w:fldCharType="separate"/>
            </w:r>
            <w:r w:rsidR="000B1D24">
              <w:rPr>
                <w:noProof/>
                <w:webHidden/>
              </w:rPr>
              <w:t>30</w:t>
            </w:r>
            <w:r>
              <w:rPr>
                <w:noProof/>
                <w:webHidden/>
              </w:rPr>
              <w:fldChar w:fldCharType="end"/>
            </w:r>
          </w:hyperlink>
        </w:p>
        <w:p w:rsidR="00D039BF" w:rsidRDefault="00E23933">
          <w:pPr>
            <w:pStyle w:val="TOC2"/>
            <w:tabs>
              <w:tab w:val="left" w:pos="960"/>
              <w:tab w:val="right" w:leader="dot" w:pos="9054"/>
            </w:tabs>
            <w:rPr>
              <w:rFonts w:asciiTheme="minorHAnsi" w:hAnsiTheme="minorHAnsi" w:cstheme="minorBidi"/>
              <w:noProof/>
              <w:color w:val="auto"/>
              <w:sz w:val="22"/>
              <w:lang w:val="en-AU" w:eastAsia="en-AU"/>
            </w:rPr>
          </w:pPr>
          <w:hyperlink w:anchor="_Toc389055215" w:history="1">
            <w:r w:rsidR="00D039BF" w:rsidRPr="001E454D">
              <w:rPr>
                <w:rStyle w:val="Hyperlink"/>
                <w:noProof/>
              </w:rPr>
              <w:t>2.3</w:t>
            </w:r>
            <w:r w:rsidR="00D039BF">
              <w:rPr>
                <w:rFonts w:asciiTheme="minorHAnsi" w:hAnsiTheme="minorHAnsi" w:cstheme="minorBidi"/>
                <w:noProof/>
                <w:color w:val="auto"/>
                <w:sz w:val="22"/>
                <w:lang w:val="en-AU" w:eastAsia="en-AU"/>
              </w:rPr>
              <w:tab/>
            </w:r>
            <w:r w:rsidR="00D039BF" w:rsidRPr="001E454D">
              <w:rPr>
                <w:rStyle w:val="Hyperlink"/>
                <w:noProof/>
              </w:rPr>
              <w:t>Groundwater flow</w:t>
            </w:r>
            <w:r w:rsidR="00D039BF">
              <w:rPr>
                <w:noProof/>
                <w:webHidden/>
              </w:rPr>
              <w:tab/>
            </w:r>
            <w:r>
              <w:rPr>
                <w:noProof/>
                <w:webHidden/>
              </w:rPr>
              <w:fldChar w:fldCharType="begin"/>
            </w:r>
            <w:r w:rsidR="00D039BF">
              <w:rPr>
                <w:noProof/>
                <w:webHidden/>
              </w:rPr>
              <w:instrText xml:space="preserve"> PAGEREF _Toc389055215 \h </w:instrText>
            </w:r>
            <w:r>
              <w:rPr>
                <w:noProof/>
                <w:webHidden/>
              </w:rPr>
            </w:r>
            <w:r>
              <w:rPr>
                <w:noProof/>
                <w:webHidden/>
              </w:rPr>
              <w:fldChar w:fldCharType="separate"/>
            </w:r>
            <w:r w:rsidR="000B1D24">
              <w:rPr>
                <w:noProof/>
                <w:webHidden/>
              </w:rPr>
              <w:t>36</w:t>
            </w:r>
            <w:r>
              <w:rPr>
                <w:noProof/>
                <w:webHidden/>
              </w:rPr>
              <w:fldChar w:fldCharType="end"/>
            </w:r>
          </w:hyperlink>
        </w:p>
        <w:p w:rsidR="00D039BF" w:rsidRDefault="00E23933">
          <w:pPr>
            <w:pStyle w:val="TOC2"/>
            <w:tabs>
              <w:tab w:val="left" w:pos="960"/>
              <w:tab w:val="right" w:leader="dot" w:pos="9054"/>
            </w:tabs>
            <w:rPr>
              <w:rFonts w:asciiTheme="minorHAnsi" w:hAnsiTheme="minorHAnsi" w:cstheme="minorBidi"/>
              <w:noProof/>
              <w:color w:val="auto"/>
              <w:sz w:val="22"/>
              <w:lang w:val="en-AU" w:eastAsia="en-AU"/>
            </w:rPr>
          </w:pPr>
          <w:hyperlink w:anchor="_Toc389055216" w:history="1">
            <w:r w:rsidR="00D039BF" w:rsidRPr="001E454D">
              <w:rPr>
                <w:rStyle w:val="Hyperlink"/>
                <w:noProof/>
              </w:rPr>
              <w:t>2.4</w:t>
            </w:r>
            <w:r w:rsidR="00D039BF">
              <w:rPr>
                <w:rFonts w:asciiTheme="minorHAnsi" w:hAnsiTheme="minorHAnsi" w:cstheme="minorBidi"/>
                <w:noProof/>
                <w:color w:val="auto"/>
                <w:sz w:val="22"/>
                <w:lang w:val="en-AU" w:eastAsia="en-AU"/>
              </w:rPr>
              <w:tab/>
            </w:r>
            <w:r w:rsidR="00D039BF" w:rsidRPr="001E454D">
              <w:rPr>
                <w:rStyle w:val="Hyperlink"/>
                <w:noProof/>
              </w:rPr>
              <w:t>Transport of solutes</w:t>
            </w:r>
            <w:r w:rsidR="00D039BF">
              <w:rPr>
                <w:noProof/>
                <w:webHidden/>
              </w:rPr>
              <w:tab/>
            </w:r>
            <w:r>
              <w:rPr>
                <w:noProof/>
                <w:webHidden/>
              </w:rPr>
              <w:fldChar w:fldCharType="begin"/>
            </w:r>
            <w:r w:rsidR="00D039BF">
              <w:rPr>
                <w:noProof/>
                <w:webHidden/>
              </w:rPr>
              <w:instrText xml:space="preserve"> PAGEREF _Toc389055216 \h </w:instrText>
            </w:r>
            <w:r>
              <w:rPr>
                <w:noProof/>
                <w:webHidden/>
              </w:rPr>
            </w:r>
            <w:r>
              <w:rPr>
                <w:noProof/>
                <w:webHidden/>
              </w:rPr>
              <w:fldChar w:fldCharType="separate"/>
            </w:r>
            <w:r w:rsidR="000B1D24">
              <w:rPr>
                <w:noProof/>
                <w:webHidden/>
              </w:rPr>
              <w:t>39</w:t>
            </w:r>
            <w:r>
              <w:rPr>
                <w:noProof/>
                <w:webHidden/>
              </w:rPr>
              <w:fldChar w:fldCharType="end"/>
            </w:r>
          </w:hyperlink>
        </w:p>
        <w:p w:rsidR="00D039BF" w:rsidRDefault="00E23933">
          <w:pPr>
            <w:pStyle w:val="TOC2"/>
            <w:tabs>
              <w:tab w:val="left" w:pos="960"/>
              <w:tab w:val="right" w:leader="dot" w:pos="9054"/>
            </w:tabs>
            <w:rPr>
              <w:rFonts w:asciiTheme="minorHAnsi" w:hAnsiTheme="minorHAnsi" w:cstheme="minorBidi"/>
              <w:noProof/>
              <w:color w:val="auto"/>
              <w:sz w:val="22"/>
              <w:lang w:val="en-AU" w:eastAsia="en-AU"/>
            </w:rPr>
          </w:pPr>
          <w:hyperlink w:anchor="_Toc389055217" w:history="1">
            <w:r w:rsidR="00D039BF" w:rsidRPr="001E454D">
              <w:rPr>
                <w:rStyle w:val="Hyperlink"/>
                <w:noProof/>
              </w:rPr>
              <w:t>2.5</w:t>
            </w:r>
            <w:r w:rsidR="00D039BF">
              <w:rPr>
                <w:rFonts w:asciiTheme="minorHAnsi" w:hAnsiTheme="minorHAnsi" w:cstheme="minorBidi"/>
                <w:noProof/>
                <w:color w:val="auto"/>
                <w:sz w:val="22"/>
                <w:lang w:val="en-AU" w:eastAsia="en-AU"/>
              </w:rPr>
              <w:tab/>
            </w:r>
            <w:r w:rsidR="00D039BF" w:rsidRPr="001E454D">
              <w:rPr>
                <w:rStyle w:val="Hyperlink"/>
                <w:noProof/>
              </w:rPr>
              <w:t>Conclusions</w:t>
            </w:r>
            <w:r w:rsidR="00D039BF">
              <w:rPr>
                <w:noProof/>
                <w:webHidden/>
              </w:rPr>
              <w:tab/>
            </w:r>
            <w:r>
              <w:rPr>
                <w:noProof/>
                <w:webHidden/>
              </w:rPr>
              <w:fldChar w:fldCharType="begin"/>
            </w:r>
            <w:r w:rsidR="00D039BF">
              <w:rPr>
                <w:noProof/>
                <w:webHidden/>
              </w:rPr>
              <w:instrText xml:space="preserve"> PAGEREF _Toc389055217 \h </w:instrText>
            </w:r>
            <w:r>
              <w:rPr>
                <w:noProof/>
                <w:webHidden/>
              </w:rPr>
            </w:r>
            <w:r>
              <w:rPr>
                <w:noProof/>
                <w:webHidden/>
              </w:rPr>
              <w:fldChar w:fldCharType="separate"/>
            </w:r>
            <w:r w:rsidR="000B1D24">
              <w:rPr>
                <w:noProof/>
                <w:webHidden/>
              </w:rPr>
              <w:t>42</w:t>
            </w:r>
            <w:r>
              <w:rPr>
                <w:noProof/>
                <w:webHidden/>
              </w:rPr>
              <w:fldChar w:fldCharType="end"/>
            </w:r>
          </w:hyperlink>
        </w:p>
        <w:p w:rsidR="00D039BF" w:rsidRDefault="00E23933">
          <w:pPr>
            <w:pStyle w:val="TOC1"/>
            <w:tabs>
              <w:tab w:val="left" w:pos="480"/>
              <w:tab w:val="right" w:leader="dot" w:pos="9054"/>
            </w:tabs>
            <w:rPr>
              <w:rFonts w:asciiTheme="minorHAnsi" w:hAnsiTheme="minorHAnsi" w:cstheme="minorBidi"/>
              <w:noProof/>
              <w:color w:val="auto"/>
              <w:sz w:val="22"/>
              <w:lang w:val="en-AU" w:eastAsia="en-AU"/>
            </w:rPr>
          </w:pPr>
          <w:hyperlink w:anchor="_Toc389055218" w:history="1">
            <w:r w:rsidR="00D039BF" w:rsidRPr="001E454D">
              <w:rPr>
                <w:rStyle w:val="Hyperlink"/>
                <w:noProof/>
              </w:rPr>
              <w:t>3</w:t>
            </w:r>
            <w:r w:rsidR="00D039BF">
              <w:rPr>
                <w:rFonts w:asciiTheme="minorHAnsi" w:hAnsiTheme="minorHAnsi" w:cstheme="minorBidi"/>
                <w:noProof/>
                <w:color w:val="auto"/>
                <w:sz w:val="22"/>
                <w:lang w:val="en-AU" w:eastAsia="en-AU"/>
              </w:rPr>
              <w:tab/>
            </w:r>
            <w:r w:rsidR="00D039BF" w:rsidRPr="001E454D">
              <w:rPr>
                <w:rStyle w:val="Hyperlink"/>
                <w:noProof/>
              </w:rPr>
              <w:t>Measurement and modelling of aquifer connectivity</w:t>
            </w:r>
            <w:r w:rsidR="00D039BF">
              <w:rPr>
                <w:noProof/>
                <w:webHidden/>
              </w:rPr>
              <w:tab/>
            </w:r>
            <w:r>
              <w:rPr>
                <w:noProof/>
                <w:webHidden/>
              </w:rPr>
              <w:fldChar w:fldCharType="begin"/>
            </w:r>
            <w:r w:rsidR="00D039BF">
              <w:rPr>
                <w:noProof/>
                <w:webHidden/>
              </w:rPr>
              <w:instrText xml:space="preserve"> PAGEREF _Toc389055218 \h </w:instrText>
            </w:r>
            <w:r>
              <w:rPr>
                <w:noProof/>
                <w:webHidden/>
              </w:rPr>
            </w:r>
            <w:r>
              <w:rPr>
                <w:noProof/>
                <w:webHidden/>
              </w:rPr>
              <w:fldChar w:fldCharType="separate"/>
            </w:r>
            <w:r w:rsidR="000B1D24">
              <w:rPr>
                <w:noProof/>
                <w:webHidden/>
              </w:rPr>
              <w:t>43</w:t>
            </w:r>
            <w:r>
              <w:rPr>
                <w:noProof/>
                <w:webHidden/>
              </w:rPr>
              <w:fldChar w:fldCharType="end"/>
            </w:r>
          </w:hyperlink>
        </w:p>
        <w:p w:rsidR="00D039BF" w:rsidRDefault="00E23933">
          <w:pPr>
            <w:pStyle w:val="TOC2"/>
            <w:tabs>
              <w:tab w:val="left" w:pos="960"/>
              <w:tab w:val="right" w:leader="dot" w:pos="9054"/>
            </w:tabs>
            <w:rPr>
              <w:rFonts w:asciiTheme="minorHAnsi" w:hAnsiTheme="minorHAnsi" w:cstheme="minorBidi"/>
              <w:noProof/>
              <w:color w:val="auto"/>
              <w:sz w:val="22"/>
              <w:lang w:val="en-AU" w:eastAsia="en-AU"/>
            </w:rPr>
          </w:pPr>
          <w:hyperlink w:anchor="_Toc389055219" w:history="1">
            <w:r w:rsidR="00D039BF" w:rsidRPr="001E454D">
              <w:rPr>
                <w:rStyle w:val="Hyperlink"/>
                <w:noProof/>
              </w:rPr>
              <w:t>3.1</w:t>
            </w:r>
            <w:r w:rsidR="00D039BF">
              <w:rPr>
                <w:rFonts w:asciiTheme="minorHAnsi" w:hAnsiTheme="minorHAnsi" w:cstheme="minorBidi"/>
                <w:noProof/>
                <w:color w:val="auto"/>
                <w:sz w:val="22"/>
                <w:lang w:val="en-AU" w:eastAsia="en-AU"/>
              </w:rPr>
              <w:tab/>
            </w:r>
            <w:r w:rsidR="00D039BF" w:rsidRPr="001E454D">
              <w:rPr>
                <w:rStyle w:val="Hyperlink"/>
                <w:noProof/>
              </w:rPr>
              <w:t>Introduction</w:t>
            </w:r>
            <w:r w:rsidR="00D039BF">
              <w:rPr>
                <w:noProof/>
                <w:webHidden/>
              </w:rPr>
              <w:tab/>
            </w:r>
            <w:r>
              <w:rPr>
                <w:noProof/>
                <w:webHidden/>
              </w:rPr>
              <w:fldChar w:fldCharType="begin"/>
            </w:r>
            <w:r w:rsidR="00D039BF">
              <w:rPr>
                <w:noProof/>
                <w:webHidden/>
              </w:rPr>
              <w:instrText xml:space="preserve"> PAGEREF _Toc389055219 \h </w:instrText>
            </w:r>
            <w:r>
              <w:rPr>
                <w:noProof/>
                <w:webHidden/>
              </w:rPr>
            </w:r>
            <w:r>
              <w:rPr>
                <w:noProof/>
                <w:webHidden/>
              </w:rPr>
              <w:fldChar w:fldCharType="separate"/>
            </w:r>
            <w:r w:rsidR="000B1D24">
              <w:rPr>
                <w:noProof/>
                <w:webHidden/>
              </w:rPr>
              <w:t>43</w:t>
            </w:r>
            <w:r>
              <w:rPr>
                <w:noProof/>
                <w:webHidden/>
              </w:rPr>
              <w:fldChar w:fldCharType="end"/>
            </w:r>
          </w:hyperlink>
        </w:p>
        <w:p w:rsidR="00D039BF" w:rsidRDefault="00E23933">
          <w:pPr>
            <w:pStyle w:val="TOC2"/>
            <w:tabs>
              <w:tab w:val="left" w:pos="960"/>
              <w:tab w:val="right" w:leader="dot" w:pos="9054"/>
            </w:tabs>
            <w:rPr>
              <w:rFonts w:asciiTheme="minorHAnsi" w:hAnsiTheme="minorHAnsi" w:cstheme="minorBidi"/>
              <w:noProof/>
              <w:color w:val="auto"/>
              <w:sz w:val="22"/>
              <w:lang w:val="en-AU" w:eastAsia="en-AU"/>
            </w:rPr>
          </w:pPr>
          <w:hyperlink w:anchor="_Toc389055220" w:history="1">
            <w:r w:rsidR="00D039BF" w:rsidRPr="001E454D">
              <w:rPr>
                <w:rStyle w:val="Hyperlink"/>
                <w:noProof/>
              </w:rPr>
              <w:t>3.2</w:t>
            </w:r>
            <w:r w:rsidR="00D039BF">
              <w:rPr>
                <w:rFonts w:asciiTheme="minorHAnsi" w:hAnsiTheme="minorHAnsi" w:cstheme="minorBidi"/>
                <w:noProof/>
                <w:color w:val="auto"/>
                <w:sz w:val="22"/>
                <w:lang w:val="en-AU" w:eastAsia="en-AU"/>
              </w:rPr>
              <w:tab/>
            </w:r>
            <w:r w:rsidR="00D039BF" w:rsidRPr="001E454D">
              <w:rPr>
                <w:rStyle w:val="Hyperlink"/>
                <w:noProof/>
              </w:rPr>
              <w:t>Measurement</w:t>
            </w:r>
            <w:r w:rsidR="00D039BF">
              <w:rPr>
                <w:noProof/>
                <w:webHidden/>
              </w:rPr>
              <w:tab/>
            </w:r>
            <w:r>
              <w:rPr>
                <w:noProof/>
                <w:webHidden/>
              </w:rPr>
              <w:fldChar w:fldCharType="begin"/>
            </w:r>
            <w:r w:rsidR="00D039BF">
              <w:rPr>
                <w:noProof/>
                <w:webHidden/>
              </w:rPr>
              <w:instrText xml:space="preserve"> PAGEREF _Toc389055220 \h </w:instrText>
            </w:r>
            <w:r>
              <w:rPr>
                <w:noProof/>
                <w:webHidden/>
              </w:rPr>
            </w:r>
            <w:r>
              <w:rPr>
                <w:noProof/>
                <w:webHidden/>
              </w:rPr>
              <w:fldChar w:fldCharType="separate"/>
            </w:r>
            <w:r w:rsidR="000B1D24">
              <w:rPr>
                <w:noProof/>
                <w:webHidden/>
              </w:rPr>
              <w:t>43</w:t>
            </w:r>
            <w:r>
              <w:rPr>
                <w:noProof/>
                <w:webHidden/>
              </w:rPr>
              <w:fldChar w:fldCharType="end"/>
            </w:r>
          </w:hyperlink>
        </w:p>
        <w:p w:rsidR="00D039BF" w:rsidRDefault="00E23933">
          <w:pPr>
            <w:pStyle w:val="TOC2"/>
            <w:tabs>
              <w:tab w:val="left" w:pos="960"/>
              <w:tab w:val="right" w:leader="dot" w:pos="9054"/>
            </w:tabs>
            <w:rPr>
              <w:rFonts w:asciiTheme="minorHAnsi" w:hAnsiTheme="minorHAnsi" w:cstheme="minorBidi"/>
              <w:noProof/>
              <w:color w:val="auto"/>
              <w:sz w:val="22"/>
              <w:lang w:val="en-AU" w:eastAsia="en-AU"/>
            </w:rPr>
          </w:pPr>
          <w:hyperlink w:anchor="_Toc389055221" w:history="1">
            <w:r w:rsidR="00D039BF" w:rsidRPr="001E454D">
              <w:rPr>
                <w:rStyle w:val="Hyperlink"/>
                <w:noProof/>
              </w:rPr>
              <w:t>3.3</w:t>
            </w:r>
            <w:r w:rsidR="00D039BF">
              <w:rPr>
                <w:rFonts w:asciiTheme="minorHAnsi" w:hAnsiTheme="minorHAnsi" w:cstheme="minorBidi"/>
                <w:noProof/>
                <w:color w:val="auto"/>
                <w:sz w:val="22"/>
                <w:lang w:val="en-AU" w:eastAsia="en-AU"/>
              </w:rPr>
              <w:tab/>
            </w:r>
            <w:r w:rsidR="00D039BF" w:rsidRPr="001E454D">
              <w:rPr>
                <w:rStyle w:val="Hyperlink"/>
                <w:noProof/>
              </w:rPr>
              <w:t>Modelling</w:t>
            </w:r>
            <w:r w:rsidR="00D039BF">
              <w:rPr>
                <w:noProof/>
                <w:webHidden/>
              </w:rPr>
              <w:tab/>
            </w:r>
            <w:r>
              <w:rPr>
                <w:noProof/>
                <w:webHidden/>
              </w:rPr>
              <w:fldChar w:fldCharType="begin"/>
            </w:r>
            <w:r w:rsidR="00D039BF">
              <w:rPr>
                <w:noProof/>
                <w:webHidden/>
              </w:rPr>
              <w:instrText xml:space="preserve"> PAGEREF _Toc389055221 \h </w:instrText>
            </w:r>
            <w:r>
              <w:rPr>
                <w:noProof/>
                <w:webHidden/>
              </w:rPr>
            </w:r>
            <w:r>
              <w:rPr>
                <w:noProof/>
                <w:webHidden/>
              </w:rPr>
              <w:fldChar w:fldCharType="separate"/>
            </w:r>
            <w:r w:rsidR="000B1D24">
              <w:rPr>
                <w:noProof/>
                <w:webHidden/>
              </w:rPr>
              <w:t>59</w:t>
            </w:r>
            <w:r>
              <w:rPr>
                <w:noProof/>
                <w:webHidden/>
              </w:rPr>
              <w:fldChar w:fldCharType="end"/>
            </w:r>
          </w:hyperlink>
        </w:p>
        <w:p w:rsidR="00D039BF" w:rsidRDefault="00E23933">
          <w:pPr>
            <w:pStyle w:val="TOC2"/>
            <w:tabs>
              <w:tab w:val="left" w:pos="960"/>
              <w:tab w:val="right" w:leader="dot" w:pos="9054"/>
            </w:tabs>
            <w:rPr>
              <w:rFonts w:asciiTheme="minorHAnsi" w:hAnsiTheme="minorHAnsi" w:cstheme="minorBidi"/>
              <w:noProof/>
              <w:color w:val="auto"/>
              <w:sz w:val="22"/>
              <w:lang w:val="en-AU" w:eastAsia="en-AU"/>
            </w:rPr>
          </w:pPr>
          <w:hyperlink w:anchor="_Toc389055222" w:history="1">
            <w:r w:rsidR="00D039BF" w:rsidRPr="001E454D">
              <w:rPr>
                <w:rStyle w:val="Hyperlink"/>
                <w:noProof/>
              </w:rPr>
              <w:t>3.4</w:t>
            </w:r>
            <w:r w:rsidR="00D039BF">
              <w:rPr>
                <w:rFonts w:asciiTheme="minorHAnsi" w:hAnsiTheme="minorHAnsi" w:cstheme="minorBidi"/>
                <w:noProof/>
                <w:color w:val="auto"/>
                <w:sz w:val="22"/>
                <w:lang w:val="en-AU" w:eastAsia="en-AU"/>
              </w:rPr>
              <w:tab/>
            </w:r>
            <w:r w:rsidR="00D039BF" w:rsidRPr="001E454D">
              <w:rPr>
                <w:rStyle w:val="Hyperlink"/>
                <w:noProof/>
              </w:rPr>
              <w:t>Conclusions</w:t>
            </w:r>
            <w:r w:rsidR="00D039BF">
              <w:rPr>
                <w:noProof/>
                <w:webHidden/>
              </w:rPr>
              <w:tab/>
            </w:r>
            <w:r>
              <w:rPr>
                <w:noProof/>
                <w:webHidden/>
              </w:rPr>
              <w:fldChar w:fldCharType="begin"/>
            </w:r>
            <w:r w:rsidR="00D039BF">
              <w:rPr>
                <w:noProof/>
                <w:webHidden/>
              </w:rPr>
              <w:instrText xml:space="preserve"> PAGEREF _Toc389055222 \h </w:instrText>
            </w:r>
            <w:r>
              <w:rPr>
                <w:noProof/>
                <w:webHidden/>
              </w:rPr>
            </w:r>
            <w:r>
              <w:rPr>
                <w:noProof/>
                <w:webHidden/>
              </w:rPr>
              <w:fldChar w:fldCharType="separate"/>
            </w:r>
            <w:r w:rsidR="000B1D24">
              <w:rPr>
                <w:noProof/>
                <w:webHidden/>
              </w:rPr>
              <w:t>66</w:t>
            </w:r>
            <w:r>
              <w:rPr>
                <w:noProof/>
                <w:webHidden/>
              </w:rPr>
              <w:fldChar w:fldCharType="end"/>
            </w:r>
          </w:hyperlink>
        </w:p>
        <w:p w:rsidR="00D039BF" w:rsidRDefault="00E23933">
          <w:pPr>
            <w:pStyle w:val="TOC1"/>
            <w:tabs>
              <w:tab w:val="left" w:pos="480"/>
              <w:tab w:val="right" w:leader="dot" w:pos="9054"/>
            </w:tabs>
            <w:rPr>
              <w:rFonts w:asciiTheme="minorHAnsi" w:hAnsiTheme="minorHAnsi" w:cstheme="minorBidi"/>
              <w:noProof/>
              <w:color w:val="auto"/>
              <w:sz w:val="22"/>
              <w:lang w:val="en-AU" w:eastAsia="en-AU"/>
            </w:rPr>
          </w:pPr>
          <w:hyperlink w:anchor="_Toc389055223" w:history="1">
            <w:r w:rsidR="00D039BF" w:rsidRPr="001E454D">
              <w:rPr>
                <w:rStyle w:val="Hyperlink"/>
                <w:noProof/>
              </w:rPr>
              <w:t>4</w:t>
            </w:r>
            <w:r w:rsidR="00D039BF">
              <w:rPr>
                <w:rFonts w:asciiTheme="minorHAnsi" w:hAnsiTheme="minorHAnsi" w:cstheme="minorBidi"/>
                <w:noProof/>
                <w:color w:val="auto"/>
                <w:sz w:val="22"/>
                <w:lang w:val="en-AU" w:eastAsia="en-AU"/>
              </w:rPr>
              <w:tab/>
            </w:r>
            <w:r w:rsidR="00D039BF" w:rsidRPr="001E454D">
              <w:rPr>
                <w:rStyle w:val="Hyperlink"/>
                <w:noProof/>
              </w:rPr>
              <w:t>Changes in aquifer connectivity</w:t>
            </w:r>
            <w:r w:rsidR="00D039BF">
              <w:rPr>
                <w:noProof/>
                <w:webHidden/>
              </w:rPr>
              <w:tab/>
            </w:r>
            <w:r>
              <w:rPr>
                <w:noProof/>
                <w:webHidden/>
              </w:rPr>
              <w:fldChar w:fldCharType="begin"/>
            </w:r>
            <w:r w:rsidR="00D039BF">
              <w:rPr>
                <w:noProof/>
                <w:webHidden/>
              </w:rPr>
              <w:instrText xml:space="preserve"> PAGEREF _Toc389055223 \h </w:instrText>
            </w:r>
            <w:r>
              <w:rPr>
                <w:noProof/>
                <w:webHidden/>
              </w:rPr>
            </w:r>
            <w:r>
              <w:rPr>
                <w:noProof/>
                <w:webHidden/>
              </w:rPr>
              <w:fldChar w:fldCharType="separate"/>
            </w:r>
            <w:r w:rsidR="000B1D24">
              <w:rPr>
                <w:noProof/>
                <w:webHidden/>
              </w:rPr>
              <w:t>68</w:t>
            </w:r>
            <w:r>
              <w:rPr>
                <w:noProof/>
                <w:webHidden/>
              </w:rPr>
              <w:fldChar w:fldCharType="end"/>
            </w:r>
          </w:hyperlink>
        </w:p>
        <w:p w:rsidR="00D039BF" w:rsidRDefault="00E23933">
          <w:pPr>
            <w:pStyle w:val="TOC2"/>
            <w:tabs>
              <w:tab w:val="left" w:pos="960"/>
              <w:tab w:val="right" w:leader="dot" w:pos="9054"/>
            </w:tabs>
            <w:rPr>
              <w:rFonts w:asciiTheme="minorHAnsi" w:hAnsiTheme="minorHAnsi" w:cstheme="minorBidi"/>
              <w:noProof/>
              <w:color w:val="auto"/>
              <w:sz w:val="22"/>
              <w:lang w:val="en-AU" w:eastAsia="en-AU"/>
            </w:rPr>
          </w:pPr>
          <w:hyperlink w:anchor="_Toc389055224" w:history="1">
            <w:r w:rsidR="00D039BF" w:rsidRPr="001E454D">
              <w:rPr>
                <w:rStyle w:val="Hyperlink"/>
                <w:noProof/>
              </w:rPr>
              <w:t>4.1</w:t>
            </w:r>
            <w:r w:rsidR="00D039BF">
              <w:rPr>
                <w:rFonts w:asciiTheme="minorHAnsi" w:hAnsiTheme="minorHAnsi" w:cstheme="minorBidi"/>
                <w:noProof/>
                <w:color w:val="auto"/>
                <w:sz w:val="22"/>
                <w:lang w:val="en-AU" w:eastAsia="en-AU"/>
              </w:rPr>
              <w:tab/>
            </w:r>
            <w:r w:rsidR="00D039BF" w:rsidRPr="001E454D">
              <w:rPr>
                <w:rStyle w:val="Hyperlink"/>
                <w:noProof/>
              </w:rPr>
              <w:t>Introduction</w:t>
            </w:r>
            <w:r w:rsidR="00D039BF">
              <w:rPr>
                <w:noProof/>
                <w:webHidden/>
              </w:rPr>
              <w:tab/>
            </w:r>
            <w:r>
              <w:rPr>
                <w:noProof/>
                <w:webHidden/>
              </w:rPr>
              <w:fldChar w:fldCharType="begin"/>
            </w:r>
            <w:r w:rsidR="00D039BF">
              <w:rPr>
                <w:noProof/>
                <w:webHidden/>
              </w:rPr>
              <w:instrText xml:space="preserve"> PAGEREF _Toc389055224 \h </w:instrText>
            </w:r>
            <w:r>
              <w:rPr>
                <w:noProof/>
                <w:webHidden/>
              </w:rPr>
            </w:r>
            <w:r>
              <w:rPr>
                <w:noProof/>
                <w:webHidden/>
              </w:rPr>
              <w:fldChar w:fldCharType="separate"/>
            </w:r>
            <w:r w:rsidR="000B1D24">
              <w:rPr>
                <w:noProof/>
                <w:webHidden/>
              </w:rPr>
              <w:t>68</w:t>
            </w:r>
            <w:r>
              <w:rPr>
                <w:noProof/>
                <w:webHidden/>
              </w:rPr>
              <w:fldChar w:fldCharType="end"/>
            </w:r>
          </w:hyperlink>
        </w:p>
        <w:p w:rsidR="00D039BF" w:rsidRDefault="00E23933">
          <w:pPr>
            <w:pStyle w:val="TOC2"/>
            <w:tabs>
              <w:tab w:val="left" w:pos="960"/>
              <w:tab w:val="right" w:leader="dot" w:pos="9054"/>
            </w:tabs>
            <w:rPr>
              <w:rFonts w:asciiTheme="minorHAnsi" w:hAnsiTheme="minorHAnsi" w:cstheme="minorBidi"/>
              <w:noProof/>
              <w:color w:val="auto"/>
              <w:sz w:val="22"/>
              <w:lang w:val="en-AU" w:eastAsia="en-AU"/>
            </w:rPr>
          </w:pPr>
          <w:hyperlink w:anchor="_Toc389055225" w:history="1">
            <w:r w:rsidR="00D039BF" w:rsidRPr="001E454D">
              <w:rPr>
                <w:rStyle w:val="Hyperlink"/>
                <w:noProof/>
              </w:rPr>
              <w:t>4.2</w:t>
            </w:r>
            <w:r w:rsidR="00D039BF">
              <w:rPr>
                <w:rFonts w:asciiTheme="minorHAnsi" w:hAnsiTheme="minorHAnsi" w:cstheme="minorBidi"/>
                <w:noProof/>
                <w:color w:val="auto"/>
                <w:sz w:val="22"/>
                <w:lang w:val="en-AU" w:eastAsia="en-AU"/>
              </w:rPr>
              <w:tab/>
            </w:r>
            <w:r w:rsidR="00D039BF" w:rsidRPr="001E454D">
              <w:rPr>
                <w:rStyle w:val="Hyperlink"/>
                <w:noProof/>
              </w:rPr>
              <w:t>Mechanical deformation</w:t>
            </w:r>
            <w:r w:rsidR="00D039BF">
              <w:rPr>
                <w:noProof/>
                <w:webHidden/>
              </w:rPr>
              <w:tab/>
            </w:r>
            <w:r>
              <w:rPr>
                <w:noProof/>
                <w:webHidden/>
              </w:rPr>
              <w:fldChar w:fldCharType="begin"/>
            </w:r>
            <w:r w:rsidR="00D039BF">
              <w:rPr>
                <w:noProof/>
                <w:webHidden/>
              </w:rPr>
              <w:instrText xml:space="preserve"> PAGEREF _Toc389055225 \h </w:instrText>
            </w:r>
            <w:r>
              <w:rPr>
                <w:noProof/>
                <w:webHidden/>
              </w:rPr>
            </w:r>
            <w:r>
              <w:rPr>
                <w:noProof/>
                <w:webHidden/>
              </w:rPr>
              <w:fldChar w:fldCharType="separate"/>
            </w:r>
            <w:r w:rsidR="000B1D24">
              <w:rPr>
                <w:noProof/>
                <w:webHidden/>
              </w:rPr>
              <w:t>68</w:t>
            </w:r>
            <w:r>
              <w:rPr>
                <w:noProof/>
                <w:webHidden/>
              </w:rPr>
              <w:fldChar w:fldCharType="end"/>
            </w:r>
          </w:hyperlink>
        </w:p>
        <w:p w:rsidR="00D039BF" w:rsidRDefault="00E23933">
          <w:pPr>
            <w:pStyle w:val="TOC2"/>
            <w:tabs>
              <w:tab w:val="left" w:pos="960"/>
              <w:tab w:val="right" w:leader="dot" w:pos="9054"/>
            </w:tabs>
            <w:rPr>
              <w:rFonts w:asciiTheme="minorHAnsi" w:hAnsiTheme="minorHAnsi" w:cstheme="minorBidi"/>
              <w:noProof/>
              <w:color w:val="auto"/>
              <w:sz w:val="22"/>
              <w:lang w:val="en-AU" w:eastAsia="en-AU"/>
            </w:rPr>
          </w:pPr>
          <w:hyperlink w:anchor="_Toc389055226" w:history="1">
            <w:r w:rsidR="00D039BF" w:rsidRPr="001E454D">
              <w:rPr>
                <w:rStyle w:val="Hyperlink"/>
                <w:noProof/>
              </w:rPr>
              <w:t>4.3</w:t>
            </w:r>
            <w:r w:rsidR="00D039BF">
              <w:rPr>
                <w:rFonts w:asciiTheme="minorHAnsi" w:hAnsiTheme="minorHAnsi" w:cstheme="minorBidi"/>
                <w:noProof/>
                <w:color w:val="auto"/>
                <w:sz w:val="22"/>
                <w:lang w:val="en-AU" w:eastAsia="en-AU"/>
              </w:rPr>
              <w:tab/>
            </w:r>
            <w:r w:rsidR="00D039BF" w:rsidRPr="001E454D">
              <w:rPr>
                <w:rStyle w:val="Hyperlink"/>
                <w:noProof/>
              </w:rPr>
              <w:t>Hydraulic fracturing and coal seam gas operations</w:t>
            </w:r>
            <w:r w:rsidR="00D039BF">
              <w:rPr>
                <w:noProof/>
                <w:webHidden/>
              </w:rPr>
              <w:tab/>
            </w:r>
            <w:r>
              <w:rPr>
                <w:noProof/>
                <w:webHidden/>
              </w:rPr>
              <w:fldChar w:fldCharType="begin"/>
            </w:r>
            <w:r w:rsidR="00D039BF">
              <w:rPr>
                <w:noProof/>
                <w:webHidden/>
              </w:rPr>
              <w:instrText xml:space="preserve"> PAGEREF _Toc389055226 \h </w:instrText>
            </w:r>
            <w:r>
              <w:rPr>
                <w:noProof/>
                <w:webHidden/>
              </w:rPr>
            </w:r>
            <w:r>
              <w:rPr>
                <w:noProof/>
                <w:webHidden/>
              </w:rPr>
              <w:fldChar w:fldCharType="separate"/>
            </w:r>
            <w:r w:rsidR="000B1D24">
              <w:rPr>
                <w:noProof/>
                <w:webHidden/>
              </w:rPr>
              <w:t>72</w:t>
            </w:r>
            <w:r>
              <w:rPr>
                <w:noProof/>
                <w:webHidden/>
              </w:rPr>
              <w:fldChar w:fldCharType="end"/>
            </w:r>
          </w:hyperlink>
        </w:p>
        <w:p w:rsidR="00D039BF" w:rsidRDefault="00E23933">
          <w:pPr>
            <w:pStyle w:val="TOC2"/>
            <w:tabs>
              <w:tab w:val="left" w:pos="960"/>
              <w:tab w:val="right" w:leader="dot" w:pos="9054"/>
            </w:tabs>
            <w:rPr>
              <w:rFonts w:asciiTheme="minorHAnsi" w:hAnsiTheme="minorHAnsi" w:cstheme="minorBidi"/>
              <w:noProof/>
              <w:color w:val="auto"/>
              <w:sz w:val="22"/>
              <w:lang w:val="en-AU" w:eastAsia="en-AU"/>
            </w:rPr>
          </w:pPr>
          <w:hyperlink w:anchor="_Toc389055227" w:history="1">
            <w:r w:rsidR="00D039BF" w:rsidRPr="001E454D">
              <w:rPr>
                <w:rStyle w:val="Hyperlink"/>
                <w:noProof/>
              </w:rPr>
              <w:t>4.4</w:t>
            </w:r>
            <w:r w:rsidR="00D039BF">
              <w:rPr>
                <w:rFonts w:asciiTheme="minorHAnsi" w:hAnsiTheme="minorHAnsi" w:cstheme="minorBidi"/>
                <w:noProof/>
                <w:color w:val="auto"/>
                <w:sz w:val="22"/>
                <w:lang w:val="en-AU" w:eastAsia="en-AU"/>
              </w:rPr>
              <w:tab/>
            </w:r>
            <w:r w:rsidR="00D039BF" w:rsidRPr="001E454D">
              <w:rPr>
                <w:rStyle w:val="Hyperlink"/>
                <w:noProof/>
              </w:rPr>
              <w:t>Induced seismicity and the reactivation of faults</w:t>
            </w:r>
            <w:r w:rsidR="00D039BF">
              <w:rPr>
                <w:noProof/>
                <w:webHidden/>
              </w:rPr>
              <w:tab/>
            </w:r>
            <w:r>
              <w:rPr>
                <w:noProof/>
                <w:webHidden/>
              </w:rPr>
              <w:fldChar w:fldCharType="begin"/>
            </w:r>
            <w:r w:rsidR="00D039BF">
              <w:rPr>
                <w:noProof/>
                <w:webHidden/>
              </w:rPr>
              <w:instrText xml:space="preserve"> PAGEREF _Toc389055227 \h </w:instrText>
            </w:r>
            <w:r>
              <w:rPr>
                <w:noProof/>
                <w:webHidden/>
              </w:rPr>
            </w:r>
            <w:r>
              <w:rPr>
                <w:noProof/>
                <w:webHidden/>
              </w:rPr>
              <w:fldChar w:fldCharType="separate"/>
            </w:r>
            <w:r w:rsidR="000B1D24">
              <w:rPr>
                <w:noProof/>
                <w:webHidden/>
              </w:rPr>
              <w:t>75</w:t>
            </w:r>
            <w:r>
              <w:rPr>
                <w:noProof/>
                <w:webHidden/>
              </w:rPr>
              <w:fldChar w:fldCharType="end"/>
            </w:r>
          </w:hyperlink>
        </w:p>
        <w:p w:rsidR="00D039BF" w:rsidRDefault="00E23933">
          <w:pPr>
            <w:pStyle w:val="TOC2"/>
            <w:tabs>
              <w:tab w:val="left" w:pos="960"/>
              <w:tab w:val="right" w:leader="dot" w:pos="9054"/>
            </w:tabs>
            <w:rPr>
              <w:rFonts w:asciiTheme="minorHAnsi" w:hAnsiTheme="minorHAnsi" w:cstheme="minorBidi"/>
              <w:noProof/>
              <w:color w:val="auto"/>
              <w:sz w:val="22"/>
              <w:lang w:val="en-AU" w:eastAsia="en-AU"/>
            </w:rPr>
          </w:pPr>
          <w:hyperlink w:anchor="_Toc389055228" w:history="1">
            <w:r w:rsidR="00D039BF" w:rsidRPr="001E454D">
              <w:rPr>
                <w:rStyle w:val="Hyperlink"/>
                <w:noProof/>
              </w:rPr>
              <w:t>4.5</w:t>
            </w:r>
            <w:r w:rsidR="00D039BF">
              <w:rPr>
                <w:rFonts w:asciiTheme="minorHAnsi" w:hAnsiTheme="minorHAnsi" w:cstheme="minorBidi"/>
                <w:noProof/>
                <w:color w:val="auto"/>
                <w:sz w:val="22"/>
                <w:lang w:val="en-AU" w:eastAsia="en-AU"/>
              </w:rPr>
              <w:tab/>
            </w:r>
            <w:r w:rsidR="00D039BF" w:rsidRPr="001E454D">
              <w:rPr>
                <w:rStyle w:val="Hyperlink"/>
                <w:noProof/>
              </w:rPr>
              <w:t>Boreholes</w:t>
            </w:r>
            <w:r w:rsidR="00D039BF">
              <w:rPr>
                <w:noProof/>
                <w:webHidden/>
              </w:rPr>
              <w:tab/>
            </w:r>
            <w:r>
              <w:rPr>
                <w:noProof/>
                <w:webHidden/>
              </w:rPr>
              <w:fldChar w:fldCharType="begin"/>
            </w:r>
            <w:r w:rsidR="00D039BF">
              <w:rPr>
                <w:noProof/>
                <w:webHidden/>
              </w:rPr>
              <w:instrText xml:space="preserve"> PAGEREF _Toc389055228 \h </w:instrText>
            </w:r>
            <w:r>
              <w:rPr>
                <w:noProof/>
                <w:webHidden/>
              </w:rPr>
            </w:r>
            <w:r>
              <w:rPr>
                <w:noProof/>
                <w:webHidden/>
              </w:rPr>
              <w:fldChar w:fldCharType="separate"/>
            </w:r>
            <w:r w:rsidR="000B1D24">
              <w:rPr>
                <w:noProof/>
                <w:webHidden/>
              </w:rPr>
              <w:t>77</w:t>
            </w:r>
            <w:r>
              <w:rPr>
                <w:noProof/>
                <w:webHidden/>
              </w:rPr>
              <w:fldChar w:fldCharType="end"/>
            </w:r>
          </w:hyperlink>
        </w:p>
        <w:p w:rsidR="00D039BF" w:rsidRDefault="00E23933">
          <w:pPr>
            <w:pStyle w:val="TOC2"/>
            <w:tabs>
              <w:tab w:val="left" w:pos="960"/>
              <w:tab w:val="right" w:leader="dot" w:pos="9054"/>
            </w:tabs>
            <w:rPr>
              <w:rFonts w:asciiTheme="minorHAnsi" w:hAnsiTheme="minorHAnsi" w:cstheme="minorBidi"/>
              <w:noProof/>
              <w:color w:val="auto"/>
              <w:sz w:val="22"/>
              <w:lang w:val="en-AU" w:eastAsia="en-AU"/>
            </w:rPr>
          </w:pPr>
          <w:hyperlink w:anchor="_Toc389055229" w:history="1">
            <w:r w:rsidR="00D039BF" w:rsidRPr="001E454D">
              <w:rPr>
                <w:rStyle w:val="Hyperlink"/>
                <w:noProof/>
              </w:rPr>
              <w:t>4.6</w:t>
            </w:r>
            <w:r w:rsidR="00D039BF">
              <w:rPr>
                <w:rFonts w:asciiTheme="minorHAnsi" w:hAnsiTheme="minorHAnsi" w:cstheme="minorBidi"/>
                <w:noProof/>
                <w:color w:val="auto"/>
                <w:sz w:val="22"/>
                <w:lang w:val="en-AU" w:eastAsia="en-AU"/>
              </w:rPr>
              <w:tab/>
            </w:r>
            <w:r w:rsidR="00D039BF" w:rsidRPr="001E454D">
              <w:rPr>
                <w:rStyle w:val="Hyperlink"/>
                <w:noProof/>
              </w:rPr>
              <w:t>Discussion and conclusions</w:t>
            </w:r>
            <w:r w:rsidR="00D039BF">
              <w:rPr>
                <w:noProof/>
                <w:webHidden/>
              </w:rPr>
              <w:tab/>
            </w:r>
            <w:r>
              <w:rPr>
                <w:noProof/>
                <w:webHidden/>
              </w:rPr>
              <w:fldChar w:fldCharType="begin"/>
            </w:r>
            <w:r w:rsidR="00D039BF">
              <w:rPr>
                <w:noProof/>
                <w:webHidden/>
              </w:rPr>
              <w:instrText xml:space="preserve"> PAGEREF _Toc389055229 \h </w:instrText>
            </w:r>
            <w:r>
              <w:rPr>
                <w:noProof/>
                <w:webHidden/>
              </w:rPr>
            </w:r>
            <w:r>
              <w:rPr>
                <w:noProof/>
                <w:webHidden/>
              </w:rPr>
              <w:fldChar w:fldCharType="separate"/>
            </w:r>
            <w:r w:rsidR="000B1D24">
              <w:rPr>
                <w:noProof/>
                <w:webHidden/>
              </w:rPr>
              <w:t>79</w:t>
            </w:r>
            <w:r>
              <w:rPr>
                <w:noProof/>
                <w:webHidden/>
              </w:rPr>
              <w:fldChar w:fldCharType="end"/>
            </w:r>
          </w:hyperlink>
        </w:p>
        <w:p w:rsidR="00D039BF" w:rsidRDefault="00E23933">
          <w:pPr>
            <w:pStyle w:val="TOC1"/>
            <w:tabs>
              <w:tab w:val="left" w:pos="480"/>
              <w:tab w:val="right" w:leader="dot" w:pos="9054"/>
            </w:tabs>
            <w:rPr>
              <w:rFonts w:asciiTheme="minorHAnsi" w:hAnsiTheme="minorHAnsi" w:cstheme="minorBidi"/>
              <w:noProof/>
              <w:color w:val="auto"/>
              <w:sz w:val="22"/>
              <w:lang w:val="en-AU" w:eastAsia="en-AU"/>
            </w:rPr>
          </w:pPr>
          <w:hyperlink w:anchor="_Toc389055230" w:history="1">
            <w:r w:rsidR="00D039BF" w:rsidRPr="001E454D">
              <w:rPr>
                <w:rStyle w:val="Hyperlink"/>
                <w:noProof/>
              </w:rPr>
              <w:t>5</w:t>
            </w:r>
            <w:r w:rsidR="00D039BF">
              <w:rPr>
                <w:rFonts w:asciiTheme="minorHAnsi" w:hAnsiTheme="minorHAnsi" w:cstheme="minorBidi"/>
                <w:noProof/>
                <w:color w:val="auto"/>
                <w:sz w:val="22"/>
                <w:lang w:val="en-AU" w:eastAsia="en-AU"/>
              </w:rPr>
              <w:tab/>
            </w:r>
            <w:r w:rsidR="00D039BF" w:rsidRPr="001E454D">
              <w:rPr>
                <w:rStyle w:val="Hyperlink"/>
                <w:noProof/>
              </w:rPr>
              <w:t>Aquifer connectivity in the Great Artesian Basin</w:t>
            </w:r>
            <w:r w:rsidR="00D039BF">
              <w:rPr>
                <w:noProof/>
                <w:webHidden/>
              </w:rPr>
              <w:tab/>
            </w:r>
            <w:r>
              <w:rPr>
                <w:noProof/>
                <w:webHidden/>
              </w:rPr>
              <w:fldChar w:fldCharType="begin"/>
            </w:r>
            <w:r w:rsidR="00D039BF">
              <w:rPr>
                <w:noProof/>
                <w:webHidden/>
              </w:rPr>
              <w:instrText xml:space="preserve"> PAGEREF _Toc389055230 \h </w:instrText>
            </w:r>
            <w:r>
              <w:rPr>
                <w:noProof/>
                <w:webHidden/>
              </w:rPr>
            </w:r>
            <w:r>
              <w:rPr>
                <w:noProof/>
                <w:webHidden/>
              </w:rPr>
              <w:fldChar w:fldCharType="separate"/>
            </w:r>
            <w:r w:rsidR="000B1D24">
              <w:rPr>
                <w:noProof/>
                <w:webHidden/>
              </w:rPr>
              <w:t>80</w:t>
            </w:r>
            <w:r>
              <w:rPr>
                <w:noProof/>
                <w:webHidden/>
              </w:rPr>
              <w:fldChar w:fldCharType="end"/>
            </w:r>
          </w:hyperlink>
        </w:p>
        <w:p w:rsidR="00D039BF" w:rsidRDefault="00E23933">
          <w:pPr>
            <w:pStyle w:val="TOC2"/>
            <w:tabs>
              <w:tab w:val="left" w:pos="960"/>
              <w:tab w:val="right" w:leader="dot" w:pos="9054"/>
            </w:tabs>
            <w:rPr>
              <w:rFonts w:asciiTheme="minorHAnsi" w:hAnsiTheme="minorHAnsi" w:cstheme="minorBidi"/>
              <w:noProof/>
              <w:color w:val="auto"/>
              <w:sz w:val="22"/>
              <w:lang w:val="en-AU" w:eastAsia="en-AU"/>
            </w:rPr>
          </w:pPr>
          <w:hyperlink w:anchor="_Toc389055231" w:history="1">
            <w:r w:rsidR="00D039BF" w:rsidRPr="001E454D">
              <w:rPr>
                <w:rStyle w:val="Hyperlink"/>
                <w:noProof/>
              </w:rPr>
              <w:t>5.1</w:t>
            </w:r>
            <w:r w:rsidR="00D039BF">
              <w:rPr>
                <w:rFonts w:asciiTheme="minorHAnsi" w:hAnsiTheme="minorHAnsi" w:cstheme="minorBidi"/>
                <w:noProof/>
                <w:color w:val="auto"/>
                <w:sz w:val="22"/>
                <w:lang w:val="en-AU" w:eastAsia="en-AU"/>
              </w:rPr>
              <w:tab/>
            </w:r>
            <w:r w:rsidR="00D039BF" w:rsidRPr="001E454D">
              <w:rPr>
                <w:rStyle w:val="Hyperlink"/>
                <w:noProof/>
              </w:rPr>
              <w:t>Introduction</w:t>
            </w:r>
            <w:r w:rsidR="00D039BF">
              <w:rPr>
                <w:noProof/>
                <w:webHidden/>
              </w:rPr>
              <w:tab/>
            </w:r>
            <w:r>
              <w:rPr>
                <w:noProof/>
                <w:webHidden/>
              </w:rPr>
              <w:fldChar w:fldCharType="begin"/>
            </w:r>
            <w:r w:rsidR="00D039BF">
              <w:rPr>
                <w:noProof/>
                <w:webHidden/>
              </w:rPr>
              <w:instrText xml:space="preserve"> PAGEREF _Toc389055231 \h </w:instrText>
            </w:r>
            <w:r>
              <w:rPr>
                <w:noProof/>
                <w:webHidden/>
              </w:rPr>
            </w:r>
            <w:r>
              <w:rPr>
                <w:noProof/>
                <w:webHidden/>
              </w:rPr>
              <w:fldChar w:fldCharType="separate"/>
            </w:r>
            <w:r w:rsidR="000B1D24">
              <w:rPr>
                <w:noProof/>
                <w:webHidden/>
              </w:rPr>
              <w:t>80</w:t>
            </w:r>
            <w:r>
              <w:rPr>
                <w:noProof/>
                <w:webHidden/>
              </w:rPr>
              <w:fldChar w:fldCharType="end"/>
            </w:r>
          </w:hyperlink>
        </w:p>
        <w:p w:rsidR="00D039BF" w:rsidRDefault="00E23933">
          <w:pPr>
            <w:pStyle w:val="TOC2"/>
            <w:tabs>
              <w:tab w:val="left" w:pos="960"/>
              <w:tab w:val="right" w:leader="dot" w:pos="9054"/>
            </w:tabs>
            <w:rPr>
              <w:rFonts w:asciiTheme="minorHAnsi" w:hAnsiTheme="minorHAnsi" w:cstheme="minorBidi"/>
              <w:noProof/>
              <w:color w:val="auto"/>
              <w:sz w:val="22"/>
              <w:lang w:val="en-AU" w:eastAsia="en-AU"/>
            </w:rPr>
          </w:pPr>
          <w:hyperlink w:anchor="_Toc389055232" w:history="1">
            <w:r w:rsidR="00D039BF" w:rsidRPr="001E454D">
              <w:rPr>
                <w:rStyle w:val="Hyperlink"/>
                <w:noProof/>
              </w:rPr>
              <w:t>5.2</w:t>
            </w:r>
            <w:r w:rsidR="00D039BF">
              <w:rPr>
                <w:rFonts w:asciiTheme="minorHAnsi" w:hAnsiTheme="minorHAnsi" w:cstheme="minorBidi"/>
                <w:noProof/>
                <w:color w:val="auto"/>
                <w:sz w:val="22"/>
                <w:lang w:val="en-AU" w:eastAsia="en-AU"/>
              </w:rPr>
              <w:tab/>
            </w:r>
            <w:r w:rsidR="00D039BF" w:rsidRPr="001E454D">
              <w:rPr>
                <w:rStyle w:val="Hyperlink"/>
                <w:noProof/>
              </w:rPr>
              <w:t>Major aquifers and aquitards</w:t>
            </w:r>
            <w:r w:rsidR="00D039BF">
              <w:rPr>
                <w:noProof/>
                <w:webHidden/>
              </w:rPr>
              <w:tab/>
            </w:r>
            <w:r>
              <w:rPr>
                <w:noProof/>
                <w:webHidden/>
              </w:rPr>
              <w:fldChar w:fldCharType="begin"/>
            </w:r>
            <w:r w:rsidR="00D039BF">
              <w:rPr>
                <w:noProof/>
                <w:webHidden/>
              </w:rPr>
              <w:instrText xml:space="preserve"> PAGEREF _Toc389055232 \h </w:instrText>
            </w:r>
            <w:r>
              <w:rPr>
                <w:noProof/>
                <w:webHidden/>
              </w:rPr>
            </w:r>
            <w:r>
              <w:rPr>
                <w:noProof/>
                <w:webHidden/>
              </w:rPr>
              <w:fldChar w:fldCharType="separate"/>
            </w:r>
            <w:r w:rsidR="000B1D24">
              <w:rPr>
                <w:noProof/>
                <w:webHidden/>
              </w:rPr>
              <w:t>82</w:t>
            </w:r>
            <w:r>
              <w:rPr>
                <w:noProof/>
                <w:webHidden/>
              </w:rPr>
              <w:fldChar w:fldCharType="end"/>
            </w:r>
          </w:hyperlink>
        </w:p>
        <w:p w:rsidR="00D039BF" w:rsidRDefault="00E23933">
          <w:pPr>
            <w:pStyle w:val="TOC2"/>
            <w:tabs>
              <w:tab w:val="left" w:pos="960"/>
              <w:tab w:val="right" w:leader="dot" w:pos="9054"/>
            </w:tabs>
            <w:rPr>
              <w:rFonts w:asciiTheme="minorHAnsi" w:hAnsiTheme="minorHAnsi" w:cstheme="minorBidi"/>
              <w:noProof/>
              <w:color w:val="auto"/>
              <w:sz w:val="22"/>
              <w:lang w:val="en-AU" w:eastAsia="en-AU"/>
            </w:rPr>
          </w:pPr>
          <w:hyperlink w:anchor="_Toc389055233" w:history="1">
            <w:r w:rsidR="00D039BF" w:rsidRPr="001E454D">
              <w:rPr>
                <w:rStyle w:val="Hyperlink"/>
                <w:noProof/>
              </w:rPr>
              <w:t>5.3</w:t>
            </w:r>
            <w:r w:rsidR="00D039BF">
              <w:rPr>
                <w:rFonts w:asciiTheme="minorHAnsi" w:hAnsiTheme="minorHAnsi" w:cstheme="minorBidi"/>
                <w:noProof/>
                <w:color w:val="auto"/>
                <w:sz w:val="22"/>
                <w:lang w:val="en-AU" w:eastAsia="en-AU"/>
              </w:rPr>
              <w:tab/>
            </w:r>
            <w:r w:rsidR="00D039BF" w:rsidRPr="001E454D">
              <w:rPr>
                <w:rStyle w:val="Hyperlink"/>
                <w:noProof/>
              </w:rPr>
              <w:t>Structural properties</w:t>
            </w:r>
            <w:r w:rsidR="00D039BF">
              <w:rPr>
                <w:noProof/>
                <w:webHidden/>
              </w:rPr>
              <w:tab/>
            </w:r>
            <w:r>
              <w:rPr>
                <w:noProof/>
                <w:webHidden/>
              </w:rPr>
              <w:fldChar w:fldCharType="begin"/>
            </w:r>
            <w:r w:rsidR="00D039BF">
              <w:rPr>
                <w:noProof/>
                <w:webHidden/>
              </w:rPr>
              <w:instrText xml:space="preserve"> PAGEREF _Toc389055233 \h </w:instrText>
            </w:r>
            <w:r>
              <w:rPr>
                <w:noProof/>
                <w:webHidden/>
              </w:rPr>
            </w:r>
            <w:r>
              <w:rPr>
                <w:noProof/>
                <w:webHidden/>
              </w:rPr>
              <w:fldChar w:fldCharType="separate"/>
            </w:r>
            <w:r w:rsidR="000B1D24">
              <w:rPr>
                <w:noProof/>
                <w:webHidden/>
              </w:rPr>
              <w:t>84</w:t>
            </w:r>
            <w:r>
              <w:rPr>
                <w:noProof/>
                <w:webHidden/>
              </w:rPr>
              <w:fldChar w:fldCharType="end"/>
            </w:r>
          </w:hyperlink>
        </w:p>
        <w:p w:rsidR="00D039BF" w:rsidRDefault="00E23933">
          <w:pPr>
            <w:pStyle w:val="TOC2"/>
            <w:tabs>
              <w:tab w:val="left" w:pos="960"/>
              <w:tab w:val="right" w:leader="dot" w:pos="9054"/>
            </w:tabs>
            <w:rPr>
              <w:rFonts w:asciiTheme="minorHAnsi" w:hAnsiTheme="minorHAnsi" w:cstheme="minorBidi"/>
              <w:noProof/>
              <w:color w:val="auto"/>
              <w:sz w:val="22"/>
              <w:lang w:val="en-AU" w:eastAsia="en-AU"/>
            </w:rPr>
          </w:pPr>
          <w:hyperlink w:anchor="_Toc389055234" w:history="1">
            <w:r w:rsidR="00D039BF" w:rsidRPr="001E454D">
              <w:rPr>
                <w:rStyle w:val="Hyperlink"/>
                <w:noProof/>
              </w:rPr>
              <w:t>5.4</w:t>
            </w:r>
            <w:r w:rsidR="00D039BF">
              <w:rPr>
                <w:rFonts w:asciiTheme="minorHAnsi" w:hAnsiTheme="minorHAnsi" w:cstheme="minorBidi"/>
                <w:noProof/>
                <w:color w:val="auto"/>
                <w:sz w:val="22"/>
                <w:lang w:val="en-AU" w:eastAsia="en-AU"/>
              </w:rPr>
              <w:tab/>
            </w:r>
            <w:r w:rsidR="00D039BF" w:rsidRPr="001E454D">
              <w:rPr>
                <w:rStyle w:val="Hyperlink"/>
                <w:noProof/>
              </w:rPr>
              <w:t>Hydraulic properties</w:t>
            </w:r>
            <w:r w:rsidR="00D039BF">
              <w:rPr>
                <w:noProof/>
                <w:webHidden/>
              </w:rPr>
              <w:tab/>
            </w:r>
            <w:r>
              <w:rPr>
                <w:noProof/>
                <w:webHidden/>
              </w:rPr>
              <w:fldChar w:fldCharType="begin"/>
            </w:r>
            <w:r w:rsidR="00D039BF">
              <w:rPr>
                <w:noProof/>
                <w:webHidden/>
              </w:rPr>
              <w:instrText xml:space="preserve"> PAGEREF _Toc389055234 \h </w:instrText>
            </w:r>
            <w:r>
              <w:rPr>
                <w:noProof/>
                <w:webHidden/>
              </w:rPr>
            </w:r>
            <w:r>
              <w:rPr>
                <w:noProof/>
                <w:webHidden/>
              </w:rPr>
              <w:fldChar w:fldCharType="separate"/>
            </w:r>
            <w:r w:rsidR="000B1D24">
              <w:rPr>
                <w:noProof/>
                <w:webHidden/>
              </w:rPr>
              <w:t>85</w:t>
            </w:r>
            <w:r>
              <w:rPr>
                <w:noProof/>
                <w:webHidden/>
              </w:rPr>
              <w:fldChar w:fldCharType="end"/>
            </w:r>
          </w:hyperlink>
        </w:p>
        <w:p w:rsidR="00D039BF" w:rsidRDefault="00E23933">
          <w:pPr>
            <w:pStyle w:val="TOC2"/>
            <w:tabs>
              <w:tab w:val="left" w:pos="960"/>
              <w:tab w:val="right" w:leader="dot" w:pos="9054"/>
            </w:tabs>
            <w:rPr>
              <w:rFonts w:asciiTheme="minorHAnsi" w:hAnsiTheme="minorHAnsi" w:cstheme="minorBidi"/>
              <w:noProof/>
              <w:color w:val="auto"/>
              <w:sz w:val="22"/>
              <w:lang w:val="en-AU" w:eastAsia="en-AU"/>
            </w:rPr>
          </w:pPr>
          <w:hyperlink w:anchor="_Toc389055235" w:history="1">
            <w:r w:rsidR="00D039BF" w:rsidRPr="001E454D">
              <w:rPr>
                <w:rStyle w:val="Hyperlink"/>
                <w:noProof/>
              </w:rPr>
              <w:t>5.5</w:t>
            </w:r>
            <w:r w:rsidR="00D039BF">
              <w:rPr>
                <w:rFonts w:asciiTheme="minorHAnsi" w:hAnsiTheme="minorHAnsi" w:cstheme="minorBidi"/>
                <w:noProof/>
                <w:color w:val="auto"/>
                <w:sz w:val="22"/>
                <w:lang w:val="en-AU" w:eastAsia="en-AU"/>
              </w:rPr>
              <w:tab/>
            </w:r>
            <w:r w:rsidR="00D039BF" w:rsidRPr="001E454D">
              <w:rPr>
                <w:rStyle w:val="Hyperlink"/>
                <w:noProof/>
              </w:rPr>
              <w:t>Geomechanical properties</w:t>
            </w:r>
            <w:r w:rsidR="00D039BF">
              <w:rPr>
                <w:noProof/>
                <w:webHidden/>
              </w:rPr>
              <w:tab/>
            </w:r>
            <w:r>
              <w:rPr>
                <w:noProof/>
                <w:webHidden/>
              </w:rPr>
              <w:fldChar w:fldCharType="begin"/>
            </w:r>
            <w:r w:rsidR="00D039BF">
              <w:rPr>
                <w:noProof/>
                <w:webHidden/>
              </w:rPr>
              <w:instrText xml:space="preserve"> PAGEREF _Toc389055235 \h </w:instrText>
            </w:r>
            <w:r>
              <w:rPr>
                <w:noProof/>
                <w:webHidden/>
              </w:rPr>
            </w:r>
            <w:r>
              <w:rPr>
                <w:noProof/>
                <w:webHidden/>
              </w:rPr>
              <w:fldChar w:fldCharType="separate"/>
            </w:r>
            <w:r w:rsidR="000B1D24">
              <w:rPr>
                <w:noProof/>
                <w:webHidden/>
              </w:rPr>
              <w:t>88</w:t>
            </w:r>
            <w:r>
              <w:rPr>
                <w:noProof/>
                <w:webHidden/>
              </w:rPr>
              <w:fldChar w:fldCharType="end"/>
            </w:r>
          </w:hyperlink>
        </w:p>
        <w:p w:rsidR="00D039BF" w:rsidRDefault="00E23933">
          <w:pPr>
            <w:pStyle w:val="TOC2"/>
            <w:tabs>
              <w:tab w:val="left" w:pos="960"/>
              <w:tab w:val="right" w:leader="dot" w:pos="9054"/>
            </w:tabs>
            <w:rPr>
              <w:rFonts w:asciiTheme="minorHAnsi" w:hAnsiTheme="minorHAnsi" w:cstheme="minorBidi"/>
              <w:noProof/>
              <w:color w:val="auto"/>
              <w:sz w:val="22"/>
              <w:lang w:val="en-AU" w:eastAsia="en-AU"/>
            </w:rPr>
          </w:pPr>
          <w:hyperlink w:anchor="_Toc389055236" w:history="1">
            <w:r w:rsidR="00D039BF" w:rsidRPr="001E454D">
              <w:rPr>
                <w:rStyle w:val="Hyperlink"/>
                <w:noProof/>
              </w:rPr>
              <w:t>5.6</w:t>
            </w:r>
            <w:r w:rsidR="00D039BF">
              <w:rPr>
                <w:rFonts w:asciiTheme="minorHAnsi" w:hAnsiTheme="minorHAnsi" w:cstheme="minorBidi"/>
                <w:noProof/>
                <w:color w:val="auto"/>
                <w:sz w:val="22"/>
                <w:lang w:val="en-AU" w:eastAsia="en-AU"/>
              </w:rPr>
              <w:tab/>
            </w:r>
            <w:r w:rsidR="00D039BF" w:rsidRPr="001E454D">
              <w:rPr>
                <w:rStyle w:val="Hyperlink"/>
                <w:noProof/>
              </w:rPr>
              <w:t>Groundwater recharge, flow and discharge</w:t>
            </w:r>
            <w:r w:rsidR="00D039BF">
              <w:rPr>
                <w:noProof/>
                <w:webHidden/>
              </w:rPr>
              <w:tab/>
            </w:r>
            <w:r>
              <w:rPr>
                <w:noProof/>
                <w:webHidden/>
              </w:rPr>
              <w:fldChar w:fldCharType="begin"/>
            </w:r>
            <w:r w:rsidR="00D039BF">
              <w:rPr>
                <w:noProof/>
                <w:webHidden/>
              </w:rPr>
              <w:instrText xml:space="preserve"> PAGEREF _Toc389055236 \h </w:instrText>
            </w:r>
            <w:r>
              <w:rPr>
                <w:noProof/>
                <w:webHidden/>
              </w:rPr>
            </w:r>
            <w:r>
              <w:rPr>
                <w:noProof/>
                <w:webHidden/>
              </w:rPr>
              <w:fldChar w:fldCharType="separate"/>
            </w:r>
            <w:r w:rsidR="000B1D24">
              <w:rPr>
                <w:noProof/>
                <w:webHidden/>
              </w:rPr>
              <w:t>89</w:t>
            </w:r>
            <w:r>
              <w:rPr>
                <w:noProof/>
                <w:webHidden/>
              </w:rPr>
              <w:fldChar w:fldCharType="end"/>
            </w:r>
          </w:hyperlink>
        </w:p>
        <w:p w:rsidR="00D039BF" w:rsidRDefault="00E23933">
          <w:pPr>
            <w:pStyle w:val="TOC2"/>
            <w:tabs>
              <w:tab w:val="left" w:pos="960"/>
              <w:tab w:val="right" w:leader="dot" w:pos="9054"/>
            </w:tabs>
            <w:rPr>
              <w:rFonts w:asciiTheme="minorHAnsi" w:hAnsiTheme="minorHAnsi" w:cstheme="minorBidi"/>
              <w:noProof/>
              <w:color w:val="auto"/>
              <w:sz w:val="22"/>
              <w:lang w:val="en-AU" w:eastAsia="en-AU"/>
            </w:rPr>
          </w:pPr>
          <w:hyperlink w:anchor="_Toc389055237" w:history="1">
            <w:r w:rsidR="00D039BF" w:rsidRPr="001E454D">
              <w:rPr>
                <w:rStyle w:val="Hyperlink"/>
                <w:noProof/>
              </w:rPr>
              <w:t>5.7</w:t>
            </w:r>
            <w:r w:rsidR="00D039BF">
              <w:rPr>
                <w:rFonts w:asciiTheme="minorHAnsi" w:hAnsiTheme="minorHAnsi" w:cstheme="minorBidi"/>
                <w:noProof/>
                <w:color w:val="auto"/>
                <w:sz w:val="22"/>
                <w:lang w:val="en-AU" w:eastAsia="en-AU"/>
              </w:rPr>
              <w:tab/>
            </w:r>
            <w:r w:rsidR="00D039BF" w:rsidRPr="001E454D">
              <w:rPr>
                <w:rStyle w:val="Hyperlink"/>
                <w:noProof/>
              </w:rPr>
              <w:t>Hydrochemistry and isotopes</w:t>
            </w:r>
            <w:r w:rsidR="00D039BF">
              <w:rPr>
                <w:noProof/>
                <w:webHidden/>
              </w:rPr>
              <w:tab/>
            </w:r>
            <w:r>
              <w:rPr>
                <w:noProof/>
                <w:webHidden/>
              </w:rPr>
              <w:fldChar w:fldCharType="begin"/>
            </w:r>
            <w:r w:rsidR="00D039BF">
              <w:rPr>
                <w:noProof/>
                <w:webHidden/>
              </w:rPr>
              <w:instrText xml:space="preserve"> PAGEREF _Toc389055237 \h </w:instrText>
            </w:r>
            <w:r>
              <w:rPr>
                <w:noProof/>
                <w:webHidden/>
              </w:rPr>
            </w:r>
            <w:r>
              <w:rPr>
                <w:noProof/>
                <w:webHidden/>
              </w:rPr>
              <w:fldChar w:fldCharType="separate"/>
            </w:r>
            <w:r w:rsidR="000B1D24">
              <w:rPr>
                <w:noProof/>
                <w:webHidden/>
              </w:rPr>
              <w:t>91</w:t>
            </w:r>
            <w:r>
              <w:rPr>
                <w:noProof/>
                <w:webHidden/>
              </w:rPr>
              <w:fldChar w:fldCharType="end"/>
            </w:r>
          </w:hyperlink>
        </w:p>
        <w:p w:rsidR="00D039BF" w:rsidRDefault="00E23933">
          <w:pPr>
            <w:pStyle w:val="TOC2"/>
            <w:tabs>
              <w:tab w:val="left" w:pos="960"/>
              <w:tab w:val="right" w:leader="dot" w:pos="9054"/>
            </w:tabs>
            <w:rPr>
              <w:rFonts w:asciiTheme="minorHAnsi" w:hAnsiTheme="minorHAnsi" w:cstheme="minorBidi"/>
              <w:noProof/>
              <w:color w:val="auto"/>
              <w:sz w:val="22"/>
              <w:lang w:val="en-AU" w:eastAsia="en-AU"/>
            </w:rPr>
          </w:pPr>
          <w:hyperlink w:anchor="_Toc389055238" w:history="1">
            <w:r w:rsidR="00D039BF" w:rsidRPr="001E454D">
              <w:rPr>
                <w:rStyle w:val="Hyperlink"/>
                <w:noProof/>
              </w:rPr>
              <w:t>5.8</w:t>
            </w:r>
            <w:r w:rsidR="00D039BF">
              <w:rPr>
                <w:rFonts w:asciiTheme="minorHAnsi" w:hAnsiTheme="minorHAnsi" w:cstheme="minorBidi"/>
                <w:noProof/>
                <w:color w:val="auto"/>
                <w:sz w:val="22"/>
                <w:lang w:val="en-AU" w:eastAsia="en-AU"/>
              </w:rPr>
              <w:tab/>
            </w:r>
            <w:r w:rsidR="00D039BF" w:rsidRPr="001E454D">
              <w:rPr>
                <w:rStyle w:val="Hyperlink"/>
                <w:noProof/>
              </w:rPr>
              <w:t>Groundwater modelling</w:t>
            </w:r>
            <w:r w:rsidR="00D039BF">
              <w:rPr>
                <w:noProof/>
                <w:webHidden/>
              </w:rPr>
              <w:tab/>
            </w:r>
            <w:r>
              <w:rPr>
                <w:noProof/>
                <w:webHidden/>
              </w:rPr>
              <w:fldChar w:fldCharType="begin"/>
            </w:r>
            <w:r w:rsidR="00D039BF">
              <w:rPr>
                <w:noProof/>
                <w:webHidden/>
              </w:rPr>
              <w:instrText xml:space="preserve"> PAGEREF _Toc389055238 \h </w:instrText>
            </w:r>
            <w:r>
              <w:rPr>
                <w:noProof/>
                <w:webHidden/>
              </w:rPr>
            </w:r>
            <w:r>
              <w:rPr>
                <w:noProof/>
                <w:webHidden/>
              </w:rPr>
              <w:fldChar w:fldCharType="separate"/>
            </w:r>
            <w:r w:rsidR="000B1D24">
              <w:rPr>
                <w:noProof/>
                <w:webHidden/>
              </w:rPr>
              <w:t>92</w:t>
            </w:r>
            <w:r>
              <w:rPr>
                <w:noProof/>
                <w:webHidden/>
              </w:rPr>
              <w:fldChar w:fldCharType="end"/>
            </w:r>
          </w:hyperlink>
        </w:p>
        <w:p w:rsidR="00D039BF" w:rsidRDefault="00E23933">
          <w:pPr>
            <w:pStyle w:val="TOC2"/>
            <w:tabs>
              <w:tab w:val="left" w:pos="960"/>
              <w:tab w:val="right" w:leader="dot" w:pos="9054"/>
            </w:tabs>
            <w:rPr>
              <w:rFonts w:asciiTheme="minorHAnsi" w:hAnsiTheme="minorHAnsi" w:cstheme="minorBidi"/>
              <w:noProof/>
              <w:color w:val="auto"/>
              <w:sz w:val="22"/>
              <w:lang w:val="en-AU" w:eastAsia="en-AU"/>
            </w:rPr>
          </w:pPr>
          <w:hyperlink w:anchor="_Toc389055239" w:history="1">
            <w:r w:rsidR="00D039BF" w:rsidRPr="001E454D">
              <w:rPr>
                <w:rStyle w:val="Hyperlink"/>
                <w:noProof/>
              </w:rPr>
              <w:t>5.9</w:t>
            </w:r>
            <w:r w:rsidR="00D039BF">
              <w:rPr>
                <w:rFonts w:asciiTheme="minorHAnsi" w:hAnsiTheme="minorHAnsi" w:cstheme="minorBidi"/>
                <w:noProof/>
                <w:color w:val="auto"/>
                <w:sz w:val="22"/>
                <w:lang w:val="en-AU" w:eastAsia="en-AU"/>
              </w:rPr>
              <w:tab/>
            </w:r>
            <w:r w:rsidR="00D039BF" w:rsidRPr="001E454D">
              <w:rPr>
                <w:rStyle w:val="Hyperlink"/>
                <w:noProof/>
              </w:rPr>
              <w:t>Aquifer connectivity</w:t>
            </w:r>
            <w:r w:rsidR="00D039BF">
              <w:rPr>
                <w:noProof/>
                <w:webHidden/>
              </w:rPr>
              <w:tab/>
            </w:r>
            <w:r>
              <w:rPr>
                <w:noProof/>
                <w:webHidden/>
              </w:rPr>
              <w:fldChar w:fldCharType="begin"/>
            </w:r>
            <w:r w:rsidR="00D039BF">
              <w:rPr>
                <w:noProof/>
                <w:webHidden/>
              </w:rPr>
              <w:instrText xml:space="preserve"> PAGEREF _Toc389055239 \h </w:instrText>
            </w:r>
            <w:r>
              <w:rPr>
                <w:noProof/>
                <w:webHidden/>
              </w:rPr>
            </w:r>
            <w:r>
              <w:rPr>
                <w:noProof/>
                <w:webHidden/>
              </w:rPr>
              <w:fldChar w:fldCharType="separate"/>
            </w:r>
            <w:r w:rsidR="000B1D24">
              <w:rPr>
                <w:noProof/>
                <w:webHidden/>
              </w:rPr>
              <w:t>94</w:t>
            </w:r>
            <w:r>
              <w:rPr>
                <w:noProof/>
                <w:webHidden/>
              </w:rPr>
              <w:fldChar w:fldCharType="end"/>
            </w:r>
          </w:hyperlink>
        </w:p>
        <w:p w:rsidR="00D039BF" w:rsidRDefault="00E23933">
          <w:pPr>
            <w:pStyle w:val="TOC2"/>
            <w:tabs>
              <w:tab w:val="left" w:pos="960"/>
              <w:tab w:val="right" w:leader="dot" w:pos="9054"/>
            </w:tabs>
            <w:rPr>
              <w:rFonts w:asciiTheme="minorHAnsi" w:hAnsiTheme="minorHAnsi" w:cstheme="minorBidi"/>
              <w:noProof/>
              <w:color w:val="auto"/>
              <w:sz w:val="22"/>
              <w:lang w:val="en-AU" w:eastAsia="en-AU"/>
            </w:rPr>
          </w:pPr>
          <w:hyperlink w:anchor="_Toc389055240" w:history="1">
            <w:r w:rsidR="00D039BF" w:rsidRPr="001E454D">
              <w:rPr>
                <w:rStyle w:val="Hyperlink"/>
                <w:noProof/>
              </w:rPr>
              <w:t>5.10</w:t>
            </w:r>
            <w:r w:rsidR="00D039BF">
              <w:rPr>
                <w:rFonts w:asciiTheme="minorHAnsi" w:hAnsiTheme="minorHAnsi" w:cstheme="minorBidi"/>
                <w:noProof/>
                <w:color w:val="auto"/>
                <w:sz w:val="22"/>
                <w:lang w:val="en-AU" w:eastAsia="en-AU"/>
              </w:rPr>
              <w:tab/>
            </w:r>
            <w:r w:rsidR="00D039BF" w:rsidRPr="001E454D">
              <w:rPr>
                <w:rStyle w:val="Hyperlink"/>
                <w:noProof/>
              </w:rPr>
              <w:t>Knowledge gaps</w:t>
            </w:r>
            <w:r w:rsidR="00D039BF">
              <w:rPr>
                <w:noProof/>
                <w:webHidden/>
              </w:rPr>
              <w:tab/>
            </w:r>
            <w:r>
              <w:rPr>
                <w:noProof/>
                <w:webHidden/>
              </w:rPr>
              <w:fldChar w:fldCharType="begin"/>
            </w:r>
            <w:r w:rsidR="00D039BF">
              <w:rPr>
                <w:noProof/>
                <w:webHidden/>
              </w:rPr>
              <w:instrText xml:space="preserve"> PAGEREF _Toc389055240 \h </w:instrText>
            </w:r>
            <w:r>
              <w:rPr>
                <w:noProof/>
                <w:webHidden/>
              </w:rPr>
            </w:r>
            <w:r>
              <w:rPr>
                <w:noProof/>
                <w:webHidden/>
              </w:rPr>
              <w:fldChar w:fldCharType="separate"/>
            </w:r>
            <w:r w:rsidR="000B1D24">
              <w:rPr>
                <w:noProof/>
                <w:webHidden/>
              </w:rPr>
              <w:t>95</w:t>
            </w:r>
            <w:r>
              <w:rPr>
                <w:noProof/>
                <w:webHidden/>
              </w:rPr>
              <w:fldChar w:fldCharType="end"/>
            </w:r>
          </w:hyperlink>
        </w:p>
        <w:p w:rsidR="00D039BF" w:rsidRDefault="00E23933">
          <w:pPr>
            <w:pStyle w:val="TOC1"/>
            <w:tabs>
              <w:tab w:val="left" w:pos="480"/>
              <w:tab w:val="right" w:leader="dot" w:pos="9054"/>
            </w:tabs>
            <w:rPr>
              <w:rFonts w:asciiTheme="minorHAnsi" w:hAnsiTheme="minorHAnsi" w:cstheme="minorBidi"/>
              <w:noProof/>
              <w:color w:val="auto"/>
              <w:sz w:val="22"/>
              <w:lang w:val="en-AU" w:eastAsia="en-AU"/>
            </w:rPr>
          </w:pPr>
          <w:hyperlink w:anchor="_Toc389055241" w:history="1">
            <w:r w:rsidR="00D039BF" w:rsidRPr="001E454D">
              <w:rPr>
                <w:rStyle w:val="Hyperlink"/>
                <w:noProof/>
              </w:rPr>
              <w:t>6</w:t>
            </w:r>
            <w:r w:rsidR="00D039BF">
              <w:rPr>
                <w:rFonts w:asciiTheme="minorHAnsi" w:hAnsiTheme="minorHAnsi" w:cstheme="minorBidi"/>
                <w:noProof/>
                <w:color w:val="auto"/>
                <w:sz w:val="22"/>
                <w:lang w:val="en-AU" w:eastAsia="en-AU"/>
              </w:rPr>
              <w:tab/>
            </w:r>
            <w:r w:rsidR="00D039BF" w:rsidRPr="001E454D">
              <w:rPr>
                <w:rStyle w:val="Hyperlink"/>
                <w:noProof/>
              </w:rPr>
              <w:t>Aquifer connectivity in the Surat Basin</w:t>
            </w:r>
            <w:r w:rsidR="00D039BF">
              <w:rPr>
                <w:noProof/>
                <w:webHidden/>
              </w:rPr>
              <w:tab/>
            </w:r>
            <w:r>
              <w:rPr>
                <w:noProof/>
                <w:webHidden/>
              </w:rPr>
              <w:fldChar w:fldCharType="begin"/>
            </w:r>
            <w:r w:rsidR="00D039BF">
              <w:rPr>
                <w:noProof/>
                <w:webHidden/>
              </w:rPr>
              <w:instrText xml:space="preserve"> PAGEREF _Toc389055241 \h </w:instrText>
            </w:r>
            <w:r>
              <w:rPr>
                <w:noProof/>
                <w:webHidden/>
              </w:rPr>
            </w:r>
            <w:r>
              <w:rPr>
                <w:noProof/>
                <w:webHidden/>
              </w:rPr>
              <w:fldChar w:fldCharType="separate"/>
            </w:r>
            <w:r w:rsidR="000B1D24">
              <w:rPr>
                <w:noProof/>
                <w:webHidden/>
              </w:rPr>
              <w:t>98</w:t>
            </w:r>
            <w:r>
              <w:rPr>
                <w:noProof/>
                <w:webHidden/>
              </w:rPr>
              <w:fldChar w:fldCharType="end"/>
            </w:r>
          </w:hyperlink>
        </w:p>
        <w:p w:rsidR="00D039BF" w:rsidRDefault="00E23933">
          <w:pPr>
            <w:pStyle w:val="TOC2"/>
            <w:tabs>
              <w:tab w:val="left" w:pos="960"/>
              <w:tab w:val="right" w:leader="dot" w:pos="9054"/>
            </w:tabs>
            <w:rPr>
              <w:rFonts w:asciiTheme="minorHAnsi" w:hAnsiTheme="minorHAnsi" w:cstheme="minorBidi"/>
              <w:noProof/>
              <w:color w:val="auto"/>
              <w:sz w:val="22"/>
              <w:lang w:val="en-AU" w:eastAsia="en-AU"/>
            </w:rPr>
          </w:pPr>
          <w:hyperlink w:anchor="_Toc389055242" w:history="1">
            <w:r w:rsidR="00D039BF" w:rsidRPr="001E454D">
              <w:rPr>
                <w:rStyle w:val="Hyperlink"/>
                <w:noProof/>
              </w:rPr>
              <w:t>6.1</w:t>
            </w:r>
            <w:r w:rsidR="00D039BF">
              <w:rPr>
                <w:rFonts w:asciiTheme="minorHAnsi" w:hAnsiTheme="minorHAnsi" w:cstheme="minorBidi"/>
                <w:noProof/>
                <w:color w:val="auto"/>
                <w:sz w:val="22"/>
                <w:lang w:val="en-AU" w:eastAsia="en-AU"/>
              </w:rPr>
              <w:tab/>
            </w:r>
            <w:r w:rsidR="00D039BF" w:rsidRPr="001E454D">
              <w:rPr>
                <w:rStyle w:val="Hyperlink"/>
                <w:noProof/>
              </w:rPr>
              <w:t>Major aquifer and aquitard stratigraphy</w:t>
            </w:r>
            <w:r w:rsidR="00D039BF">
              <w:rPr>
                <w:noProof/>
                <w:webHidden/>
              </w:rPr>
              <w:tab/>
            </w:r>
            <w:r>
              <w:rPr>
                <w:noProof/>
                <w:webHidden/>
              </w:rPr>
              <w:fldChar w:fldCharType="begin"/>
            </w:r>
            <w:r w:rsidR="00D039BF">
              <w:rPr>
                <w:noProof/>
                <w:webHidden/>
              </w:rPr>
              <w:instrText xml:space="preserve"> PAGEREF _Toc389055242 \h </w:instrText>
            </w:r>
            <w:r>
              <w:rPr>
                <w:noProof/>
                <w:webHidden/>
              </w:rPr>
            </w:r>
            <w:r>
              <w:rPr>
                <w:noProof/>
                <w:webHidden/>
              </w:rPr>
              <w:fldChar w:fldCharType="separate"/>
            </w:r>
            <w:r w:rsidR="000B1D24">
              <w:rPr>
                <w:noProof/>
                <w:webHidden/>
              </w:rPr>
              <w:t>98</w:t>
            </w:r>
            <w:r>
              <w:rPr>
                <w:noProof/>
                <w:webHidden/>
              </w:rPr>
              <w:fldChar w:fldCharType="end"/>
            </w:r>
          </w:hyperlink>
        </w:p>
        <w:p w:rsidR="00D039BF" w:rsidRDefault="00E23933">
          <w:pPr>
            <w:pStyle w:val="TOC2"/>
            <w:tabs>
              <w:tab w:val="left" w:pos="960"/>
              <w:tab w:val="right" w:leader="dot" w:pos="9054"/>
            </w:tabs>
            <w:rPr>
              <w:rFonts w:asciiTheme="minorHAnsi" w:hAnsiTheme="minorHAnsi" w:cstheme="minorBidi"/>
              <w:noProof/>
              <w:color w:val="auto"/>
              <w:sz w:val="22"/>
              <w:lang w:val="en-AU" w:eastAsia="en-AU"/>
            </w:rPr>
          </w:pPr>
          <w:hyperlink w:anchor="_Toc389055243" w:history="1">
            <w:r w:rsidR="00D039BF" w:rsidRPr="001E454D">
              <w:rPr>
                <w:rStyle w:val="Hyperlink"/>
                <w:noProof/>
              </w:rPr>
              <w:t>6.2</w:t>
            </w:r>
            <w:r w:rsidR="00D039BF">
              <w:rPr>
                <w:rFonts w:asciiTheme="minorHAnsi" w:hAnsiTheme="minorHAnsi" w:cstheme="minorBidi"/>
                <w:noProof/>
                <w:color w:val="auto"/>
                <w:sz w:val="22"/>
                <w:lang w:val="en-AU" w:eastAsia="en-AU"/>
              </w:rPr>
              <w:tab/>
            </w:r>
            <w:r w:rsidR="00D039BF" w:rsidRPr="001E454D">
              <w:rPr>
                <w:rStyle w:val="Hyperlink"/>
                <w:noProof/>
              </w:rPr>
              <w:t>Structural properties</w:t>
            </w:r>
            <w:r w:rsidR="00D039BF">
              <w:rPr>
                <w:noProof/>
                <w:webHidden/>
              </w:rPr>
              <w:tab/>
            </w:r>
            <w:r>
              <w:rPr>
                <w:noProof/>
                <w:webHidden/>
              </w:rPr>
              <w:fldChar w:fldCharType="begin"/>
            </w:r>
            <w:r w:rsidR="00D039BF">
              <w:rPr>
                <w:noProof/>
                <w:webHidden/>
              </w:rPr>
              <w:instrText xml:space="preserve"> PAGEREF _Toc389055243 \h </w:instrText>
            </w:r>
            <w:r>
              <w:rPr>
                <w:noProof/>
                <w:webHidden/>
              </w:rPr>
            </w:r>
            <w:r>
              <w:rPr>
                <w:noProof/>
                <w:webHidden/>
              </w:rPr>
              <w:fldChar w:fldCharType="separate"/>
            </w:r>
            <w:r w:rsidR="000B1D24">
              <w:rPr>
                <w:noProof/>
                <w:webHidden/>
              </w:rPr>
              <w:t>100</w:t>
            </w:r>
            <w:r>
              <w:rPr>
                <w:noProof/>
                <w:webHidden/>
              </w:rPr>
              <w:fldChar w:fldCharType="end"/>
            </w:r>
          </w:hyperlink>
        </w:p>
        <w:p w:rsidR="00D039BF" w:rsidRDefault="00E23933">
          <w:pPr>
            <w:pStyle w:val="TOC2"/>
            <w:tabs>
              <w:tab w:val="left" w:pos="960"/>
              <w:tab w:val="right" w:leader="dot" w:pos="9054"/>
            </w:tabs>
            <w:rPr>
              <w:rFonts w:asciiTheme="minorHAnsi" w:hAnsiTheme="minorHAnsi" w:cstheme="minorBidi"/>
              <w:noProof/>
              <w:color w:val="auto"/>
              <w:sz w:val="22"/>
              <w:lang w:val="en-AU" w:eastAsia="en-AU"/>
            </w:rPr>
          </w:pPr>
          <w:hyperlink w:anchor="_Toc389055244" w:history="1">
            <w:r w:rsidR="00D039BF" w:rsidRPr="001E454D">
              <w:rPr>
                <w:rStyle w:val="Hyperlink"/>
                <w:noProof/>
              </w:rPr>
              <w:t>6.3</w:t>
            </w:r>
            <w:r w:rsidR="00D039BF">
              <w:rPr>
                <w:rFonts w:asciiTheme="minorHAnsi" w:hAnsiTheme="minorHAnsi" w:cstheme="minorBidi"/>
                <w:noProof/>
                <w:color w:val="auto"/>
                <w:sz w:val="22"/>
                <w:lang w:val="en-AU" w:eastAsia="en-AU"/>
              </w:rPr>
              <w:tab/>
            </w:r>
            <w:r w:rsidR="00D039BF" w:rsidRPr="001E454D">
              <w:rPr>
                <w:rStyle w:val="Hyperlink"/>
                <w:noProof/>
              </w:rPr>
              <w:t>Hydraulic properties</w:t>
            </w:r>
            <w:r w:rsidR="00D039BF">
              <w:rPr>
                <w:noProof/>
                <w:webHidden/>
              </w:rPr>
              <w:tab/>
            </w:r>
            <w:r>
              <w:rPr>
                <w:noProof/>
                <w:webHidden/>
              </w:rPr>
              <w:fldChar w:fldCharType="begin"/>
            </w:r>
            <w:r w:rsidR="00D039BF">
              <w:rPr>
                <w:noProof/>
                <w:webHidden/>
              </w:rPr>
              <w:instrText xml:space="preserve"> PAGEREF _Toc389055244 \h </w:instrText>
            </w:r>
            <w:r>
              <w:rPr>
                <w:noProof/>
                <w:webHidden/>
              </w:rPr>
            </w:r>
            <w:r>
              <w:rPr>
                <w:noProof/>
                <w:webHidden/>
              </w:rPr>
              <w:fldChar w:fldCharType="separate"/>
            </w:r>
            <w:r w:rsidR="000B1D24">
              <w:rPr>
                <w:noProof/>
                <w:webHidden/>
              </w:rPr>
              <w:t>100</w:t>
            </w:r>
            <w:r>
              <w:rPr>
                <w:noProof/>
                <w:webHidden/>
              </w:rPr>
              <w:fldChar w:fldCharType="end"/>
            </w:r>
          </w:hyperlink>
        </w:p>
        <w:p w:rsidR="00D039BF" w:rsidRDefault="00E23933">
          <w:pPr>
            <w:pStyle w:val="TOC2"/>
            <w:tabs>
              <w:tab w:val="left" w:pos="960"/>
              <w:tab w:val="right" w:leader="dot" w:pos="9054"/>
            </w:tabs>
            <w:rPr>
              <w:rFonts w:asciiTheme="minorHAnsi" w:hAnsiTheme="minorHAnsi" w:cstheme="minorBidi"/>
              <w:noProof/>
              <w:color w:val="auto"/>
              <w:sz w:val="22"/>
              <w:lang w:val="en-AU" w:eastAsia="en-AU"/>
            </w:rPr>
          </w:pPr>
          <w:hyperlink w:anchor="_Toc389055245" w:history="1">
            <w:r w:rsidR="00D039BF" w:rsidRPr="001E454D">
              <w:rPr>
                <w:rStyle w:val="Hyperlink"/>
                <w:noProof/>
              </w:rPr>
              <w:t>6.4</w:t>
            </w:r>
            <w:r w:rsidR="00D039BF">
              <w:rPr>
                <w:rFonts w:asciiTheme="minorHAnsi" w:hAnsiTheme="minorHAnsi" w:cstheme="minorBidi"/>
                <w:noProof/>
                <w:color w:val="auto"/>
                <w:sz w:val="22"/>
                <w:lang w:val="en-AU" w:eastAsia="en-AU"/>
              </w:rPr>
              <w:tab/>
            </w:r>
            <w:r w:rsidR="00D039BF" w:rsidRPr="001E454D">
              <w:rPr>
                <w:rStyle w:val="Hyperlink"/>
                <w:noProof/>
              </w:rPr>
              <w:t>Geomechanical properties</w:t>
            </w:r>
            <w:r w:rsidR="00D039BF">
              <w:rPr>
                <w:noProof/>
                <w:webHidden/>
              </w:rPr>
              <w:tab/>
            </w:r>
            <w:r>
              <w:rPr>
                <w:noProof/>
                <w:webHidden/>
              </w:rPr>
              <w:fldChar w:fldCharType="begin"/>
            </w:r>
            <w:r w:rsidR="00D039BF">
              <w:rPr>
                <w:noProof/>
                <w:webHidden/>
              </w:rPr>
              <w:instrText xml:space="preserve"> PAGEREF _Toc389055245 \h </w:instrText>
            </w:r>
            <w:r>
              <w:rPr>
                <w:noProof/>
                <w:webHidden/>
              </w:rPr>
            </w:r>
            <w:r>
              <w:rPr>
                <w:noProof/>
                <w:webHidden/>
              </w:rPr>
              <w:fldChar w:fldCharType="separate"/>
            </w:r>
            <w:r w:rsidR="000B1D24">
              <w:rPr>
                <w:noProof/>
                <w:webHidden/>
              </w:rPr>
              <w:t>105</w:t>
            </w:r>
            <w:r>
              <w:rPr>
                <w:noProof/>
                <w:webHidden/>
              </w:rPr>
              <w:fldChar w:fldCharType="end"/>
            </w:r>
          </w:hyperlink>
        </w:p>
        <w:p w:rsidR="00D039BF" w:rsidRDefault="00E23933">
          <w:pPr>
            <w:pStyle w:val="TOC2"/>
            <w:tabs>
              <w:tab w:val="left" w:pos="960"/>
              <w:tab w:val="right" w:leader="dot" w:pos="9054"/>
            </w:tabs>
            <w:rPr>
              <w:rFonts w:asciiTheme="minorHAnsi" w:hAnsiTheme="minorHAnsi" w:cstheme="minorBidi"/>
              <w:noProof/>
              <w:color w:val="auto"/>
              <w:sz w:val="22"/>
              <w:lang w:val="en-AU" w:eastAsia="en-AU"/>
            </w:rPr>
          </w:pPr>
          <w:hyperlink w:anchor="_Toc389055246" w:history="1">
            <w:r w:rsidR="00D039BF" w:rsidRPr="001E454D">
              <w:rPr>
                <w:rStyle w:val="Hyperlink"/>
                <w:noProof/>
              </w:rPr>
              <w:t>6.5</w:t>
            </w:r>
            <w:r w:rsidR="00D039BF">
              <w:rPr>
                <w:rFonts w:asciiTheme="minorHAnsi" w:hAnsiTheme="minorHAnsi" w:cstheme="minorBidi"/>
                <w:noProof/>
                <w:color w:val="auto"/>
                <w:sz w:val="22"/>
                <w:lang w:val="en-AU" w:eastAsia="en-AU"/>
              </w:rPr>
              <w:tab/>
            </w:r>
            <w:r w:rsidR="00D039BF" w:rsidRPr="001E454D">
              <w:rPr>
                <w:rStyle w:val="Hyperlink"/>
                <w:noProof/>
              </w:rPr>
              <w:t>Groundwater recharge, flow and discharge</w:t>
            </w:r>
            <w:r w:rsidR="00D039BF">
              <w:rPr>
                <w:noProof/>
                <w:webHidden/>
              </w:rPr>
              <w:tab/>
            </w:r>
            <w:r>
              <w:rPr>
                <w:noProof/>
                <w:webHidden/>
              </w:rPr>
              <w:fldChar w:fldCharType="begin"/>
            </w:r>
            <w:r w:rsidR="00D039BF">
              <w:rPr>
                <w:noProof/>
                <w:webHidden/>
              </w:rPr>
              <w:instrText xml:space="preserve"> PAGEREF _Toc389055246 \h </w:instrText>
            </w:r>
            <w:r>
              <w:rPr>
                <w:noProof/>
                <w:webHidden/>
              </w:rPr>
            </w:r>
            <w:r>
              <w:rPr>
                <w:noProof/>
                <w:webHidden/>
              </w:rPr>
              <w:fldChar w:fldCharType="separate"/>
            </w:r>
            <w:r w:rsidR="000B1D24">
              <w:rPr>
                <w:noProof/>
                <w:webHidden/>
              </w:rPr>
              <w:t>109</w:t>
            </w:r>
            <w:r>
              <w:rPr>
                <w:noProof/>
                <w:webHidden/>
              </w:rPr>
              <w:fldChar w:fldCharType="end"/>
            </w:r>
          </w:hyperlink>
        </w:p>
        <w:p w:rsidR="00D039BF" w:rsidRDefault="00E23933">
          <w:pPr>
            <w:pStyle w:val="TOC2"/>
            <w:tabs>
              <w:tab w:val="left" w:pos="960"/>
              <w:tab w:val="right" w:leader="dot" w:pos="9054"/>
            </w:tabs>
            <w:rPr>
              <w:rFonts w:asciiTheme="minorHAnsi" w:hAnsiTheme="minorHAnsi" w:cstheme="minorBidi"/>
              <w:noProof/>
              <w:color w:val="auto"/>
              <w:sz w:val="22"/>
              <w:lang w:val="en-AU" w:eastAsia="en-AU"/>
            </w:rPr>
          </w:pPr>
          <w:hyperlink w:anchor="_Toc389055247" w:history="1">
            <w:r w:rsidR="00D039BF" w:rsidRPr="001E454D">
              <w:rPr>
                <w:rStyle w:val="Hyperlink"/>
                <w:noProof/>
              </w:rPr>
              <w:t>6.6</w:t>
            </w:r>
            <w:r w:rsidR="00D039BF">
              <w:rPr>
                <w:rFonts w:asciiTheme="minorHAnsi" w:hAnsiTheme="minorHAnsi" w:cstheme="minorBidi"/>
                <w:noProof/>
                <w:color w:val="auto"/>
                <w:sz w:val="22"/>
                <w:lang w:val="en-AU" w:eastAsia="en-AU"/>
              </w:rPr>
              <w:tab/>
            </w:r>
            <w:r w:rsidR="00D039BF" w:rsidRPr="001E454D">
              <w:rPr>
                <w:rStyle w:val="Hyperlink"/>
                <w:noProof/>
              </w:rPr>
              <w:t>Hydrochemistry and isotopes</w:t>
            </w:r>
            <w:r w:rsidR="00D039BF">
              <w:rPr>
                <w:noProof/>
                <w:webHidden/>
              </w:rPr>
              <w:tab/>
            </w:r>
            <w:r>
              <w:rPr>
                <w:noProof/>
                <w:webHidden/>
              </w:rPr>
              <w:fldChar w:fldCharType="begin"/>
            </w:r>
            <w:r w:rsidR="00D039BF">
              <w:rPr>
                <w:noProof/>
                <w:webHidden/>
              </w:rPr>
              <w:instrText xml:space="preserve"> PAGEREF _Toc389055247 \h </w:instrText>
            </w:r>
            <w:r>
              <w:rPr>
                <w:noProof/>
                <w:webHidden/>
              </w:rPr>
            </w:r>
            <w:r>
              <w:rPr>
                <w:noProof/>
                <w:webHidden/>
              </w:rPr>
              <w:fldChar w:fldCharType="separate"/>
            </w:r>
            <w:r w:rsidR="000B1D24">
              <w:rPr>
                <w:noProof/>
                <w:webHidden/>
              </w:rPr>
              <w:t>111</w:t>
            </w:r>
            <w:r>
              <w:rPr>
                <w:noProof/>
                <w:webHidden/>
              </w:rPr>
              <w:fldChar w:fldCharType="end"/>
            </w:r>
          </w:hyperlink>
        </w:p>
        <w:p w:rsidR="00D039BF" w:rsidRDefault="00E23933">
          <w:pPr>
            <w:pStyle w:val="TOC2"/>
            <w:tabs>
              <w:tab w:val="left" w:pos="960"/>
              <w:tab w:val="right" w:leader="dot" w:pos="9054"/>
            </w:tabs>
            <w:rPr>
              <w:rFonts w:asciiTheme="minorHAnsi" w:hAnsiTheme="minorHAnsi" w:cstheme="minorBidi"/>
              <w:noProof/>
              <w:color w:val="auto"/>
              <w:sz w:val="22"/>
              <w:lang w:val="en-AU" w:eastAsia="en-AU"/>
            </w:rPr>
          </w:pPr>
          <w:hyperlink w:anchor="_Toc389055248" w:history="1">
            <w:r w:rsidR="00D039BF" w:rsidRPr="001E454D">
              <w:rPr>
                <w:rStyle w:val="Hyperlink"/>
                <w:noProof/>
              </w:rPr>
              <w:t>6.7</w:t>
            </w:r>
            <w:r w:rsidR="00D039BF">
              <w:rPr>
                <w:rFonts w:asciiTheme="minorHAnsi" w:hAnsiTheme="minorHAnsi" w:cstheme="minorBidi"/>
                <w:noProof/>
                <w:color w:val="auto"/>
                <w:sz w:val="22"/>
                <w:lang w:val="en-AU" w:eastAsia="en-AU"/>
              </w:rPr>
              <w:tab/>
            </w:r>
            <w:r w:rsidR="00D039BF" w:rsidRPr="001E454D">
              <w:rPr>
                <w:rStyle w:val="Hyperlink"/>
                <w:noProof/>
              </w:rPr>
              <w:t>Groundwater modelling</w:t>
            </w:r>
            <w:r w:rsidR="00D039BF">
              <w:rPr>
                <w:noProof/>
                <w:webHidden/>
              </w:rPr>
              <w:tab/>
            </w:r>
            <w:r>
              <w:rPr>
                <w:noProof/>
                <w:webHidden/>
              </w:rPr>
              <w:fldChar w:fldCharType="begin"/>
            </w:r>
            <w:r w:rsidR="00D039BF">
              <w:rPr>
                <w:noProof/>
                <w:webHidden/>
              </w:rPr>
              <w:instrText xml:space="preserve"> PAGEREF _Toc389055248 \h </w:instrText>
            </w:r>
            <w:r>
              <w:rPr>
                <w:noProof/>
                <w:webHidden/>
              </w:rPr>
            </w:r>
            <w:r>
              <w:rPr>
                <w:noProof/>
                <w:webHidden/>
              </w:rPr>
              <w:fldChar w:fldCharType="separate"/>
            </w:r>
            <w:r w:rsidR="000B1D24">
              <w:rPr>
                <w:noProof/>
                <w:webHidden/>
              </w:rPr>
              <w:t>112</w:t>
            </w:r>
            <w:r>
              <w:rPr>
                <w:noProof/>
                <w:webHidden/>
              </w:rPr>
              <w:fldChar w:fldCharType="end"/>
            </w:r>
          </w:hyperlink>
        </w:p>
        <w:p w:rsidR="00D039BF" w:rsidRDefault="00E23933">
          <w:pPr>
            <w:pStyle w:val="TOC2"/>
            <w:tabs>
              <w:tab w:val="left" w:pos="960"/>
              <w:tab w:val="right" w:leader="dot" w:pos="9054"/>
            </w:tabs>
            <w:rPr>
              <w:rFonts w:asciiTheme="minorHAnsi" w:hAnsiTheme="minorHAnsi" w:cstheme="minorBidi"/>
              <w:noProof/>
              <w:color w:val="auto"/>
              <w:sz w:val="22"/>
              <w:lang w:val="en-AU" w:eastAsia="en-AU"/>
            </w:rPr>
          </w:pPr>
          <w:hyperlink w:anchor="_Toc389055249" w:history="1">
            <w:r w:rsidR="00D039BF" w:rsidRPr="001E454D">
              <w:rPr>
                <w:rStyle w:val="Hyperlink"/>
                <w:noProof/>
              </w:rPr>
              <w:t>6.8</w:t>
            </w:r>
            <w:r w:rsidR="00D039BF">
              <w:rPr>
                <w:rFonts w:asciiTheme="minorHAnsi" w:hAnsiTheme="minorHAnsi" w:cstheme="minorBidi"/>
                <w:noProof/>
                <w:color w:val="auto"/>
                <w:sz w:val="22"/>
                <w:lang w:val="en-AU" w:eastAsia="en-AU"/>
              </w:rPr>
              <w:tab/>
            </w:r>
            <w:r w:rsidR="00D039BF" w:rsidRPr="001E454D">
              <w:rPr>
                <w:rStyle w:val="Hyperlink"/>
                <w:noProof/>
              </w:rPr>
              <w:t>Aquifer connectivity</w:t>
            </w:r>
            <w:r w:rsidR="00D039BF">
              <w:rPr>
                <w:noProof/>
                <w:webHidden/>
              </w:rPr>
              <w:tab/>
            </w:r>
            <w:r>
              <w:rPr>
                <w:noProof/>
                <w:webHidden/>
              </w:rPr>
              <w:fldChar w:fldCharType="begin"/>
            </w:r>
            <w:r w:rsidR="00D039BF">
              <w:rPr>
                <w:noProof/>
                <w:webHidden/>
              </w:rPr>
              <w:instrText xml:space="preserve"> PAGEREF _Toc389055249 \h </w:instrText>
            </w:r>
            <w:r>
              <w:rPr>
                <w:noProof/>
                <w:webHidden/>
              </w:rPr>
            </w:r>
            <w:r>
              <w:rPr>
                <w:noProof/>
                <w:webHidden/>
              </w:rPr>
              <w:fldChar w:fldCharType="separate"/>
            </w:r>
            <w:r w:rsidR="000B1D24">
              <w:rPr>
                <w:noProof/>
                <w:webHidden/>
              </w:rPr>
              <w:t>112</w:t>
            </w:r>
            <w:r>
              <w:rPr>
                <w:noProof/>
                <w:webHidden/>
              </w:rPr>
              <w:fldChar w:fldCharType="end"/>
            </w:r>
          </w:hyperlink>
        </w:p>
        <w:p w:rsidR="00D039BF" w:rsidRDefault="00E23933">
          <w:pPr>
            <w:pStyle w:val="TOC2"/>
            <w:tabs>
              <w:tab w:val="left" w:pos="960"/>
              <w:tab w:val="right" w:leader="dot" w:pos="9054"/>
            </w:tabs>
            <w:rPr>
              <w:rFonts w:asciiTheme="minorHAnsi" w:hAnsiTheme="minorHAnsi" w:cstheme="minorBidi"/>
              <w:noProof/>
              <w:color w:val="auto"/>
              <w:sz w:val="22"/>
              <w:lang w:val="en-AU" w:eastAsia="en-AU"/>
            </w:rPr>
          </w:pPr>
          <w:hyperlink w:anchor="_Toc389055250" w:history="1">
            <w:r w:rsidR="00D039BF" w:rsidRPr="001E454D">
              <w:rPr>
                <w:rStyle w:val="Hyperlink"/>
                <w:noProof/>
              </w:rPr>
              <w:t>6.9</w:t>
            </w:r>
            <w:r w:rsidR="00D039BF">
              <w:rPr>
                <w:rFonts w:asciiTheme="minorHAnsi" w:hAnsiTheme="minorHAnsi" w:cstheme="minorBidi"/>
                <w:noProof/>
                <w:color w:val="auto"/>
                <w:sz w:val="22"/>
                <w:lang w:val="en-AU" w:eastAsia="en-AU"/>
              </w:rPr>
              <w:tab/>
            </w:r>
            <w:r w:rsidR="00D039BF" w:rsidRPr="001E454D">
              <w:rPr>
                <w:rStyle w:val="Hyperlink"/>
                <w:noProof/>
              </w:rPr>
              <w:t>Knowledge gaps</w:t>
            </w:r>
            <w:r w:rsidR="00D039BF">
              <w:rPr>
                <w:noProof/>
                <w:webHidden/>
              </w:rPr>
              <w:tab/>
            </w:r>
            <w:r>
              <w:rPr>
                <w:noProof/>
                <w:webHidden/>
              </w:rPr>
              <w:fldChar w:fldCharType="begin"/>
            </w:r>
            <w:r w:rsidR="00D039BF">
              <w:rPr>
                <w:noProof/>
                <w:webHidden/>
              </w:rPr>
              <w:instrText xml:space="preserve"> PAGEREF _Toc389055250 \h </w:instrText>
            </w:r>
            <w:r>
              <w:rPr>
                <w:noProof/>
                <w:webHidden/>
              </w:rPr>
            </w:r>
            <w:r>
              <w:rPr>
                <w:noProof/>
                <w:webHidden/>
              </w:rPr>
              <w:fldChar w:fldCharType="separate"/>
            </w:r>
            <w:r w:rsidR="000B1D24">
              <w:rPr>
                <w:noProof/>
                <w:webHidden/>
              </w:rPr>
              <w:t>115</w:t>
            </w:r>
            <w:r>
              <w:rPr>
                <w:noProof/>
                <w:webHidden/>
              </w:rPr>
              <w:fldChar w:fldCharType="end"/>
            </w:r>
          </w:hyperlink>
        </w:p>
        <w:p w:rsidR="00D039BF" w:rsidRDefault="00E23933">
          <w:pPr>
            <w:pStyle w:val="TOC1"/>
            <w:tabs>
              <w:tab w:val="left" w:pos="480"/>
              <w:tab w:val="right" w:leader="dot" w:pos="9054"/>
            </w:tabs>
            <w:rPr>
              <w:rFonts w:asciiTheme="minorHAnsi" w:hAnsiTheme="minorHAnsi" w:cstheme="minorBidi"/>
              <w:noProof/>
              <w:color w:val="auto"/>
              <w:sz w:val="22"/>
              <w:lang w:val="en-AU" w:eastAsia="en-AU"/>
            </w:rPr>
          </w:pPr>
          <w:hyperlink w:anchor="_Toc389055251" w:history="1">
            <w:r w:rsidR="00D039BF" w:rsidRPr="001E454D">
              <w:rPr>
                <w:rStyle w:val="Hyperlink"/>
                <w:noProof/>
              </w:rPr>
              <w:t>7</w:t>
            </w:r>
            <w:r w:rsidR="00D039BF">
              <w:rPr>
                <w:rFonts w:asciiTheme="minorHAnsi" w:hAnsiTheme="minorHAnsi" w:cstheme="minorBidi"/>
                <w:noProof/>
                <w:color w:val="auto"/>
                <w:sz w:val="22"/>
                <w:lang w:val="en-AU" w:eastAsia="en-AU"/>
              </w:rPr>
              <w:tab/>
            </w:r>
            <w:r w:rsidR="00D039BF" w:rsidRPr="001E454D">
              <w:rPr>
                <w:rStyle w:val="Hyperlink"/>
                <w:noProof/>
              </w:rPr>
              <w:t>Aquifer connectivity in the Bowen Basin</w:t>
            </w:r>
            <w:r w:rsidR="00D039BF">
              <w:rPr>
                <w:noProof/>
                <w:webHidden/>
              </w:rPr>
              <w:tab/>
            </w:r>
            <w:r>
              <w:rPr>
                <w:noProof/>
                <w:webHidden/>
              </w:rPr>
              <w:fldChar w:fldCharType="begin"/>
            </w:r>
            <w:r w:rsidR="00D039BF">
              <w:rPr>
                <w:noProof/>
                <w:webHidden/>
              </w:rPr>
              <w:instrText xml:space="preserve"> PAGEREF _Toc389055251 \h </w:instrText>
            </w:r>
            <w:r>
              <w:rPr>
                <w:noProof/>
                <w:webHidden/>
              </w:rPr>
            </w:r>
            <w:r>
              <w:rPr>
                <w:noProof/>
                <w:webHidden/>
              </w:rPr>
              <w:fldChar w:fldCharType="separate"/>
            </w:r>
            <w:r w:rsidR="000B1D24">
              <w:rPr>
                <w:noProof/>
                <w:webHidden/>
              </w:rPr>
              <w:t>117</w:t>
            </w:r>
            <w:r>
              <w:rPr>
                <w:noProof/>
                <w:webHidden/>
              </w:rPr>
              <w:fldChar w:fldCharType="end"/>
            </w:r>
          </w:hyperlink>
        </w:p>
        <w:p w:rsidR="00D039BF" w:rsidRDefault="00E23933">
          <w:pPr>
            <w:pStyle w:val="TOC2"/>
            <w:tabs>
              <w:tab w:val="left" w:pos="960"/>
              <w:tab w:val="right" w:leader="dot" w:pos="9054"/>
            </w:tabs>
            <w:rPr>
              <w:rFonts w:asciiTheme="minorHAnsi" w:hAnsiTheme="minorHAnsi" w:cstheme="minorBidi"/>
              <w:noProof/>
              <w:color w:val="auto"/>
              <w:sz w:val="22"/>
              <w:lang w:val="en-AU" w:eastAsia="en-AU"/>
            </w:rPr>
          </w:pPr>
          <w:hyperlink w:anchor="_Toc389055252" w:history="1">
            <w:r w:rsidR="00D039BF" w:rsidRPr="001E454D">
              <w:rPr>
                <w:rStyle w:val="Hyperlink"/>
                <w:noProof/>
              </w:rPr>
              <w:t>7.1</w:t>
            </w:r>
            <w:r w:rsidR="00D039BF">
              <w:rPr>
                <w:rFonts w:asciiTheme="minorHAnsi" w:hAnsiTheme="minorHAnsi" w:cstheme="minorBidi"/>
                <w:noProof/>
                <w:color w:val="auto"/>
                <w:sz w:val="22"/>
                <w:lang w:val="en-AU" w:eastAsia="en-AU"/>
              </w:rPr>
              <w:tab/>
            </w:r>
            <w:r w:rsidR="00D039BF" w:rsidRPr="001E454D">
              <w:rPr>
                <w:rStyle w:val="Hyperlink"/>
                <w:noProof/>
              </w:rPr>
              <w:t>Major aquifer and aquitard stratigraphy</w:t>
            </w:r>
            <w:r w:rsidR="00D039BF">
              <w:rPr>
                <w:noProof/>
                <w:webHidden/>
              </w:rPr>
              <w:tab/>
            </w:r>
            <w:r>
              <w:rPr>
                <w:noProof/>
                <w:webHidden/>
              </w:rPr>
              <w:fldChar w:fldCharType="begin"/>
            </w:r>
            <w:r w:rsidR="00D039BF">
              <w:rPr>
                <w:noProof/>
                <w:webHidden/>
              </w:rPr>
              <w:instrText xml:space="preserve"> PAGEREF _Toc389055252 \h </w:instrText>
            </w:r>
            <w:r>
              <w:rPr>
                <w:noProof/>
                <w:webHidden/>
              </w:rPr>
            </w:r>
            <w:r>
              <w:rPr>
                <w:noProof/>
                <w:webHidden/>
              </w:rPr>
              <w:fldChar w:fldCharType="separate"/>
            </w:r>
            <w:r w:rsidR="000B1D24">
              <w:rPr>
                <w:noProof/>
                <w:webHidden/>
              </w:rPr>
              <w:t>117</w:t>
            </w:r>
            <w:r>
              <w:rPr>
                <w:noProof/>
                <w:webHidden/>
              </w:rPr>
              <w:fldChar w:fldCharType="end"/>
            </w:r>
          </w:hyperlink>
        </w:p>
        <w:p w:rsidR="00D039BF" w:rsidRDefault="00E23933">
          <w:pPr>
            <w:pStyle w:val="TOC2"/>
            <w:tabs>
              <w:tab w:val="left" w:pos="960"/>
              <w:tab w:val="right" w:leader="dot" w:pos="9054"/>
            </w:tabs>
            <w:rPr>
              <w:rFonts w:asciiTheme="minorHAnsi" w:hAnsiTheme="minorHAnsi" w:cstheme="minorBidi"/>
              <w:noProof/>
              <w:color w:val="auto"/>
              <w:sz w:val="22"/>
              <w:lang w:val="en-AU" w:eastAsia="en-AU"/>
            </w:rPr>
          </w:pPr>
          <w:hyperlink w:anchor="_Toc389055253" w:history="1">
            <w:r w:rsidR="00D039BF" w:rsidRPr="001E454D">
              <w:rPr>
                <w:rStyle w:val="Hyperlink"/>
                <w:noProof/>
              </w:rPr>
              <w:t>7.2</w:t>
            </w:r>
            <w:r w:rsidR="00D039BF">
              <w:rPr>
                <w:rFonts w:asciiTheme="minorHAnsi" w:hAnsiTheme="minorHAnsi" w:cstheme="minorBidi"/>
                <w:noProof/>
                <w:color w:val="auto"/>
                <w:sz w:val="22"/>
                <w:lang w:val="en-AU" w:eastAsia="en-AU"/>
              </w:rPr>
              <w:tab/>
            </w:r>
            <w:r w:rsidR="00D039BF" w:rsidRPr="001E454D">
              <w:rPr>
                <w:rStyle w:val="Hyperlink"/>
                <w:noProof/>
              </w:rPr>
              <w:t>Hydraulic properties</w:t>
            </w:r>
            <w:r w:rsidR="00D039BF">
              <w:rPr>
                <w:noProof/>
                <w:webHidden/>
              </w:rPr>
              <w:tab/>
            </w:r>
            <w:r>
              <w:rPr>
                <w:noProof/>
                <w:webHidden/>
              </w:rPr>
              <w:fldChar w:fldCharType="begin"/>
            </w:r>
            <w:r w:rsidR="00D039BF">
              <w:rPr>
                <w:noProof/>
                <w:webHidden/>
              </w:rPr>
              <w:instrText xml:space="preserve"> PAGEREF _Toc389055253 \h </w:instrText>
            </w:r>
            <w:r>
              <w:rPr>
                <w:noProof/>
                <w:webHidden/>
              </w:rPr>
            </w:r>
            <w:r>
              <w:rPr>
                <w:noProof/>
                <w:webHidden/>
              </w:rPr>
              <w:fldChar w:fldCharType="separate"/>
            </w:r>
            <w:r w:rsidR="000B1D24">
              <w:rPr>
                <w:noProof/>
                <w:webHidden/>
              </w:rPr>
              <w:t>133</w:t>
            </w:r>
            <w:r>
              <w:rPr>
                <w:noProof/>
                <w:webHidden/>
              </w:rPr>
              <w:fldChar w:fldCharType="end"/>
            </w:r>
          </w:hyperlink>
        </w:p>
        <w:p w:rsidR="00D039BF" w:rsidRDefault="00E23933">
          <w:pPr>
            <w:pStyle w:val="TOC2"/>
            <w:tabs>
              <w:tab w:val="left" w:pos="960"/>
              <w:tab w:val="right" w:leader="dot" w:pos="9054"/>
            </w:tabs>
            <w:rPr>
              <w:rFonts w:asciiTheme="minorHAnsi" w:hAnsiTheme="minorHAnsi" w:cstheme="minorBidi"/>
              <w:noProof/>
              <w:color w:val="auto"/>
              <w:sz w:val="22"/>
              <w:lang w:val="en-AU" w:eastAsia="en-AU"/>
            </w:rPr>
          </w:pPr>
          <w:hyperlink w:anchor="_Toc389055254" w:history="1">
            <w:r w:rsidR="00D039BF" w:rsidRPr="001E454D">
              <w:rPr>
                <w:rStyle w:val="Hyperlink"/>
                <w:noProof/>
              </w:rPr>
              <w:t>7.3</w:t>
            </w:r>
            <w:r w:rsidR="00D039BF">
              <w:rPr>
                <w:rFonts w:asciiTheme="minorHAnsi" w:hAnsiTheme="minorHAnsi" w:cstheme="minorBidi"/>
                <w:noProof/>
                <w:color w:val="auto"/>
                <w:sz w:val="22"/>
                <w:lang w:val="en-AU" w:eastAsia="en-AU"/>
              </w:rPr>
              <w:tab/>
            </w:r>
            <w:r w:rsidR="00D039BF" w:rsidRPr="001E454D">
              <w:rPr>
                <w:rStyle w:val="Hyperlink"/>
                <w:noProof/>
              </w:rPr>
              <w:t>Structural properties</w:t>
            </w:r>
            <w:r w:rsidR="00D039BF">
              <w:rPr>
                <w:noProof/>
                <w:webHidden/>
              </w:rPr>
              <w:tab/>
            </w:r>
            <w:r>
              <w:rPr>
                <w:noProof/>
                <w:webHidden/>
              </w:rPr>
              <w:fldChar w:fldCharType="begin"/>
            </w:r>
            <w:r w:rsidR="00D039BF">
              <w:rPr>
                <w:noProof/>
                <w:webHidden/>
              </w:rPr>
              <w:instrText xml:space="preserve"> PAGEREF _Toc389055254 \h </w:instrText>
            </w:r>
            <w:r>
              <w:rPr>
                <w:noProof/>
                <w:webHidden/>
              </w:rPr>
            </w:r>
            <w:r>
              <w:rPr>
                <w:noProof/>
                <w:webHidden/>
              </w:rPr>
              <w:fldChar w:fldCharType="separate"/>
            </w:r>
            <w:r w:rsidR="000B1D24">
              <w:rPr>
                <w:noProof/>
                <w:webHidden/>
              </w:rPr>
              <w:t>137</w:t>
            </w:r>
            <w:r>
              <w:rPr>
                <w:noProof/>
                <w:webHidden/>
              </w:rPr>
              <w:fldChar w:fldCharType="end"/>
            </w:r>
          </w:hyperlink>
        </w:p>
        <w:p w:rsidR="00D039BF" w:rsidRDefault="00E23933">
          <w:pPr>
            <w:pStyle w:val="TOC2"/>
            <w:tabs>
              <w:tab w:val="left" w:pos="960"/>
              <w:tab w:val="right" w:leader="dot" w:pos="9054"/>
            </w:tabs>
            <w:rPr>
              <w:rFonts w:asciiTheme="minorHAnsi" w:hAnsiTheme="minorHAnsi" w:cstheme="minorBidi"/>
              <w:noProof/>
              <w:color w:val="auto"/>
              <w:sz w:val="22"/>
              <w:lang w:val="en-AU" w:eastAsia="en-AU"/>
            </w:rPr>
          </w:pPr>
          <w:hyperlink w:anchor="_Toc389055255" w:history="1">
            <w:r w:rsidR="00D039BF" w:rsidRPr="001E454D">
              <w:rPr>
                <w:rStyle w:val="Hyperlink"/>
                <w:noProof/>
              </w:rPr>
              <w:t>7.4</w:t>
            </w:r>
            <w:r w:rsidR="00D039BF">
              <w:rPr>
                <w:rFonts w:asciiTheme="minorHAnsi" w:hAnsiTheme="minorHAnsi" w:cstheme="minorBidi"/>
                <w:noProof/>
                <w:color w:val="auto"/>
                <w:sz w:val="22"/>
                <w:lang w:val="en-AU" w:eastAsia="en-AU"/>
              </w:rPr>
              <w:tab/>
            </w:r>
            <w:r w:rsidR="00D039BF" w:rsidRPr="001E454D">
              <w:rPr>
                <w:rStyle w:val="Hyperlink"/>
                <w:noProof/>
              </w:rPr>
              <w:t>Geomechanical properties</w:t>
            </w:r>
            <w:r w:rsidR="00D039BF">
              <w:rPr>
                <w:noProof/>
                <w:webHidden/>
              </w:rPr>
              <w:tab/>
            </w:r>
            <w:r>
              <w:rPr>
                <w:noProof/>
                <w:webHidden/>
              </w:rPr>
              <w:fldChar w:fldCharType="begin"/>
            </w:r>
            <w:r w:rsidR="00D039BF">
              <w:rPr>
                <w:noProof/>
                <w:webHidden/>
              </w:rPr>
              <w:instrText xml:space="preserve"> PAGEREF _Toc389055255 \h </w:instrText>
            </w:r>
            <w:r>
              <w:rPr>
                <w:noProof/>
                <w:webHidden/>
              </w:rPr>
            </w:r>
            <w:r>
              <w:rPr>
                <w:noProof/>
                <w:webHidden/>
              </w:rPr>
              <w:fldChar w:fldCharType="separate"/>
            </w:r>
            <w:r w:rsidR="000B1D24">
              <w:rPr>
                <w:noProof/>
                <w:webHidden/>
              </w:rPr>
              <w:t>138</w:t>
            </w:r>
            <w:r>
              <w:rPr>
                <w:noProof/>
                <w:webHidden/>
              </w:rPr>
              <w:fldChar w:fldCharType="end"/>
            </w:r>
          </w:hyperlink>
        </w:p>
        <w:p w:rsidR="00D039BF" w:rsidRDefault="00E23933">
          <w:pPr>
            <w:pStyle w:val="TOC2"/>
            <w:tabs>
              <w:tab w:val="left" w:pos="960"/>
              <w:tab w:val="right" w:leader="dot" w:pos="9054"/>
            </w:tabs>
            <w:rPr>
              <w:rFonts w:asciiTheme="minorHAnsi" w:hAnsiTheme="minorHAnsi" w:cstheme="minorBidi"/>
              <w:noProof/>
              <w:color w:val="auto"/>
              <w:sz w:val="22"/>
              <w:lang w:val="en-AU" w:eastAsia="en-AU"/>
            </w:rPr>
          </w:pPr>
          <w:hyperlink w:anchor="_Toc389055256" w:history="1">
            <w:r w:rsidR="00D039BF" w:rsidRPr="001E454D">
              <w:rPr>
                <w:rStyle w:val="Hyperlink"/>
                <w:noProof/>
              </w:rPr>
              <w:t>7.5</w:t>
            </w:r>
            <w:r w:rsidR="00D039BF">
              <w:rPr>
                <w:rFonts w:asciiTheme="minorHAnsi" w:hAnsiTheme="minorHAnsi" w:cstheme="minorBidi"/>
                <w:noProof/>
                <w:color w:val="auto"/>
                <w:sz w:val="22"/>
                <w:lang w:val="en-AU" w:eastAsia="en-AU"/>
              </w:rPr>
              <w:tab/>
            </w:r>
            <w:r w:rsidR="00D039BF" w:rsidRPr="001E454D">
              <w:rPr>
                <w:rStyle w:val="Hyperlink"/>
                <w:noProof/>
              </w:rPr>
              <w:t>Geochemistry</w:t>
            </w:r>
            <w:r w:rsidR="00D039BF">
              <w:rPr>
                <w:noProof/>
                <w:webHidden/>
              </w:rPr>
              <w:tab/>
            </w:r>
            <w:r>
              <w:rPr>
                <w:noProof/>
                <w:webHidden/>
              </w:rPr>
              <w:fldChar w:fldCharType="begin"/>
            </w:r>
            <w:r w:rsidR="00D039BF">
              <w:rPr>
                <w:noProof/>
                <w:webHidden/>
              </w:rPr>
              <w:instrText xml:space="preserve"> PAGEREF _Toc389055256 \h </w:instrText>
            </w:r>
            <w:r>
              <w:rPr>
                <w:noProof/>
                <w:webHidden/>
              </w:rPr>
            </w:r>
            <w:r>
              <w:rPr>
                <w:noProof/>
                <w:webHidden/>
              </w:rPr>
              <w:fldChar w:fldCharType="separate"/>
            </w:r>
            <w:r w:rsidR="000B1D24">
              <w:rPr>
                <w:noProof/>
                <w:webHidden/>
              </w:rPr>
              <w:t>139</w:t>
            </w:r>
            <w:r>
              <w:rPr>
                <w:noProof/>
                <w:webHidden/>
              </w:rPr>
              <w:fldChar w:fldCharType="end"/>
            </w:r>
          </w:hyperlink>
        </w:p>
        <w:p w:rsidR="00D039BF" w:rsidRDefault="00E23933">
          <w:pPr>
            <w:pStyle w:val="TOC2"/>
            <w:tabs>
              <w:tab w:val="left" w:pos="960"/>
              <w:tab w:val="right" w:leader="dot" w:pos="9054"/>
            </w:tabs>
            <w:rPr>
              <w:rFonts w:asciiTheme="minorHAnsi" w:hAnsiTheme="minorHAnsi" w:cstheme="minorBidi"/>
              <w:noProof/>
              <w:color w:val="auto"/>
              <w:sz w:val="22"/>
              <w:lang w:val="en-AU" w:eastAsia="en-AU"/>
            </w:rPr>
          </w:pPr>
          <w:hyperlink w:anchor="_Toc389055257" w:history="1">
            <w:r w:rsidR="00D039BF" w:rsidRPr="001E454D">
              <w:rPr>
                <w:rStyle w:val="Hyperlink"/>
                <w:noProof/>
              </w:rPr>
              <w:t>7.6</w:t>
            </w:r>
            <w:r w:rsidR="00D039BF">
              <w:rPr>
                <w:rFonts w:asciiTheme="minorHAnsi" w:hAnsiTheme="minorHAnsi" w:cstheme="minorBidi"/>
                <w:noProof/>
                <w:color w:val="auto"/>
                <w:sz w:val="22"/>
                <w:lang w:val="en-AU" w:eastAsia="en-AU"/>
              </w:rPr>
              <w:tab/>
            </w:r>
            <w:r w:rsidR="00D039BF" w:rsidRPr="001E454D">
              <w:rPr>
                <w:rStyle w:val="Hyperlink"/>
                <w:noProof/>
              </w:rPr>
              <w:t>Regional groundwater flow trends</w:t>
            </w:r>
            <w:r w:rsidR="00D039BF">
              <w:rPr>
                <w:noProof/>
                <w:webHidden/>
              </w:rPr>
              <w:tab/>
            </w:r>
            <w:r>
              <w:rPr>
                <w:noProof/>
                <w:webHidden/>
              </w:rPr>
              <w:fldChar w:fldCharType="begin"/>
            </w:r>
            <w:r w:rsidR="00D039BF">
              <w:rPr>
                <w:noProof/>
                <w:webHidden/>
              </w:rPr>
              <w:instrText xml:space="preserve"> PAGEREF _Toc389055257 \h </w:instrText>
            </w:r>
            <w:r>
              <w:rPr>
                <w:noProof/>
                <w:webHidden/>
              </w:rPr>
            </w:r>
            <w:r>
              <w:rPr>
                <w:noProof/>
                <w:webHidden/>
              </w:rPr>
              <w:fldChar w:fldCharType="separate"/>
            </w:r>
            <w:r w:rsidR="000B1D24">
              <w:rPr>
                <w:noProof/>
                <w:webHidden/>
              </w:rPr>
              <w:t>142</w:t>
            </w:r>
            <w:r>
              <w:rPr>
                <w:noProof/>
                <w:webHidden/>
              </w:rPr>
              <w:fldChar w:fldCharType="end"/>
            </w:r>
          </w:hyperlink>
        </w:p>
        <w:p w:rsidR="00D039BF" w:rsidRDefault="00E23933">
          <w:pPr>
            <w:pStyle w:val="TOC2"/>
            <w:tabs>
              <w:tab w:val="left" w:pos="960"/>
              <w:tab w:val="right" w:leader="dot" w:pos="9054"/>
            </w:tabs>
            <w:rPr>
              <w:rFonts w:asciiTheme="minorHAnsi" w:hAnsiTheme="minorHAnsi" w:cstheme="minorBidi"/>
              <w:noProof/>
              <w:color w:val="auto"/>
              <w:sz w:val="22"/>
              <w:lang w:val="en-AU" w:eastAsia="en-AU"/>
            </w:rPr>
          </w:pPr>
          <w:hyperlink w:anchor="_Toc389055258" w:history="1">
            <w:r w:rsidR="00D039BF" w:rsidRPr="001E454D">
              <w:rPr>
                <w:rStyle w:val="Hyperlink"/>
                <w:noProof/>
              </w:rPr>
              <w:t>7.7</w:t>
            </w:r>
            <w:r w:rsidR="00D039BF">
              <w:rPr>
                <w:rFonts w:asciiTheme="minorHAnsi" w:hAnsiTheme="minorHAnsi" w:cstheme="minorBidi"/>
                <w:noProof/>
                <w:color w:val="auto"/>
                <w:sz w:val="22"/>
                <w:lang w:val="en-AU" w:eastAsia="en-AU"/>
              </w:rPr>
              <w:tab/>
            </w:r>
            <w:r w:rsidR="00D039BF" w:rsidRPr="001E454D">
              <w:rPr>
                <w:rStyle w:val="Hyperlink"/>
                <w:noProof/>
              </w:rPr>
              <w:t>Recharge</w:t>
            </w:r>
            <w:r w:rsidR="00D039BF">
              <w:rPr>
                <w:noProof/>
                <w:webHidden/>
              </w:rPr>
              <w:tab/>
            </w:r>
            <w:r>
              <w:rPr>
                <w:noProof/>
                <w:webHidden/>
              </w:rPr>
              <w:fldChar w:fldCharType="begin"/>
            </w:r>
            <w:r w:rsidR="00D039BF">
              <w:rPr>
                <w:noProof/>
                <w:webHidden/>
              </w:rPr>
              <w:instrText xml:space="preserve"> PAGEREF _Toc389055258 \h </w:instrText>
            </w:r>
            <w:r>
              <w:rPr>
                <w:noProof/>
                <w:webHidden/>
              </w:rPr>
            </w:r>
            <w:r>
              <w:rPr>
                <w:noProof/>
                <w:webHidden/>
              </w:rPr>
              <w:fldChar w:fldCharType="separate"/>
            </w:r>
            <w:r w:rsidR="000B1D24">
              <w:rPr>
                <w:noProof/>
                <w:webHidden/>
              </w:rPr>
              <w:t>143</w:t>
            </w:r>
            <w:r>
              <w:rPr>
                <w:noProof/>
                <w:webHidden/>
              </w:rPr>
              <w:fldChar w:fldCharType="end"/>
            </w:r>
          </w:hyperlink>
        </w:p>
        <w:p w:rsidR="00D039BF" w:rsidRDefault="00E23933">
          <w:pPr>
            <w:pStyle w:val="TOC2"/>
            <w:tabs>
              <w:tab w:val="left" w:pos="960"/>
              <w:tab w:val="right" w:leader="dot" w:pos="9054"/>
            </w:tabs>
            <w:rPr>
              <w:rFonts w:asciiTheme="minorHAnsi" w:hAnsiTheme="minorHAnsi" w:cstheme="minorBidi"/>
              <w:noProof/>
              <w:color w:val="auto"/>
              <w:sz w:val="22"/>
              <w:lang w:val="en-AU" w:eastAsia="en-AU"/>
            </w:rPr>
          </w:pPr>
          <w:hyperlink w:anchor="_Toc389055259" w:history="1">
            <w:r w:rsidR="00D039BF" w:rsidRPr="001E454D">
              <w:rPr>
                <w:rStyle w:val="Hyperlink"/>
                <w:noProof/>
              </w:rPr>
              <w:t>7.8</w:t>
            </w:r>
            <w:r w:rsidR="00D039BF">
              <w:rPr>
                <w:rFonts w:asciiTheme="minorHAnsi" w:hAnsiTheme="minorHAnsi" w:cstheme="minorBidi"/>
                <w:noProof/>
                <w:color w:val="auto"/>
                <w:sz w:val="22"/>
                <w:lang w:val="en-AU" w:eastAsia="en-AU"/>
              </w:rPr>
              <w:tab/>
            </w:r>
            <w:r w:rsidR="00D039BF" w:rsidRPr="001E454D">
              <w:rPr>
                <w:rStyle w:val="Hyperlink"/>
                <w:noProof/>
              </w:rPr>
              <w:t>Groundwater modelling</w:t>
            </w:r>
            <w:r w:rsidR="00D039BF">
              <w:rPr>
                <w:noProof/>
                <w:webHidden/>
              </w:rPr>
              <w:tab/>
            </w:r>
            <w:r>
              <w:rPr>
                <w:noProof/>
                <w:webHidden/>
              </w:rPr>
              <w:fldChar w:fldCharType="begin"/>
            </w:r>
            <w:r w:rsidR="00D039BF">
              <w:rPr>
                <w:noProof/>
                <w:webHidden/>
              </w:rPr>
              <w:instrText xml:space="preserve"> PAGEREF _Toc389055259 \h </w:instrText>
            </w:r>
            <w:r>
              <w:rPr>
                <w:noProof/>
                <w:webHidden/>
              </w:rPr>
            </w:r>
            <w:r>
              <w:rPr>
                <w:noProof/>
                <w:webHidden/>
              </w:rPr>
              <w:fldChar w:fldCharType="separate"/>
            </w:r>
            <w:r w:rsidR="000B1D24">
              <w:rPr>
                <w:noProof/>
                <w:webHidden/>
              </w:rPr>
              <w:t>144</w:t>
            </w:r>
            <w:r>
              <w:rPr>
                <w:noProof/>
                <w:webHidden/>
              </w:rPr>
              <w:fldChar w:fldCharType="end"/>
            </w:r>
          </w:hyperlink>
        </w:p>
        <w:p w:rsidR="00D039BF" w:rsidRDefault="00E23933">
          <w:pPr>
            <w:pStyle w:val="TOC2"/>
            <w:tabs>
              <w:tab w:val="left" w:pos="960"/>
              <w:tab w:val="right" w:leader="dot" w:pos="9054"/>
            </w:tabs>
            <w:rPr>
              <w:rFonts w:asciiTheme="minorHAnsi" w:hAnsiTheme="minorHAnsi" w:cstheme="minorBidi"/>
              <w:noProof/>
              <w:color w:val="auto"/>
              <w:sz w:val="22"/>
              <w:lang w:val="en-AU" w:eastAsia="en-AU"/>
            </w:rPr>
          </w:pPr>
          <w:hyperlink w:anchor="_Toc389055260" w:history="1">
            <w:r w:rsidR="00D039BF" w:rsidRPr="001E454D">
              <w:rPr>
                <w:rStyle w:val="Hyperlink"/>
                <w:noProof/>
              </w:rPr>
              <w:t>7.9</w:t>
            </w:r>
            <w:r w:rsidR="00D039BF">
              <w:rPr>
                <w:rFonts w:asciiTheme="minorHAnsi" w:hAnsiTheme="minorHAnsi" w:cstheme="minorBidi"/>
                <w:noProof/>
                <w:color w:val="auto"/>
                <w:sz w:val="22"/>
                <w:lang w:val="en-AU" w:eastAsia="en-AU"/>
              </w:rPr>
              <w:tab/>
            </w:r>
            <w:r w:rsidR="00D039BF" w:rsidRPr="001E454D">
              <w:rPr>
                <w:rStyle w:val="Hyperlink"/>
                <w:noProof/>
              </w:rPr>
              <w:t>Aquifer connectivity</w:t>
            </w:r>
            <w:r w:rsidR="00D039BF">
              <w:rPr>
                <w:noProof/>
                <w:webHidden/>
              </w:rPr>
              <w:tab/>
            </w:r>
            <w:r>
              <w:rPr>
                <w:noProof/>
                <w:webHidden/>
              </w:rPr>
              <w:fldChar w:fldCharType="begin"/>
            </w:r>
            <w:r w:rsidR="00D039BF">
              <w:rPr>
                <w:noProof/>
                <w:webHidden/>
              </w:rPr>
              <w:instrText xml:space="preserve"> PAGEREF _Toc389055260 \h </w:instrText>
            </w:r>
            <w:r>
              <w:rPr>
                <w:noProof/>
                <w:webHidden/>
              </w:rPr>
            </w:r>
            <w:r>
              <w:rPr>
                <w:noProof/>
                <w:webHidden/>
              </w:rPr>
              <w:fldChar w:fldCharType="separate"/>
            </w:r>
            <w:r w:rsidR="000B1D24">
              <w:rPr>
                <w:noProof/>
                <w:webHidden/>
              </w:rPr>
              <w:t>151</w:t>
            </w:r>
            <w:r>
              <w:rPr>
                <w:noProof/>
                <w:webHidden/>
              </w:rPr>
              <w:fldChar w:fldCharType="end"/>
            </w:r>
          </w:hyperlink>
        </w:p>
        <w:p w:rsidR="00D039BF" w:rsidRDefault="00E23933">
          <w:pPr>
            <w:pStyle w:val="TOC2"/>
            <w:tabs>
              <w:tab w:val="left" w:pos="960"/>
              <w:tab w:val="right" w:leader="dot" w:pos="9054"/>
            </w:tabs>
            <w:rPr>
              <w:rFonts w:asciiTheme="minorHAnsi" w:hAnsiTheme="minorHAnsi" w:cstheme="minorBidi"/>
              <w:noProof/>
              <w:color w:val="auto"/>
              <w:sz w:val="22"/>
              <w:lang w:val="en-AU" w:eastAsia="en-AU"/>
            </w:rPr>
          </w:pPr>
          <w:hyperlink w:anchor="_Toc389055261" w:history="1">
            <w:r w:rsidR="00D039BF" w:rsidRPr="001E454D">
              <w:rPr>
                <w:rStyle w:val="Hyperlink"/>
                <w:noProof/>
              </w:rPr>
              <w:t>7.10</w:t>
            </w:r>
            <w:r w:rsidR="00D039BF">
              <w:rPr>
                <w:rFonts w:asciiTheme="minorHAnsi" w:hAnsiTheme="minorHAnsi" w:cstheme="minorBidi"/>
                <w:noProof/>
                <w:color w:val="auto"/>
                <w:sz w:val="22"/>
                <w:lang w:val="en-AU" w:eastAsia="en-AU"/>
              </w:rPr>
              <w:tab/>
            </w:r>
            <w:r w:rsidR="00D039BF" w:rsidRPr="001E454D">
              <w:rPr>
                <w:rStyle w:val="Hyperlink"/>
                <w:noProof/>
              </w:rPr>
              <w:t>Knowledge gaps</w:t>
            </w:r>
            <w:r w:rsidR="00D039BF">
              <w:rPr>
                <w:noProof/>
                <w:webHidden/>
              </w:rPr>
              <w:tab/>
            </w:r>
            <w:r>
              <w:rPr>
                <w:noProof/>
                <w:webHidden/>
              </w:rPr>
              <w:fldChar w:fldCharType="begin"/>
            </w:r>
            <w:r w:rsidR="00D039BF">
              <w:rPr>
                <w:noProof/>
                <w:webHidden/>
              </w:rPr>
              <w:instrText xml:space="preserve"> PAGEREF _Toc389055261 \h </w:instrText>
            </w:r>
            <w:r>
              <w:rPr>
                <w:noProof/>
                <w:webHidden/>
              </w:rPr>
            </w:r>
            <w:r>
              <w:rPr>
                <w:noProof/>
                <w:webHidden/>
              </w:rPr>
              <w:fldChar w:fldCharType="separate"/>
            </w:r>
            <w:r w:rsidR="000B1D24">
              <w:rPr>
                <w:noProof/>
                <w:webHidden/>
              </w:rPr>
              <w:t>153</w:t>
            </w:r>
            <w:r>
              <w:rPr>
                <w:noProof/>
                <w:webHidden/>
              </w:rPr>
              <w:fldChar w:fldCharType="end"/>
            </w:r>
          </w:hyperlink>
        </w:p>
        <w:p w:rsidR="00D039BF" w:rsidRDefault="00E23933">
          <w:pPr>
            <w:pStyle w:val="TOC1"/>
            <w:tabs>
              <w:tab w:val="left" w:pos="480"/>
              <w:tab w:val="right" w:leader="dot" w:pos="9054"/>
            </w:tabs>
            <w:rPr>
              <w:rFonts w:asciiTheme="minorHAnsi" w:hAnsiTheme="minorHAnsi" w:cstheme="minorBidi"/>
              <w:noProof/>
              <w:color w:val="auto"/>
              <w:sz w:val="22"/>
              <w:lang w:val="en-AU" w:eastAsia="en-AU"/>
            </w:rPr>
          </w:pPr>
          <w:hyperlink w:anchor="_Toc389055262" w:history="1">
            <w:r w:rsidR="00D039BF" w:rsidRPr="001E454D">
              <w:rPr>
                <w:rStyle w:val="Hyperlink"/>
                <w:noProof/>
              </w:rPr>
              <w:t>8</w:t>
            </w:r>
            <w:r w:rsidR="00D039BF">
              <w:rPr>
                <w:rFonts w:asciiTheme="minorHAnsi" w:hAnsiTheme="minorHAnsi" w:cstheme="minorBidi"/>
                <w:noProof/>
                <w:color w:val="auto"/>
                <w:sz w:val="22"/>
                <w:lang w:val="en-AU" w:eastAsia="en-AU"/>
              </w:rPr>
              <w:tab/>
            </w:r>
            <w:r w:rsidR="00D039BF" w:rsidRPr="001E454D">
              <w:rPr>
                <w:rStyle w:val="Hyperlink"/>
                <w:noProof/>
              </w:rPr>
              <w:t>Aquifer connectivity in the Galilee Basin</w:t>
            </w:r>
            <w:r w:rsidR="00D039BF">
              <w:rPr>
                <w:noProof/>
                <w:webHidden/>
              </w:rPr>
              <w:tab/>
            </w:r>
            <w:r>
              <w:rPr>
                <w:noProof/>
                <w:webHidden/>
              </w:rPr>
              <w:fldChar w:fldCharType="begin"/>
            </w:r>
            <w:r w:rsidR="00D039BF">
              <w:rPr>
                <w:noProof/>
                <w:webHidden/>
              </w:rPr>
              <w:instrText xml:space="preserve"> PAGEREF _Toc389055262 \h </w:instrText>
            </w:r>
            <w:r>
              <w:rPr>
                <w:noProof/>
                <w:webHidden/>
              </w:rPr>
            </w:r>
            <w:r>
              <w:rPr>
                <w:noProof/>
                <w:webHidden/>
              </w:rPr>
              <w:fldChar w:fldCharType="separate"/>
            </w:r>
            <w:r w:rsidR="000B1D24">
              <w:rPr>
                <w:noProof/>
                <w:webHidden/>
              </w:rPr>
              <w:t>155</w:t>
            </w:r>
            <w:r>
              <w:rPr>
                <w:noProof/>
                <w:webHidden/>
              </w:rPr>
              <w:fldChar w:fldCharType="end"/>
            </w:r>
          </w:hyperlink>
        </w:p>
        <w:p w:rsidR="00D039BF" w:rsidRDefault="00E23933">
          <w:pPr>
            <w:pStyle w:val="TOC2"/>
            <w:tabs>
              <w:tab w:val="left" w:pos="960"/>
              <w:tab w:val="right" w:leader="dot" w:pos="9054"/>
            </w:tabs>
            <w:rPr>
              <w:rFonts w:asciiTheme="minorHAnsi" w:hAnsiTheme="minorHAnsi" w:cstheme="minorBidi"/>
              <w:noProof/>
              <w:color w:val="auto"/>
              <w:sz w:val="22"/>
              <w:lang w:val="en-AU" w:eastAsia="en-AU"/>
            </w:rPr>
          </w:pPr>
          <w:hyperlink w:anchor="_Toc389055263" w:history="1">
            <w:r w:rsidR="00D039BF" w:rsidRPr="001E454D">
              <w:rPr>
                <w:rStyle w:val="Hyperlink"/>
                <w:noProof/>
              </w:rPr>
              <w:t>8.1</w:t>
            </w:r>
            <w:r w:rsidR="00D039BF">
              <w:rPr>
                <w:rFonts w:asciiTheme="minorHAnsi" w:hAnsiTheme="minorHAnsi" w:cstheme="minorBidi"/>
                <w:noProof/>
                <w:color w:val="auto"/>
                <w:sz w:val="22"/>
                <w:lang w:val="en-AU" w:eastAsia="en-AU"/>
              </w:rPr>
              <w:tab/>
            </w:r>
            <w:r w:rsidR="00D039BF" w:rsidRPr="001E454D">
              <w:rPr>
                <w:rStyle w:val="Hyperlink"/>
                <w:noProof/>
              </w:rPr>
              <w:t>Major aquifer and aquitard stratigraphy</w:t>
            </w:r>
            <w:r w:rsidR="00D039BF">
              <w:rPr>
                <w:noProof/>
                <w:webHidden/>
              </w:rPr>
              <w:tab/>
            </w:r>
            <w:r>
              <w:rPr>
                <w:noProof/>
                <w:webHidden/>
              </w:rPr>
              <w:fldChar w:fldCharType="begin"/>
            </w:r>
            <w:r w:rsidR="00D039BF">
              <w:rPr>
                <w:noProof/>
                <w:webHidden/>
              </w:rPr>
              <w:instrText xml:space="preserve"> PAGEREF _Toc389055263 \h </w:instrText>
            </w:r>
            <w:r>
              <w:rPr>
                <w:noProof/>
                <w:webHidden/>
              </w:rPr>
            </w:r>
            <w:r>
              <w:rPr>
                <w:noProof/>
                <w:webHidden/>
              </w:rPr>
              <w:fldChar w:fldCharType="separate"/>
            </w:r>
            <w:r w:rsidR="000B1D24">
              <w:rPr>
                <w:noProof/>
                <w:webHidden/>
              </w:rPr>
              <w:t>156</w:t>
            </w:r>
            <w:r>
              <w:rPr>
                <w:noProof/>
                <w:webHidden/>
              </w:rPr>
              <w:fldChar w:fldCharType="end"/>
            </w:r>
          </w:hyperlink>
        </w:p>
        <w:p w:rsidR="00D039BF" w:rsidRDefault="00E23933">
          <w:pPr>
            <w:pStyle w:val="TOC2"/>
            <w:tabs>
              <w:tab w:val="left" w:pos="960"/>
              <w:tab w:val="right" w:leader="dot" w:pos="9054"/>
            </w:tabs>
            <w:rPr>
              <w:rFonts w:asciiTheme="minorHAnsi" w:hAnsiTheme="minorHAnsi" w:cstheme="minorBidi"/>
              <w:noProof/>
              <w:color w:val="auto"/>
              <w:sz w:val="22"/>
              <w:lang w:val="en-AU" w:eastAsia="en-AU"/>
            </w:rPr>
          </w:pPr>
          <w:hyperlink w:anchor="_Toc389055264" w:history="1">
            <w:r w:rsidR="00D039BF" w:rsidRPr="001E454D">
              <w:rPr>
                <w:rStyle w:val="Hyperlink"/>
                <w:noProof/>
              </w:rPr>
              <w:t>8.2</w:t>
            </w:r>
            <w:r w:rsidR="00D039BF">
              <w:rPr>
                <w:rFonts w:asciiTheme="minorHAnsi" w:hAnsiTheme="minorHAnsi" w:cstheme="minorBidi"/>
                <w:noProof/>
                <w:color w:val="auto"/>
                <w:sz w:val="22"/>
                <w:lang w:val="en-AU" w:eastAsia="en-AU"/>
              </w:rPr>
              <w:tab/>
            </w:r>
            <w:r w:rsidR="00D039BF" w:rsidRPr="001E454D">
              <w:rPr>
                <w:rStyle w:val="Hyperlink"/>
                <w:noProof/>
              </w:rPr>
              <w:t>Hydraulic properties</w:t>
            </w:r>
            <w:r w:rsidR="00D039BF">
              <w:rPr>
                <w:noProof/>
                <w:webHidden/>
              </w:rPr>
              <w:tab/>
            </w:r>
            <w:r>
              <w:rPr>
                <w:noProof/>
                <w:webHidden/>
              </w:rPr>
              <w:fldChar w:fldCharType="begin"/>
            </w:r>
            <w:r w:rsidR="00D039BF">
              <w:rPr>
                <w:noProof/>
                <w:webHidden/>
              </w:rPr>
              <w:instrText xml:space="preserve"> PAGEREF _Toc389055264 \h </w:instrText>
            </w:r>
            <w:r>
              <w:rPr>
                <w:noProof/>
                <w:webHidden/>
              </w:rPr>
            </w:r>
            <w:r>
              <w:rPr>
                <w:noProof/>
                <w:webHidden/>
              </w:rPr>
              <w:fldChar w:fldCharType="separate"/>
            </w:r>
            <w:r w:rsidR="000B1D24">
              <w:rPr>
                <w:noProof/>
                <w:webHidden/>
              </w:rPr>
              <w:t>163</w:t>
            </w:r>
            <w:r>
              <w:rPr>
                <w:noProof/>
                <w:webHidden/>
              </w:rPr>
              <w:fldChar w:fldCharType="end"/>
            </w:r>
          </w:hyperlink>
        </w:p>
        <w:p w:rsidR="00D039BF" w:rsidRDefault="00E23933">
          <w:pPr>
            <w:pStyle w:val="TOC2"/>
            <w:tabs>
              <w:tab w:val="left" w:pos="960"/>
              <w:tab w:val="right" w:leader="dot" w:pos="9054"/>
            </w:tabs>
            <w:rPr>
              <w:rFonts w:asciiTheme="minorHAnsi" w:hAnsiTheme="minorHAnsi" w:cstheme="minorBidi"/>
              <w:noProof/>
              <w:color w:val="auto"/>
              <w:sz w:val="22"/>
              <w:lang w:val="en-AU" w:eastAsia="en-AU"/>
            </w:rPr>
          </w:pPr>
          <w:hyperlink w:anchor="_Toc389055265" w:history="1">
            <w:r w:rsidR="00D039BF" w:rsidRPr="001E454D">
              <w:rPr>
                <w:rStyle w:val="Hyperlink"/>
                <w:noProof/>
              </w:rPr>
              <w:t>8.3</w:t>
            </w:r>
            <w:r w:rsidR="00D039BF">
              <w:rPr>
                <w:rFonts w:asciiTheme="minorHAnsi" w:hAnsiTheme="minorHAnsi" w:cstheme="minorBidi"/>
                <w:noProof/>
                <w:color w:val="auto"/>
                <w:sz w:val="22"/>
                <w:lang w:val="en-AU" w:eastAsia="en-AU"/>
              </w:rPr>
              <w:tab/>
            </w:r>
            <w:r w:rsidR="00D039BF" w:rsidRPr="001E454D">
              <w:rPr>
                <w:rStyle w:val="Hyperlink"/>
                <w:noProof/>
              </w:rPr>
              <w:t>Structural properties</w:t>
            </w:r>
            <w:r w:rsidR="00D039BF">
              <w:rPr>
                <w:noProof/>
                <w:webHidden/>
              </w:rPr>
              <w:tab/>
            </w:r>
            <w:r>
              <w:rPr>
                <w:noProof/>
                <w:webHidden/>
              </w:rPr>
              <w:fldChar w:fldCharType="begin"/>
            </w:r>
            <w:r w:rsidR="00D039BF">
              <w:rPr>
                <w:noProof/>
                <w:webHidden/>
              </w:rPr>
              <w:instrText xml:space="preserve"> PAGEREF _Toc389055265 \h </w:instrText>
            </w:r>
            <w:r>
              <w:rPr>
                <w:noProof/>
                <w:webHidden/>
              </w:rPr>
            </w:r>
            <w:r>
              <w:rPr>
                <w:noProof/>
                <w:webHidden/>
              </w:rPr>
              <w:fldChar w:fldCharType="separate"/>
            </w:r>
            <w:r w:rsidR="000B1D24">
              <w:rPr>
                <w:noProof/>
                <w:webHidden/>
              </w:rPr>
              <w:t>171</w:t>
            </w:r>
            <w:r>
              <w:rPr>
                <w:noProof/>
                <w:webHidden/>
              </w:rPr>
              <w:fldChar w:fldCharType="end"/>
            </w:r>
          </w:hyperlink>
        </w:p>
        <w:p w:rsidR="00D039BF" w:rsidRDefault="00E23933">
          <w:pPr>
            <w:pStyle w:val="TOC2"/>
            <w:tabs>
              <w:tab w:val="left" w:pos="960"/>
              <w:tab w:val="right" w:leader="dot" w:pos="9054"/>
            </w:tabs>
            <w:rPr>
              <w:rFonts w:asciiTheme="minorHAnsi" w:hAnsiTheme="minorHAnsi" w:cstheme="minorBidi"/>
              <w:noProof/>
              <w:color w:val="auto"/>
              <w:sz w:val="22"/>
              <w:lang w:val="en-AU" w:eastAsia="en-AU"/>
            </w:rPr>
          </w:pPr>
          <w:hyperlink w:anchor="_Toc389055266" w:history="1">
            <w:r w:rsidR="00D039BF" w:rsidRPr="001E454D">
              <w:rPr>
                <w:rStyle w:val="Hyperlink"/>
                <w:noProof/>
              </w:rPr>
              <w:t>8.4</w:t>
            </w:r>
            <w:r w:rsidR="00D039BF">
              <w:rPr>
                <w:rFonts w:asciiTheme="minorHAnsi" w:hAnsiTheme="minorHAnsi" w:cstheme="minorBidi"/>
                <w:noProof/>
                <w:color w:val="auto"/>
                <w:sz w:val="22"/>
                <w:lang w:val="en-AU" w:eastAsia="en-AU"/>
              </w:rPr>
              <w:tab/>
            </w:r>
            <w:r w:rsidR="00D039BF" w:rsidRPr="001E454D">
              <w:rPr>
                <w:rStyle w:val="Hyperlink"/>
                <w:noProof/>
              </w:rPr>
              <w:t>Geomechanical properties</w:t>
            </w:r>
            <w:r w:rsidR="00D039BF">
              <w:rPr>
                <w:noProof/>
                <w:webHidden/>
              </w:rPr>
              <w:tab/>
            </w:r>
            <w:r>
              <w:rPr>
                <w:noProof/>
                <w:webHidden/>
              </w:rPr>
              <w:fldChar w:fldCharType="begin"/>
            </w:r>
            <w:r w:rsidR="00D039BF">
              <w:rPr>
                <w:noProof/>
                <w:webHidden/>
              </w:rPr>
              <w:instrText xml:space="preserve"> PAGEREF _Toc389055266 \h </w:instrText>
            </w:r>
            <w:r>
              <w:rPr>
                <w:noProof/>
                <w:webHidden/>
              </w:rPr>
            </w:r>
            <w:r>
              <w:rPr>
                <w:noProof/>
                <w:webHidden/>
              </w:rPr>
              <w:fldChar w:fldCharType="separate"/>
            </w:r>
            <w:r w:rsidR="000B1D24">
              <w:rPr>
                <w:noProof/>
                <w:webHidden/>
              </w:rPr>
              <w:t>173</w:t>
            </w:r>
            <w:r>
              <w:rPr>
                <w:noProof/>
                <w:webHidden/>
              </w:rPr>
              <w:fldChar w:fldCharType="end"/>
            </w:r>
          </w:hyperlink>
        </w:p>
        <w:p w:rsidR="00D039BF" w:rsidRDefault="00E23933">
          <w:pPr>
            <w:pStyle w:val="TOC2"/>
            <w:tabs>
              <w:tab w:val="left" w:pos="960"/>
              <w:tab w:val="right" w:leader="dot" w:pos="9054"/>
            </w:tabs>
            <w:rPr>
              <w:rFonts w:asciiTheme="minorHAnsi" w:hAnsiTheme="minorHAnsi" w:cstheme="minorBidi"/>
              <w:noProof/>
              <w:color w:val="auto"/>
              <w:sz w:val="22"/>
              <w:lang w:val="en-AU" w:eastAsia="en-AU"/>
            </w:rPr>
          </w:pPr>
          <w:hyperlink w:anchor="_Toc389055267" w:history="1">
            <w:r w:rsidR="00D039BF" w:rsidRPr="001E454D">
              <w:rPr>
                <w:rStyle w:val="Hyperlink"/>
                <w:noProof/>
              </w:rPr>
              <w:t>8.5</w:t>
            </w:r>
            <w:r w:rsidR="00D039BF">
              <w:rPr>
                <w:rFonts w:asciiTheme="minorHAnsi" w:hAnsiTheme="minorHAnsi" w:cstheme="minorBidi"/>
                <w:noProof/>
                <w:color w:val="auto"/>
                <w:sz w:val="22"/>
                <w:lang w:val="en-AU" w:eastAsia="en-AU"/>
              </w:rPr>
              <w:tab/>
            </w:r>
            <w:r w:rsidR="00D039BF" w:rsidRPr="001E454D">
              <w:rPr>
                <w:rStyle w:val="Hyperlink"/>
                <w:noProof/>
              </w:rPr>
              <w:t>Geochemistry and isotopes</w:t>
            </w:r>
            <w:r w:rsidR="00D039BF">
              <w:rPr>
                <w:noProof/>
                <w:webHidden/>
              </w:rPr>
              <w:tab/>
            </w:r>
            <w:r>
              <w:rPr>
                <w:noProof/>
                <w:webHidden/>
              </w:rPr>
              <w:fldChar w:fldCharType="begin"/>
            </w:r>
            <w:r w:rsidR="00D039BF">
              <w:rPr>
                <w:noProof/>
                <w:webHidden/>
              </w:rPr>
              <w:instrText xml:space="preserve"> PAGEREF _Toc389055267 \h </w:instrText>
            </w:r>
            <w:r>
              <w:rPr>
                <w:noProof/>
                <w:webHidden/>
              </w:rPr>
            </w:r>
            <w:r>
              <w:rPr>
                <w:noProof/>
                <w:webHidden/>
              </w:rPr>
              <w:fldChar w:fldCharType="separate"/>
            </w:r>
            <w:r w:rsidR="000B1D24">
              <w:rPr>
                <w:noProof/>
                <w:webHidden/>
              </w:rPr>
              <w:t>174</w:t>
            </w:r>
            <w:r>
              <w:rPr>
                <w:noProof/>
                <w:webHidden/>
              </w:rPr>
              <w:fldChar w:fldCharType="end"/>
            </w:r>
          </w:hyperlink>
        </w:p>
        <w:p w:rsidR="00D039BF" w:rsidRDefault="00E23933">
          <w:pPr>
            <w:pStyle w:val="TOC2"/>
            <w:tabs>
              <w:tab w:val="left" w:pos="960"/>
              <w:tab w:val="right" w:leader="dot" w:pos="9054"/>
            </w:tabs>
            <w:rPr>
              <w:rFonts w:asciiTheme="minorHAnsi" w:hAnsiTheme="minorHAnsi" w:cstheme="minorBidi"/>
              <w:noProof/>
              <w:color w:val="auto"/>
              <w:sz w:val="22"/>
              <w:lang w:val="en-AU" w:eastAsia="en-AU"/>
            </w:rPr>
          </w:pPr>
          <w:hyperlink w:anchor="_Toc389055268" w:history="1">
            <w:r w:rsidR="00D039BF" w:rsidRPr="001E454D">
              <w:rPr>
                <w:rStyle w:val="Hyperlink"/>
                <w:noProof/>
              </w:rPr>
              <w:t>8.6</w:t>
            </w:r>
            <w:r w:rsidR="00D039BF">
              <w:rPr>
                <w:rFonts w:asciiTheme="minorHAnsi" w:hAnsiTheme="minorHAnsi" w:cstheme="minorBidi"/>
                <w:noProof/>
                <w:color w:val="auto"/>
                <w:sz w:val="22"/>
                <w:lang w:val="en-AU" w:eastAsia="en-AU"/>
              </w:rPr>
              <w:tab/>
            </w:r>
            <w:r w:rsidR="00D039BF" w:rsidRPr="001E454D">
              <w:rPr>
                <w:rStyle w:val="Hyperlink"/>
                <w:noProof/>
              </w:rPr>
              <w:t>Recharge and discharge</w:t>
            </w:r>
            <w:r w:rsidR="00D039BF">
              <w:rPr>
                <w:noProof/>
                <w:webHidden/>
              </w:rPr>
              <w:tab/>
            </w:r>
            <w:r>
              <w:rPr>
                <w:noProof/>
                <w:webHidden/>
              </w:rPr>
              <w:fldChar w:fldCharType="begin"/>
            </w:r>
            <w:r w:rsidR="00D039BF">
              <w:rPr>
                <w:noProof/>
                <w:webHidden/>
              </w:rPr>
              <w:instrText xml:space="preserve"> PAGEREF _Toc389055268 \h </w:instrText>
            </w:r>
            <w:r>
              <w:rPr>
                <w:noProof/>
                <w:webHidden/>
              </w:rPr>
            </w:r>
            <w:r>
              <w:rPr>
                <w:noProof/>
                <w:webHidden/>
              </w:rPr>
              <w:fldChar w:fldCharType="separate"/>
            </w:r>
            <w:r w:rsidR="000B1D24">
              <w:rPr>
                <w:noProof/>
                <w:webHidden/>
              </w:rPr>
              <w:t>176</w:t>
            </w:r>
            <w:r>
              <w:rPr>
                <w:noProof/>
                <w:webHidden/>
              </w:rPr>
              <w:fldChar w:fldCharType="end"/>
            </w:r>
          </w:hyperlink>
        </w:p>
        <w:p w:rsidR="00D039BF" w:rsidRDefault="00E23933">
          <w:pPr>
            <w:pStyle w:val="TOC2"/>
            <w:tabs>
              <w:tab w:val="left" w:pos="960"/>
              <w:tab w:val="right" w:leader="dot" w:pos="9054"/>
            </w:tabs>
            <w:rPr>
              <w:rFonts w:asciiTheme="minorHAnsi" w:hAnsiTheme="minorHAnsi" w:cstheme="minorBidi"/>
              <w:noProof/>
              <w:color w:val="auto"/>
              <w:sz w:val="22"/>
              <w:lang w:val="en-AU" w:eastAsia="en-AU"/>
            </w:rPr>
          </w:pPr>
          <w:hyperlink w:anchor="_Toc389055269" w:history="1">
            <w:r w:rsidR="00D039BF" w:rsidRPr="001E454D">
              <w:rPr>
                <w:rStyle w:val="Hyperlink"/>
                <w:noProof/>
              </w:rPr>
              <w:t>8.7</w:t>
            </w:r>
            <w:r w:rsidR="00D039BF">
              <w:rPr>
                <w:rFonts w:asciiTheme="minorHAnsi" w:hAnsiTheme="minorHAnsi" w:cstheme="minorBidi"/>
                <w:noProof/>
                <w:color w:val="auto"/>
                <w:sz w:val="22"/>
                <w:lang w:val="en-AU" w:eastAsia="en-AU"/>
              </w:rPr>
              <w:tab/>
            </w:r>
            <w:r w:rsidR="00D039BF" w:rsidRPr="001E454D">
              <w:rPr>
                <w:rStyle w:val="Hyperlink"/>
                <w:noProof/>
              </w:rPr>
              <w:t>Groundwater level data</w:t>
            </w:r>
            <w:r w:rsidR="00D039BF">
              <w:rPr>
                <w:noProof/>
                <w:webHidden/>
              </w:rPr>
              <w:tab/>
            </w:r>
            <w:r>
              <w:rPr>
                <w:noProof/>
                <w:webHidden/>
              </w:rPr>
              <w:fldChar w:fldCharType="begin"/>
            </w:r>
            <w:r w:rsidR="00D039BF">
              <w:rPr>
                <w:noProof/>
                <w:webHidden/>
              </w:rPr>
              <w:instrText xml:space="preserve"> PAGEREF _Toc389055269 \h </w:instrText>
            </w:r>
            <w:r>
              <w:rPr>
                <w:noProof/>
                <w:webHidden/>
              </w:rPr>
            </w:r>
            <w:r>
              <w:rPr>
                <w:noProof/>
                <w:webHidden/>
              </w:rPr>
              <w:fldChar w:fldCharType="separate"/>
            </w:r>
            <w:r w:rsidR="000B1D24">
              <w:rPr>
                <w:noProof/>
                <w:webHidden/>
              </w:rPr>
              <w:t>179</w:t>
            </w:r>
            <w:r>
              <w:rPr>
                <w:noProof/>
                <w:webHidden/>
              </w:rPr>
              <w:fldChar w:fldCharType="end"/>
            </w:r>
          </w:hyperlink>
        </w:p>
        <w:p w:rsidR="00D039BF" w:rsidRDefault="00E23933">
          <w:pPr>
            <w:pStyle w:val="TOC2"/>
            <w:tabs>
              <w:tab w:val="left" w:pos="960"/>
              <w:tab w:val="right" w:leader="dot" w:pos="9054"/>
            </w:tabs>
            <w:rPr>
              <w:rFonts w:asciiTheme="minorHAnsi" w:hAnsiTheme="minorHAnsi" w:cstheme="minorBidi"/>
              <w:noProof/>
              <w:color w:val="auto"/>
              <w:sz w:val="22"/>
              <w:lang w:val="en-AU" w:eastAsia="en-AU"/>
            </w:rPr>
          </w:pPr>
          <w:hyperlink w:anchor="_Toc389055270" w:history="1">
            <w:r w:rsidR="00D039BF" w:rsidRPr="001E454D">
              <w:rPr>
                <w:rStyle w:val="Hyperlink"/>
                <w:noProof/>
              </w:rPr>
              <w:t>8.8</w:t>
            </w:r>
            <w:r w:rsidR="00D039BF">
              <w:rPr>
                <w:rFonts w:asciiTheme="minorHAnsi" w:hAnsiTheme="minorHAnsi" w:cstheme="minorBidi"/>
                <w:noProof/>
                <w:color w:val="auto"/>
                <w:sz w:val="22"/>
                <w:lang w:val="en-AU" w:eastAsia="en-AU"/>
              </w:rPr>
              <w:tab/>
            </w:r>
            <w:r w:rsidR="00D039BF" w:rsidRPr="001E454D">
              <w:rPr>
                <w:rStyle w:val="Hyperlink"/>
                <w:noProof/>
              </w:rPr>
              <w:t>Groundwater modelling</w:t>
            </w:r>
            <w:r w:rsidR="00D039BF">
              <w:rPr>
                <w:noProof/>
                <w:webHidden/>
              </w:rPr>
              <w:tab/>
            </w:r>
            <w:r>
              <w:rPr>
                <w:noProof/>
                <w:webHidden/>
              </w:rPr>
              <w:fldChar w:fldCharType="begin"/>
            </w:r>
            <w:r w:rsidR="00D039BF">
              <w:rPr>
                <w:noProof/>
                <w:webHidden/>
              </w:rPr>
              <w:instrText xml:space="preserve"> PAGEREF _Toc389055270 \h </w:instrText>
            </w:r>
            <w:r>
              <w:rPr>
                <w:noProof/>
                <w:webHidden/>
              </w:rPr>
            </w:r>
            <w:r>
              <w:rPr>
                <w:noProof/>
                <w:webHidden/>
              </w:rPr>
              <w:fldChar w:fldCharType="separate"/>
            </w:r>
            <w:r w:rsidR="000B1D24">
              <w:rPr>
                <w:noProof/>
                <w:webHidden/>
              </w:rPr>
              <w:t>180</w:t>
            </w:r>
            <w:r>
              <w:rPr>
                <w:noProof/>
                <w:webHidden/>
              </w:rPr>
              <w:fldChar w:fldCharType="end"/>
            </w:r>
          </w:hyperlink>
        </w:p>
        <w:p w:rsidR="00D039BF" w:rsidRDefault="00E23933">
          <w:pPr>
            <w:pStyle w:val="TOC2"/>
            <w:tabs>
              <w:tab w:val="left" w:pos="960"/>
              <w:tab w:val="right" w:leader="dot" w:pos="9054"/>
            </w:tabs>
            <w:rPr>
              <w:rFonts w:asciiTheme="minorHAnsi" w:hAnsiTheme="minorHAnsi" w:cstheme="minorBidi"/>
              <w:noProof/>
              <w:color w:val="auto"/>
              <w:sz w:val="22"/>
              <w:lang w:val="en-AU" w:eastAsia="en-AU"/>
            </w:rPr>
          </w:pPr>
          <w:hyperlink w:anchor="_Toc389055271" w:history="1">
            <w:r w:rsidR="00D039BF" w:rsidRPr="001E454D">
              <w:rPr>
                <w:rStyle w:val="Hyperlink"/>
                <w:noProof/>
              </w:rPr>
              <w:t>8.9</w:t>
            </w:r>
            <w:r w:rsidR="00D039BF">
              <w:rPr>
                <w:rFonts w:asciiTheme="minorHAnsi" w:hAnsiTheme="minorHAnsi" w:cstheme="minorBidi"/>
                <w:noProof/>
                <w:color w:val="auto"/>
                <w:sz w:val="22"/>
                <w:lang w:val="en-AU" w:eastAsia="en-AU"/>
              </w:rPr>
              <w:tab/>
            </w:r>
            <w:r w:rsidR="00D039BF" w:rsidRPr="001E454D">
              <w:rPr>
                <w:rStyle w:val="Hyperlink"/>
                <w:noProof/>
              </w:rPr>
              <w:t>Aquifer connectivity</w:t>
            </w:r>
            <w:r w:rsidR="00D039BF">
              <w:rPr>
                <w:noProof/>
                <w:webHidden/>
              </w:rPr>
              <w:tab/>
            </w:r>
            <w:r>
              <w:rPr>
                <w:noProof/>
                <w:webHidden/>
              </w:rPr>
              <w:fldChar w:fldCharType="begin"/>
            </w:r>
            <w:r w:rsidR="00D039BF">
              <w:rPr>
                <w:noProof/>
                <w:webHidden/>
              </w:rPr>
              <w:instrText xml:space="preserve"> PAGEREF _Toc389055271 \h </w:instrText>
            </w:r>
            <w:r>
              <w:rPr>
                <w:noProof/>
                <w:webHidden/>
              </w:rPr>
            </w:r>
            <w:r>
              <w:rPr>
                <w:noProof/>
                <w:webHidden/>
              </w:rPr>
              <w:fldChar w:fldCharType="separate"/>
            </w:r>
            <w:r w:rsidR="000B1D24">
              <w:rPr>
                <w:noProof/>
                <w:webHidden/>
              </w:rPr>
              <w:t>182</w:t>
            </w:r>
            <w:r>
              <w:rPr>
                <w:noProof/>
                <w:webHidden/>
              </w:rPr>
              <w:fldChar w:fldCharType="end"/>
            </w:r>
          </w:hyperlink>
        </w:p>
        <w:p w:rsidR="00D039BF" w:rsidRDefault="00E23933">
          <w:pPr>
            <w:pStyle w:val="TOC2"/>
            <w:tabs>
              <w:tab w:val="left" w:pos="960"/>
              <w:tab w:val="right" w:leader="dot" w:pos="9054"/>
            </w:tabs>
            <w:rPr>
              <w:rFonts w:asciiTheme="minorHAnsi" w:hAnsiTheme="minorHAnsi" w:cstheme="minorBidi"/>
              <w:noProof/>
              <w:color w:val="auto"/>
              <w:sz w:val="22"/>
              <w:lang w:val="en-AU" w:eastAsia="en-AU"/>
            </w:rPr>
          </w:pPr>
          <w:hyperlink w:anchor="_Toc389055272" w:history="1">
            <w:r w:rsidR="00D039BF" w:rsidRPr="001E454D">
              <w:rPr>
                <w:rStyle w:val="Hyperlink"/>
                <w:noProof/>
              </w:rPr>
              <w:t>8.10</w:t>
            </w:r>
            <w:r w:rsidR="00D039BF">
              <w:rPr>
                <w:rFonts w:asciiTheme="minorHAnsi" w:hAnsiTheme="minorHAnsi" w:cstheme="minorBidi"/>
                <w:noProof/>
                <w:color w:val="auto"/>
                <w:sz w:val="22"/>
                <w:lang w:val="en-AU" w:eastAsia="en-AU"/>
              </w:rPr>
              <w:tab/>
            </w:r>
            <w:r w:rsidR="00D039BF" w:rsidRPr="001E454D">
              <w:rPr>
                <w:rStyle w:val="Hyperlink"/>
                <w:noProof/>
              </w:rPr>
              <w:t>Knowledge gaps</w:t>
            </w:r>
            <w:r w:rsidR="00D039BF">
              <w:rPr>
                <w:noProof/>
                <w:webHidden/>
              </w:rPr>
              <w:tab/>
            </w:r>
            <w:r>
              <w:rPr>
                <w:noProof/>
                <w:webHidden/>
              </w:rPr>
              <w:fldChar w:fldCharType="begin"/>
            </w:r>
            <w:r w:rsidR="00D039BF">
              <w:rPr>
                <w:noProof/>
                <w:webHidden/>
              </w:rPr>
              <w:instrText xml:space="preserve"> PAGEREF _Toc389055272 \h </w:instrText>
            </w:r>
            <w:r>
              <w:rPr>
                <w:noProof/>
                <w:webHidden/>
              </w:rPr>
            </w:r>
            <w:r>
              <w:rPr>
                <w:noProof/>
                <w:webHidden/>
              </w:rPr>
              <w:fldChar w:fldCharType="separate"/>
            </w:r>
            <w:r w:rsidR="000B1D24">
              <w:rPr>
                <w:noProof/>
                <w:webHidden/>
              </w:rPr>
              <w:t>183</w:t>
            </w:r>
            <w:r>
              <w:rPr>
                <w:noProof/>
                <w:webHidden/>
              </w:rPr>
              <w:fldChar w:fldCharType="end"/>
            </w:r>
          </w:hyperlink>
        </w:p>
        <w:p w:rsidR="00D039BF" w:rsidRDefault="00E23933">
          <w:pPr>
            <w:pStyle w:val="TOC1"/>
            <w:tabs>
              <w:tab w:val="left" w:pos="480"/>
              <w:tab w:val="right" w:leader="dot" w:pos="9054"/>
            </w:tabs>
            <w:rPr>
              <w:rFonts w:asciiTheme="minorHAnsi" w:hAnsiTheme="minorHAnsi" w:cstheme="minorBidi"/>
              <w:noProof/>
              <w:color w:val="auto"/>
              <w:sz w:val="22"/>
              <w:lang w:val="en-AU" w:eastAsia="en-AU"/>
            </w:rPr>
          </w:pPr>
          <w:hyperlink w:anchor="_Toc389055273" w:history="1">
            <w:r w:rsidR="00D039BF" w:rsidRPr="001E454D">
              <w:rPr>
                <w:rStyle w:val="Hyperlink"/>
                <w:noProof/>
              </w:rPr>
              <w:t>9</w:t>
            </w:r>
            <w:r w:rsidR="00D039BF">
              <w:rPr>
                <w:rFonts w:asciiTheme="minorHAnsi" w:hAnsiTheme="minorHAnsi" w:cstheme="minorBidi"/>
                <w:noProof/>
                <w:color w:val="auto"/>
                <w:sz w:val="22"/>
                <w:lang w:val="en-AU" w:eastAsia="en-AU"/>
              </w:rPr>
              <w:tab/>
            </w:r>
            <w:r w:rsidR="00D039BF" w:rsidRPr="001E454D">
              <w:rPr>
                <w:rStyle w:val="Hyperlink"/>
                <w:noProof/>
              </w:rPr>
              <w:t>Knowledge gaps</w:t>
            </w:r>
            <w:r w:rsidR="00D039BF">
              <w:rPr>
                <w:noProof/>
                <w:webHidden/>
              </w:rPr>
              <w:tab/>
            </w:r>
            <w:r>
              <w:rPr>
                <w:noProof/>
                <w:webHidden/>
              </w:rPr>
              <w:fldChar w:fldCharType="begin"/>
            </w:r>
            <w:r w:rsidR="00D039BF">
              <w:rPr>
                <w:noProof/>
                <w:webHidden/>
              </w:rPr>
              <w:instrText xml:space="preserve"> PAGEREF _Toc389055273 \h </w:instrText>
            </w:r>
            <w:r>
              <w:rPr>
                <w:noProof/>
                <w:webHidden/>
              </w:rPr>
            </w:r>
            <w:r>
              <w:rPr>
                <w:noProof/>
                <w:webHidden/>
              </w:rPr>
              <w:fldChar w:fldCharType="separate"/>
            </w:r>
            <w:r w:rsidR="000B1D24">
              <w:rPr>
                <w:noProof/>
                <w:webHidden/>
              </w:rPr>
              <w:t>186</w:t>
            </w:r>
            <w:r>
              <w:rPr>
                <w:noProof/>
                <w:webHidden/>
              </w:rPr>
              <w:fldChar w:fldCharType="end"/>
            </w:r>
          </w:hyperlink>
        </w:p>
        <w:p w:rsidR="00D039BF" w:rsidRDefault="00E23933">
          <w:pPr>
            <w:pStyle w:val="TOC1"/>
            <w:tabs>
              <w:tab w:val="left" w:pos="480"/>
              <w:tab w:val="right" w:leader="dot" w:pos="9054"/>
            </w:tabs>
            <w:rPr>
              <w:rFonts w:asciiTheme="minorHAnsi" w:hAnsiTheme="minorHAnsi" w:cstheme="minorBidi"/>
              <w:noProof/>
              <w:color w:val="auto"/>
              <w:sz w:val="22"/>
              <w:lang w:val="en-AU" w:eastAsia="en-AU"/>
            </w:rPr>
          </w:pPr>
          <w:hyperlink w:anchor="_Toc389055274" w:history="1">
            <w:r w:rsidR="00D039BF" w:rsidRPr="001E454D">
              <w:rPr>
                <w:rStyle w:val="Hyperlink"/>
                <w:noProof/>
              </w:rPr>
              <w:t>10</w:t>
            </w:r>
            <w:r w:rsidR="00D039BF">
              <w:rPr>
                <w:rFonts w:asciiTheme="minorHAnsi" w:hAnsiTheme="minorHAnsi" w:cstheme="minorBidi"/>
                <w:noProof/>
                <w:color w:val="auto"/>
                <w:sz w:val="22"/>
                <w:lang w:val="en-AU" w:eastAsia="en-AU"/>
              </w:rPr>
              <w:tab/>
            </w:r>
            <w:r w:rsidR="00D039BF" w:rsidRPr="001E454D">
              <w:rPr>
                <w:rStyle w:val="Hyperlink"/>
                <w:noProof/>
              </w:rPr>
              <w:t>Conclusions and recommendations</w:t>
            </w:r>
            <w:r w:rsidR="00D039BF">
              <w:rPr>
                <w:noProof/>
                <w:webHidden/>
              </w:rPr>
              <w:tab/>
            </w:r>
            <w:r>
              <w:rPr>
                <w:noProof/>
                <w:webHidden/>
              </w:rPr>
              <w:fldChar w:fldCharType="begin"/>
            </w:r>
            <w:r w:rsidR="00D039BF">
              <w:rPr>
                <w:noProof/>
                <w:webHidden/>
              </w:rPr>
              <w:instrText xml:space="preserve"> PAGEREF _Toc389055274 \h </w:instrText>
            </w:r>
            <w:r>
              <w:rPr>
                <w:noProof/>
                <w:webHidden/>
              </w:rPr>
            </w:r>
            <w:r>
              <w:rPr>
                <w:noProof/>
                <w:webHidden/>
              </w:rPr>
              <w:fldChar w:fldCharType="separate"/>
            </w:r>
            <w:r w:rsidR="000B1D24">
              <w:rPr>
                <w:noProof/>
                <w:webHidden/>
              </w:rPr>
              <w:t>189</w:t>
            </w:r>
            <w:r>
              <w:rPr>
                <w:noProof/>
                <w:webHidden/>
              </w:rPr>
              <w:fldChar w:fldCharType="end"/>
            </w:r>
          </w:hyperlink>
        </w:p>
        <w:p w:rsidR="00D039BF" w:rsidRDefault="00E23933">
          <w:pPr>
            <w:pStyle w:val="TOC1"/>
            <w:tabs>
              <w:tab w:val="left" w:pos="480"/>
              <w:tab w:val="right" w:leader="dot" w:pos="9054"/>
            </w:tabs>
            <w:rPr>
              <w:rFonts w:asciiTheme="minorHAnsi" w:hAnsiTheme="minorHAnsi" w:cstheme="minorBidi"/>
              <w:noProof/>
              <w:color w:val="auto"/>
              <w:sz w:val="22"/>
              <w:lang w:val="en-AU" w:eastAsia="en-AU"/>
            </w:rPr>
          </w:pPr>
          <w:hyperlink w:anchor="_Toc389055275" w:history="1">
            <w:r w:rsidR="00D039BF" w:rsidRPr="001E454D">
              <w:rPr>
                <w:rStyle w:val="Hyperlink"/>
                <w:noProof/>
              </w:rPr>
              <w:t>11</w:t>
            </w:r>
            <w:r w:rsidR="00D039BF">
              <w:rPr>
                <w:rFonts w:asciiTheme="minorHAnsi" w:hAnsiTheme="minorHAnsi" w:cstheme="minorBidi"/>
                <w:noProof/>
                <w:color w:val="auto"/>
                <w:sz w:val="22"/>
                <w:lang w:val="en-AU" w:eastAsia="en-AU"/>
              </w:rPr>
              <w:tab/>
            </w:r>
            <w:r w:rsidR="00D039BF" w:rsidRPr="001E454D">
              <w:rPr>
                <w:rStyle w:val="Hyperlink"/>
                <w:noProof/>
              </w:rPr>
              <w:t>References</w:t>
            </w:r>
            <w:r w:rsidR="00D039BF">
              <w:rPr>
                <w:noProof/>
                <w:webHidden/>
              </w:rPr>
              <w:tab/>
            </w:r>
            <w:r>
              <w:rPr>
                <w:noProof/>
                <w:webHidden/>
              </w:rPr>
              <w:fldChar w:fldCharType="begin"/>
            </w:r>
            <w:r w:rsidR="00D039BF">
              <w:rPr>
                <w:noProof/>
                <w:webHidden/>
              </w:rPr>
              <w:instrText xml:space="preserve"> PAGEREF _Toc389055275 \h </w:instrText>
            </w:r>
            <w:r>
              <w:rPr>
                <w:noProof/>
                <w:webHidden/>
              </w:rPr>
            </w:r>
            <w:r>
              <w:rPr>
                <w:noProof/>
                <w:webHidden/>
              </w:rPr>
              <w:fldChar w:fldCharType="separate"/>
            </w:r>
            <w:r w:rsidR="000B1D24">
              <w:rPr>
                <w:noProof/>
                <w:webHidden/>
              </w:rPr>
              <w:t>191</w:t>
            </w:r>
            <w:r>
              <w:rPr>
                <w:noProof/>
                <w:webHidden/>
              </w:rPr>
              <w:fldChar w:fldCharType="end"/>
            </w:r>
          </w:hyperlink>
        </w:p>
        <w:p w:rsidR="00D039BF" w:rsidRDefault="00E23933">
          <w:pPr>
            <w:pStyle w:val="TOC1"/>
            <w:tabs>
              <w:tab w:val="right" w:leader="dot" w:pos="9054"/>
            </w:tabs>
            <w:rPr>
              <w:rFonts w:asciiTheme="minorHAnsi" w:hAnsiTheme="minorHAnsi" w:cstheme="minorBidi"/>
              <w:noProof/>
              <w:color w:val="auto"/>
              <w:sz w:val="22"/>
              <w:lang w:val="en-AU" w:eastAsia="en-AU"/>
            </w:rPr>
          </w:pPr>
          <w:hyperlink w:anchor="_Toc389055276" w:history="1">
            <w:r w:rsidR="00D039BF" w:rsidRPr="001E454D">
              <w:rPr>
                <w:rStyle w:val="Hyperlink"/>
                <w:noProof/>
              </w:rPr>
              <w:t>Appendix A - additional reading</w:t>
            </w:r>
            <w:r w:rsidR="00D039BF">
              <w:rPr>
                <w:noProof/>
                <w:webHidden/>
              </w:rPr>
              <w:tab/>
            </w:r>
            <w:r>
              <w:rPr>
                <w:noProof/>
                <w:webHidden/>
              </w:rPr>
              <w:fldChar w:fldCharType="begin"/>
            </w:r>
            <w:r w:rsidR="00D039BF">
              <w:rPr>
                <w:noProof/>
                <w:webHidden/>
              </w:rPr>
              <w:instrText xml:space="preserve"> PAGEREF _Toc389055276 \h </w:instrText>
            </w:r>
            <w:r>
              <w:rPr>
                <w:noProof/>
                <w:webHidden/>
              </w:rPr>
            </w:r>
            <w:r>
              <w:rPr>
                <w:noProof/>
                <w:webHidden/>
              </w:rPr>
              <w:fldChar w:fldCharType="separate"/>
            </w:r>
            <w:r w:rsidR="000B1D24">
              <w:rPr>
                <w:noProof/>
                <w:webHidden/>
              </w:rPr>
              <w:t>208</w:t>
            </w:r>
            <w:r>
              <w:rPr>
                <w:noProof/>
                <w:webHidden/>
              </w:rPr>
              <w:fldChar w:fldCharType="end"/>
            </w:r>
          </w:hyperlink>
        </w:p>
        <w:p w:rsidR="00C919F2" w:rsidRDefault="00E23933" w:rsidP="001C3374">
          <w:pPr>
            <w:rPr>
              <w:noProof/>
            </w:rPr>
          </w:pPr>
          <w:r>
            <w:rPr>
              <w:noProof/>
              <w:sz w:val="20"/>
            </w:rPr>
            <w:fldChar w:fldCharType="end"/>
          </w:r>
        </w:p>
      </w:sdtContent>
    </w:sdt>
    <w:p w:rsidR="008E4332" w:rsidRPr="00EF13AB" w:rsidRDefault="008E4332" w:rsidP="001C3374">
      <w:pPr>
        <w:pStyle w:val="BR-normal-CopyrightPage"/>
      </w:pPr>
      <w:r>
        <w:br w:type="page"/>
      </w:r>
    </w:p>
    <w:p w:rsidR="00947A79" w:rsidRPr="005F6513" w:rsidRDefault="001C3374" w:rsidP="005F6513">
      <w:pPr>
        <w:pStyle w:val="SummaryH1"/>
      </w:pPr>
      <w:bookmarkStart w:id="16" w:name="_Toc381961073"/>
      <w:bookmarkStart w:id="17" w:name="_Toc389055204"/>
      <w:r w:rsidRPr="005F6513">
        <w:lastRenderedPageBreak/>
        <w:t>S</w:t>
      </w:r>
      <w:r w:rsidR="00947A79" w:rsidRPr="005F6513">
        <w:t>ummary</w:t>
      </w:r>
      <w:bookmarkEnd w:id="16"/>
      <w:bookmarkEnd w:id="17"/>
    </w:p>
    <w:p w:rsidR="000D27E1" w:rsidRPr="00A87C2A" w:rsidRDefault="000D27E1" w:rsidP="00746430">
      <w:pPr>
        <w:pStyle w:val="BRNormal"/>
      </w:pPr>
      <w:r w:rsidRPr="00A87C2A">
        <w:t>This background review describes the range of scientific methods that have been developed to measure and model connectivity in any hydrogeological setting, and specific knowledge of aquifer connectivity for the Great Artesian Basin (GAB), and the Surat</w:t>
      </w:r>
      <w:r w:rsidR="00486FE8">
        <w:t>, Bowen and Galilee (geological) B</w:t>
      </w:r>
      <w:r w:rsidRPr="00A87C2A">
        <w:t>asins.</w:t>
      </w:r>
    </w:p>
    <w:p w:rsidR="000D27E1" w:rsidRPr="00A87C2A" w:rsidRDefault="000D27E1" w:rsidP="00746430">
      <w:pPr>
        <w:pStyle w:val="BRNormal"/>
      </w:pPr>
      <w:r w:rsidRPr="00A87C2A">
        <w:t>For the purposes of this review, aquifer connectivity refers to:</w:t>
      </w:r>
    </w:p>
    <w:p w:rsidR="000D27E1" w:rsidRDefault="000D27E1" w:rsidP="00746430">
      <w:pPr>
        <w:pStyle w:val="BRNormal"/>
      </w:pPr>
      <w:r w:rsidRPr="00A87C2A">
        <w:t>The groundwater interaction between aquifers that are separated by an aquitard (ofte</w:t>
      </w:r>
      <w:r w:rsidR="005C7B83">
        <w:t>n termed inter-aquifer leakage)</w:t>
      </w:r>
      <w:r w:rsidRPr="00A87C2A">
        <w:t xml:space="preserve"> or between different parts of the same aquifer (intra-aquifer connectivity). It is dependent upon the lith</w:t>
      </w:r>
      <w:r>
        <w:t>ology of aquitards and aquifers</w:t>
      </w:r>
      <w:r w:rsidRPr="00A87C2A">
        <w:t xml:space="preserve"> and their integrity and spatial continuity. Fractures, faults and open or inadequately-sealed boreholes can form preferential flow paths that also affect connectivity. The degree of </w:t>
      </w:r>
      <w:r w:rsidRPr="00746430">
        <w:t>connectivity</w:t>
      </w:r>
      <w:r w:rsidRPr="00A87C2A">
        <w:t xml:space="preserve"> and the rate of water and solute transfer between aquifers are strongly influenced by local and regional hydraulic pressure and dissolved mineral concentration gradients. As aquifer systems are dynamic, these gradients are constantly changing with time, as groundwater is recharged or removed from the system.</w:t>
      </w:r>
    </w:p>
    <w:tbl>
      <w:tblPr>
        <w:tblStyle w:val="TableGrid"/>
        <w:tblW w:w="0" w:type="auto"/>
        <w:tblInd w:w="108" w:type="dxa"/>
        <w:tblBorders>
          <w:top w:val="single" w:sz="12" w:space="0" w:color="1F497D" w:themeColor="text2"/>
          <w:left w:val="single" w:sz="12" w:space="0" w:color="1F497D" w:themeColor="text2"/>
          <w:bottom w:val="single" w:sz="12" w:space="0" w:color="1F497D" w:themeColor="text2"/>
          <w:right w:val="single" w:sz="12" w:space="0" w:color="1F497D" w:themeColor="text2"/>
          <w:insideH w:val="none" w:sz="0" w:space="0" w:color="auto"/>
          <w:insideV w:val="none" w:sz="0" w:space="0" w:color="auto"/>
        </w:tblBorders>
        <w:tblLook w:val="04A0"/>
      </w:tblPr>
      <w:tblGrid>
        <w:gridCol w:w="9172"/>
      </w:tblGrid>
      <w:tr w:rsidR="002C7A36" w:rsidTr="005F6513">
        <w:tc>
          <w:tcPr>
            <w:tcW w:w="9172" w:type="dxa"/>
          </w:tcPr>
          <w:p w:rsidR="002C7A36" w:rsidRDefault="00420CDD" w:rsidP="005F6513">
            <w:pPr>
              <w:pStyle w:val="SummaryH2"/>
            </w:pPr>
            <w:r>
              <w:t>Key points</w:t>
            </w:r>
          </w:p>
        </w:tc>
      </w:tr>
      <w:tr w:rsidR="002C7A36" w:rsidTr="005F6513">
        <w:tc>
          <w:tcPr>
            <w:tcW w:w="9172" w:type="dxa"/>
          </w:tcPr>
          <w:p w:rsidR="002C7A36" w:rsidRDefault="00420CDD" w:rsidP="00420CDD">
            <w:pPr>
              <w:pStyle w:val="BRdotpoints"/>
            </w:pPr>
            <w:r>
              <w:t>Aquifer connectivity is a major determining factor in how groundwater pumping will affect other aquifers.</w:t>
            </w:r>
          </w:p>
        </w:tc>
      </w:tr>
      <w:tr w:rsidR="002C7A36" w:rsidTr="005F6513">
        <w:tc>
          <w:tcPr>
            <w:tcW w:w="9172" w:type="dxa"/>
          </w:tcPr>
          <w:p w:rsidR="002C7A36" w:rsidRDefault="00420CDD" w:rsidP="00420CDD">
            <w:pPr>
              <w:pStyle w:val="BRdotpoints"/>
            </w:pPr>
            <w:r>
              <w:t xml:space="preserve">There are </w:t>
            </w:r>
            <w:r w:rsidRPr="00A87C2A">
              <w:t>many techniques available to investigate and evaluate aquifer connectivity</w:t>
            </w:r>
            <w:r>
              <w:t xml:space="preserve"> that</w:t>
            </w:r>
            <w:r w:rsidRPr="00A87C2A">
              <w:t xml:space="preserve"> </w:t>
            </w:r>
            <w:proofErr w:type="gramStart"/>
            <w:r w:rsidRPr="00A87C2A">
              <w:t>provide</w:t>
            </w:r>
            <w:proofErr w:type="gramEnd"/>
            <w:r w:rsidRPr="00A87C2A">
              <w:t xml:space="preserve"> information at different spatial and temporal scales.</w:t>
            </w:r>
          </w:p>
        </w:tc>
      </w:tr>
      <w:tr w:rsidR="002C7A36" w:rsidTr="005F6513">
        <w:tc>
          <w:tcPr>
            <w:tcW w:w="9172" w:type="dxa"/>
          </w:tcPr>
          <w:p w:rsidR="002C7A36" w:rsidRDefault="00420CDD" w:rsidP="00420CDD">
            <w:pPr>
              <w:pStyle w:val="BRdotpoints"/>
            </w:pPr>
            <w:r>
              <w:t xml:space="preserve">Natural </w:t>
            </w:r>
            <w:r w:rsidRPr="00A87C2A">
              <w:t xml:space="preserve">features (e.g. fractures and faults) and manmade structures (e.g. boreholes) and activities (e.g. longwall coal mining) can influence aquifer connectivity by providing preferential pathways for </w:t>
            </w:r>
            <w:r>
              <w:t>flow and contaminant transport.</w:t>
            </w:r>
          </w:p>
        </w:tc>
      </w:tr>
      <w:tr w:rsidR="002C7A36" w:rsidTr="005F6513">
        <w:tc>
          <w:tcPr>
            <w:tcW w:w="9172" w:type="dxa"/>
          </w:tcPr>
          <w:p w:rsidR="002C7A36" w:rsidRDefault="00420CDD" w:rsidP="005C7B83">
            <w:pPr>
              <w:pStyle w:val="BRdotpoints"/>
            </w:pPr>
            <w:r>
              <w:t xml:space="preserve">Few </w:t>
            </w:r>
            <w:r w:rsidRPr="00A87C2A">
              <w:t xml:space="preserve">studies explicitly focus on connectivity and inter-aquifer leakage </w:t>
            </w:r>
            <w:r>
              <w:t>between the Great Artesian Basin (</w:t>
            </w:r>
            <w:r w:rsidRPr="00A87C2A">
              <w:t>a major groundwater basin</w:t>
            </w:r>
            <w:r>
              <w:t>), the Surat (geological) Basin</w:t>
            </w:r>
            <w:r w:rsidRPr="00A87C2A">
              <w:t xml:space="preserve"> and the linke</w:t>
            </w:r>
            <w:r w:rsidR="00486FE8">
              <w:t xml:space="preserve">d Bowen and Galilee </w:t>
            </w:r>
            <w:r w:rsidR="005C7B83">
              <w:t>(</w:t>
            </w:r>
            <w:r w:rsidR="00486FE8">
              <w:t>geological</w:t>
            </w:r>
            <w:r w:rsidR="005C7B83">
              <w:t>)</w:t>
            </w:r>
            <w:r w:rsidR="00486FE8">
              <w:t xml:space="preserve"> B</w:t>
            </w:r>
            <w:r w:rsidRPr="00A87C2A">
              <w:t xml:space="preserve">asins (of which </w:t>
            </w:r>
            <w:r w:rsidR="005C7B83">
              <w:t xml:space="preserve">the latter three </w:t>
            </w:r>
            <w:r w:rsidRPr="00A87C2A">
              <w:t>have significant coal seam gas resources).</w:t>
            </w:r>
          </w:p>
        </w:tc>
      </w:tr>
      <w:tr w:rsidR="002C7A36" w:rsidTr="005F6513">
        <w:tc>
          <w:tcPr>
            <w:tcW w:w="9172" w:type="dxa"/>
          </w:tcPr>
          <w:p w:rsidR="002C7A36" w:rsidRDefault="00420CDD" w:rsidP="00420CDD">
            <w:pPr>
              <w:pStyle w:val="BRdotpoints"/>
            </w:pPr>
            <w:r>
              <w:t xml:space="preserve">Most </w:t>
            </w:r>
            <w:r w:rsidRPr="00A87C2A">
              <w:t>existing groundwater models that claim to address aquifer connectivity via implementation of measured</w:t>
            </w:r>
            <w:r>
              <w:t>, site-specific</w:t>
            </w:r>
            <w:r w:rsidRPr="00A87C2A">
              <w:t xml:space="preserve"> hydraulic conductivity data will under-predict the magnitude of inter-aquifer leakage.</w:t>
            </w:r>
          </w:p>
        </w:tc>
      </w:tr>
      <w:tr w:rsidR="002C7A36" w:rsidTr="005F6513">
        <w:tc>
          <w:tcPr>
            <w:tcW w:w="9172" w:type="dxa"/>
          </w:tcPr>
          <w:p w:rsidR="002C7A36" w:rsidRDefault="00420CDD" w:rsidP="00420CDD">
            <w:pPr>
              <w:pStyle w:val="BRdotpoints"/>
            </w:pPr>
            <w:r>
              <w:t>Priorities for future work include:</w:t>
            </w:r>
          </w:p>
        </w:tc>
      </w:tr>
      <w:tr w:rsidR="00420CDD" w:rsidTr="005F6513">
        <w:tc>
          <w:tcPr>
            <w:tcW w:w="9172" w:type="dxa"/>
          </w:tcPr>
          <w:p w:rsidR="00420CDD" w:rsidRDefault="00420CDD" w:rsidP="00420CDD">
            <w:pPr>
              <w:pStyle w:val="2ndbullet"/>
            </w:pPr>
            <w:r>
              <w:t xml:space="preserve">development </w:t>
            </w:r>
            <w:r w:rsidRPr="0012267A">
              <w:t>of an agreed</w:t>
            </w:r>
            <w:r w:rsidRPr="00A87C2A">
              <w:t xml:space="preserve"> methodology for determining formation-scale hydr</w:t>
            </w:r>
            <w:r w:rsidR="005C7B83">
              <w:t>aulic conductivity of aquitards</w:t>
            </w:r>
            <w:r w:rsidRPr="00A87C2A">
              <w:t xml:space="preserve"> </w:t>
            </w:r>
            <w:r>
              <w:t>and a consistent approach for modelling inter-aquifer leakage</w:t>
            </w:r>
          </w:p>
        </w:tc>
      </w:tr>
      <w:tr w:rsidR="00420CDD" w:rsidTr="005F6513">
        <w:tc>
          <w:tcPr>
            <w:tcW w:w="9172" w:type="dxa"/>
          </w:tcPr>
          <w:p w:rsidR="00420CDD" w:rsidRDefault="00420CDD" w:rsidP="00420CDD">
            <w:pPr>
              <w:pStyle w:val="2ndbullet"/>
            </w:pPr>
            <w:r>
              <w:t>understanding d</w:t>
            </w:r>
            <w:r w:rsidRPr="00A87C2A">
              <w:t>ual-phase flow (</w:t>
            </w:r>
            <w:r w:rsidR="005C7B83">
              <w:t xml:space="preserve">i.e </w:t>
            </w:r>
            <w:r w:rsidRPr="00A87C2A">
              <w:t xml:space="preserve">the flow of both gas and water </w:t>
            </w:r>
            <w:r>
              <w:t>within coal seams) and</w:t>
            </w:r>
            <w:r w:rsidRPr="00A87C2A">
              <w:t xml:space="preserve"> </w:t>
            </w:r>
            <w:r>
              <w:t>the conditions under which it needs to be incorporated into groundwater flow predictions</w:t>
            </w:r>
          </w:p>
        </w:tc>
      </w:tr>
      <w:tr w:rsidR="002C7A36" w:rsidTr="005F6513">
        <w:tc>
          <w:tcPr>
            <w:tcW w:w="9172" w:type="dxa"/>
          </w:tcPr>
          <w:p w:rsidR="002C7A36" w:rsidRDefault="00420CDD" w:rsidP="00420CDD">
            <w:pPr>
              <w:pStyle w:val="2ndbullet"/>
            </w:pPr>
            <w:proofErr w:type="gramStart"/>
            <w:r>
              <w:t>understanding</w:t>
            </w:r>
            <w:proofErr w:type="gramEnd"/>
            <w:r>
              <w:t xml:space="preserve"> </w:t>
            </w:r>
            <w:r w:rsidRPr="00A87C2A">
              <w:t>how desorption of coal bed methane may alter the hydraulic properties of the surrounding formations.</w:t>
            </w:r>
          </w:p>
        </w:tc>
      </w:tr>
    </w:tbl>
    <w:p w:rsidR="00947A79" w:rsidRPr="005F6513" w:rsidRDefault="00947A79" w:rsidP="005F6513">
      <w:pPr>
        <w:pStyle w:val="SummaryH2"/>
      </w:pPr>
      <w:r w:rsidRPr="005F6513">
        <w:lastRenderedPageBreak/>
        <w:t>Aquifer connectivity</w:t>
      </w:r>
    </w:p>
    <w:p w:rsidR="00947A79" w:rsidRPr="001A7237" w:rsidRDefault="00947A79" w:rsidP="00746430">
      <w:pPr>
        <w:pStyle w:val="BRNormal"/>
        <w:rPr>
          <w:noProof/>
        </w:rPr>
      </w:pPr>
      <w:r w:rsidRPr="001A7237">
        <w:rPr>
          <w:noProof/>
        </w:rPr>
        <w:t>Any large-scale groundwater development, including that required for</w:t>
      </w:r>
      <w:r w:rsidR="000C6964">
        <w:rPr>
          <w:noProof/>
        </w:rPr>
        <w:t xml:space="preserve"> coal seam gas (</w:t>
      </w:r>
      <w:r w:rsidRPr="001A7237">
        <w:rPr>
          <w:noProof/>
        </w:rPr>
        <w:t>CSG</w:t>
      </w:r>
      <w:r w:rsidR="000C6964">
        <w:rPr>
          <w:noProof/>
        </w:rPr>
        <w:t>)</w:t>
      </w:r>
      <w:r w:rsidRPr="001A7237">
        <w:rPr>
          <w:noProof/>
        </w:rPr>
        <w:t xml:space="preserve"> production and dewatering of coal mines, needs to be managed with the best available information about aquifer connectivity. This is because aquifer connectivity is a major determining factor in the way that prolonged groundwater pumping from multi-layered aquifer systems will affect aquifers other than the pumpe</w:t>
      </w:r>
      <w:r w:rsidR="002A3833">
        <w:rPr>
          <w:noProof/>
        </w:rPr>
        <w:t>d aquifer.</w:t>
      </w:r>
      <w:r w:rsidRPr="001A7237">
        <w:rPr>
          <w:noProof/>
        </w:rPr>
        <w:t xml:space="preserve"> Potential impacts beyond the pumped aquifer can include:</w:t>
      </w:r>
    </w:p>
    <w:p w:rsidR="00947A79" w:rsidRPr="001A7237" w:rsidRDefault="00947A79" w:rsidP="00746430">
      <w:pPr>
        <w:pStyle w:val="BRdotpoints"/>
      </w:pPr>
      <w:r w:rsidRPr="001A7237">
        <w:t>enhanced leakage of water from overlying and un</w:t>
      </w:r>
      <w:r w:rsidR="005902F7">
        <w:t>derlying aquifers and aquitards</w:t>
      </w:r>
    </w:p>
    <w:p w:rsidR="00947A79" w:rsidRPr="001A7237" w:rsidRDefault="00947A79" w:rsidP="00746430">
      <w:pPr>
        <w:pStyle w:val="BRdotpoints"/>
      </w:pPr>
      <w:r w:rsidRPr="001A7237">
        <w:t>mobilisation of natural salts from overlying and underlying aquifers and aquitards, and deterioration of wate</w:t>
      </w:r>
      <w:r w:rsidR="005902F7">
        <w:t>r quality in the pumped aquifer</w:t>
      </w:r>
    </w:p>
    <w:p w:rsidR="00947A79" w:rsidRPr="001A7237" w:rsidRDefault="00947A79" w:rsidP="00746430">
      <w:pPr>
        <w:pStyle w:val="BRdotpoints"/>
      </w:pPr>
      <w:r w:rsidRPr="001A7237">
        <w:t>mobilisation of anthropogenic contaminants from overlying and un</w:t>
      </w:r>
      <w:r w:rsidR="005902F7">
        <w:t>derlying aquifers and aquitards</w:t>
      </w:r>
    </w:p>
    <w:p w:rsidR="00947A79" w:rsidRPr="001A7237" w:rsidRDefault="00947A79" w:rsidP="00746430">
      <w:pPr>
        <w:pStyle w:val="BRdotpoints"/>
      </w:pPr>
      <w:r w:rsidRPr="001A7237">
        <w:t>changes in the nature and fluxes between surface water and groundwater syst</w:t>
      </w:r>
      <w:r w:rsidR="005902F7">
        <w:t>ems near the ground surface</w:t>
      </w:r>
    </w:p>
    <w:p w:rsidR="00947A79" w:rsidRPr="001A7237" w:rsidRDefault="00947A79" w:rsidP="00746430">
      <w:pPr>
        <w:pStyle w:val="BRdotpoints"/>
      </w:pPr>
      <w:proofErr w:type="gramStart"/>
      <w:r w:rsidRPr="001A7237">
        <w:t>declining</w:t>
      </w:r>
      <w:proofErr w:type="gramEnd"/>
      <w:r w:rsidRPr="001A7237">
        <w:t xml:space="preserve"> water levels in shallow aquifers, leading to changes in the recharge and/or discharge rates.</w:t>
      </w:r>
    </w:p>
    <w:p w:rsidR="00947A79" w:rsidRPr="00F7637B" w:rsidRDefault="00947A79" w:rsidP="005F6513">
      <w:pPr>
        <w:pStyle w:val="SummaryH2"/>
      </w:pPr>
      <w:r w:rsidRPr="00F7637B">
        <w:t>Measuring and evaluating connectivity</w:t>
      </w:r>
    </w:p>
    <w:p w:rsidR="00947A79" w:rsidRPr="001A7237" w:rsidRDefault="00947A79" w:rsidP="00746430">
      <w:pPr>
        <w:pStyle w:val="BRNormal"/>
      </w:pPr>
      <w:r w:rsidRPr="001A7237">
        <w:t>There are many different techniques available for charac</w:t>
      </w:r>
      <w:r w:rsidR="005902F7">
        <w:t>terising aquifers and aquitards</w:t>
      </w:r>
      <w:r w:rsidRPr="001A7237">
        <w:t xml:space="preserve"> and evaluating connectivity. In terms of natural aquifer connectivity, assessment techniques range from laboratory and single-well-scale hydraulic tests to formation-scale investigations of environmental tracer distributions and groundwater level and pressure gradients, and regional-scale geophysical surveys. The different approaches all provide information at different spatial and temporal scales. The fundamental information requirements for understanding connectivity are largely associated with:</w:t>
      </w:r>
    </w:p>
    <w:p w:rsidR="00947A79" w:rsidRPr="001A7237" w:rsidRDefault="00947A79" w:rsidP="00746430">
      <w:pPr>
        <w:pStyle w:val="BRdotpoints"/>
      </w:pPr>
      <w:r w:rsidRPr="001A7237">
        <w:t>geology – includ</w:t>
      </w:r>
      <w:r w:rsidR="005902F7">
        <w:t>ing lithology and structure</w:t>
      </w:r>
    </w:p>
    <w:p w:rsidR="00947A79" w:rsidRPr="001A7237" w:rsidRDefault="00947A79" w:rsidP="00746430">
      <w:pPr>
        <w:pStyle w:val="BRdotpoints"/>
      </w:pPr>
      <w:proofErr w:type="gramStart"/>
      <w:r w:rsidRPr="001A7237">
        <w:t>groundwater</w:t>
      </w:r>
      <w:proofErr w:type="gramEnd"/>
      <w:r w:rsidRPr="001A7237">
        <w:t xml:space="preserve"> hydrology – including aquifer and aquitard permeability, groundwater level and pressure gradients, and the potential influence of discrete geological and anthropogenic structures on groundwater flow.</w:t>
      </w:r>
    </w:p>
    <w:p w:rsidR="00947A79" w:rsidRPr="001C3374" w:rsidRDefault="00947A79" w:rsidP="00746430">
      <w:pPr>
        <w:pStyle w:val="BRNormal"/>
      </w:pPr>
      <w:r w:rsidRPr="001C3374">
        <w:t>Numerical groundwater flow and solute transport models offer a means to:</w:t>
      </w:r>
    </w:p>
    <w:p w:rsidR="00947A79" w:rsidRPr="001C3374" w:rsidRDefault="00947A79" w:rsidP="00746430">
      <w:pPr>
        <w:pStyle w:val="BRdotpoints"/>
      </w:pPr>
      <w:r w:rsidRPr="001C3374">
        <w:t>interpret the datasets acquired from multi-disciplinary investigations, in conjunction with contemporary groundwater leve</w:t>
      </w:r>
      <w:r w:rsidR="005902F7">
        <w:t>l and pressure monitoring data</w:t>
      </w:r>
    </w:p>
    <w:p w:rsidR="00947A79" w:rsidRPr="001C3374" w:rsidRDefault="00947A79" w:rsidP="00746430">
      <w:pPr>
        <w:pStyle w:val="BRdotpoints"/>
      </w:pPr>
      <w:r w:rsidRPr="001C3374">
        <w:t xml:space="preserve">evaluate connectivity </w:t>
      </w:r>
      <w:r w:rsidR="005902F7">
        <w:t>between and within aquifers</w:t>
      </w:r>
    </w:p>
    <w:p w:rsidR="00947A79" w:rsidRPr="001C3374" w:rsidRDefault="00947A79" w:rsidP="00746430">
      <w:pPr>
        <w:pStyle w:val="BRdotpoints"/>
      </w:pPr>
      <w:proofErr w:type="gramStart"/>
      <w:r w:rsidRPr="001C3374">
        <w:t>use</w:t>
      </w:r>
      <w:proofErr w:type="gramEnd"/>
      <w:r w:rsidRPr="001C3374">
        <w:t xml:space="preserve"> this information to predict the impacts to groundwater levels, pressure and flow, arising from activities such as coal seam gas extraction and coal mine dewatering. </w:t>
      </w:r>
    </w:p>
    <w:p w:rsidR="00947A79" w:rsidRPr="00F7637B" w:rsidRDefault="00947A79" w:rsidP="005F6513">
      <w:pPr>
        <w:pStyle w:val="SummaryH2"/>
      </w:pPr>
      <w:r w:rsidRPr="00F7637B">
        <w:t>Changes that can occur to connectivity</w:t>
      </w:r>
    </w:p>
    <w:p w:rsidR="00947A79" w:rsidRPr="001A7237" w:rsidRDefault="00947A79" w:rsidP="00746430">
      <w:pPr>
        <w:pStyle w:val="BRNormal"/>
      </w:pPr>
      <w:r w:rsidRPr="001A7237">
        <w:t xml:space="preserve">Natural (e.g. fractures and faults) and manmade (e.g. boreholes) structures can significantly influence aquifer connectivity because they can act as preferential pathways for flow and contaminant transport. In addition, they can cause changes to connectivity over time. Mechanical deformation of geological formations due to either depressurisation of aquifers by pumping, reinjection of co-produced water or hydraulic fracturing (commonly termed </w:t>
      </w:r>
      <w:r w:rsidR="005902F7">
        <w:t>‘</w:t>
      </w:r>
      <w:r w:rsidRPr="001A7237">
        <w:t>fraccing</w:t>
      </w:r>
      <w:r w:rsidR="005902F7">
        <w:t>’</w:t>
      </w:r>
      <w:r w:rsidRPr="001A7237">
        <w:t xml:space="preserve">) can enhance fracture connectivity and thus bulk hydraulic properties of the </w:t>
      </w:r>
      <w:r w:rsidRPr="001A7237">
        <w:lastRenderedPageBreak/>
        <w:t>formation. In these instances, most of the induced fractures are propagated extensions of the natural fracture network, with characteristics determined by the geomechanical properties of the formation. Longwall coal mining also causes fracturing of strata and increased vertical connectivity above mined areas, whilst poorly-constructed wells and leaky boreholes also present a risk of accelerated inter-aquifer leakage of water and salts or contaminants.</w:t>
      </w:r>
    </w:p>
    <w:p w:rsidR="00947A79" w:rsidRPr="001A7237" w:rsidRDefault="00947A79" w:rsidP="00746430">
      <w:pPr>
        <w:pStyle w:val="BRNormal"/>
      </w:pPr>
      <w:r w:rsidRPr="001A7237">
        <w:t>Aquifer connectivity, expressed in terms of flux, can change from natural conditions solely by changi</w:t>
      </w:r>
      <w:r w:rsidR="005902F7">
        <w:t>ng the hydraulic gradient.</w:t>
      </w:r>
      <w:r w:rsidRPr="001A7237">
        <w:t xml:space="preserve"> Mine dewatering, coal seam depressurisation, pumping for groundwater supply and co-produced water reinjection are all examples </w:t>
      </w:r>
      <w:r w:rsidR="005902F7">
        <w:t xml:space="preserve">of how this could be achieved. </w:t>
      </w:r>
      <w:r w:rsidRPr="001A7237">
        <w:t>Uncertainty lies in what happens to the natural system as multiple operations come online over time (cumulative impact) and after the resources have been exhausted and the infrastructure is decommissioned. This is particularly the case for the situation where aquifer connectivity has been enhanced by the creation of new preferential pathways (e.g. fractures in aquitards, leaking borehole seals, reactivated faults) that will remain in place post-production.</w:t>
      </w:r>
    </w:p>
    <w:p w:rsidR="00947A79" w:rsidRPr="00F7637B" w:rsidRDefault="00947A79" w:rsidP="005F6513">
      <w:pPr>
        <w:pStyle w:val="SummaryH2"/>
      </w:pPr>
      <w:r w:rsidRPr="00F7637B">
        <w:t>Aquifer connectivity in the Great Artesian Basin and the Surat</w:t>
      </w:r>
      <w:r w:rsidR="005C7B83">
        <w:t>, Bowen and Galilee geological B</w:t>
      </w:r>
      <w:r w:rsidRPr="00F7637B">
        <w:t>asins</w:t>
      </w:r>
    </w:p>
    <w:p w:rsidR="00947A79" w:rsidRDefault="00947A79" w:rsidP="00746430">
      <w:pPr>
        <w:pStyle w:val="BRNormal"/>
      </w:pPr>
      <w:r w:rsidRPr="001A7237">
        <w:t>Despite several decades of research and investigation in the GAB and the Surat</w:t>
      </w:r>
      <w:r w:rsidR="00486FE8">
        <w:t>, Bowen and Galilee geological B</w:t>
      </w:r>
      <w:r w:rsidRPr="001A7237">
        <w:t>asins, few studies have explicitly focused on connectivity and inter-aquifer leakage. Instead the primary focus has been on quantifying rates of groundwater recharge</w:t>
      </w:r>
      <w:r w:rsidR="005902F7">
        <w:t xml:space="preserve"> and flow</w:t>
      </w:r>
      <w:r w:rsidRPr="001A7237">
        <w:t xml:space="preserve"> and understanding controls on water quality, at least in the GAB and Surat Basin. Work in the Bowen and Galile</w:t>
      </w:r>
      <w:r w:rsidR="00486FE8">
        <w:t>e B</w:t>
      </w:r>
      <w:r w:rsidRPr="001A7237">
        <w:t>asins has traditionally involved more fundamental geological mapping and determining reservoir characteristics. In all four basins, existing data for the hydraulic properties of the aquitards is mostly derived from measurements at a very small scale compared to the thickness and horizontal extent of the formation. There is a significant body of literature, including studies from within Australia and overseas, that indicate hydraulic conductivity increases with increasing scale of measurement; this is primarily due to the presence of preferential flow paths at larger scales. Accordingly, most existing groundwater models that claim to address aquifer connectivity – via implementation of measured hydraulic conductivity data – will under-predict the magnitude of i</w:t>
      </w:r>
      <w:r w:rsidR="00F032A0">
        <w:t>nter-aquifer leakage</w:t>
      </w:r>
      <w:r w:rsidRPr="001A7237">
        <w:t>.</w:t>
      </w:r>
    </w:p>
    <w:p w:rsidR="00947A79" w:rsidRPr="00F7637B" w:rsidRDefault="00947A79" w:rsidP="005F6513">
      <w:pPr>
        <w:pStyle w:val="SummaryH2"/>
      </w:pPr>
      <w:r w:rsidRPr="00F7637B">
        <w:t>Further work</w:t>
      </w:r>
    </w:p>
    <w:p w:rsidR="00947A79" w:rsidRPr="001A7237" w:rsidRDefault="00947A79" w:rsidP="00746430">
      <w:pPr>
        <w:pStyle w:val="BRNormal"/>
      </w:pPr>
      <w:r>
        <w:t>Priorities for further work include</w:t>
      </w:r>
      <w:r w:rsidRPr="001A7237">
        <w:t xml:space="preserve"> an agreed methodology for determining formation-scale hydraulic conductivity of aquitards, both under natural and highly stressed conditions. This will likely take several years </w:t>
      </w:r>
      <w:r w:rsidR="00F032A0">
        <w:t>of focused research to achieve;</w:t>
      </w:r>
      <w:r w:rsidRPr="001A7237">
        <w:t xml:space="preserve"> however</w:t>
      </w:r>
      <w:r w:rsidR="00F032A0">
        <w:t>,</w:t>
      </w:r>
      <w:r w:rsidRPr="001A7237">
        <w:t xml:space="preserve"> groundwater chemistry and environmental isotope data offers some of the greatest potential in the shorter term. For example, the use of multiple environmental tracer distributions in aquitard pore water</w:t>
      </w:r>
      <w:r w:rsidR="005C7B83">
        <w:t xml:space="preserve">, </w:t>
      </w:r>
      <w:r w:rsidRPr="001A7237">
        <w:t>as recently trialled in the western GAB</w:t>
      </w:r>
      <w:r w:rsidR="005C7B83">
        <w:t xml:space="preserve">, </w:t>
      </w:r>
      <w:r w:rsidRPr="001A7237">
        <w:t xml:space="preserve">provides great opportunities for assessing aquifer connectivity between the Permian coal seams that are being targeted for </w:t>
      </w:r>
      <w:r w:rsidR="00F032A0">
        <w:t>coal seam gas</w:t>
      </w:r>
      <w:r w:rsidRPr="001A7237">
        <w:t xml:space="preserve"> and the overlying GAB aquifers, or between Triassic and Jurassic aquifers. These isotope techniques may also be useful for the assessment of aquifer connectivity for much shallower coal mining operations, especially if coupled with geophysical techniques.</w:t>
      </w:r>
    </w:p>
    <w:p w:rsidR="00947A79" w:rsidRDefault="00947A79" w:rsidP="00746430">
      <w:pPr>
        <w:pStyle w:val="BRNormal"/>
      </w:pPr>
      <w:r w:rsidRPr="001C3374">
        <w:t xml:space="preserve">There is also a critical need to develop a consistent approach for modelling inter-aquifer leakage, especially that associated with </w:t>
      </w:r>
      <w:r w:rsidR="00F032A0">
        <w:t>coal seam gas</w:t>
      </w:r>
      <w:r w:rsidRPr="001C3374">
        <w:t xml:space="preserve"> development. In addition to the issues surrounding use of representative values for formation-scale hydraulic properties, there is a need to consider mechanical deform</w:t>
      </w:r>
      <w:r w:rsidR="00F032A0">
        <w:t>ation of aquifers and aquitards</w:t>
      </w:r>
      <w:r w:rsidRPr="001C3374">
        <w:t xml:space="preserve"> and the influence of these processes on the overall connectivity. Likewise, there is a need to explore dual-phase flow (the flow of both a gas</w:t>
      </w:r>
      <w:r w:rsidR="00F032A0">
        <w:t xml:space="preserve"> and water phase in the pores)</w:t>
      </w:r>
      <w:r w:rsidRPr="001C3374">
        <w:t xml:space="preserve"> and how desorption of </w:t>
      </w:r>
      <w:r w:rsidRPr="001C3374">
        <w:lastRenderedPageBreak/>
        <w:t xml:space="preserve">coal bed methane may alter the hydraulic properties of the surrounding formations. Regional-scale assessment of the cumulative impacts of groundwater extraction for </w:t>
      </w:r>
      <w:r w:rsidR="00F032A0">
        <w:t>coal seam gas</w:t>
      </w:r>
      <w:r w:rsidRPr="001C3374">
        <w:t xml:space="preserve"> and coal mining must consider these processes, which are not accounted for in traditional hydrogeological models.</w:t>
      </w:r>
    </w:p>
    <w:p w:rsidR="00E95593" w:rsidRDefault="00E95593">
      <w:pPr>
        <w:widowControl/>
        <w:suppressAutoHyphens w:val="0"/>
        <w:autoSpaceDE/>
        <w:autoSpaceDN/>
        <w:adjustRightInd/>
        <w:spacing w:after="200" w:line="240" w:lineRule="auto"/>
        <w:textAlignment w:val="auto"/>
      </w:pPr>
      <w:r>
        <w:br w:type="page"/>
      </w:r>
    </w:p>
    <w:p w:rsidR="00E95593" w:rsidRDefault="00E95593" w:rsidP="005F6513">
      <w:pPr>
        <w:pStyle w:val="SummaryH1"/>
      </w:pPr>
      <w:bookmarkStart w:id="18" w:name="_Toc381946369"/>
      <w:bookmarkStart w:id="19" w:name="_Toc384907695"/>
      <w:bookmarkStart w:id="20" w:name="_Toc389055205"/>
      <w:r w:rsidRPr="00746430">
        <w:lastRenderedPageBreak/>
        <w:t>Abbreviations</w:t>
      </w:r>
      <w:bookmarkEnd w:id="18"/>
      <w:bookmarkEnd w:id="19"/>
      <w:bookmarkEnd w:id="20"/>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701"/>
        <w:gridCol w:w="7655"/>
      </w:tblGrid>
      <w:tr w:rsidR="00D65F94" w:rsidRPr="0075269C" w:rsidTr="000F143F">
        <w:trPr>
          <w:trHeight w:val="188"/>
          <w:tblHeader/>
        </w:trPr>
        <w:tc>
          <w:tcPr>
            <w:tcW w:w="1701" w:type="dxa"/>
            <w:shd w:val="clear" w:color="auto" w:fill="C6D9F1" w:themeFill="text2" w:themeFillTint="33"/>
          </w:tcPr>
          <w:p w:rsidR="00D65F94" w:rsidRPr="00031534" w:rsidRDefault="000A475C" w:rsidP="00470AD4">
            <w:pPr>
              <w:pStyle w:val="Tableheading"/>
            </w:pPr>
            <w:r>
              <w:t>General abbreviations</w:t>
            </w:r>
          </w:p>
        </w:tc>
        <w:tc>
          <w:tcPr>
            <w:tcW w:w="7655" w:type="dxa"/>
            <w:shd w:val="clear" w:color="auto" w:fill="C6D9F1" w:themeFill="text2" w:themeFillTint="33"/>
          </w:tcPr>
          <w:p w:rsidR="00D65F94" w:rsidRPr="00031534" w:rsidRDefault="000A475C" w:rsidP="00470AD4">
            <w:pPr>
              <w:pStyle w:val="Tableheading"/>
            </w:pPr>
            <w:r>
              <w:t>Description</w:t>
            </w:r>
          </w:p>
        </w:tc>
      </w:tr>
      <w:tr w:rsidR="00DE307E" w:rsidRPr="0075269C" w:rsidTr="0077719D">
        <w:trPr>
          <w:trHeight w:val="188"/>
        </w:trPr>
        <w:tc>
          <w:tcPr>
            <w:tcW w:w="1701" w:type="dxa"/>
          </w:tcPr>
          <w:p w:rsidR="00DE307E" w:rsidRPr="00031534" w:rsidRDefault="00DE307E" w:rsidP="00CB2FBB">
            <w:pPr>
              <w:pStyle w:val="Tabletext"/>
            </w:pPr>
            <w:r w:rsidRPr="00031534">
              <w:t>AEM</w:t>
            </w:r>
          </w:p>
        </w:tc>
        <w:tc>
          <w:tcPr>
            <w:tcW w:w="7655" w:type="dxa"/>
          </w:tcPr>
          <w:p w:rsidR="00DE307E" w:rsidRPr="00031534" w:rsidRDefault="00DE307E" w:rsidP="00CB2FBB">
            <w:pPr>
              <w:pStyle w:val="Tabletext"/>
            </w:pPr>
            <w:r w:rsidRPr="00031534">
              <w:t>Airborne electromagnetic</w:t>
            </w:r>
          </w:p>
        </w:tc>
      </w:tr>
      <w:tr w:rsidR="00F87DE2" w:rsidRPr="0075269C" w:rsidTr="0077719D">
        <w:trPr>
          <w:trHeight w:val="84"/>
        </w:trPr>
        <w:tc>
          <w:tcPr>
            <w:tcW w:w="1701" w:type="dxa"/>
          </w:tcPr>
          <w:p w:rsidR="00F87DE2" w:rsidRPr="00031534" w:rsidRDefault="00F87DE2" w:rsidP="00CB2FBB">
            <w:pPr>
              <w:pStyle w:val="Tabletext"/>
            </w:pPr>
            <w:r>
              <w:t>APLNG</w:t>
            </w:r>
          </w:p>
        </w:tc>
        <w:tc>
          <w:tcPr>
            <w:tcW w:w="7655" w:type="dxa"/>
          </w:tcPr>
          <w:p w:rsidR="00F87DE2" w:rsidRPr="00031534" w:rsidRDefault="00F87DE2" w:rsidP="00CB2FBB">
            <w:pPr>
              <w:pStyle w:val="Tabletext"/>
            </w:pPr>
            <w:r>
              <w:t>Australia Pacific Liquefied Natural Gas project</w:t>
            </w:r>
          </w:p>
        </w:tc>
      </w:tr>
      <w:tr w:rsidR="00732B2E" w:rsidRPr="0075269C" w:rsidTr="0077719D">
        <w:trPr>
          <w:trHeight w:val="84"/>
        </w:trPr>
        <w:tc>
          <w:tcPr>
            <w:tcW w:w="1701" w:type="dxa"/>
          </w:tcPr>
          <w:p w:rsidR="00732B2E" w:rsidRPr="00031534" w:rsidRDefault="00732B2E" w:rsidP="00CB2FBB">
            <w:pPr>
              <w:pStyle w:val="Tabletext"/>
            </w:pPr>
            <w:r w:rsidRPr="00031534">
              <w:t>ATP</w:t>
            </w:r>
          </w:p>
        </w:tc>
        <w:tc>
          <w:tcPr>
            <w:tcW w:w="7655" w:type="dxa"/>
          </w:tcPr>
          <w:p w:rsidR="00732B2E" w:rsidRPr="00031534" w:rsidRDefault="00732B2E" w:rsidP="00CB2FBB">
            <w:pPr>
              <w:pStyle w:val="Tabletext"/>
            </w:pPr>
            <w:r w:rsidRPr="00031534">
              <w:t>Authority to Prospect</w:t>
            </w:r>
            <w:r w:rsidR="00280D4D">
              <w:t xml:space="preserve"> for Petroleum</w:t>
            </w:r>
          </w:p>
        </w:tc>
      </w:tr>
      <w:tr w:rsidR="00B011CD" w:rsidRPr="0075269C" w:rsidTr="0077719D">
        <w:trPr>
          <w:trHeight w:val="84"/>
        </w:trPr>
        <w:tc>
          <w:tcPr>
            <w:tcW w:w="1701" w:type="dxa"/>
          </w:tcPr>
          <w:p w:rsidR="00B011CD" w:rsidRPr="00031534" w:rsidRDefault="00B011CD" w:rsidP="00CB2FBB">
            <w:pPr>
              <w:pStyle w:val="Tabletext"/>
            </w:pPr>
            <w:r>
              <w:t>AWMS</w:t>
            </w:r>
          </w:p>
        </w:tc>
        <w:tc>
          <w:tcPr>
            <w:tcW w:w="7655" w:type="dxa"/>
          </w:tcPr>
          <w:p w:rsidR="00B011CD" w:rsidRPr="00031534" w:rsidRDefault="00B011CD" w:rsidP="00CB2FBB">
            <w:pPr>
              <w:pStyle w:val="Tabletext"/>
            </w:pPr>
            <w:r>
              <w:t>Allocating Water and Maintaining Springs project</w:t>
            </w:r>
          </w:p>
        </w:tc>
      </w:tr>
      <w:tr w:rsidR="00F41F92" w:rsidRPr="0075269C" w:rsidTr="0077719D">
        <w:trPr>
          <w:trHeight w:val="84"/>
        </w:trPr>
        <w:tc>
          <w:tcPr>
            <w:tcW w:w="1701" w:type="dxa"/>
          </w:tcPr>
          <w:p w:rsidR="00F41F92" w:rsidRPr="00031534" w:rsidRDefault="00F41F92" w:rsidP="00CB2FBB">
            <w:pPr>
              <w:pStyle w:val="Tabletext"/>
            </w:pPr>
            <w:r>
              <w:t>BC</w:t>
            </w:r>
          </w:p>
        </w:tc>
        <w:tc>
          <w:tcPr>
            <w:tcW w:w="7655" w:type="dxa"/>
          </w:tcPr>
          <w:p w:rsidR="00F41F92" w:rsidRPr="00031534" w:rsidRDefault="00F41F92" w:rsidP="00CB2FBB">
            <w:pPr>
              <w:pStyle w:val="Tabletext"/>
            </w:pPr>
            <w:r>
              <w:t>British Columbia</w:t>
            </w:r>
          </w:p>
        </w:tc>
      </w:tr>
      <w:tr w:rsidR="007C1690" w:rsidRPr="0075269C" w:rsidTr="0077719D">
        <w:trPr>
          <w:trHeight w:val="84"/>
        </w:trPr>
        <w:tc>
          <w:tcPr>
            <w:tcW w:w="1701" w:type="dxa"/>
          </w:tcPr>
          <w:p w:rsidR="007C1690" w:rsidRPr="00031534" w:rsidRDefault="007C1690" w:rsidP="00CB2FBB">
            <w:pPr>
              <w:pStyle w:val="Tabletext"/>
            </w:pPr>
            <w:r>
              <w:t>CO2CRC</w:t>
            </w:r>
          </w:p>
        </w:tc>
        <w:tc>
          <w:tcPr>
            <w:tcW w:w="7655" w:type="dxa"/>
          </w:tcPr>
          <w:p w:rsidR="007C1690" w:rsidRPr="00031534" w:rsidRDefault="007C1690" w:rsidP="00CB2FBB">
            <w:pPr>
              <w:pStyle w:val="Tabletext"/>
            </w:pPr>
            <w:r>
              <w:t>Cooperative Centre for Greenhouse Gas Technologies</w:t>
            </w:r>
          </w:p>
        </w:tc>
      </w:tr>
      <w:tr w:rsidR="00E95593" w:rsidRPr="0075269C" w:rsidTr="0077719D">
        <w:trPr>
          <w:trHeight w:val="84"/>
        </w:trPr>
        <w:tc>
          <w:tcPr>
            <w:tcW w:w="1701" w:type="dxa"/>
          </w:tcPr>
          <w:p w:rsidR="00E95593" w:rsidRPr="00031534" w:rsidRDefault="00E95593" w:rsidP="00CB2FBB">
            <w:pPr>
              <w:pStyle w:val="Tabletext"/>
            </w:pPr>
            <w:r w:rsidRPr="00031534">
              <w:t>CBM</w:t>
            </w:r>
          </w:p>
        </w:tc>
        <w:tc>
          <w:tcPr>
            <w:tcW w:w="7655" w:type="dxa"/>
          </w:tcPr>
          <w:p w:rsidR="00E95593" w:rsidRPr="00031534" w:rsidRDefault="00E95593" w:rsidP="00CB2FBB">
            <w:pPr>
              <w:pStyle w:val="Tabletext"/>
            </w:pPr>
            <w:r w:rsidRPr="00031534">
              <w:t>Coal bed methane</w:t>
            </w:r>
          </w:p>
        </w:tc>
      </w:tr>
      <w:tr w:rsidR="00017FB9" w:rsidRPr="0075269C" w:rsidTr="0077719D">
        <w:trPr>
          <w:trHeight w:val="84"/>
        </w:trPr>
        <w:tc>
          <w:tcPr>
            <w:tcW w:w="1701" w:type="dxa"/>
          </w:tcPr>
          <w:p w:rsidR="00017FB9" w:rsidRPr="00031534" w:rsidRDefault="000F143F" w:rsidP="00CB2FBB">
            <w:pPr>
              <w:pStyle w:val="Tabletext"/>
            </w:pPr>
            <w:r>
              <w:t>Cm</w:t>
            </w:r>
          </w:p>
        </w:tc>
        <w:tc>
          <w:tcPr>
            <w:tcW w:w="7655" w:type="dxa"/>
          </w:tcPr>
          <w:p w:rsidR="00017FB9" w:rsidRPr="00031534" w:rsidRDefault="00017FB9" w:rsidP="00CB2FBB">
            <w:pPr>
              <w:pStyle w:val="Tabletext"/>
            </w:pPr>
            <w:r>
              <w:t>Coal Measure</w:t>
            </w:r>
          </w:p>
        </w:tc>
      </w:tr>
      <w:tr w:rsidR="00732B2E" w:rsidRPr="0075269C" w:rsidTr="0077719D">
        <w:trPr>
          <w:trHeight w:val="84"/>
        </w:trPr>
        <w:tc>
          <w:tcPr>
            <w:tcW w:w="1701" w:type="dxa"/>
          </w:tcPr>
          <w:p w:rsidR="00732B2E" w:rsidRPr="00031534" w:rsidRDefault="00732B2E" w:rsidP="00CB2FBB">
            <w:pPr>
              <w:pStyle w:val="Tabletext"/>
            </w:pPr>
            <w:r w:rsidRPr="00031534">
              <w:t>CMA</w:t>
            </w:r>
          </w:p>
        </w:tc>
        <w:tc>
          <w:tcPr>
            <w:tcW w:w="7655" w:type="dxa"/>
          </w:tcPr>
          <w:p w:rsidR="00732B2E" w:rsidRPr="00031534" w:rsidRDefault="00732B2E" w:rsidP="00CB2FBB">
            <w:pPr>
              <w:pStyle w:val="Tabletext"/>
            </w:pPr>
            <w:r w:rsidRPr="00031534">
              <w:t>Catchment management authority or area</w:t>
            </w:r>
          </w:p>
        </w:tc>
      </w:tr>
      <w:tr w:rsidR="00E95593" w:rsidRPr="0075269C" w:rsidTr="0077719D">
        <w:trPr>
          <w:trHeight w:val="84"/>
        </w:trPr>
        <w:tc>
          <w:tcPr>
            <w:tcW w:w="1701" w:type="dxa"/>
          </w:tcPr>
          <w:p w:rsidR="00E95593" w:rsidRPr="00031534" w:rsidRDefault="00E95593" w:rsidP="00CB2FBB">
            <w:pPr>
              <w:pStyle w:val="Tabletext"/>
            </w:pPr>
            <w:r w:rsidRPr="00031534">
              <w:t>CSIRO</w:t>
            </w:r>
          </w:p>
        </w:tc>
        <w:tc>
          <w:tcPr>
            <w:tcW w:w="7655" w:type="dxa"/>
          </w:tcPr>
          <w:p w:rsidR="00E95593" w:rsidRPr="00031534" w:rsidRDefault="00E95593" w:rsidP="00CB2FBB">
            <w:pPr>
              <w:pStyle w:val="Tabletext"/>
            </w:pPr>
            <w:r w:rsidRPr="00031534">
              <w:t>Commonwealth Scientific and Industrial Research Organisation</w:t>
            </w:r>
          </w:p>
        </w:tc>
      </w:tr>
      <w:tr w:rsidR="00E95593" w:rsidRPr="0075269C" w:rsidTr="0077719D">
        <w:trPr>
          <w:trHeight w:val="84"/>
        </w:trPr>
        <w:tc>
          <w:tcPr>
            <w:tcW w:w="1701" w:type="dxa"/>
          </w:tcPr>
          <w:p w:rsidR="00E95593" w:rsidRPr="00031534" w:rsidRDefault="00E95593" w:rsidP="00CB2FBB">
            <w:pPr>
              <w:pStyle w:val="Tabletext"/>
            </w:pPr>
            <w:r w:rsidRPr="00031534">
              <w:t>CSG</w:t>
            </w:r>
          </w:p>
        </w:tc>
        <w:tc>
          <w:tcPr>
            <w:tcW w:w="7655" w:type="dxa"/>
          </w:tcPr>
          <w:p w:rsidR="00E95593" w:rsidRPr="00031534" w:rsidRDefault="001A4223" w:rsidP="00CB2FBB">
            <w:pPr>
              <w:pStyle w:val="Tabletext"/>
            </w:pPr>
            <w:r>
              <w:t>Coal seam g</w:t>
            </w:r>
            <w:r w:rsidR="00E95593" w:rsidRPr="00031534">
              <w:t>as</w:t>
            </w:r>
          </w:p>
        </w:tc>
      </w:tr>
      <w:tr w:rsidR="00C71F86" w:rsidRPr="0075269C" w:rsidTr="0077719D">
        <w:trPr>
          <w:trHeight w:val="85"/>
        </w:trPr>
        <w:tc>
          <w:tcPr>
            <w:tcW w:w="1701" w:type="dxa"/>
          </w:tcPr>
          <w:p w:rsidR="00C71F86" w:rsidRDefault="00C71F86" w:rsidP="00CB2FBB">
            <w:pPr>
              <w:pStyle w:val="Tabletext"/>
            </w:pPr>
            <w:r>
              <w:t>2D</w:t>
            </w:r>
          </w:p>
        </w:tc>
        <w:tc>
          <w:tcPr>
            <w:tcW w:w="7655" w:type="dxa"/>
          </w:tcPr>
          <w:p w:rsidR="00C71F86" w:rsidRDefault="00C71F86" w:rsidP="00CB2FBB">
            <w:pPr>
              <w:pStyle w:val="Tabletext"/>
            </w:pPr>
            <w:r>
              <w:t>Two dimensional</w:t>
            </w:r>
          </w:p>
        </w:tc>
      </w:tr>
      <w:tr w:rsidR="00C71F86" w:rsidRPr="0075269C" w:rsidTr="0077719D">
        <w:trPr>
          <w:trHeight w:val="85"/>
        </w:trPr>
        <w:tc>
          <w:tcPr>
            <w:tcW w:w="1701" w:type="dxa"/>
          </w:tcPr>
          <w:p w:rsidR="00C71F86" w:rsidRDefault="00C71F86" w:rsidP="00CB2FBB">
            <w:pPr>
              <w:pStyle w:val="Tabletext"/>
            </w:pPr>
            <w:r>
              <w:t>3D</w:t>
            </w:r>
          </w:p>
        </w:tc>
        <w:tc>
          <w:tcPr>
            <w:tcW w:w="7655" w:type="dxa"/>
          </w:tcPr>
          <w:p w:rsidR="00C71F86" w:rsidRDefault="00C71F86" w:rsidP="00CB2FBB">
            <w:pPr>
              <w:pStyle w:val="Tabletext"/>
            </w:pPr>
            <w:r>
              <w:t>Three dimensional</w:t>
            </w:r>
          </w:p>
        </w:tc>
      </w:tr>
      <w:tr w:rsidR="00280D4D" w:rsidRPr="0075269C" w:rsidTr="0077719D">
        <w:trPr>
          <w:trHeight w:val="85"/>
        </w:trPr>
        <w:tc>
          <w:tcPr>
            <w:tcW w:w="1701" w:type="dxa"/>
          </w:tcPr>
          <w:p w:rsidR="00280D4D" w:rsidRPr="00031534" w:rsidRDefault="00280D4D" w:rsidP="00CB2FBB">
            <w:pPr>
              <w:pStyle w:val="Tabletext"/>
            </w:pPr>
            <w:r>
              <w:t>DERM</w:t>
            </w:r>
          </w:p>
        </w:tc>
        <w:tc>
          <w:tcPr>
            <w:tcW w:w="7655" w:type="dxa"/>
          </w:tcPr>
          <w:p w:rsidR="00280D4D" w:rsidRPr="00031534" w:rsidRDefault="00280D4D" w:rsidP="00CB2FBB">
            <w:pPr>
              <w:pStyle w:val="Tabletext"/>
            </w:pPr>
            <w:r>
              <w:t>Queensland Government Department of Environment and Resource Management (ceased operations in 2012)</w:t>
            </w:r>
          </w:p>
        </w:tc>
      </w:tr>
      <w:tr w:rsidR="00DE307E" w:rsidRPr="0075269C" w:rsidTr="0077719D">
        <w:trPr>
          <w:trHeight w:val="85"/>
        </w:trPr>
        <w:tc>
          <w:tcPr>
            <w:tcW w:w="1701" w:type="dxa"/>
          </w:tcPr>
          <w:p w:rsidR="00DE307E" w:rsidRPr="00031534" w:rsidRDefault="00DE307E" w:rsidP="00CB2FBB">
            <w:pPr>
              <w:pStyle w:val="Tabletext"/>
            </w:pPr>
            <w:r w:rsidRPr="00031534">
              <w:t>DST</w:t>
            </w:r>
          </w:p>
        </w:tc>
        <w:tc>
          <w:tcPr>
            <w:tcW w:w="7655" w:type="dxa"/>
          </w:tcPr>
          <w:p w:rsidR="00DE307E" w:rsidRPr="00031534" w:rsidRDefault="00DE307E" w:rsidP="00CB2FBB">
            <w:pPr>
              <w:pStyle w:val="Tabletext"/>
            </w:pPr>
            <w:r w:rsidRPr="00031534">
              <w:t>Drill stem tests</w:t>
            </w:r>
          </w:p>
        </w:tc>
      </w:tr>
      <w:tr w:rsidR="00E95593" w:rsidRPr="0075269C" w:rsidTr="0077719D">
        <w:trPr>
          <w:trHeight w:val="84"/>
        </w:trPr>
        <w:tc>
          <w:tcPr>
            <w:tcW w:w="1701" w:type="dxa"/>
          </w:tcPr>
          <w:p w:rsidR="00E95593" w:rsidRPr="00031534" w:rsidRDefault="00E95593" w:rsidP="00CB2FBB">
            <w:pPr>
              <w:pStyle w:val="Tabletext"/>
            </w:pPr>
            <w:r w:rsidRPr="00031534">
              <w:t>EIS</w:t>
            </w:r>
          </w:p>
        </w:tc>
        <w:tc>
          <w:tcPr>
            <w:tcW w:w="7655" w:type="dxa"/>
          </w:tcPr>
          <w:p w:rsidR="00E95593" w:rsidRPr="00031534" w:rsidRDefault="00E95593" w:rsidP="00CB2FBB">
            <w:pPr>
              <w:pStyle w:val="Tabletext"/>
            </w:pPr>
            <w:r w:rsidRPr="00031534">
              <w:t>Environmental Impact Statement</w:t>
            </w:r>
          </w:p>
        </w:tc>
      </w:tr>
      <w:tr w:rsidR="00E95593" w:rsidRPr="0075269C" w:rsidTr="0077719D">
        <w:trPr>
          <w:trHeight w:val="84"/>
        </w:trPr>
        <w:tc>
          <w:tcPr>
            <w:tcW w:w="1701" w:type="dxa"/>
          </w:tcPr>
          <w:p w:rsidR="00E95593" w:rsidRPr="00031534" w:rsidRDefault="00E95593" w:rsidP="00CB2FBB">
            <w:pPr>
              <w:pStyle w:val="Tabletext"/>
            </w:pPr>
            <w:r w:rsidRPr="00031534">
              <w:t xml:space="preserve">EPBC Act </w:t>
            </w:r>
          </w:p>
        </w:tc>
        <w:tc>
          <w:tcPr>
            <w:tcW w:w="7655" w:type="dxa"/>
          </w:tcPr>
          <w:p w:rsidR="00E95593" w:rsidRPr="00031534" w:rsidRDefault="00E95593" w:rsidP="00CB2FBB">
            <w:pPr>
              <w:pStyle w:val="Tabletext"/>
            </w:pPr>
            <w:r w:rsidRPr="00031534">
              <w:t xml:space="preserve">Environment Protection and Biodiversity Conservation Act 1999 </w:t>
            </w:r>
          </w:p>
        </w:tc>
      </w:tr>
      <w:tr w:rsidR="005C6B7B" w:rsidRPr="0075269C" w:rsidTr="0077719D">
        <w:trPr>
          <w:trHeight w:val="84"/>
        </w:trPr>
        <w:tc>
          <w:tcPr>
            <w:tcW w:w="1701" w:type="dxa"/>
          </w:tcPr>
          <w:p w:rsidR="005C6B7B" w:rsidRPr="00031534" w:rsidRDefault="005C6B7B" w:rsidP="00CB2FBB">
            <w:pPr>
              <w:pStyle w:val="Tabletext"/>
            </w:pPr>
            <w:r>
              <w:t>FAST</w:t>
            </w:r>
          </w:p>
        </w:tc>
        <w:tc>
          <w:tcPr>
            <w:tcW w:w="7655" w:type="dxa"/>
          </w:tcPr>
          <w:p w:rsidR="005C6B7B" w:rsidRPr="00031534" w:rsidRDefault="005C6B7B" w:rsidP="00CB2FBB">
            <w:pPr>
              <w:pStyle w:val="Tabletext"/>
            </w:pPr>
            <w:r>
              <w:t>Fault analysis seal technology</w:t>
            </w:r>
          </w:p>
        </w:tc>
      </w:tr>
      <w:tr w:rsidR="00017FB9" w:rsidRPr="0075269C" w:rsidTr="0077719D">
        <w:trPr>
          <w:trHeight w:val="84"/>
        </w:trPr>
        <w:tc>
          <w:tcPr>
            <w:tcW w:w="1701" w:type="dxa"/>
          </w:tcPr>
          <w:p w:rsidR="00017FB9" w:rsidRPr="00031534" w:rsidRDefault="00017FB9" w:rsidP="00CB2FBB">
            <w:pPr>
              <w:pStyle w:val="Tabletext"/>
            </w:pPr>
            <w:r>
              <w:t>Fm</w:t>
            </w:r>
          </w:p>
        </w:tc>
        <w:tc>
          <w:tcPr>
            <w:tcW w:w="7655" w:type="dxa"/>
          </w:tcPr>
          <w:p w:rsidR="00017FB9" w:rsidRPr="00031534" w:rsidRDefault="00017FB9" w:rsidP="00CB2FBB">
            <w:pPr>
              <w:pStyle w:val="Tabletext"/>
            </w:pPr>
            <w:r>
              <w:t>Formation</w:t>
            </w:r>
          </w:p>
        </w:tc>
      </w:tr>
      <w:tr w:rsidR="00DE307E" w:rsidRPr="0075269C" w:rsidTr="0077719D">
        <w:trPr>
          <w:trHeight w:val="84"/>
        </w:trPr>
        <w:tc>
          <w:tcPr>
            <w:tcW w:w="1701" w:type="dxa"/>
          </w:tcPr>
          <w:p w:rsidR="00DE307E" w:rsidRPr="00031534" w:rsidRDefault="00DE307E" w:rsidP="00CB2FBB">
            <w:pPr>
              <w:pStyle w:val="Tabletext"/>
            </w:pPr>
            <w:r w:rsidRPr="00031534">
              <w:t>FRT</w:t>
            </w:r>
          </w:p>
        </w:tc>
        <w:tc>
          <w:tcPr>
            <w:tcW w:w="7655" w:type="dxa"/>
          </w:tcPr>
          <w:p w:rsidR="00DE307E" w:rsidRPr="00031534" w:rsidRDefault="00DE307E" w:rsidP="00CB2FBB">
            <w:pPr>
              <w:pStyle w:val="Tabletext"/>
            </w:pPr>
            <w:r w:rsidRPr="00031534">
              <w:t>Flow rate testers</w:t>
            </w:r>
          </w:p>
        </w:tc>
      </w:tr>
      <w:tr w:rsidR="00E95593" w:rsidRPr="0075269C" w:rsidTr="0077719D">
        <w:trPr>
          <w:trHeight w:val="84"/>
        </w:trPr>
        <w:tc>
          <w:tcPr>
            <w:tcW w:w="1701" w:type="dxa"/>
          </w:tcPr>
          <w:p w:rsidR="00E95593" w:rsidRPr="00031534" w:rsidRDefault="00E95593" w:rsidP="00CB2FBB">
            <w:pPr>
              <w:pStyle w:val="Tabletext"/>
            </w:pPr>
            <w:r w:rsidRPr="00031534">
              <w:t>GA</w:t>
            </w:r>
          </w:p>
        </w:tc>
        <w:tc>
          <w:tcPr>
            <w:tcW w:w="7655" w:type="dxa"/>
          </w:tcPr>
          <w:p w:rsidR="00E95593" w:rsidRPr="00031534" w:rsidRDefault="00E95593" w:rsidP="00CB2FBB">
            <w:pPr>
              <w:pStyle w:val="Tabletext"/>
            </w:pPr>
            <w:r w:rsidRPr="00031534">
              <w:t>Geoscience Australia</w:t>
            </w:r>
          </w:p>
        </w:tc>
      </w:tr>
      <w:tr w:rsidR="00E95593" w:rsidRPr="0075269C" w:rsidTr="0077719D">
        <w:trPr>
          <w:trHeight w:val="84"/>
        </w:trPr>
        <w:tc>
          <w:tcPr>
            <w:tcW w:w="1701" w:type="dxa"/>
          </w:tcPr>
          <w:p w:rsidR="00E95593" w:rsidRPr="00031534" w:rsidRDefault="00E95593" w:rsidP="00CB2FBB">
            <w:pPr>
              <w:pStyle w:val="Tabletext"/>
            </w:pPr>
            <w:r w:rsidRPr="00031534">
              <w:t>GAB</w:t>
            </w:r>
          </w:p>
        </w:tc>
        <w:tc>
          <w:tcPr>
            <w:tcW w:w="7655" w:type="dxa"/>
          </w:tcPr>
          <w:p w:rsidR="00E95593" w:rsidRPr="00031534" w:rsidRDefault="00E95593" w:rsidP="00CB2FBB">
            <w:pPr>
              <w:pStyle w:val="Tabletext"/>
            </w:pPr>
            <w:r w:rsidRPr="00031534">
              <w:t>Great Artesian Basin</w:t>
            </w:r>
          </w:p>
        </w:tc>
      </w:tr>
      <w:tr w:rsidR="00B011CD" w:rsidRPr="0075269C" w:rsidTr="0077719D">
        <w:trPr>
          <w:trHeight w:val="84"/>
        </w:trPr>
        <w:tc>
          <w:tcPr>
            <w:tcW w:w="1701" w:type="dxa"/>
          </w:tcPr>
          <w:p w:rsidR="00B011CD" w:rsidRPr="00031534" w:rsidRDefault="00B011CD" w:rsidP="00CB2FBB">
            <w:pPr>
              <w:pStyle w:val="Tabletext"/>
            </w:pPr>
            <w:r>
              <w:t>GABWRA</w:t>
            </w:r>
          </w:p>
        </w:tc>
        <w:tc>
          <w:tcPr>
            <w:tcW w:w="7655" w:type="dxa"/>
          </w:tcPr>
          <w:p w:rsidR="00B011CD" w:rsidRPr="00031534" w:rsidRDefault="00B011CD" w:rsidP="00CB2FBB">
            <w:pPr>
              <w:pStyle w:val="Tabletext"/>
            </w:pPr>
            <w:r w:rsidRPr="00031534">
              <w:t>Great Artesian Basin</w:t>
            </w:r>
            <w:r>
              <w:t xml:space="preserve"> Water Resource Assessment</w:t>
            </w:r>
          </w:p>
        </w:tc>
      </w:tr>
      <w:tr w:rsidR="00F87DE2" w:rsidRPr="0075269C" w:rsidTr="0077719D">
        <w:trPr>
          <w:trHeight w:val="84"/>
        </w:trPr>
        <w:tc>
          <w:tcPr>
            <w:tcW w:w="1701" w:type="dxa"/>
          </w:tcPr>
          <w:p w:rsidR="00F87DE2" w:rsidRPr="00031534" w:rsidRDefault="00F87DE2" w:rsidP="00CB2FBB">
            <w:pPr>
              <w:pStyle w:val="Tabletext"/>
            </w:pPr>
            <w:r>
              <w:t>GLNG</w:t>
            </w:r>
          </w:p>
        </w:tc>
        <w:tc>
          <w:tcPr>
            <w:tcW w:w="7655" w:type="dxa"/>
          </w:tcPr>
          <w:p w:rsidR="00F87DE2" w:rsidRPr="00031534" w:rsidRDefault="00F87DE2" w:rsidP="00CB2FBB">
            <w:pPr>
              <w:pStyle w:val="Tabletext"/>
            </w:pPr>
            <w:r>
              <w:t>Gladstone Liquefied Natural Gas project</w:t>
            </w:r>
          </w:p>
        </w:tc>
      </w:tr>
      <w:tr w:rsidR="00DE307E" w:rsidRPr="0075269C" w:rsidTr="0077719D">
        <w:trPr>
          <w:trHeight w:val="84"/>
        </w:trPr>
        <w:tc>
          <w:tcPr>
            <w:tcW w:w="1701" w:type="dxa"/>
          </w:tcPr>
          <w:p w:rsidR="00DE307E" w:rsidRPr="00031534" w:rsidRDefault="00DE307E" w:rsidP="00CB2FBB">
            <w:pPr>
              <w:pStyle w:val="Tabletext"/>
            </w:pPr>
            <w:r w:rsidRPr="00031534">
              <w:t>GPR</w:t>
            </w:r>
          </w:p>
        </w:tc>
        <w:tc>
          <w:tcPr>
            <w:tcW w:w="7655" w:type="dxa"/>
          </w:tcPr>
          <w:p w:rsidR="00DE307E" w:rsidRPr="00031534" w:rsidRDefault="00DE307E" w:rsidP="00CB2FBB">
            <w:pPr>
              <w:pStyle w:val="Tabletext"/>
            </w:pPr>
            <w:r w:rsidRPr="00031534">
              <w:t>Ground penetrating radar</w:t>
            </w:r>
          </w:p>
        </w:tc>
      </w:tr>
      <w:tr w:rsidR="00F87DE2" w:rsidRPr="0075269C" w:rsidTr="0077719D">
        <w:trPr>
          <w:trHeight w:val="84"/>
        </w:trPr>
        <w:tc>
          <w:tcPr>
            <w:tcW w:w="1701" w:type="dxa"/>
          </w:tcPr>
          <w:p w:rsidR="00F87DE2" w:rsidRPr="00031534" w:rsidRDefault="00F87DE2" w:rsidP="00CB2FBB">
            <w:pPr>
              <w:pStyle w:val="Tabletext"/>
            </w:pPr>
            <w:r>
              <w:t>GSQ</w:t>
            </w:r>
          </w:p>
        </w:tc>
        <w:tc>
          <w:tcPr>
            <w:tcW w:w="7655" w:type="dxa"/>
          </w:tcPr>
          <w:p w:rsidR="00F87DE2" w:rsidRDefault="00F87DE2" w:rsidP="00CB2FBB">
            <w:pPr>
              <w:pStyle w:val="Tabletext"/>
            </w:pPr>
            <w:r w:rsidRPr="003614FB">
              <w:t>Geological Survey of Queensland</w:t>
            </w:r>
          </w:p>
        </w:tc>
      </w:tr>
      <w:tr w:rsidR="00732B2E" w:rsidRPr="0075269C" w:rsidTr="0077719D">
        <w:trPr>
          <w:trHeight w:val="84"/>
        </w:trPr>
        <w:tc>
          <w:tcPr>
            <w:tcW w:w="1701" w:type="dxa"/>
          </w:tcPr>
          <w:p w:rsidR="00732B2E" w:rsidRPr="00031534" w:rsidRDefault="00732B2E" w:rsidP="00CB2FBB">
            <w:pPr>
              <w:pStyle w:val="Tabletext"/>
            </w:pPr>
            <w:r w:rsidRPr="00031534">
              <w:t>GVS</w:t>
            </w:r>
          </w:p>
        </w:tc>
        <w:tc>
          <w:tcPr>
            <w:tcW w:w="7655" w:type="dxa"/>
          </w:tcPr>
          <w:p w:rsidR="00732B2E" w:rsidRPr="00031534" w:rsidRDefault="00F032A0" w:rsidP="00CB2FBB">
            <w:pPr>
              <w:pStyle w:val="Tabletext"/>
            </w:pPr>
            <w:r>
              <w:t>Groundwater visualisation s</w:t>
            </w:r>
            <w:r w:rsidR="00732B2E" w:rsidRPr="00031534">
              <w:t>ystem</w:t>
            </w:r>
          </w:p>
        </w:tc>
      </w:tr>
      <w:tr w:rsidR="00031534" w:rsidRPr="0075269C" w:rsidTr="0077719D">
        <w:trPr>
          <w:trHeight w:val="84"/>
        </w:trPr>
        <w:tc>
          <w:tcPr>
            <w:tcW w:w="1701" w:type="dxa"/>
          </w:tcPr>
          <w:p w:rsidR="00031534" w:rsidRPr="001A4223" w:rsidRDefault="00031534" w:rsidP="00CB2FBB">
            <w:pPr>
              <w:pStyle w:val="Tabletext"/>
            </w:pPr>
            <w:r w:rsidRPr="001A4223">
              <w:t>HSU</w:t>
            </w:r>
          </w:p>
        </w:tc>
        <w:tc>
          <w:tcPr>
            <w:tcW w:w="7655" w:type="dxa"/>
          </w:tcPr>
          <w:p w:rsidR="00031534" w:rsidRPr="00031534" w:rsidRDefault="002B3D9B" w:rsidP="00CB2FBB">
            <w:pPr>
              <w:pStyle w:val="Tabletext"/>
            </w:pPr>
            <w:r>
              <w:t>Hydro</w:t>
            </w:r>
            <w:r w:rsidR="00031534" w:rsidRPr="00031534">
              <w:t>stratigraphic units</w:t>
            </w:r>
          </w:p>
        </w:tc>
      </w:tr>
      <w:tr w:rsidR="00732B2E" w:rsidRPr="0075269C" w:rsidTr="0077719D">
        <w:trPr>
          <w:trHeight w:val="84"/>
        </w:trPr>
        <w:tc>
          <w:tcPr>
            <w:tcW w:w="1701" w:type="dxa"/>
          </w:tcPr>
          <w:p w:rsidR="00732B2E" w:rsidRPr="001A4223" w:rsidRDefault="00732B2E" w:rsidP="00CB2FBB">
            <w:pPr>
              <w:pStyle w:val="Tabletext"/>
            </w:pPr>
            <w:r w:rsidRPr="001A4223">
              <w:t>IAA</w:t>
            </w:r>
          </w:p>
        </w:tc>
        <w:tc>
          <w:tcPr>
            <w:tcW w:w="7655" w:type="dxa"/>
          </w:tcPr>
          <w:p w:rsidR="00732B2E" w:rsidRPr="00031534" w:rsidRDefault="00732B2E" w:rsidP="00CB2FBB">
            <w:pPr>
              <w:pStyle w:val="Tabletext"/>
            </w:pPr>
            <w:r w:rsidRPr="00031534">
              <w:t>Immediately affected areas</w:t>
            </w:r>
          </w:p>
        </w:tc>
      </w:tr>
      <w:tr w:rsidR="00E95593" w:rsidRPr="0075269C" w:rsidTr="0077719D">
        <w:trPr>
          <w:trHeight w:val="84"/>
        </w:trPr>
        <w:tc>
          <w:tcPr>
            <w:tcW w:w="1701" w:type="dxa"/>
          </w:tcPr>
          <w:p w:rsidR="00E95593" w:rsidRPr="001A4223" w:rsidRDefault="00E95593" w:rsidP="00CB2FBB">
            <w:pPr>
              <w:pStyle w:val="Tabletext"/>
            </w:pPr>
            <w:r w:rsidRPr="001A4223">
              <w:t>IESC</w:t>
            </w:r>
          </w:p>
        </w:tc>
        <w:tc>
          <w:tcPr>
            <w:tcW w:w="7655" w:type="dxa"/>
          </w:tcPr>
          <w:p w:rsidR="00E95593" w:rsidRPr="00031534" w:rsidRDefault="00E95593" w:rsidP="00CB2FBB">
            <w:pPr>
              <w:pStyle w:val="Tabletext"/>
            </w:pPr>
            <w:r w:rsidRPr="00031534">
              <w:t>Independent Expert Scientific Committee on Coal Seam Gas and Large Coal Mining Development</w:t>
            </w:r>
          </w:p>
        </w:tc>
      </w:tr>
      <w:tr w:rsidR="009E3D4B" w:rsidRPr="0075269C" w:rsidTr="0077719D">
        <w:trPr>
          <w:trHeight w:val="84"/>
        </w:trPr>
        <w:tc>
          <w:tcPr>
            <w:tcW w:w="1701" w:type="dxa"/>
          </w:tcPr>
          <w:p w:rsidR="009E3D4B" w:rsidRPr="001A4223" w:rsidRDefault="009E3D4B" w:rsidP="00CB2FBB">
            <w:pPr>
              <w:pStyle w:val="Tabletext"/>
            </w:pPr>
            <w:r w:rsidRPr="001A4223">
              <w:t>J-K</w:t>
            </w:r>
          </w:p>
        </w:tc>
        <w:tc>
          <w:tcPr>
            <w:tcW w:w="7655" w:type="dxa"/>
          </w:tcPr>
          <w:p w:rsidR="009E3D4B" w:rsidRPr="00031534" w:rsidRDefault="009E3D4B" w:rsidP="00CB2FBB">
            <w:pPr>
              <w:pStyle w:val="Tabletext"/>
            </w:pPr>
            <w:r>
              <w:t>Jurassic-Cretaceous</w:t>
            </w:r>
          </w:p>
        </w:tc>
      </w:tr>
      <w:tr w:rsidR="00732B2E" w:rsidRPr="0075269C" w:rsidTr="0077719D">
        <w:trPr>
          <w:trHeight w:val="84"/>
        </w:trPr>
        <w:tc>
          <w:tcPr>
            <w:tcW w:w="1701" w:type="dxa"/>
          </w:tcPr>
          <w:p w:rsidR="00732B2E" w:rsidRPr="001A4223" w:rsidRDefault="00732B2E" w:rsidP="00CB2FBB">
            <w:pPr>
              <w:pStyle w:val="Tabletext"/>
            </w:pPr>
            <w:r w:rsidRPr="001A4223">
              <w:lastRenderedPageBreak/>
              <w:t>LAA</w:t>
            </w:r>
          </w:p>
        </w:tc>
        <w:tc>
          <w:tcPr>
            <w:tcW w:w="7655" w:type="dxa"/>
          </w:tcPr>
          <w:p w:rsidR="00732B2E" w:rsidRPr="00031534" w:rsidRDefault="00732B2E" w:rsidP="00CB2FBB">
            <w:pPr>
              <w:pStyle w:val="Tabletext"/>
            </w:pPr>
            <w:r w:rsidRPr="00031534">
              <w:t>Long-term affected areas</w:t>
            </w:r>
          </w:p>
        </w:tc>
      </w:tr>
      <w:tr w:rsidR="00732B2E" w:rsidRPr="0075269C" w:rsidTr="0077719D">
        <w:trPr>
          <w:trHeight w:val="84"/>
        </w:trPr>
        <w:tc>
          <w:tcPr>
            <w:tcW w:w="1701" w:type="dxa"/>
          </w:tcPr>
          <w:p w:rsidR="00732B2E" w:rsidRPr="001A4223" w:rsidRDefault="00732B2E" w:rsidP="00CB2FBB">
            <w:pPr>
              <w:pStyle w:val="Tabletext"/>
            </w:pPr>
            <w:r w:rsidRPr="001A4223">
              <w:t>LHS</w:t>
            </w:r>
          </w:p>
        </w:tc>
        <w:tc>
          <w:tcPr>
            <w:tcW w:w="7655" w:type="dxa"/>
          </w:tcPr>
          <w:p w:rsidR="00732B2E" w:rsidRPr="00031534" w:rsidRDefault="00732B2E" w:rsidP="00CB2FBB">
            <w:pPr>
              <w:pStyle w:val="Tabletext"/>
            </w:pPr>
            <w:r w:rsidRPr="00031534">
              <w:t>Left hand side</w:t>
            </w:r>
          </w:p>
        </w:tc>
      </w:tr>
      <w:tr w:rsidR="00E95593" w:rsidRPr="0075269C" w:rsidTr="0077719D">
        <w:trPr>
          <w:trHeight w:val="84"/>
        </w:trPr>
        <w:tc>
          <w:tcPr>
            <w:tcW w:w="1701" w:type="dxa"/>
          </w:tcPr>
          <w:p w:rsidR="00E95593" w:rsidRPr="001A4223" w:rsidRDefault="00E95593" w:rsidP="00CB2FBB">
            <w:pPr>
              <w:pStyle w:val="Tabletext"/>
            </w:pPr>
            <w:r w:rsidRPr="001A4223">
              <w:t>LNG</w:t>
            </w:r>
          </w:p>
        </w:tc>
        <w:tc>
          <w:tcPr>
            <w:tcW w:w="7655" w:type="dxa"/>
          </w:tcPr>
          <w:p w:rsidR="00E95593" w:rsidRPr="00031534" w:rsidRDefault="001A4223" w:rsidP="00CB2FBB">
            <w:pPr>
              <w:pStyle w:val="Tabletext"/>
            </w:pPr>
            <w:r>
              <w:t>Liquefied natural g</w:t>
            </w:r>
            <w:r w:rsidR="00E95593" w:rsidRPr="00031534">
              <w:t>as</w:t>
            </w:r>
          </w:p>
        </w:tc>
      </w:tr>
      <w:tr w:rsidR="00E95593" w:rsidRPr="0075269C" w:rsidTr="0077719D">
        <w:trPr>
          <w:trHeight w:val="84"/>
        </w:trPr>
        <w:tc>
          <w:tcPr>
            <w:tcW w:w="1701" w:type="dxa"/>
          </w:tcPr>
          <w:p w:rsidR="00E95593" w:rsidRPr="001A4223" w:rsidRDefault="00E95593" w:rsidP="00CB2FBB">
            <w:pPr>
              <w:pStyle w:val="Tabletext"/>
            </w:pPr>
            <w:r w:rsidRPr="001A4223">
              <w:t>MDB</w:t>
            </w:r>
          </w:p>
        </w:tc>
        <w:tc>
          <w:tcPr>
            <w:tcW w:w="7655" w:type="dxa"/>
          </w:tcPr>
          <w:p w:rsidR="00E95593" w:rsidRPr="00031534" w:rsidRDefault="00E95593" w:rsidP="00CB2FBB">
            <w:pPr>
              <w:pStyle w:val="Tabletext"/>
            </w:pPr>
            <w:r w:rsidRPr="00031534">
              <w:t>Murray-Darling Basin</w:t>
            </w:r>
          </w:p>
        </w:tc>
      </w:tr>
      <w:tr w:rsidR="00E95593" w:rsidRPr="0075269C" w:rsidTr="0077719D">
        <w:trPr>
          <w:trHeight w:val="84"/>
        </w:trPr>
        <w:tc>
          <w:tcPr>
            <w:tcW w:w="1701" w:type="dxa"/>
          </w:tcPr>
          <w:p w:rsidR="00E95593" w:rsidRPr="001A4223" w:rsidRDefault="00E95593" w:rsidP="00CB2FBB">
            <w:pPr>
              <w:pStyle w:val="Tabletext"/>
            </w:pPr>
            <w:r w:rsidRPr="001A4223">
              <w:t>NSW</w:t>
            </w:r>
          </w:p>
        </w:tc>
        <w:tc>
          <w:tcPr>
            <w:tcW w:w="7655" w:type="dxa"/>
          </w:tcPr>
          <w:p w:rsidR="00E95593" w:rsidRPr="00031534" w:rsidRDefault="00E95593" w:rsidP="00CB2FBB">
            <w:pPr>
              <w:pStyle w:val="Tabletext"/>
            </w:pPr>
            <w:r w:rsidRPr="00031534">
              <w:t>New South Wales</w:t>
            </w:r>
          </w:p>
        </w:tc>
      </w:tr>
      <w:tr w:rsidR="00E95593" w:rsidRPr="0075269C" w:rsidTr="0077719D">
        <w:trPr>
          <w:trHeight w:val="84"/>
        </w:trPr>
        <w:tc>
          <w:tcPr>
            <w:tcW w:w="1701" w:type="dxa"/>
          </w:tcPr>
          <w:p w:rsidR="00E95593" w:rsidRPr="001A4223" w:rsidRDefault="00E95593" w:rsidP="00CB2FBB">
            <w:pPr>
              <w:pStyle w:val="Tabletext"/>
            </w:pPr>
            <w:r w:rsidRPr="001A4223">
              <w:t>OWS</w:t>
            </w:r>
          </w:p>
        </w:tc>
        <w:tc>
          <w:tcPr>
            <w:tcW w:w="7655" w:type="dxa"/>
          </w:tcPr>
          <w:p w:rsidR="00E95593" w:rsidRPr="00031534" w:rsidRDefault="00E95593" w:rsidP="00CB2FBB">
            <w:pPr>
              <w:pStyle w:val="Tabletext"/>
            </w:pPr>
            <w:r w:rsidRPr="00031534">
              <w:t>Office of Water Science</w:t>
            </w:r>
          </w:p>
        </w:tc>
      </w:tr>
      <w:tr w:rsidR="002B3D9B" w:rsidRPr="0075269C" w:rsidTr="0077719D">
        <w:trPr>
          <w:trHeight w:val="84"/>
        </w:trPr>
        <w:tc>
          <w:tcPr>
            <w:tcW w:w="1701" w:type="dxa"/>
          </w:tcPr>
          <w:p w:rsidR="002B3D9B" w:rsidRPr="001A4223" w:rsidRDefault="002B3D9B" w:rsidP="00CB2FBB">
            <w:pPr>
              <w:pStyle w:val="Tabletext"/>
            </w:pPr>
            <w:r w:rsidRPr="001A4223">
              <w:t>PEST</w:t>
            </w:r>
          </w:p>
        </w:tc>
        <w:tc>
          <w:tcPr>
            <w:tcW w:w="7655" w:type="dxa"/>
          </w:tcPr>
          <w:p w:rsidR="002B3D9B" w:rsidRDefault="002B3D9B" w:rsidP="00CB2FBB">
            <w:pPr>
              <w:pStyle w:val="Tabletext"/>
            </w:pPr>
            <w:r>
              <w:t>Model-independent parameter estimation and uncertainty analysis</w:t>
            </w:r>
          </w:p>
        </w:tc>
      </w:tr>
      <w:tr w:rsidR="0097620E" w:rsidRPr="0075269C" w:rsidTr="0077719D">
        <w:trPr>
          <w:trHeight w:val="84"/>
        </w:trPr>
        <w:tc>
          <w:tcPr>
            <w:tcW w:w="1701" w:type="dxa"/>
          </w:tcPr>
          <w:p w:rsidR="0097620E" w:rsidRPr="001A4223" w:rsidRDefault="0097620E" w:rsidP="00CB2FBB">
            <w:pPr>
              <w:pStyle w:val="Tabletext"/>
            </w:pPr>
            <w:r w:rsidRPr="001A4223">
              <w:t>PVC</w:t>
            </w:r>
          </w:p>
        </w:tc>
        <w:tc>
          <w:tcPr>
            <w:tcW w:w="7655" w:type="dxa"/>
          </w:tcPr>
          <w:p w:rsidR="0097620E" w:rsidRDefault="001A4223" w:rsidP="00CB2FBB">
            <w:pPr>
              <w:pStyle w:val="Tabletext"/>
            </w:pPr>
            <w:r>
              <w:t>Polyvinyl chloride</w:t>
            </w:r>
          </w:p>
        </w:tc>
      </w:tr>
      <w:tr w:rsidR="00F87DE2" w:rsidRPr="0075269C" w:rsidTr="0077719D">
        <w:trPr>
          <w:trHeight w:val="84"/>
        </w:trPr>
        <w:tc>
          <w:tcPr>
            <w:tcW w:w="1701" w:type="dxa"/>
          </w:tcPr>
          <w:p w:rsidR="00F87DE2" w:rsidRPr="00031534" w:rsidRDefault="00F87DE2" w:rsidP="00CB2FBB">
            <w:pPr>
              <w:pStyle w:val="Tabletext"/>
            </w:pPr>
            <w:r>
              <w:t>QCLNG</w:t>
            </w:r>
          </w:p>
        </w:tc>
        <w:tc>
          <w:tcPr>
            <w:tcW w:w="7655" w:type="dxa"/>
          </w:tcPr>
          <w:p w:rsidR="00F87DE2" w:rsidRPr="00031534" w:rsidRDefault="00F87DE2" w:rsidP="00CB2FBB">
            <w:pPr>
              <w:pStyle w:val="Tabletext"/>
            </w:pPr>
            <w:r>
              <w:t>Queensland Curtis Liquefied Natural Gas project</w:t>
            </w:r>
          </w:p>
        </w:tc>
      </w:tr>
      <w:tr w:rsidR="00E054D6" w:rsidRPr="0075269C" w:rsidTr="0077719D">
        <w:trPr>
          <w:trHeight w:val="84"/>
        </w:trPr>
        <w:tc>
          <w:tcPr>
            <w:tcW w:w="1701" w:type="dxa"/>
          </w:tcPr>
          <w:p w:rsidR="00E054D6" w:rsidRDefault="00E054D6" w:rsidP="00CB2FBB">
            <w:pPr>
              <w:pStyle w:val="Tabletext"/>
            </w:pPr>
            <w:r>
              <w:t>QDEX</w:t>
            </w:r>
          </w:p>
        </w:tc>
        <w:tc>
          <w:tcPr>
            <w:tcW w:w="7655" w:type="dxa"/>
          </w:tcPr>
          <w:p w:rsidR="00E054D6" w:rsidRPr="003614FB" w:rsidRDefault="00E054D6" w:rsidP="00CB2FBB">
            <w:pPr>
              <w:pStyle w:val="Tabletext"/>
            </w:pPr>
            <w:r w:rsidRPr="00CB0755">
              <w:t>Queensland Digital Exploration Reports system</w:t>
            </w:r>
          </w:p>
        </w:tc>
      </w:tr>
      <w:tr w:rsidR="008E4761" w:rsidRPr="0075269C" w:rsidTr="0077719D">
        <w:trPr>
          <w:trHeight w:val="84"/>
        </w:trPr>
        <w:tc>
          <w:tcPr>
            <w:tcW w:w="1701" w:type="dxa"/>
          </w:tcPr>
          <w:p w:rsidR="008E4761" w:rsidRPr="00031534" w:rsidRDefault="008E4761" w:rsidP="00CB2FBB">
            <w:pPr>
              <w:pStyle w:val="Tabletext"/>
            </w:pPr>
            <w:r>
              <w:t>QGD</w:t>
            </w:r>
          </w:p>
        </w:tc>
        <w:tc>
          <w:tcPr>
            <w:tcW w:w="7655" w:type="dxa"/>
          </w:tcPr>
          <w:p w:rsidR="008E4761" w:rsidRPr="00031534" w:rsidRDefault="008E4761" w:rsidP="00CB2FBB">
            <w:pPr>
              <w:pStyle w:val="Tabletext"/>
            </w:pPr>
            <w:r w:rsidRPr="003614FB">
              <w:t>Queensland Groundwater Database</w:t>
            </w:r>
          </w:p>
        </w:tc>
      </w:tr>
      <w:tr w:rsidR="008E4761" w:rsidRPr="0075269C" w:rsidTr="0077719D">
        <w:trPr>
          <w:trHeight w:val="84"/>
        </w:trPr>
        <w:tc>
          <w:tcPr>
            <w:tcW w:w="1701" w:type="dxa"/>
          </w:tcPr>
          <w:p w:rsidR="008E4761" w:rsidRPr="00031534" w:rsidRDefault="008E4761" w:rsidP="00CB2FBB">
            <w:pPr>
              <w:pStyle w:val="Tabletext"/>
            </w:pPr>
            <w:r>
              <w:t>QPED</w:t>
            </w:r>
          </w:p>
        </w:tc>
        <w:tc>
          <w:tcPr>
            <w:tcW w:w="7655" w:type="dxa"/>
          </w:tcPr>
          <w:p w:rsidR="008E4761" w:rsidRPr="00031534" w:rsidRDefault="008E4761" w:rsidP="00CB2FBB">
            <w:pPr>
              <w:pStyle w:val="Tabletext"/>
            </w:pPr>
            <w:r w:rsidRPr="003614FB">
              <w:t>Queensland Petroleum Exploration Database</w:t>
            </w:r>
          </w:p>
        </w:tc>
      </w:tr>
      <w:tr w:rsidR="00A11676" w:rsidRPr="0075269C" w:rsidTr="0077719D">
        <w:trPr>
          <w:trHeight w:val="84"/>
        </w:trPr>
        <w:tc>
          <w:tcPr>
            <w:tcW w:w="1701" w:type="dxa"/>
          </w:tcPr>
          <w:p w:rsidR="00A11676" w:rsidRPr="00031534" w:rsidRDefault="00A11676" w:rsidP="00CB2FBB">
            <w:pPr>
              <w:pStyle w:val="Tabletext"/>
            </w:pPr>
            <w:r>
              <w:t>QUT</w:t>
            </w:r>
          </w:p>
        </w:tc>
        <w:tc>
          <w:tcPr>
            <w:tcW w:w="7655" w:type="dxa"/>
          </w:tcPr>
          <w:p w:rsidR="00A11676" w:rsidRPr="00031534" w:rsidRDefault="00A11676" w:rsidP="00CB2FBB">
            <w:pPr>
              <w:pStyle w:val="Tabletext"/>
            </w:pPr>
            <w:r>
              <w:t>Queensland University of Technology</w:t>
            </w:r>
          </w:p>
        </w:tc>
      </w:tr>
      <w:tr w:rsidR="00732B2E" w:rsidRPr="0075269C" w:rsidTr="0077719D">
        <w:trPr>
          <w:trHeight w:val="84"/>
        </w:trPr>
        <w:tc>
          <w:tcPr>
            <w:tcW w:w="1701" w:type="dxa"/>
          </w:tcPr>
          <w:p w:rsidR="00732B2E" w:rsidRPr="00031534" w:rsidRDefault="00732B2E" w:rsidP="00CB2FBB">
            <w:pPr>
              <w:pStyle w:val="Tabletext"/>
            </w:pPr>
            <w:r w:rsidRPr="00031534">
              <w:t>RHS</w:t>
            </w:r>
          </w:p>
        </w:tc>
        <w:tc>
          <w:tcPr>
            <w:tcW w:w="7655" w:type="dxa"/>
          </w:tcPr>
          <w:p w:rsidR="00732B2E" w:rsidRPr="00031534" w:rsidRDefault="00732B2E" w:rsidP="00CB2FBB">
            <w:pPr>
              <w:pStyle w:val="Tabletext"/>
            </w:pPr>
            <w:r w:rsidRPr="00031534">
              <w:t>Right hand side</w:t>
            </w:r>
          </w:p>
        </w:tc>
      </w:tr>
      <w:tr w:rsidR="00DE307E" w:rsidRPr="0075269C" w:rsidTr="0077719D">
        <w:trPr>
          <w:trHeight w:val="84"/>
        </w:trPr>
        <w:tc>
          <w:tcPr>
            <w:tcW w:w="1701" w:type="dxa"/>
          </w:tcPr>
          <w:p w:rsidR="00DE307E" w:rsidRPr="00031534" w:rsidRDefault="00DE307E" w:rsidP="00CB2FBB">
            <w:pPr>
              <w:pStyle w:val="Tabletext"/>
            </w:pPr>
            <w:r w:rsidRPr="00031534">
              <w:t>SEM</w:t>
            </w:r>
          </w:p>
        </w:tc>
        <w:tc>
          <w:tcPr>
            <w:tcW w:w="7655" w:type="dxa"/>
          </w:tcPr>
          <w:p w:rsidR="00DE307E" w:rsidRPr="00031534" w:rsidRDefault="00DE307E" w:rsidP="00CB2FBB">
            <w:pPr>
              <w:pStyle w:val="Tabletext"/>
            </w:pPr>
            <w:r w:rsidRPr="00031534">
              <w:t>Scanning electron microscopes</w:t>
            </w:r>
          </w:p>
        </w:tc>
      </w:tr>
      <w:tr w:rsidR="001026AA" w:rsidRPr="0075269C" w:rsidTr="0077719D">
        <w:trPr>
          <w:trHeight w:val="84"/>
        </w:trPr>
        <w:tc>
          <w:tcPr>
            <w:tcW w:w="1701" w:type="dxa"/>
          </w:tcPr>
          <w:p w:rsidR="001026AA" w:rsidRPr="00031534" w:rsidRDefault="001026AA" w:rsidP="00CB2FBB">
            <w:pPr>
              <w:pStyle w:val="Tabletext"/>
            </w:pPr>
            <w:r>
              <w:t>SI unit</w:t>
            </w:r>
          </w:p>
        </w:tc>
        <w:tc>
          <w:tcPr>
            <w:tcW w:w="7655" w:type="dxa"/>
          </w:tcPr>
          <w:p w:rsidR="001026AA" w:rsidRPr="00031534" w:rsidRDefault="001026AA" w:rsidP="00CB2FBB">
            <w:pPr>
              <w:pStyle w:val="Tabletext"/>
            </w:pPr>
            <w:r>
              <w:t>International System of Units</w:t>
            </w:r>
          </w:p>
        </w:tc>
      </w:tr>
      <w:tr w:rsidR="00DE307E" w:rsidRPr="0075269C" w:rsidTr="0077719D">
        <w:trPr>
          <w:trHeight w:val="84"/>
        </w:trPr>
        <w:tc>
          <w:tcPr>
            <w:tcW w:w="1701" w:type="dxa"/>
          </w:tcPr>
          <w:p w:rsidR="00DE307E" w:rsidRPr="00031534" w:rsidRDefault="00DE307E" w:rsidP="00CB2FBB">
            <w:pPr>
              <w:pStyle w:val="Tabletext"/>
            </w:pPr>
            <w:r w:rsidRPr="00031534">
              <w:t>SP</w:t>
            </w:r>
          </w:p>
        </w:tc>
        <w:tc>
          <w:tcPr>
            <w:tcW w:w="7655" w:type="dxa"/>
          </w:tcPr>
          <w:p w:rsidR="00DE307E" w:rsidRPr="00031534" w:rsidRDefault="00DE307E" w:rsidP="00CB2FBB">
            <w:pPr>
              <w:pStyle w:val="Tabletext"/>
            </w:pPr>
            <w:r w:rsidRPr="00031534">
              <w:t>Self-potential</w:t>
            </w:r>
          </w:p>
        </w:tc>
      </w:tr>
      <w:tr w:rsidR="00E95593" w:rsidRPr="0075269C" w:rsidTr="0077719D">
        <w:trPr>
          <w:trHeight w:val="84"/>
        </w:trPr>
        <w:tc>
          <w:tcPr>
            <w:tcW w:w="1701" w:type="dxa"/>
          </w:tcPr>
          <w:p w:rsidR="00E95593" w:rsidRPr="00031534" w:rsidRDefault="00E95593" w:rsidP="00CB2FBB">
            <w:pPr>
              <w:pStyle w:val="Tabletext"/>
            </w:pPr>
            <w:r w:rsidRPr="00031534">
              <w:t>US EPA</w:t>
            </w:r>
          </w:p>
        </w:tc>
        <w:tc>
          <w:tcPr>
            <w:tcW w:w="7655" w:type="dxa"/>
          </w:tcPr>
          <w:p w:rsidR="00E95593" w:rsidRPr="00031534" w:rsidRDefault="00E95593" w:rsidP="00CB2FBB">
            <w:pPr>
              <w:pStyle w:val="Tabletext"/>
            </w:pPr>
            <w:r w:rsidRPr="00031534">
              <w:t>United States Environmental Protection Agency</w:t>
            </w:r>
          </w:p>
        </w:tc>
      </w:tr>
      <w:tr w:rsidR="00E95593" w:rsidRPr="0075269C" w:rsidTr="0077719D">
        <w:trPr>
          <w:trHeight w:val="84"/>
        </w:trPr>
        <w:tc>
          <w:tcPr>
            <w:tcW w:w="1701" w:type="dxa"/>
          </w:tcPr>
          <w:p w:rsidR="00E95593" w:rsidRPr="00031534" w:rsidRDefault="00187FA6" w:rsidP="00CB2FBB">
            <w:pPr>
              <w:pStyle w:val="Tabletext"/>
            </w:pPr>
            <w:r>
              <w:t>US</w:t>
            </w:r>
          </w:p>
        </w:tc>
        <w:tc>
          <w:tcPr>
            <w:tcW w:w="7655" w:type="dxa"/>
          </w:tcPr>
          <w:p w:rsidR="00E95593" w:rsidRPr="00031534" w:rsidRDefault="00E95593" w:rsidP="00CB2FBB">
            <w:pPr>
              <w:pStyle w:val="Tabletext"/>
            </w:pPr>
            <w:r w:rsidRPr="00031534">
              <w:t>United States of America</w:t>
            </w:r>
          </w:p>
        </w:tc>
      </w:tr>
      <w:tr w:rsidR="00BB3D1B" w:rsidRPr="0075269C" w:rsidTr="0077719D">
        <w:trPr>
          <w:trHeight w:val="84"/>
        </w:trPr>
        <w:tc>
          <w:tcPr>
            <w:tcW w:w="1701" w:type="dxa"/>
          </w:tcPr>
          <w:p w:rsidR="00BB3D1B" w:rsidRDefault="00BB3D1B" w:rsidP="00CB2FBB">
            <w:pPr>
              <w:pStyle w:val="Tabletext"/>
            </w:pPr>
            <w:r>
              <w:t>USGS</w:t>
            </w:r>
          </w:p>
        </w:tc>
        <w:tc>
          <w:tcPr>
            <w:tcW w:w="7655" w:type="dxa"/>
          </w:tcPr>
          <w:p w:rsidR="00BB3D1B" w:rsidRDefault="00BB3D1B" w:rsidP="00CB2FBB">
            <w:pPr>
              <w:pStyle w:val="Tabletext"/>
            </w:pPr>
            <w:r>
              <w:t>United States Geological Survey</w:t>
            </w:r>
          </w:p>
        </w:tc>
      </w:tr>
      <w:tr w:rsidR="001642A1" w:rsidRPr="0075269C" w:rsidTr="0077719D">
        <w:trPr>
          <w:trHeight w:val="84"/>
        </w:trPr>
        <w:tc>
          <w:tcPr>
            <w:tcW w:w="1701" w:type="dxa"/>
          </w:tcPr>
          <w:p w:rsidR="001642A1" w:rsidRPr="00031534" w:rsidRDefault="001642A1" w:rsidP="00CB2FBB">
            <w:pPr>
              <w:pStyle w:val="Tabletext"/>
            </w:pPr>
            <w:r>
              <w:t>UWIR</w:t>
            </w:r>
          </w:p>
        </w:tc>
        <w:tc>
          <w:tcPr>
            <w:tcW w:w="7655" w:type="dxa"/>
          </w:tcPr>
          <w:p w:rsidR="001642A1" w:rsidRPr="00031534" w:rsidRDefault="001642A1" w:rsidP="00CB2FBB">
            <w:pPr>
              <w:pStyle w:val="Tabletext"/>
            </w:pPr>
            <w:r>
              <w:t>Arrow Energy’s underground water impact report</w:t>
            </w:r>
          </w:p>
        </w:tc>
      </w:tr>
      <w:tr w:rsidR="00DE307E" w:rsidRPr="0075269C" w:rsidTr="0077719D">
        <w:trPr>
          <w:trHeight w:val="84"/>
        </w:trPr>
        <w:tc>
          <w:tcPr>
            <w:tcW w:w="1701" w:type="dxa"/>
          </w:tcPr>
          <w:p w:rsidR="00DE307E" w:rsidRPr="00031534" w:rsidRDefault="00DE307E" w:rsidP="00CB2FBB">
            <w:pPr>
              <w:pStyle w:val="Tabletext"/>
            </w:pPr>
            <w:r w:rsidRPr="00031534">
              <w:t>VOI</w:t>
            </w:r>
          </w:p>
        </w:tc>
        <w:tc>
          <w:tcPr>
            <w:tcW w:w="7655" w:type="dxa"/>
          </w:tcPr>
          <w:p w:rsidR="00DE307E" w:rsidRPr="00031534" w:rsidRDefault="00DE307E" w:rsidP="00CB2FBB">
            <w:pPr>
              <w:pStyle w:val="Tabletext"/>
            </w:pPr>
            <w:r w:rsidRPr="00031534">
              <w:t>Value of information</w:t>
            </w:r>
          </w:p>
        </w:tc>
      </w:tr>
      <w:tr w:rsidR="00DE307E" w:rsidRPr="0075269C" w:rsidTr="0077719D">
        <w:trPr>
          <w:trHeight w:val="84"/>
        </w:trPr>
        <w:tc>
          <w:tcPr>
            <w:tcW w:w="1701" w:type="dxa"/>
          </w:tcPr>
          <w:p w:rsidR="00DE307E" w:rsidRPr="00031534" w:rsidRDefault="00DE307E" w:rsidP="00CB2FBB">
            <w:pPr>
              <w:pStyle w:val="Tabletext"/>
            </w:pPr>
            <w:r w:rsidRPr="00031534">
              <w:t>VWP</w:t>
            </w:r>
          </w:p>
        </w:tc>
        <w:tc>
          <w:tcPr>
            <w:tcW w:w="7655" w:type="dxa"/>
          </w:tcPr>
          <w:p w:rsidR="00DE307E" w:rsidRPr="00031534" w:rsidRDefault="00DE307E" w:rsidP="00CB2FBB">
            <w:pPr>
              <w:pStyle w:val="Tabletext"/>
            </w:pPr>
            <w:r w:rsidRPr="00031534">
              <w:t>Vibrating wire piezometers</w:t>
            </w:r>
          </w:p>
        </w:tc>
      </w:tr>
      <w:tr w:rsidR="00E95593" w:rsidRPr="0075269C" w:rsidTr="0077719D">
        <w:trPr>
          <w:trHeight w:val="84"/>
        </w:trPr>
        <w:tc>
          <w:tcPr>
            <w:tcW w:w="1701" w:type="dxa"/>
          </w:tcPr>
          <w:p w:rsidR="00E95593" w:rsidRPr="00031534" w:rsidRDefault="00E95593" w:rsidP="00CB2FBB">
            <w:pPr>
              <w:pStyle w:val="Tabletext"/>
            </w:pPr>
            <w:r w:rsidRPr="00031534">
              <w:t>WCM</w:t>
            </w:r>
          </w:p>
        </w:tc>
        <w:tc>
          <w:tcPr>
            <w:tcW w:w="7655" w:type="dxa"/>
          </w:tcPr>
          <w:p w:rsidR="00E95593" w:rsidRPr="00031534" w:rsidRDefault="00E95593" w:rsidP="00CB2FBB">
            <w:pPr>
              <w:pStyle w:val="Tabletext"/>
            </w:pPr>
            <w:r w:rsidRPr="00031534">
              <w:t>Walloon Coal Measures</w:t>
            </w:r>
          </w:p>
        </w:tc>
      </w:tr>
      <w:tr w:rsidR="00E95593" w:rsidRPr="0075269C" w:rsidTr="0077719D">
        <w:trPr>
          <w:trHeight w:val="84"/>
        </w:trPr>
        <w:tc>
          <w:tcPr>
            <w:tcW w:w="1701" w:type="dxa"/>
            <w:tcBorders>
              <w:top w:val="single" w:sz="4" w:space="0" w:color="auto"/>
              <w:left w:val="single" w:sz="4" w:space="0" w:color="auto"/>
              <w:bottom w:val="single" w:sz="4" w:space="0" w:color="auto"/>
              <w:right w:val="single" w:sz="4" w:space="0" w:color="auto"/>
            </w:tcBorders>
          </w:tcPr>
          <w:p w:rsidR="00E95593" w:rsidRPr="00031534" w:rsidRDefault="00E95593" w:rsidP="00CB2FBB">
            <w:pPr>
              <w:pStyle w:val="Tabletext"/>
            </w:pPr>
            <w:r w:rsidRPr="00031534">
              <w:t>WRP</w:t>
            </w:r>
          </w:p>
        </w:tc>
        <w:tc>
          <w:tcPr>
            <w:tcW w:w="7655" w:type="dxa"/>
            <w:tcBorders>
              <w:top w:val="single" w:sz="4" w:space="0" w:color="auto"/>
              <w:left w:val="single" w:sz="4" w:space="0" w:color="auto"/>
              <w:bottom w:val="single" w:sz="4" w:space="0" w:color="auto"/>
              <w:right w:val="single" w:sz="4" w:space="0" w:color="auto"/>
            </w:tcBorders>
          </w:tcPr>
          <w:p w:rsidR="00E95593" w:rsidRPr="00031534" w:rsidRDefault="00E95593" w:rsidP="00CB2FBB">
            <w:pPr>
              <w:pStyle w:val="Tabletext"/>
            </w:pPr>
            <w:r w:rsidRPr="00031534">
              <w:t>Water Resource Plan</w:t>
            </w:r>
          </w:p>
        </w:tc>
      </w:tr>
      <w:tr w:rsidR="00E95593" w:rsidRPr="0075269C" w:rsidTr="0077719D">
        <w:trPr>
          <w:trHeight w:val="84"/>
        </w:trPr>
        <w:tc>
          <w:tcPr>
            <w:tcW w:w="1701" w:type="dxa"/>
            <w:tcBorders>
              <w:top w:val="single" w:sz="4" w:space="0" w:color="auto"/>
              <w:left w:val="single" w:sz="4" w:space="0" w:color="auto"/>
              <w:bottom w:val="single" w:sz="4" w:space="0" w:color="auto"/>
              <w:right w:val="single" w:sz="4" w:space="0" w:color="auto"/>
            </w:tcBorders>
          </w:tcPr>
          <w:p w:rsidR="00E95593" w:rsidRPr="00031534" w:rsidRDefault="00E95593" w:rsidP="00CB2FBB">
            <w:pPr>
              <w:pStyle w:val="Tabletext"/>
            </w:pPr>
            <w:r w:rsidRPr="00031534">
              <w:t xml:space="preserve">WTP </w:t>
            </w:r>
          </w:p>
        </w:tc>
        <w:tc>
          <w:tcPr>
            <w:tcW w:w="7655" w:type="dxa"/>
            <w:tcBorders>
              <w:top w:val="single" w:sz="4" w:space="0" w:color="auto"/>
              <w:left w:val="single" w:sz="4" w:space="0" w:color="auto"/>
              <w:bottom w:val="single" w:sz="4" w:space="0" w:color="auto"/>
              <w:right w:val="single" w:sz="4" w:space="0" w:color="auto"/>
            </w:tcBorders>
          </w:tcPr>
          <w:p w:rsidR="00E95593" w:rsidRPr="00031534" w:rsidRDefault="00E95593" w:rsidP="00CB2FBB">
            <w:pPr>
              <w:pStyle w:val="Tabletext"/>
            </w:pPr>
            <w:r w:rsidRPr="00031534">
              <w:t xml:space="preserve">Water Treatment Plant </w:t>
            </w:r>
          </w:p>
        </w:tc>
      </w:tr>
    </w:tbl>
    <w:p w:rsidR="00E95593" w:rsidRDefault="00E95593" w:rsidP="00E95593">
      <w:pPr>
        <w:rPr>
          <w:lang w:val="en-GB"/>
        </w:rPr>
      </w:pPr>
    </w:p>
    <w:p w:rsidR="00DC1B48" w:rsidRDefault="00DC1B48" w:rsidP="00E95593">
      <w:pPr>
        <w:rPr>
          <w:lang w:val="en-GB"/>
        </w:rPr>
      </w:pP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985"/>
        <w:gridCol w:w="7371"/>
      </w:tblGrid>
      <w:tr w:rsidR="008054BE" w:rsidRPr="0075269C" w:rsidTr="000F143F">
        <w:trPr>
          <w:trHeight w:val="84"/>
          <w:tblHeader/>
        </w:trPr>
        <w:tc>
          <w:tcPr>
            <w:tcW w:w="1985" w:type="dxa"/>
            <w:shd w:val="clear" w:color="auto" w:fill="C6D9F1" w:themeFill="text2" w:themeFillTint="33"/>
          </w:tcPr>
          <w:p w:rsidR="008054BE" w:rsidRDefault="008054BE" w:rsidP="00470AD4">
            <w:pPr>
              <w:pStyle w:val="Tableheading"/>
            </w:pPr>
            <w:r>
              <w:t>Units, chemicals and symbols</w:t>
            </w:r>
          </w:p>
        </w:tc>
        <w:tc>
          <w:tcPr>
            <w:tcW w:w="7371" w:type="dxa"/>
            <w:shd w:val="clear" w:color="auto" w:fill="C6D9F1" w:themeFill="text2" w:themeFillTint="33"/>
          </w:tcPr>
          <w:p w:rsidR="008054BE" w:rsidRDefault="008054BE" w:rsidP="00470AD4">
            <w:pPr>
              <w:pStyle w:val="Tableheading"/>
            </w:pPr>
            <w:r>
              <w:t>Description</w:t>
            </w:r>
          </w:p>
        </w:tc>
      </w:tr>
      <w:tr w:rsidR="001A4223" w:rsidRPr="0075269C" w:rsidTr="00E0340A">
        <w:trPr>
          <w:trHeight w:val="84"/>
        </w:trPr>
        <w:tc>
          <w:tcPr>
            <w:tcW w:w="1985" w:type="dxa"/>
          </w:tcPr>
          <w:p w:rsidR="001A4223" w:rsidRDefault="001A4223" w:rsidP="00CB2FBB">
            <w:pPr>
              <w:pStyle w:val="Tabletext"/>
            </w:pPr>
            <w:r>
              <w:t>α, β</w:t>
            </w:r>
          </w:p>
        </w:tc>
        <w:tc>
          <w:tcPr>
            <w:tcW w:w="7371" w:type="dxa"/>
          </w:tcPr>
          <w:p w:rsidR="001A4223" w:rsidRDefault="001A4223" w:rsidP="00CB2FBB">
            <w:pPr>
              <w:pStyle w:val="Tabletext"/>
            </w:pPr>
            <w:r>
              <w:t>Compressibility</w:t>
            </w:r>
          </w:p>
        </w:tc>
      </w:tr>
      <w:tr w:rsidR="001A4223" w:rsidRPr="0075269C" w:rsidTr="00E0340A">
        <w:trPr>
          <w:trHeight w:val="84"/>
        </w:trPr>
        <w:tc>
          <w:tcPr>
            <w:tcW w:w="1985" w:type="dxa"/>
          </w:tcPr>
          <w:p w:rsidR="001A4223" w:rsidRPr="0077719D" w:rsidRDefault="001A4223" w:rsidP="00CB2FBB">
            <w:pPr>
              <w:pStyle w:val="Tabletext"/>
            </w:pPr>
            <w:r>
              <w:t>a</w:t>
            </w:r>
            <w:r w:rsidR="008054BE">
              <w:rPr>
                <w:vertAlign w:val="subscript"/>
              </w:rPr>
              <w:t xml:space="preserve">L, </w:t>
            </w:r>
            <w:r w:rsidR="008054BE" w:rsidRPr="00862D43">
              <w:rPr>
                <w:rFonts w:ascii="Symbol" w:hAnsi="Symbol"/>
                <w:smallCaps/>
              </w:rPr>
              <w:t></w:t>
            </w:r>
            <w:r w:rsidR="008054BE" w:rsidRPr="00862D43">
              <w:rPr>
                <w:vertAlign w:val="subscript"/>
              </w:rPr>
              <w:t>L</w:t>
            </w:r>
          </w:p>
        </w:tc>
        <w:tc>
          <w:tcPr>
            <w:tcW w:w="7371" w:type="dxa"/>
          </w:tcPr>
          <w:p w:rsidR="001A4223" w:rsidRDefault="001A4223" w:rsidP="00CB2FBB">
            <w:pPr>
              <w:pStyle w:val="Tabletext"/>
            </w:pPr>
            <w:r>
              <w:t>Dynamic dispersivity</w:t>
            </w:r>
          </w:p>
        </w:tc>
      </w:tr>
      <w:tr w:rsidR="001A4223" w:rsidRPr="0075269C" w:rsidTr="00E0340A">
        <w:trPr>
          <w:trHeight w:val="84"/>
        </w:trPr>
        <w:tc>
          <w:tcPr>
            <w:tcW w:w="1985" w:type="dxa"/>
          </w:tcPr>
          <w:p w:rsidR="001A4223" w:rsidRPr="008054BE" w:rsidRDefault="001A4223" w:rsidP="00CB2FBB">
            <w:pPr>
              <w:pStyle w:val="Tabletext"/>
            </w:pPr>
            <m:oMathPara>
              <m:oMath>
                <m:r>
                  <w:rPr>
                    <w:rFonts w:ascii="Cambria Math" w:hAnsi="Cambria Math"/>
                  </w:rPr>
                  <m:t>α</m:t>
                </m:r>
              </m:oMath>
            </m:oMathPara>
          </w:p>
        </w:tc>
        <w:tc>
          <w:tcPr>
            <w:tcW w:w="7371" w:type="dxa"/>
          </w:tcPr>
          <w:p w:rsidR="001A4223" w:rsidRPr="008054BE" w:rsidRDefault="001A4223" w:rsidP="00CB2FBB">
            <w:pPr>
              <w:pStyle w:val="Tabletext"/>
            </w:pPr>
            <w:r w:rsidRPr="008054BE">
              <w:t>Biot’s constant, a correction factor from poroelastic theory that accounts for the efficiency with which internal pore pressure offsets the externally applied total vertical stress</w:t>
            </w:r>
          </w:p>
        </w:tc>
      </w:tr>
      <w:tr w:rsidR="001A4223" w:rsidRPr="0075269C" w:rsidTr="00E0340A">
        <w:trPr>
          <w:trHeight w:val="84"/>
        </w:trPr>
        <w:tc>
          <w:tcPr>
            <w:tcW w:w="1985" w:type="dxa"/>
          </w:tcPr>
          <w:p w:rsidR="001A4223" w:rsidRPr="008054BE" w:rsidRDefault="001A4223" w:rsidP="00CB2FBB">
            <w:pPr>
              <w:pStyle w:val="Tabletext"/>
            </w:pPr>
            <w:r w:rsidRPr="008054BE">
              <w:t>bGL</w:t>
            </w:r>
          </w:p>
        </w:tc>
        <w:tc>
          <w:tcPr>
            <w:tcW w:w="7371" w:type="dxa"/>
          </w:tcPr>
          <w:p w:rsidR="001A4223" w:rsidRPr="00031534" w:rsidRDefault="001A4223" w:rsidP="00CB2FBB">
            <w:pPr>
              <w:pStyle w:val="Tabletext"/>
            </w:pPr>
            <w:r>
              <w:t>Below ground level</w:t>
            </w:r>
          </w:p>
        </w:tc>
      </w:tr>
      <w:tr w:rsidR="001A4223" w:rsidRPr="0075269C" w:rsidTr="00E0340A">
        <w:trPr>
          <w:trHeight w:val="84"/>
        </w:trPr>
        <w:tc>
          <w:tcPr>
            <w:tcW w:w="1985" w:type="dxa"/>
          </w:tcPr>
          <w:p w:rsidR="001A4223" w:rsidRPr="002D3240" w:rsidRDefault="001A4223" w:rsidP="00CB2FBB">
            <w:pPr>
              <w:pStyle w:val="Tabletext"/>
            </w:pPr>
            <w:r w:rsidRPr="002D3240">
              <w:lastRenderedPageBreak/>
              <w:t>Br</w:t>
            </w:r>
            <w:r w:rsidRPr="002D3240">
              <w:rPr>
                <w:vertAlign w:val="superscript"/>
              </w:rPr>
              <w:t>-</w:t>
            </w:r>
          </w:p>
        </w:tc>
        <w:tc>
          <w:tcPr>
            <w:tcW w:w="7371" w:type="dxa"/>
          </w:tcPr>
          <w:p w:rsidR="001A4223" w:rsidRPr="00031534" w:rsidRDefault="008054BE" w:rsidP="00CB2FBB">
            <w:pPr>
              <w:pStyle w:val="Tabletext"/>
            </w:pPr>
            <w:r>
              <w:t>Bromide</w:t>
            </w:r>
          </w:p>
        </w:tc>
      </w:tr>
      <w:tr w:rsidR="001A4223" w:rsidRPr="0075269C" w:rsidTr="00E0340A">
        <w:trPr>
          <w:trHeight w:val="84"/>
        </w:trPr>
        <w:tc>
          <w:tcPr>
            <w:tcW w:w="1985" w:type="dxa"/>
          </w:tcPr>
          <w:p w:rsidR="001A4223" w:rsidRPr="002D3240" w:rsidRDefault="001A4223" w:rsidP="00CB2FBB">
            <w:pPr>
              <w:pStyle w:val="Tabletext"/>
              <w:rPr>
                <w:vertAlign w:val="superscript"/>
              </w:rPr>
            </w:pPr>
            <w:r w:rsidRPr="002D3240">
              <w:rPr>
                <w:rFonts w:cstheme="minorHAnsi"/>
              </w:rPr>
              <w:t>°</w:t>
            </w:r>
            <w:r w:rsidRPr="002D3240">
              <w:t>C</w:t>
            </w:r>
          </w:p>
        </w:tc>
        <w:tc>
          <w:tcPr>
            <w:tcW w:w="7371" w:type="dxa"/>
          </w:tcPr>
          <w:p w:rsidR="001A4223" w:rsidRPr="00031534" w:rsidRDefault="001A4223" w:rsidP="00CB2FBB">
            <w:pPr>
              <w:pStyle w:val="Tabletext"/>
            </w:pPr>
            <w:r>
              <w:t>Degree celcius</w:t>
            </w:r>
          </w:p>
        </w:tc>
      </w:tr>
      <w:tr w:rsidR="001A4223" w:rsidRPr="0075269C" w:rsidTr="00E0340A">
        <w:trPr>
          <w:trHeight w:val="84"/>
        </w:trPr>
        <w:tc>
          <w:tcPr>
            <w:tcW w:w="1985" w:type="dxa"/>
          </w:tcPr>
          <w:p w:rsidR="001A4223" w:rsidRPr="002D3240" w:rsidRDefault="001A4223" w:rsidP="00CB2FBB">
            <w:pPr>
              <w:pStyle w:val="Tabletext"/>
            </w:pPr>
            <w:r w:rsidRPr="002D3240">
              <w:rPr>
                <w:vertAlign w:val="superscript"/>
              </w:rPr>
              <w:t>12</w:t>
            </w:r>
            <w:r w:rsidRPr="002D3240">
              <w:t xml:space="preserve">C, </w:t>
            </w:r>
            <w:r w:rsidRPr="002D3240">
              <w:rPr>
                <w:vertAlign w:val="superscript"/>
              </w:rPr>
              <w:t>13</w:t>
            </w:r>
            <w:r w:rsidRPr="002D3240">
              <w:t xml:space="preserve">C, </w:t>
            </w:r>
            <w:r w:rsidRPr="002D3240">
              <w:rPr>
                <w:vertAlign w:val="superscript"/>
              </w:rPr>
              <w:t>14</w:t>
            </w:r>
            <w:r w:rsidRPr="002D3240">
              <w:t>C</w:t>
            </w:r>
          </w:p>
        </w:tc>
        <w:tc>
          <w:tcPr>
            <w:tcW w:w="7371" w:type="dxa"/>
          </w:tcPr>
          <w:p w:rsidR="001A4223" w:rsidRPr="00031534" w:rsidRDefault="008054BE" w:rsidP="00CB2FBB">
            <w:pPr>
              <w:pStyle w:val="Tabletext"/>
            </w:pPr>
            <w:r>
              <w:t>Carbon-12, Carbon-13, Carbon-14 (respectively) - isotopes</w:t>
            </w:r>
          </w:p>
        </w:tc>
      </w:tr>
      <w:tr w:rsidR="001A4223" w:rsidRPr="0075269C" w:rsidTr="00E0340A">
        <w:trPr>
          <w:trHeight w:val="84"/>
        </w:trPr>
        <w:tc>
          <w:tcPr>
            <w:tcW w:w="1985" w:type="dxa"/>
          </w:tcPr>
          <w:p w:rsidR="001A4223" w:rsidRPr="002D3240" w:rsidRDefault="001A4223" w:rsidP="00CB2FBB">
            <w:pPr>
              <w:pStyle w:val="Tabletext"/>
            </w:pPr>
            <w:r w:rsidRPr="002D3240">
              <w:t>Ca</w:t>
            </w:r>
          </w:p>
        </w:tc>
        <w:tc>
          <w:tcPr>
            <w:tcW w:w="7371" w:type="dxa"/>
          </w:tcPr>
          <w:p w:rsidR="001A4223" w:rsidRPr="00031534" w:rsidRDefault="008054BE" w:rsidP="00CB2FBB">
            <w:pPr>
              <w:pStyle w:val="Tabletext"/>
            </w:pPr>
            <w:r>
              <w:t>Calcium</w:t>
            </w:r>
          </w:p>
        </w:tc>
      </w:tr>
      <w:tr w:rsidR="001A4223" w:rsidRPr="0075269C" w:rsidTr="00E0340A">
        <w:trPr>
          <w:trHeight w:val="84"/>
        </w:trPr>
        <w:tc>
          <w:tcPr>
            <w:tcW w:w="1985" w:type="dxa"/>
          </w:tcPr>
          <w:p w:rsidR="001A4223" w:rsidRPr="002D3240" w:rsidRDefault="001A4223" w:rsidP="00CB2FBB">
            <w:pPr>
              <w:pStyle w:val="Tabletext"/>
            </w:pPr>
            <w:r w:rsidRPr="002D3240">
              <w:t>CFC</w:t>
            </w:r>
          </w:p>
        </w:tc>
        <w:tc>
          <w:tcPr>
            <w:tcW w:w="7371" w:type="dxa"/>
          </w:tcPr>
          <w:p w:rsidR="001A4223" w:rsidRPr="00031534" w:rsidRDefault="001A4223" w:rsidP="00CB2FBB">
            <w:pPr>
              <w:pStyle w:val="Tabletext"/>
            </w:pPr>
            <w:r w:rsidRPr="00031534">
              <w:t>Chlorofluorocarbons</w:t>
            </w:r>
          </w:p>
        </w:tc>
      </w:tr>
      <w:tr w:rsidR="001A4223" w:rsidRPr="0075269C" w:rsidTr="00E0340A">
        <w:trPr>
          <w:trHeight w:val="84"/>
        </w:trPr>
        <w:tc>
          <w:tcPr>
            <w:tcW w:w="1985" w:type="dxa"/>
          </w:tcPr>
          <w:p w:rsidR="001A4223" w:rsidRPr="002D3240" w:rsidRDefault="001A4223" w:rsidP="00CB2FBB">
            <w:pPr>
              <w:pStyle w:val="Tabletext"/>
            </w:pPr>
            <w:r w:rsidRPr="002D3240">
              <w:rPr>
                <w:vertAlign w:val="superscript"/>
              </w:rPr>
              <w:t>36</w:t>
            </w:r>
            <w:r w:rsidRPr="002D3240">
              <w:t>Cl</w:t>
            </w:r>
          </w:p>
        </w:tc>
        <w:tc>
          <w:tcPr>
            <w:tcW w:w="7371" w:type="dxa"/>
          </w:tcPr>
          <w:p w:rsidR="001A4223" w:rsidRPr="00031534" w:rsidRDefault="008054BE" w:rsidP="00CB2FBB">
            <w:pPr>
              <w:pStyle w:val="Tabletext"/>
            </w:pPr>
            <w:r>
              <w:t>Chlorine-36</w:t>
            </w:r>
          </w:p>
        </w:tc>
      </w:tr>
      <w:tr w:rsidR="001A4223" w:rsidRPr="0075269C" w:rsidTr="00E0340A">
        <w:trPr>
          <w:trHeight w:val="84"/>
        </w:trPr>
        <w:tc>
          <w:tcPr>
            <w:tcW w:w="1985" w:type="dxa"/>
          </w:tcPr>
          <w:p w:rsidR="001A4223" w:rsidRPr="002D3240" w:rsidRDefault="001A4223" w:rsidP="00CB2FBB">
            <w:pPr>
              <w:pStyle w:val="Tabletext"/>
            </w:pPr>
            <w:r w:rsidRPr="002D3240">
              <w:t>Cl</w:t>
            </w:r>
          </w:p>
        </w:tc>
        <w:tc>
          <w:tcPr>
            <w:tcW w:w="7371" w:type="dxa"/>
          </w:tcPr>
          <w:p w:rsidR="001A4223" w:rsidRDefault="00742C90" w:rsidP="00CB2FBB">
            <w:pPr>
              <w:pStyle w:val="Tabletext"/>
            </w:pPr>
            <w:r>
              <w:t>Chlorine</w:t>
            </w:r>
          </w:p>
        </w:tc>
      </w:tr>
      <w:tr w:rsidR="001A4223" w:rsidRPr="0075269C" w:rsidTr="00E0340A">
        <w:trPr>
          <w:trHeight w:val="84"/>
        </w:trPr>
        <w:tc>
          <w:tcPr>
            <w:tcW w:w="1985" w:type="dxa"/>
          </w:tcPr>
          <w:p w:rsidR="001A4223" w:rsidRPr="002D3240" w:rsidRDefault="001A4223" w:rsidP="00CB2FBB">
            <w:pPr>
              <w:pStyle w:val="Tabletext"/>
              <w:rPr>
                <w:vertAlign w:val="superscript"/>
              </w:rPr>
            </w:pPr>
            <w:r w:rsidRPr="002D3240">
              <w:t>Cl</w:t>
            </w:r>
            <w:r w:rsidRPr="002D3240">
              <w:rPr>
                <w:vertAlign w:val="superscript"/>
              </w:rPr>
              <w:t>-</w:t>
            </w:r>
          </w:p>
        </w:tc>
        <w:tc>
          <w:tcPr>
            <w:tcW w:w="7371" w:type="dxa"/>
          </w:tcPr>
          <w:p w:rsidR="001A4223" w:rsidRPr="00031534" w:rsidRDefault="001A4223" w:rsidP="00CB2FBB">
            <w:pPr>
              <w:pStyle w:val="Tabletext"/>
            </w:pPr>
            <w:r>
              <w:t>Chloride</w:t>
            </w:r>
          </w:p>
        </w:tc>
      </w:tr>
      <w:tr w:rsidR="001A4223" w:rsidRPr="0075269C" w:rsidTr="00E0340A">
        <w:trPr>
          <w:trHeight w:val="84"/>
        </w:trPr>
        <w:tc>
          <w:tcPr>
            <w:tcW w:w="1985" w:type="dxa"/>
          </w:tcPr>
          <w:p w:rsidR="001A4223" w:rsidRPr="002D3240" w:rsidRDefault="001A4223" w:rsidP="00CB2FBB">
            <w:pPr>
              <w:pStyle w:val="Tabletext"/>
            </w:pPr>
            <w:r w:rsidRPr="002D3240">
              <w:t>cm</w:t>
            </w:r>
          </w:p>
        </w:tc>
        <w:tc>
          <w:tcPr>
            <w:tcW w:w="7371" w:type="dxa"/>
          </w:tcPr>
          <w:p w:rsidR="001A4223" w:rsidRPr="00031534" w:rsidRDefault="001A4223" w:rsidP="00CB2FBB">
            <w:pPr>
              <w:pStyle w:val="Tabletext"/>
            </w:pPr>
            <w:r w:rsidRPr="00031534">
              <w:t>Centimetre</w:t>
            </w:r>
          </w:p>
        </w:tc>
      </w:tr>
      <w:tr w:rsidR="001A4223" w:rsidRPr="0075269C" w:rsidTr="00E0340A">
        <w:trPr>
          <w:trHeight w:val="84"/>
        </w:trPr>
        <w:tc>
          <w:tcPr>
            <w:tcW w:w="1985" w:type="dxa"/>
          </w:tcPr>
          <w:p w:rsidR="001A4223" w:rsidRPr="002D3240" w:rsidRDefault="001A4223" w:rsidP="00CB2FBB">
            <w:pPr>
              <w:pStyle w:val="Tabletext"/>
              <w:rPr>
                <w:vertAlign w:val="subscript"/>
              </w:rPr>
            </w:pPr>
            <w:r w:rsidRPr="002D3240">
              <w:t>CO</w:t>
            </w:r>
            <w:r w:rsidRPr="002D3240">
              <w:rPr>
                <w:vertAlign w:val="subscript"/>
              </w:rPr>
              <w:t>2</w:t>
            </w:r>
          </w:p>
        </w:tc>
        <w:tc>
          <w:tcPr>
            <w:tcW w:w="7371" w:type="dxa"/>
          </w:tcPr>
          <w:p w:rsidR="001A4223" w:rsidRPr="00031534" w:rsidRDefault="001A4223" w:rsidP="00CB2FBB">
            <w:pPr>
              <w:pStyle w:val="Tabletext"/>
            </w:pPr>
            <w:r>
              <w:t>C</w:t>
            </w:r>
            <w:r w:rsidRPr="00031534">
              <w:t>arbon dioxide</w:t>
            </w:r>
          </w:p>
        </w:tc>
      </w:tr>
      <w:tr w:rsidR="001A4223" w:rsidRPr="0075269C" w:rsidTr="00E0340A">
        <w:trPr>
          <w:trHeight w:val="84"/>
        </w:trPr>
        <w:tc>
          <w:tcPr>
            <w:tcW w:w="1985" w:type="dxa"/>
          </w:tcPr>
          <w:p w:rsidR="001A4223" w:rsidRPr="002D3240" w:rsidRDefault="001A4223" w:rsidP="00CB2FBB">
            <w:pPr>
              <w:pStyle w:val="Tabletext"/>
            </w:pPr>
            <w:r w:rsidRPr="002D3240">
              <w:t>2D</w:t>
            </w:r>
          </w:p>
        </w:tc>
        <w:tc>
          <w:tcPr>
            <w:tcW w:w="7371" w:type="dxa"/>
          </w:tcPr>
          <w:p w:rsidR="001A4223" w:rsidRPr="00031534" w:rsidRDefault="001A4223" w:rsidP="00CB2FBB">
            <w:pPr>
              <w:pStyle w:val="Tabletext"/>
            </w:pPr>
            <w:r>
              <w:t>Two dimensional</w:t>
            </w:r>
          </w:p>
        </w:tc>
      </w:tr>
      <w:tr w:rsidR="001A4223" w:rsidRPr="0075269C" w:rsidTr="00E0340A">
        <w:trPr>
          <w:trHeight w:val="84"/>
        </w:trPr>
        <w:tc>
          <w:tcPr>
            <w:tcW w:w="1985" w:type="dxa"/>
          </w:tcPr>
          <w:p w:rsidR="001A4223" w:rsidRPr="002D3240" w:rsidRDefault="001A4223" w:rsidP="00CB2FBB">
            <w:pPr>
              <w:pStyle w:val="Tabletext"/>
            </w:pPr>
            <w:r w:rsidRPr="002D3240">
              <w:t>3D</w:t>
            </w:r>
          </w:p>
        </w:tc>
        <w:tc>
          <w:tcPr>
            <w:tcW w:w="7371" w:type="dxa"/>
          </w:tcPr>
          <w:p w:rsidR="001A4223" w:rsidRPr="00031534" w:rsidRDefault="001A4223" w:rsidP="00CB2FBB">
            <w:pPr>
              <w:pStyle w:val="Tabletext"/>
            </w:pPr>
            <w:r>
              <w:t>Three dimensional</w:t>
            </w:r>
          </w:p>
        </w:tc>
      </w:tr>
      <w:tr w:rsidR="001A4223" w:rsidRPr="0075269C" w:rsidTr="00E0340A">
        <w:trPr>
          <w:trHeight w:val="84"/>
        </w:trPr>
        <w:tc>
          <w:tcPr>
            <w:tcW w:w="1985" w:type="dxa"/>
          </w:tcPr>
          <w:p w:rsidR="001A4223" w:rsidRPr="002D3240" w:rsidRDefault="001A4223" w:rsidP="00CB2FBB">
            <w:pPr>
              <w:pStyle w:val="Tabletext"/>
            </w:pPr>
            <w:r w:rsidRPr="002D3240">
              <w:t>D</w:t>
            </w:r>
          </w:p>
        </w:tc>
        <w:tc>
          <w:tcPr>
            <w:tcW w:w="7371" w:type="dxa"/>
          </w:tcPr>
          <w:p w:rsidR="001A4223" w:rsidRPr="003D3675" w:rsidRDefault="001A4223" w:rsidP="00CB2FBB">
            <w:pPr>
              <w:pStyle w:val="Tabletext"/>
            </w:pPr>
            <w:r w:rsidRPr="003D3675">
              <w:t>Darcy (1 Darcy is approximately equal to 9.869233×10</w:t>
            </w:r>
            <w:r w:rsidRPr="003D3675">
              <w:rPr>
                <w:vertAlign w:val="superscript"/>
              </w:rPr>
              <w:t>−13</w:t>
            </w:r>
            <w:r w:rsidRPr="003D3675">
              <w:t xml:space="preserve"> m</w:t>
            </w:r>
            <w:r w:rsidRPr="003D3675">
              <w:rPr>
                <w:vertAlign w:val="superscript"/>
              </w:rPr>
              <w:t>2</w:t>
            </w:r>
            <w:r w:rsidRPr="003D3675">
              <w:t>)</w:t>
            </w:r>
          </w:p>
        </w:tc>
      </w:tr>
      <w:tr w:rsidR="001A4223" w:rsidRPr="0075269C" w:rsidTr="00E0340A">
        <w:trPr>
          <w:trHeight w:val="84"/>
        </w:trPr>
        <w:tc>
          <w:tcPr>
            <w:tcW w:w="1985" w:type="dxa"/>
          </w:tcPr>
          <w:p w:rsidR="001A4223" w:rsidRPr="002D3240" w:rsidRDefault="001A4223" w:rsidP="00CB2FBB">
            <w:pPr>
              <w:pStyle w:val="Tabletext"/>
            </w:pPr>
            <w:r w:rsidRPr="002D3240">
              <w:t>EC</w:t>
            </w:r>
          </w:p>
        </w:tc>
        <w:tc>
          <w:tcPr>
            <w:tcW w:w="7371" w:type="dxa"/>
          </w:tcPr>
          <w:p w:rsidR="001A4223" w:rsidRPr="00031534" w:rsidRDefault="001A4223" w:rsidP="00CB2FBB">
            <w:pPr>
              <w:pStyle w:val="Tabletext"/>
            </w:pPr>
            <w:r>
              <w:t>Electrical conductivity</w:t>
            </w:r>
          </w:p>
        </w:tc>
      </w:tr>
      <w:tr w:rsidR="001A4223" w:rsidRPr="0075269C" w:rsidTr="00E0340A">
        <w:trPr>
          <w:trHeight w:val="84"/>
        </w:trPr>
        <w:tc>
          <w:tcPr>
            <w:tcW w:w="1985" w:type="dxa"/>
          </w:tcPr>
          <w:p w:rsidR="001A4223" w:rsidRPr="00357C74" w:rsidRDefault="001A4223" w:rsidP="00CB2FBB">
            <w:pPr>
              <w:pStyle w:val="Tabletext"/>
              <w:rPr>
                <w:highlight w:val="yellow"/>
              </w:rPr>
            </w:pPr>
            <w:r w:rsidRPr="00F44860">
              <w:t>Eh</w:t>
            </w:r>
          </w:p>
        </w:tc>
        <w:tc>
          <w:tcPr>
            <w:tcW w:w="7371" w:type="dxa"/>
          </w:tcPr>
          <w:p w:rsidR="001A4223" w:rsidRPr="00031534" w:rsidRDefault="00F44860" w:rsidP="00CB2FBB">
            <w:pPr>
              <w:pStyle w:val="Tabletext"/>
            </w:pPr>
            <w:r>
              <w:t>Reduction potential</w:t>
            </w:r>
          </w:p>
        </w:tc>
      </w:tr>
      <w:tr w:rsidR="001A4223" w:rsidRPr="0075269C" w:rsidTr="00E0340A">
        <w:trPr>
          <w:trHeight w:val="84"/>
        </w:trPr>
        <w:tc>
          <w:tcPr>
            <w:tcW w:w="1985" w:type="dxa"/>
          </w:tcPr>
          <w:p w:rsidR="001A4223" w:rsidRPr="002D3240" w:rsidRDefault="001A4223" w:rsidP="00CB2FBB">
            <w:pPr>
              <w:pStyle w:val="Tabletext"/>
            </w:pPr>
            <w:r w:rsidRPr="002D3240">
              <w:t>GL</w:t>
            </w:r>
          </w:p>
        </w:tc>
        <w:tc>
          <w:tcPr>
            <w:tcW w:w="7371" w:type="dxa"/>
          </w:tcPr>
          <w:p w:rsidR="001A4223" w:rsidRPr="00031534" w:rsidRDefault="001A4223" w:rsidP="00CB2FBB">
            <w:pPr>
              <w:pStyle w:val="Tabletext"/>
            </w:pPr>
            <w:r w:rsidRPr="00031534">
              <w:t>Gigalitre (1000 million litres)</w:t>
            </w:r>
          </w:p>
        </w:tc>
      </w:tr>
      <w:tr w:rsidR="001A4223" w:rsidRPr="0075269C" w:rsidTr="00E0340A">
        <w:trPr>
          <w:trHeight w:val="84"/>
        </w:trPr>
        <w:tc>
          <w:tcPr>
            <w:tcW w:w="1985" w:type="dxa"/>
          </w:tcPr>
          <w:p w:rsidR="001A4223" w:rsidRPr="00357C74" w:rsidRDefault="001A4223" w:rsidP="00CB2FBB">
            <w:pPr>
              <w:pStyle w:val="Tabletext"/>
              <w:rPr>
                <w:vertAlign w:val="superscript"/>
              </w:rPr>
            </w:pPr>
            <w:r w:rsidRPr="00357C74">
              <w:rPr>
                <w:vertAlign w:val="superscript"/>
              </w:rPr>
              <w:t>1</w:t>
            </w:r>
            <w:r w:rsidRPr="00357C74">
              <w:t>H</w:t>
            </w:r>
          </w:p>
        </w:tc>
        <w:tc>
          <w:tcPr>
            <w:tcW w:w="7371" w:type="dxa"/>
          </w:tcPr>
          <w:p w:rsidR="001A4223" w:rsidRPr="00357C74" w:rsidRDefault="009A0132" w:rsidP="00CB2FBB">
            <w:pPr>
              <w:pStyle w:val="Tabletext"/>
            </w:pPr>
            <w:r w:rsidRPr="00357C74">
              <w:t>Hydrogen-1 isotope, usually called protium</w:t>
            </w:r>
          </w:p>
        </w:tc>
      </w:tr>
      <w:tr w:rsidR="001A4223" w:rsidRPr="0075269C" w:rsidTr="00E0340A">
        <w:trPr>
          <w:trHeight w:val="84"/>
        </w:trPr>
        <w:tc>
          <w:tcPr>
            <w:tcW w:w="1985" w:type="dxa"/>
          </w:tcPr>
          <w:p w:rsidR="001A4223" w:rsidRPr="00357C74" w:rsidRDefault="001A4223" w:rsidP="00CB2FBB">
            <w:pPr>
              <w:pStyle w:val="Tabletext"/>
              <w:rPr>
                <w:vertAlign w:val="superscript"/>
              </w:rPr>
            </w:pPr>
            <w:r w:rsidRPr="00357C74">
              <w:rPr>
                <w:vertAlign w:val="superscript"/>
              </w:rPr>
              <w:t>2</w:t>
            </w:r>
            <w:r w:rsidRPr="00357C74">
              <w:t>H</w:t>
            </w:r>
          </w:p>
        </w:tc>
        <w:tc>
          <w:tcPr>
            <w:tcW w:w="7371" w:type="dxa"/>
          </w:tcPr>
          <w:p w:rsidR="001A4223" w:rsidRPr="00357C74" w:rsidRDefault="00C426CD" w:rsidP="00CB2FBB">
            <w:pPr>
              <w:pStyle w:val="Tabletext"/>
            </w:pPr>
            <w:r w:rsidRPr="00357C74">
              <w:t>Hydrogen-2 isotope, usually called deuterium</w:t>
            </w:r>
          </w:p>
        </w:tc>
      </w:tr>
      <w:tr w:rsidR="001A4223" w:rsidRPr="0075269C" w:rsidTr="00E0340A">
        <w:trPr>
          <w:trHeight w:val="84"/>
        </w:trPr>
        <w:tc>
          <w:tcPr>
            <w:tcW w:w="1985" w:type="dxa"/>
          </w:tcPr>
          <w:p w:rsidR="001A4223" w:rsidRPr="00357C74" w:rsidRDefault="001A4223" w:rsidP="00CB2FBB">
            <w:pPr>
              <w:pStyle w:val="Tabletext"/>
            </w:pPr>
            <w:r w:rsidRPr="00357C74">
              <w:rPr>
                <w:vertAlign w:val="superscript"/>
              </w:rPr>
              <w:t>3</w:t>
            </w:r>
            <w:r w:rsidRPr="00357C74">
              <w:t>H</w:t>
            </w:r>
          </w:p>
        </w:tc>
        <w:tc>
          <w:tcPr>
            <w:tcW w:w="7371" w:type="dxa"/>
          </w:tcPr>
          <w:p w:rsidR="001A4223" w:rsidRPr="00357C74" w:rsidRDefault="00C426CD" w:rsidP="00CB2FBB">
            <w:pPr>
              <w:pStyle w:val="Tabletext"/>
            </w:pPr>
            <w:r w:rsidRPr="00357C74">
              <w:t>Hydrogen-3 isotope, usually called tritium</w:t>
            </w:r>
          </w:p>
        </w:tc>
      </w:tr>
      <w:tr w:rsidR="001A4223" w:rsidRPr="0075269C" w:rsidTr="00E0340A">
        <w:trPr>
          <w:trHeight w:val="84"/>
        </w:trPr>
        <w:tc>
          <w:tcPr>
            <w:tcW w:w="1985" w:type="dxa"/>
          </w:tcPr>
          <w:p w:rsidR="001A4223" w:rsidRPr="00357C74" w:rsidRDefault="001A4223" w:rsidP="00CB2FBB">
            <w:pPr>
              <w:pStyle w:val="Tabletext"/>
            </w:pPr>
            <w:r w:rsidRPr="00357C74">
              <w:t>H</w:t>
            </w:r>
          </w:p>
        </w:tc>
        <w:tc>
          <w:tcPr>
            <w:tcW w:w="7371" w:type="dxa"/>
          </w:tcPr>
          <w:p w:rsidR="001A4223" w:rsidRPr="00357C74" w:rsidRDefault="00C426CD" w:rsidP="00CB2FBB">
            <w:pPr>
              <w:pStyle w:val="Tabletext"/>
            </w:pPr>
            <w:r w:rsidRPr="00357C74">
              <w:t>Hydrogen</w:t>
            </w:r>
          </w:p>
        </w:tc>
      </w:tr>
      <w:tr w:rsidR="001A4223" w:rsidRPr="0075269C" w:rsidTr="00E0340A">
        <w:trPr>
          <w:trHeight w:val="84"/>
        </w:trPr>
        <w:tc>
          <w:tcPr>
            <w:tcW w:w="1985" w:type="dxa"/>
          </w:tcPr>
          <w:p w:rsidR="001A4223" w:rsidRPr="00357C74" w:rsidRDefault="001A4223" w:rsidP="00CB2FBB">
            <w:pPr>
              <w:pStyle w:val="Tabletext"/>
            </w:pPr>
            <w:r w:rsidRPr="00357C74">
              <w:t>H</w:t>
            </w:r>
            <w:r w:rsidRPr="00357C74">
              <w:rPr>
                <w:vertAlign w:val="subscript"/>
              </w:rPr>
              <w:t>2</w:t>
            </w:r>
            <w:r w:rsidRPr="00357C74">
              <w:t>O</w:t>
            </w:r>
          </w:p>
        </w:tc>
        <w:tc>
          <w:tcPr>
            <w:tcW w:w="7371" w:type="dxa"/>
          </w:tcPr>
          <w:p w:rsidR="001A4223" w:rsidRPr="00357C74" w:rsidRDefault="001A4223" w:rsidP="00CB2FBB">
            <w:pPr>
              <w:pStyle w:val="Tabletext"/>
            </w:pPr>
            <w:r w:rsidRPr="00357C74">
              <w:t xml:space="preserve">Chemical formula for water </w:t>
            </w:r>
          </w:p>
        </w:tc>
      </w:tr>
      <w:tr w:rsidR="001A4223" w:rsidRPr="0022535B" w:rsidTr="00E0340A">
        <w:trPr>
          <w:trHeight w:val="84"/>
        </w:trPr>
        <w:tc>
          <w:tcPr>
            <w:tcW w:w="1985" w:type="dxa"/>
          </w:tcPr>
          <w:p w:rsidR="001A4223" w:rsidRPr="00357C74" w:rsidRDefault="001A4223" w:rsidP="00CB2FBB">
            <w:pPr>
              <w:pStyle w:val="Tabletext"/>
              <w:rPr>
                <w:vertAlign w:val="superscript"/>
              </w:rPr>
            </w:pPr>
            <w:r w:rsidRPr="00357C74">
              <w:t>HCO</w:t>
            </w:r>
            <w:r w:rsidRPr="00357C74">
              <w:rPr>
                <w:vertAlign w:val="subscript"/>
              </w:rPr>
              <w:t>3</w:t>
            </w:r>
          </w:p>
        </w:tc>
        <w:tc>
          <w:tcPr>
            <w:tcW w:w="7371" w:type="dxa"/>
          </w:tcPr>
          <w:p w:rsidR="001A4223" w:rsidRPr="00357C74" w:rsidRDefault="001A4223" w:rsidP="00CB2FBB">
            <w:pPr>
              <w:pStyle w:val="Tabletext"/>
            </w:pPr>
            <w:r w:rsidRPr="00357C74">
              <w:t>Bicarbonate</w:t>
            </w:r>
          </w:p>
        </w:tc>
      </w:tr>
      <w:tr w:rsidR="001A4223" w:rsidRPr="0022535B" w:rsidTr="00E0340A">
        <w:trPr>
          <w:trHeight w:val="84"/>
        </w:trPr>
        <w:tc>
          <w:tcPr>
            <w:tcW w:w="1985" w:type="dxa"/>
          </w:tcPr>
          <w:p w:rsidR="001A4223" w:rsidRPr="00357C74" w:rsidRDefault="001A4223" w:rsidP="00CB2FBB">
            <w:pPr>
              <w:pStyle w:val="Tabletext"/>
            </w:pPr>
            <w:r w:rsidRPr="00357C74">
              <w:rPr>
                <w:vertAlign w:val="superscript"/>
              </w:rPr>
              <w:t>4</w:t>
            </w:r>
            <w:r w:rsidRPr="00357C74">
              <w:t>He</w:t>
            </w:r>
          </w:p>
        </w:tc>
        <w:tc>
          <w:tcPr>
            <w:tcW w:w="7371" w:type="dxa"/>
          </w:tcPr>
          <w:p w:rsidR="001A4223" w:rsidRPr="00357C74" w:rsidRDefault="001A4223" w:rsidP="00CB2FBB">
            <w:pPr>
              <w:pStyle w:val="Tabletext"/>
            </w:pPr>
            <w:r w:rsidRPr="00357C74">
              <w:t>Helium-4</w:t>
            </w:r>
          </w:p>
        </w:tc>
      </w:tr>
      <w:tr w:rsidR="001A4223" w:rsidRPr="00E0340A" w:rsidTr="00E0340A">
        <w:trPr>
          <w:trHeight w:val="84"/>
        </w:trPr>
        <w:tc>
          <w:tcPr>
            <w:tcW w:w="1985" w:type="dxa"/>
          </w:tcPr>
          <w:p w:rsidR="001A4223" w:rsidRPr="00357C74" w:rsidRDefault="00E0340A" w:rsidP="00CB2FBB">
            <w:pPr>
              <w:pStyle w:val="Tabletext"/>
            </w:pPr>
            <w:r w:rsidRPr="00357C74">
              <w:t>k</w:t>
            </w:r>
            <w:r w:rsidR="001A4223" w:rsidRPr="00357C74">
              <w:t>g</w:t>
            </w:r>
          </w:p>
        </w:tc>
        <w:tc>
          <w:tcPr>
            <w:tcW w:w="7371" w:type="dxa"/>
          </w:tcPr>
          <w:p w:rsidR="001A4223" w:rsidRPr="00357C74" w:rsidRDefault="001A4223" w:rsidP="00CB2FBB">
            <w:pPr>
              <w:pStyle w:val="Tabletext"/>
            </w:pPr>
            <w:r w:rsidRPr="00357C74">
              <w:t>Kilogram</w:t>
            </w:r>
          </w:p>
        </w:tc>
      </w:tr>
      <w:tr w:rsidR="001A4223" w:rsidRPr="00E0340A" w:rsidTr="00E0340A">
        <w:trPr>
          <w:trHeight w:val="84"/>
        </w:trPr>
        <w:tc>
          <w:tcPr>
            <w:tcW w:w="1985" w:type="dxa"/>
          </w:tcPr>
          <w:p w:rsidR="001A4223" w:rsidRPr="00357C74" w:rsidRDefault="00E0340A" w:rsidP="00CB2FBB">
            <w:pPr>
              <w:pStyle w:val="Tabletext"/>
            </w:pPr>
            <w:r w:rsidRPr="00357C74">
              <w:t>k</w:t>
            </w:r>
            <w:r w:rsidR="001A4223" w:rsidRPr="00357C74">
              <w:t>g/m</w:t>
            </w:r>
            <w:r w:rsidR="001A4223" w:rsidRPr="00357C74">
              <w:rPr>
                <w:vertAlign w:val="superscript"/>
              </w:rPr>
              <w:t>3</w:t>
            </w:r>
          </w:p>
        </w:tc>
        <w:tc>
          <w:tcPr>
            <w:tcW w:w="7371" w:type="dxa"/>
          </w:tcPr>
          <w:p w:rsidR="001A4223" w:rsidRPr="00357C74" w:rsidRDefault="001A4223" w:rsidP="00CB2FBB">
            <w:pPr>
              <w:pStyle w:val="Tabletext"/>
            </w:pPr>
            <w:r w:rsidRPr="00357C74">
              <w:t>Kilogram</w:t>
            </w:r>
            <w:r w:rsidR="009A0132" w:rsidRPr="00357C74">
              <w:t xml:space="preserve"> per cubic metre</w:t>
            </w:r>
          </w:p>
        </w:tc>
      </w:tr>
      <w:tr w:rsidR="001A4223" w:rsidRPr="00E0340A" w:rsidTr="00E0340A">
        <w:trPr>
          <w:trHeight w:val="84"/>
        </w:trPr>
        <w:tc>
          <w:tcPr>
            <w:tcW w:w="1985" w:type="dxa"/>
          </w:tcPr>
          <w:p w:rsidR="001A4223" w:rsidRPr="00357C74" w:rsidRDefault="001A4223" w:rsidP="00CB2FBB">
            <w:pPr>
              <w:pStyle w:val="Tabletext"/>
              <w:rPr>
                <w:vertAlign w:val="subscript"/>
              </w:rPr>
            </w:pPr>
            <w:r w:rsidRPr="00357C74">
              <w:t>K</w:t>
            </w:r>
            <w:r w:rsidRPr="00357C74">
              <w:rPr>
                <w:vertAlign w:val="subscript"/>
              </w:rPr>
              <w:t>h</w:t>
            </w:r>
          </w:p>
        </w:tc>
        <w:tc>
          <w:tcPr>
            <w:tcW w:w="7371" w:type="dxa"/>
          </w:tcPr>
          <w:p w:rsidR="001A4223" w:rsidRPr="00357C74" w:rsidRDefault="001A4223" w:rsidP="00CB2FBB">
            <w:pPr>
              <w:pStyle w:val="Tabletext"/>
            </w:pPr>
            <w:r w:rsidRPr="00357C74">
              <w:t>Horizontal hydraulic conductivity</w:t>
            </w:r>
          </w:p>
        </w:tc>
      </w:tr>
      <w:tr w:rsidR="001A4223" w:rsidRPr="0022535B" w:rsidTr="00E0340A">
        <w:trPr>
          <w:trHeight w:val="84"/>
        </w:trPr>
        <w:tc>
          <w:tcPr>
            <w:tcW w:w="1985" w:type="dxa"/>
          </w:tcPr>
          <w:p w:rsidR="001A4223" w:rsidRPr="00357C74" w:rsidRDefault="00E0340A" w:rsidP="00CB2FBB">
            <w:pPr>
              <w:pStyle w:val="Tabletext"/>
            </w:pPr>
            <w:r w:rsidRPr="00357C74">
              <w:t>k</w:t>
            </w:r>
            <w:r w:rsidR="001A4223" w:rsidRPr="00357C74">
              <w:t>m</w:t>
            </w:r>
          </w:p>
        </w:tc>
        <w:tc>
          <w:tcPr>
            <w:tcW w:w="7371" w:type="dxa"/>
          </w:tcPr>
          <w:p w:rsidR="001A4223" w:rsidRPr="00357C74" w:rsidRDefault="001A4223" w:rsidP="00CB2FBB">
            <w:pPr>
              <w:pStyle w:val="Tabletext"/>
            </w:pPr>
            <w:r w:rsidRPr="00357C74">
              <w:t>Kilometre</w:t>
            </w:r>
          </w:p>
        </w:tc>
      </w:tr>
      <w:tr w:rsidR="001A4223" w:rsidRPr="00E0340A" w:rsidTr="00E0340A">
        <w:trPr>
          <w:trHeight w:val="84"/>
        </w:trPr>
        <w:tc>
          <w:tcPr>
            <w:tcW w:w="1985" w:type="dxa"/>
          </w:tcPr>
          <w:p w:rsidR="001A4223" w:rsidRPr="00357C74" w:rsidRDefault="00E0340A" w:rsidP="00CB2FBB">
            <w:pPr>
              <w:pStyle w:val="Tabletext"/>
            </w:pPr>
            <w:r w:rsidRPr="00357C74">
              <w:t>k</w:t>
            </w:r>
            <w:r w:rsidR="001A4223" w:rsidRPr="00357C74">
              <w:t>m</w:t>
            </w:r>
            <w:r w:rsidR="001A4223" w:rsidRPr="00357C74">
              <w:rPr>
                <w:vertAlign w:val="superscript"/>
              </w:rPr>
              <w:t>2</w:t>
            </w:r>
          </w:p>
        </w:tc>
        <w:tc>
          <w:tcPr>
            <w:tcW w:w="7371" w:type="dxa"/>
          </w:tcPr>
          <w:p w:rsidR="001A4223" w:rsidRPr="00357C74" w:rsidRDefault="001A4223" w:rsidP="00CB2FBB">
            <w:pPr>
              <w:pStyle w:val="Tabletext"/>
            </w:pPr>
            <w:r w:rsidRPr="00357C74">
              <w:t>Square kilometre</w:t>
            </w:r>
          </w:p>
        </w:tc>
      </w:tr>
      <w:tr w:rsidR="001A4223" w:rsidRPr="00E0340A" w:rsidTr="00E0340A">
        <w:trPr>
          <w:trHeight w:val="84"/>
        </w:trPr>
        <w:tc>
          <w:tcPr>
            <w:tcW w:w="1985" w:type="dxa"/>
          </w:tcPr>
          <w:p w:rsidR="001A4223" w:rsidRPr="00357C74" w:rsidRDefault="001A4223" w:rsidP="00CB2FBB">
            <w:pPr>
              <w:pStyle w:val="Tabletext"/>
            </w:pPr>
            <w:r w:rsidRPr="00357C74">
              <w:rPr>
                <w:vertAlign w:val="superscript"/>
              </w:rPr>
              <w:t>85</w:t>
            </w:r>
            <w:r w:rsidRPr="00357C74">
              <w:t>Kr</w:t>
            </w:r>
          </w:p>
        </w:tc>
        <w:tc>
          <w:tcPr>
            <w:tcW w:w="7371" w:type="dxa"/>
          </w:tcPr>
          <w:p w:rsidR="001A4223" w:rsidRPr="00357C74" w:rsidRDefault="00E0340A" w:rsidP="00CB2FBB">
            <w:pPr>
              <w:pStyle w:val="Tabletext"/>
            </w:pPr>
            <w:r w:rsidRPr="00357C74">
              <w:t>Krypton-85 (radioisotope of Krypton)</w:t>
            </w:r>
          </w:p>
        </w:tc>
      </w:tr>
      <w:tr w:rsidR="001A4223" w:rsidRPr="0022535B" w:rsidTr="00E0340A">
        <w:trPr>
          <w:trHeight w:val="84"/>
        </w:trPr>
        <w:tc>
          <w:tcPr>
            <w:tcW w:w="1985" w:type="dxa"/>
          </w:tcPr>
          <w:p w:rsidR="001A4223" w:rsidRPr="00357C74" w:rsidRDefault="001A4223" w:rsidP="00CB2FBB">
            <w:pPr>
              <w:pStyle w:val="Tabletext"/>
            </w:pPr>
            <w:r w:rsidRPr="00357C74">
              <w:t>K</w:t>
            </w:r>
            <w:r w:rsidRPr="00357C74">
              <w:rPr>
                <w:vertAlign w:val="subscript"/>
              </w:rPr>
              <w:t>v</w:t>
            </w:r>
          </w:p>
        </w:tc>
        <w:tc>
          <w:tcPr>
            <w:tcW w:w="7371" w:type="dxa"/>
          </w:tcPr>
          <w:p w:rsidR="001A4223" w:rsidRPr="00357C74" w:rsidRDefault="001A4223" w:rsidP="00CB2FBB">
            <w:pPr>
              <w:pStyle w:val="Tabletext"/>
            </w:pPr>
            <w:r w:rsidRPr="00357C74">
              <w:t>Vertical hydraulic conductivity</w:t>
            </w:r>
          </w:p>
        </w:tc>
      </w:tr>
      <w:tr w:rsidR="001A4223" w:rsidRPr="0022535B" w:rsidTr="00E0340A">
        <w:trPr>
          <w:trHeight w:val="84"/>
        </w:trPr>
        <w:tc>
          <w:tcPr>
            <w:tcW w:w="1985" w:type="dxa"/>
          </w:tcPr>
          <w:p w:rsidR="001A4223" w:rsidRPr="00357C74" w:rsidRDefault="001A4223" w:rsidP="00CB2FBB">
            <w:pPr>
              <w:pStyle w:val="Tabletext"/>
            </w:pPr>
            <w:r w:rsidRPr="00357C74">
              <w:t>L</w:t>
            </w:r>
          </w:p>
        </w:tc>
        <w:tc>
          <w:tcPr>
            <w:tcW w:w="7371" w:type="dxa"/>
          </w:tcPr>
          <w:p w:rsidR="001A4223" w:rsidRPr="00357C74" w:rsidRDefault="001A4223" w:rsidP="00CB2FBB">
            <w:pPr>
              <w:pStyle w:val="Tabletext"/>
            </w:pPr>
            <w:r w:rsidRPr="00357C74">
              <w:t>Litre (unless specified otherwise, e.g. in section 2.4 it represents ‘length’)</w:t>
            </w:r>
          </w:p>
        </w:tc>
      </w:tr>
      <w:tr w:rsidR="001A4223" w:rsidRPr="0022535B" w:rsidTr="00E0340A">
        <w:trPr>
          <w:trHeight w:val="84"/>
        </w:trPr>
        <w:tc>
          <w:tcPr>
            <w:tcW w:w="1985" w:type="dxa"/>
          </w:tcPr>
          <w:p w:rsidR="001A4223" w:rsidRPr="00357C74" w:rsidRDefault="001A4223" w:rsidP="00CB2FBB">
            <w:pPr>
              <w:pStyle w:val="Tabletext"/>
            </w:pPr>
            <w:r w:rsidRPr="00357C74">
              <w:t>L/s</w:t>
            </w:r>
          </w:p>
        </w:tc>
        <w:tc>
          <w:tcPr>
            <w:tcW w:w="7371" w:type="dxa"/>
          </w:tcPr>
          <w:p w:rsidR="001A4223" w:rsidRPr="00357C74" w:rsidRDefault="001A4223" w:rsidP="00CB2FBB">
            <w:pPr>
              <w:pStyle w:val="Tabletext"/>
            </w:pPr>
            <w:r w:rsidRPr="00357C74">
              <w:t>Litres per second</w:t>
            </w:r>
          </w:p>
        </w:tc>
      </w:tr>
      <w:tr w:rsidR="001A4223" w:rsidRPr="0022535B" w:rsidTr="00E0340A">
        <w:trPr>
          <w:trHeight w:val="84"/>
        </w:trPr>
        <w:tc>
          <w:tcPr>
            <w:tcW w:w="1985" w:type="dxa"/>
          </w:tcPr>
          <w:p w:rsidR="001A4223" w:rsidRPr="00357C74" w:rsidRDefault="00332853" w:rsidP="00CB2FBB">
            <w:pPr>
              <w:pStyle w:val="Tabletext"/>
            </w:pPr>
            <w:r w:rsidRPr="00357C74">
              <w:t>m</w:t>
            </w:r>
          </w:p>
        </w:tc>
        <w:tc>
          <w:tcPr>
            <w:tcW w:w="7371" w:type="dxa"/>
          </w:tcPr>
          <w:p w:rsidR="001A4223" w:rsidRPr="00357C74" w:rsidRDefault="001A4223" w:rsidP="00CB2FBB">
            <w:pPr>
              <w:pStyle w:val="Tabletext"/>
            </w:pPr>
            <w:r w:rsidRPr="00357C74">
              <w:t>Metre</w:t>
            </w:r>
          </w:p>
        </w:tc>
      </w:tr>
      <w:tr w:rsidR="001A4223" w:rsidRPr="0075269C" w:rsidTr="00E0340A">
        <w:trPr>
          <w:trHeight w:val="84"/>
        </w:trPr>
        <w:tc>
          <w:tcPr>
            <w:tcW w:w="1985" w:type="dxa"/>
          </w:tcPr>
          <w:p w:rsidR="001A4223" w:rsidRPr="00357C74" w:rsidRDefault="001A4223" w:rsidP="00CB2FBB">
            <w:pPr>
              <w:pStyle w:val="Tabletext"/>
              <w:rPr>
                <w:vertAlign w:val="superscript"/>
              </w:rPr>
            </w:pPr>
            <w:r w:rsidRPr="00357C74">
              <w:t>m</w:t>
            </w:r>
            <w:r w:rsidRPr="00357C74">
              <w:rPr>
                <w:vertAlign w:val="superscript"/>
              </w:rPr>
              <w:t>2</w:t>
            </w:r>
          </w:p>
        </w:tc>
        <w:tc>
          <w:tcPr>
            <w:tcW w:w="7371" w:type="dxa"/>
          </w:tcPr>
          <w:p w:rsidR="001A4223" w:rsidRPr="00357C74" w:rsidRDefault="001A4223" w:rsidP="00CB2FBB">
            <w:pPr>
              <w:pStyle w:val="Tabletext"/>
            </w:pPr>
            <w:r w:rsidRPr="00357C74">
              <w:t>Square metre</w:t>
            </w:r>
          </w:p>
        </w:tc>
      </w:tr>
      <w:tr w:rsidR="001A4223" w:rsidRPr="0075269C" w:rsidTr="00E0340A">
        <w:trPr>
          <w:trHeight w:val="84"/>
        </w:trPr>
        <w:tc>
          <w:tcPr>
            <w:tcW w:w="1985" w:type="dxa"/>
          </w:tcPr>
          <w:p w:rsidR="001A4223" w:rsidRPr="00357C74" w:rsidRDefault="001A4223" w:rsidP="00CB2FBB">
            <w:pPr>
              <w:pStyle w:val="Tabletext"/>
            </w:pPr>
            <w:r w:rsidRPr="00357C74">
              <w:t>M</w:t>
            </w:r>
            <w:r w:rsidRPr="00357C74">
              <w:rPr>
                <w:vertAlign w:val="superscript"/>
              </w:rPr>
              <w:t>3</w:t>
            </w:r>
          </w:p>
        </w:tc>
        <w:tc>
          <w:tcPr>
            <w:tcW w:w="7371" w:type="dxa"/>
          </w:tcPr>
          <w:p w:rsidR="001A4223" w:rsidRPr="00357C74" w:rsidRDefault="001A4223" w:rsidP="00CB2FBB">
            <w:pPr>
              <w:pStyle w:val="Tabletext"/>
            </w:pPr>
            <w:r w:rsidRPr="00357C74">
              <w:t>Cubic metre</w:t>
            </w:r>
          </w:p>
        </w:tc>
      </w:tr>
      <w:tr w:rsidR="001A4223" w:rsidRPr="0075269C" w:rsidTr="00E0340A">
        <w:trPr>
          <w:trHeight w:val="84"/>
        </w:trPr>
        <w:tc>
          <w:tcPr>
            <w:tcW w:w="1985" w:type="dxa"/>
          </w:tcPr>
          <w:p w:rsidR="001A4223" w:rsidRPr="00357C74" w:rsidRDefault="001A4223" w:rsidP="00CB2FBB">
            <w:pPr>
              <w:pStyle w:val="Tabletext"/>
            </w:pPr>
            <w:r w:rsidRPr="00357C74">
              <w:lastRenderedPageBreak/>
              <w:t>m/d, m/day</w:t>
            </w:r>
          </w:p>
        </w:tc>
        <w:tc>
          <w:tcPr>
            <w:tcW w:w="7371" w:type="dxa"/>
          </w:tcPr>
          <w:p w:rsidR="001A4223" w:rsidRPr="00357C74" w:rsidRDefault="001A4223" w:rsidP="00CB2FBB">
            <w:pPr>
              <w:pStyle w:val="Tabletext"/>
            </w:pPr>
            <w:r w:rsidRPr="00357C74">
              <w:t>Metre per day</w:t>
            </w:r>
          </w:p>
        </w:tc>
      </w:tr>
      <w:tr w:rsidR="001A4223" w:rsidRPr="0075269C" w:rsidTr="00E0340A">
        <w:trPr>
          <w:trHeight w:val="84"/>
        </w:trPr>
        <w:tc>
          <w:tcPr>
            <w:tcW w:w="1985" w:type="dxa"/>
          </w:tcPr>
          <w:p w:rsidR="001A4223" w:rsidRPr="00357C74" w:rsidRDefault="001A4223" w:rsidP="00CB2FBB">
            <w:pPr>
              <w:pStyle w:val="Tabletext"/>
            </w:pPr>
            <w:r w:rsidRPr="00357C74">
              <w:t>m</w:t>
            </w:r>
            <w:r w:rsidRPr="00357C74">
              <w:rPr>
                <w:vertAlign w:val="superscript"/>
              </w:rPr>
              <w:t>2</w:t>
            </w:r>
            <w:r w:rsidRPr="00357C74">
              <w:t>/d</w:t>
            </w:r>
          </w:p>
        </w:tc>
        <w:tc>
          <w:tcPr>
            <w:tcW w:w="7371" w:type="dxa"/>
          </w:tcPr>
          <w:p w:rsidR="001A4223" w:rsidRPr="00357C74" w:rsidRDefault="001A4223" w:rsidP="00CB2FBB">
            <w:pPr>
              <w:pStyle w:val="Tabletext"/>
            </w:pPr>
            <w:r w:rsidRPr="00357C74">
              <w:t>Square metre per day</w:t>
            </w:r>
          </w:p>
        </w:tc>
      </w:tr>
      <w:tr w:rsidR="001A4223" w:rsidRPr="0075269C" w:rsidTr="00E0340A">
        <w:trPr>
          <w:trHeight w:val="84"/>
        </w:trPr>
        <w:tc>
          <w:tcPr>
            <w:tcW w:w="1985" w:type="dxa"/>
          </w:tcPr>
          <w:p w:rsidR="001A4223" w:rsidRPr="00357C74" w:rsidRDefault="001A4223" w:rsidP="00CB2FBB">
            <w:pPr>
              <w:pStyle w:val="Tabletext"/>
            </w:pPr>
            <w:r w:rsidRPr="00357C74">
              <w:t>m/s</w:t>
            </w:r>
          </w:p>
        </w:tc>
        <w:tc>
          <w:tcPr>
            <w:tcW w:w="7371" w:type="dxa"/>
          </w:tcPr>
          <w:p w:rsidR="001A4223" w:rsidRPr="00357C74" w:rsidRDefault="001A4223" w:rsidP="00CB2FBB">
            <w:pPr>
              <w:pStyle w:val="Tabletext"/>
            </w:pPr>
            <w:r w:rsidRPr="00357C74">
              <w:t>Meter per second</w:t>
            </w:r>
          </w:p>
        </w:tc>
      </w:tr>
      <w:tr w:rsidR="001A4223" w:rsidRPr="0075269C" w:rsidTr="00E0340A">
        <w:trPr>
          <w:trHeight w:val="84"/>
        </w:trPr>
        <w:tc>
          <w:tcPr>
            <w:tcW w:w="1985" w:type="dxa"/>
          </w:tcPr>
          <w:p w:rsidR="001A4223" w:rsidRPr="00357C74" w:rsidRDefault="001A4223" w:rsidP="00CB2FBB">
            <w:pPr>
              <w:pStyle w:val="Tabletext"/>
            </w:pPr>
            <w:r w:rsidRPr="00357C74">
              <w:t>mA</w:t>
            </w:r>
          </w:p>
        </w:tc>
        <w:tc>
          <w:tcPr>
            <w:tcW w:w="7371" w:type="dxa"/>
          </w:tcPr>
          <w:p w:rsidR="001A4223" w:rsidRPr="00357C74" w:rsidRDefault="001A4223" w:rsidP="00CB2FBB">
            <w:pPr>
              <w:pStyle w:val="Tabletext"/>
            </w:pPr>
            <w:r w:rsidRPr="00357C74">
              <w:t>Milliamps</w:t>
            </w:r>
          </w:p>
        </w:tc>
      </w:tr>
      <w:tr w:rsidR="001A4223" w:rsidRPr="0075269C" w:rsidTr="00E0340A">
        <w:trPr>
          <w:trHeight w:val="84"/>
        </w:trPr>
        <w:tc>
          <w:tcPr>
            <w:tcW w:w="1985" w:type="dxa"/>
          </w:tcPr>
          <w:p w:rsidR="001A4223" w:rsidRPr="00357C74" w:rsidRDefault="001A4223" w:rsidP="00CB2FBB">
            <w:pPr>
              <w:pStyle w:val="Tabletext"/>
            </w:pPr>
            <w:r w:rsidRPr="00357C74">
              <w:t>Ma</w:t>
            </w:r>
          </w:p>
        </w:tc>
        <w:tc>
          <w:tcPr>
            <w:tcW w:w="7371" w:type="dxa"/>
          </w:tcPr>
          <w:p w:rsidR="001A4223" w:rsidRPr="00357C74" w:rsidRDefault="001A4223" w:rsidP="00CB2FBB">
            <w:pPr>
              <w:pStyle w:val="Tabletext"/>
            </w:pPr>
            <w:r w:rsidRPr="00357C74">
              <w:t>Mega-annum (10</w:t>
            </w:r>
            <w:r w:rsidRPr="00357C74">
              <w:rPr>
                <w:vertAlign w:val="superscript"/>
              </w:rPr>
              <w:t>6</w:t>
            </w:r>
            <w:r w:rsidRPr="00357C74">
              <w:t xml:space="preserve"> years)</w:t>
            </w:r>
          </w:p>
        </w:tc>
      </w:tr>
      <w:tr w:rsidR="001A4223" w:rsidRPr="0075269C" w:rsidTr="00E0340A">
        <w:trPr>
          <w:trHeight w:val="84"/>
        </w:trPr>
        <w:tc>
          <w:tcPr>
            <w:tcW w:w="1985" w:type="dxa"/>
          </w:tcPr>
          <w:p w:rsidR="001A4223" w:rsidRPr="00357C74" w:rsidRDefault="001A4223" w:rsidP="00CB2FBB">
            <w:pPr>
              <w:pStyle w:val="Tabletext"/>
            </w:pPr>
            <w:r w:rsidRPr="00357C74">
              <w:t>mD</w:t>
            </w:r>
          </w:p>
        </w:tc>
        <w:tc>
          <w:tcPr>
            <w:tcW w:w="7371" w:type="dxa"/>
          </w:tcPr>
          <w:p w:rsidR="001A4223" w:rsidRPr="00357C74" w:rsidRDefault="001A4223" w:rsidP="00CB2FBB">
            <w:pPr>
              <w:pStyle w:val="Tabletext"/>
            </w:pPr>
            <w:r w:rsidRPr="00357C74">
              <w:t>Millidarcy (1 mD is equal to 0.001 D)</w:t>
            </w:r>
          </w:p>
        </w:tc>
      </w:tr>
      <w:tr w:rsidR="001A4223" w:rsidRPr="0075269C" w:rsidTr="00E0340A">
        <w:trPr>
          <w:trHeight w:val="84"/>
        </w:trPr>
        <w:tc>
          <w:tcPr>
            <w:tcW w:w="1985" w:type="dxa"/>
          </w:tcPr>
          <w:p w:rsidR="001A4223" w:rsidRPr="00357C74" w:rsidRDefault="001A4223" w:rsidP="00CB2FBB">
            <w:pPr>
              <w:pStyle w:val="Tabletext"/>
            </w:pPr>
            <w:r w:rsidRPr="00357C74">
              <w:t>m/s</w:t>
            </w:r>
            <w:r w:rsidRPr="00357C74">
              <w:rPr>
                <w:vertAlign w:val="superscript"/>
              </w:rPr>
              <w:t>2</w:t>
            </w:r>
          </w:p>
        </w:tc>
        <w:tc>
          <w:tcPr>
            <w:tcW w:w="7371" w:type="dxa"/>
          </w:tcPr>
          <w:p w:rsidR="001A4223" w:rsidRPr="00357C74" w:rsidRDefault="00332853" w:rsidP="00CB2FBB">
            <w:pPr>
              <w:pStyle w:val="Tabletext"/>
            </w:pPr>
            <w:r w:rsidRPr="00357C74">
              <w:t>Metre</w:t>
            </w:r>
            <w:r w:rsidR="001A4223" w:rsidRPr="00357C74">
              <w:t xml:space="preserve"> per second</w:t>
            </w:r>
            <w:r w:rsidRPr="00357C74">
              <w:t xml:space="preserve"> squared</w:t>
            </w:r>
          </w:p>
        </w:tc>
      </w:tr>
      <w:tr w:rsidR="001A4223" w:rsidRPr="0075269C" w:rsidTr="00E0340A">
        <w:trPr>
          <w:trHeight w:val="84"/>
        </w:trPr>
        <w:tc>
          <w:tcPr>
            <w:tcW w:w="1985" w:type="dxa"/>
          </w:tcPr>
          <w:p w:rsidR="001A4223" w:rsidRPr="00357C74" w:rsidRDefault="001A4223" w:rsidP="00CB2FBB">
            <w:pPr>
              <w:pStyle w:val="Tabletext"/>
            </w:pPr>
            <w:r w:rsidRPr="00357C74">
              <w:t>Mg</w:t>
            </w:r>
          </w:p>
        </w:tc>
        <w:tc>
          <w:tcPr>
            <w:tcW w:w="7371" w:type="dxa"/>
          </w:tcPr>
          <w:p w:rsidR="001A4223" w:rsidRPr="00357C74" w:rsidRDefault="00332853" w:rsidP="00CB2FBB">
            <w:pPr>
              <w:pStyle w:val="Tabletext"/>
            </w:pPr>
            <w:r w:rsidRPr="00357C74">
              <w:t>Magnesium</w:t>
            </w:r>
          </w:p>
        </w:tc>
      </w:tr>
      <w:tr w:rsidR="001A4223" w:rsidRPr="0075269C" w:rsidTr="00E0340A">
        <w:trPr>
          <w:trHeight w:val="84"/>
        </w:trPr>
        <w:tc>
          <w:tcPr>
            <w:tcW w:w="1985" w:type="dxa"/>
          </w:tcPr>
          <w:p w:rsidR="001A4223" w:rsidRPr="00357C74" w:rsidRDefault="001A4223" w:rsidP="00CB2FBB">
            <w:pPr>
              <w:pStyle w:val="Tabletext"/>
            </w:pPr>
            <w:r w:rsidRPr="00357C74">
              <w:t>mg</w:t>
            </w:r>
          </w:p>
        </w:tc>
        <w:tc>
          <w:tcPr>
            <w:tcW w:w="7371" w:type="dxa"/>
          </w:tcPr>
          <w:p w:rsidR="001A4223" w:rsidRPr="00357C74" w:rsidRDefault="001A4223" w:rsidP="00CB2FBB">
            <w:pPr>
              <w:pStyle w:val="Tabletext"/>
            </w:pPr>
            <w:r w:rsidRPr="00357C74">
              <w:t>Milligram</w:t>
            </w:r>
          </w:p>
        </w:tc>
      </w:tr>
      <w:tr w:rsidR="001A4223" w:rsidRPr="0075269C" w:rsidTr="00E0340A">
        <w:trPr>
          <w:trHeight w:val="84"/>
        </w:trPr>
        <w:tc>
          <w:tcPr>
            <w:tcW w:w="1985" w:type="dxa"/>
          </w:tcPr>
          <w:p w:rsidR="001A4223" w:rsidRPr="00357C74" w:rsidRDefault="001A4223" w:rsidP="00CB2FBB">
            <w:pPr>
              <w:pStyle w:val="Tabletext"/>
            </w:pPr>
            <w:r w:rsidRPr="00357C74">
              <w:t>mg/L</w:t>
            </w:r>
          </w:p>
        </w:tc>
        <w:tc>
          <w:tcPr>
            <w:tcW w:w="7371" w:type="dxa"/>
          </w:tcPr>
          <w:p w:rsidR="001A4223" w:rsidRPr="00357C74" w:rsidRDefault="001A4223" w:rsidP="00CB2FBB">
            <w:pPr>
              <w:pStyle w:val="Tabletext"/>
            </w:pPr>
            <w:r w:rsidRPr="00357C74">
              <w:t>Milligram per litre</w:t>
            </w:r>
          </w:p>
        </w:tc>
      </w:tr>
      <w:tr w:rsidR="001A4223" w:rsidRPr="0075269C" w:rsidTr="00E0340A">
        <w:trPr>
          <w:trHeight w:val="84"/>
        </w:trPr>
        <w:tc>
          <w:tcPr>
            <w:tcW w:w="1985" w:type="dxa"/>
          </w:tcPr>
          <w:p w:rsidR="001A4223" w:rsidRPr="00357C74" w:rsidRDefault="001A4223" w:rsidP="00CB2FBB">
            <w:pPr>
              <w:pStyle w:val="Tabletext"/>
            </w:pPr>
            <w:r w:rsidRPr="00357C74">
              <w:t>MHz</w:t>
            </w:r>
          </w:p>
        </w:tc>
        <w:tc>
          <w:tcPr>
            <w:tcW w:w="7371" w:type="dxa"/>
          </w:tcPr>
          <w:p w:rsidR="001A4223" w:rsidRPr="00357C74" w:rsidRDefault="001A4223" w:rsidP="00CB2FBB">
            <w:pPr>
              <w:pStyle w:val="Tabletext"/>
            </w:pPr>
            <w:r w:rsidRPr="00357C74">
              <w:t>Megahertz</w:t>
            </w:r>
          </w:p>
        </w:tc>
      </w:tr>
      <w:tr w:rsidR="001A4223" w:rsidRPr="0075269C" w:rsidTr="00E0340A">
        <w:trPr>
          <w:trHeight w:val="84"/>
        </w:trPr>
        <w:tc>
          <w:tcPr>
            <w:tcW w:w="1985" w:type="dxa"/>
          </w:tcPr>
          <w:p w:rsidR="001A4223" w:rsidRPr="00357C74" w:rsidRDefault="001A4223" w:rsidP="00CB2FBB">
            <w:pPr>
              <w:pStyle w:val="Tabletext"/>
            </w:pPr>
            <w:r w:rsidRPr="00357C74">
              <w:t>ML</w:t>
            </w:r>
          </w:p>
        </w:tc>
        <w:tc>
          <w:tcPr>
            <w:tcW w:w="7371" w:type="dxa"/>
          </w:tcPr>
          <w:p w:rsidR="001A4223" w:rsidRPr="00357C74" w:rsidRDefault="001A4223" w:rsidP="00CB2FBB">
            <w:pPr>
              <w:pStyle w:val="Tabletext"/>
            </w:pPr>
            <w:r w:rsidRPr="00357C74">
              <w:t>Megalitre (1 million litres)</w:t>
            </w:r>
          </w:p>
        </w:tc>
      </w:tr>
      <w:tr w:rsidR="001A4223" w:rsidRPr="0075269C" w:rsidTr="00E0340A">
        <w:trPr>
          <w:trHeight w:val="84"/>
        </w:trPr>
        <w:tc>
          <w:tcPr>
            <w:tcW w:w="1985" w:type="dxa"/>
          </w:tcPr>
          <w:p w:rsidR="001A4223" w:rsidRPr="00357C74" w:rsidRDefault="001A4223" w:rsidP="00CB2FBB">
            <w:pPr>
              <w:pStyle w:val="Tabletext"/>
            </w:pPr>
            <w:r w:rsidRPr="00357C74">
              <w:t>ML/year</w:t>
            </w:r>
          </w:p>
        </w:tc>
        <w:tc>
          <w:tcPr>
            <w:tcW w:w="7371" w:type="dxa"/>
          </w:tcPr>
          <w:p w:rsidR="001A4223" w:rsidRPr="00357C74" w:rsidRDefault="001A4223" w:rsidP="00CB2FBB">
            <w:pPr>
              <w:pStyle w:val="Tabletext"/>
            </w:pPr>
            <w:r w:rsidRPr="00357C74">
              <w:t>Megalitre per year</w:t>
            </w:r>
          </w:p>
        </w:tc>
      </w:tr>
      <w:tr w:rsidR="001A4223" w:rsidRPr="0075269C" w:rsidTr="00E0340A">
        <w:trPr>
          <w:trHeight w:val="84"/>
        </w:trPr>
        <w:tc>
          <w:tcPr>
            <w:tcW w:w="1985" w:type="dxa"/>
          </w:tcPr>
          <w:p w:rsidR="001A4223" w:rsidRPr="00357C74" w:rsidRDefault="001A4223" w:rsidP="00CB2FBB">
            <w:pPr>
              <w:pStyle w:val="Tabletext"/>
            </w:pPr>
            <w:r w:rsidRPr="00357C74">
              <w:t>mm</w:t>
            </w:r>
          </w:p>
        </w:tc>
        <w:tc>
          <w:tcPr>
            <w:tcW w:w="7371" w:type="dxa"/>
          </w:tcPr>
          <w:p w:rsidR="001A4223" w:rsidRPr="00357C74" w:rsidRDefault="001A4223" w:rsidP="00CB2FBB">
            <w:pPr>
              <w:pStyle w:val="Tabletext"/>
            </w:pPr>
            <w:r w:rsidRPr="00357C74">
              <w:t>Millimetre</w:t>
            </w:r>
          </w:p>
        </w:tc>
      </w:tr>
      <w:tr w:rsidR="001A4223" w:rsidRPr="0075269C" w:rsidTr="00E0340A">
        <w:trPr>
          <w:trHeight w:val="84"/>
        </w:trPr>
        <w:tc>
          <w:tcPr>
            <w:tcW w:w="1985" w:type="dxa"/>
          </w:tcPr>
          <w:p w:rsidR="001A4223" w:rsidRPr="00357C74" w:rsidRDefault="001A4223" w:rsidP="00CB2FBB">
            <w:pPr>
              <w:pStyle w:val="Tabletext"/>
            </w:pPr>
            <w:r w:rsidRPr="00357C74">
              <w:t>mm/yr</w:t>
            </w:r>
          </w:p>
        </w:tc>
        <w:tc>
          <w:tcPr>
            <w:tcW w:w="7371" w:type="dxa"/>
          </w:tcPr>
          <w:p w:rsidR="001A4223" w:rsidRPr="00357C74" w:rsidRDefault="001A4223" w:rsidP="00CB2FBB">
            <w:pPr>
              <w:pStyle w:val="Tabletext"/>
            </w:pPr>
            <w:r w:rsidRPr="00357C74">
              <w:t>Millimetre per year</w:t>
            </w:r>
          </w:p>
        </w:tc>
      </w:tr>
      <w:tr w:rsidR="001A4223" w:rsidRPr="0075269C" w:rsidTr="00E0340A">
        <w:trPr>
          <w:trHeight w:val="84"/>
        </w:trPr>
        <w:tc>
          <w:tcPr>
            <w:tcW w:w="1985" w:type="dxa"/>
          </w:tcPr>
          <w:p w:rsidR="001A4223" w:rsidRPr="00357C74" w:rsidRDefault="001A4223" w:rsidP="00CB2FBB">
            <w:pPr>
              <w:pStyle w:val="Tabletext"/>
            </w:pPr>
            <w:r w:rsidRPr="00357C74">
              <w:t>Na</w:t>
            </w:r>
          </w:p>
        </w:tc>
        <w:tc>
          <w:tcPr>
            <w:tcW w:w="7371" w:type="dxa"/>
          </w:tcPr>
          <w:p w:rsidR="001A4223" w:rsidRPr="00357C74" w:rsidRDefault="00332853" w:rsidP="00CB2FBB">
            <w:pPr>
              <w:pStyle w:val="Tabletext"/>
            </w:pPr>
            <w:r w:rsidRPr="00357C74">
              <w:t>Sodium</w:t>
            </w:r>
          </w:p>
        </w:tc>
      </w:tr>
      <w:tr w:rsidR="001A4223" w:rsidRPr="0075269C" w:rsidTr="00E0340A">
        <w:trPr>
          <w:trHeight w:val="84"/>
        </w:trPr>
        <w:tc>
          <w:tcPr>
            <w:tcW w:w="1985" w:type="dxa"/>
          </w:tcPr>
          <w:p w:rsidR="001A4223" w:rsidRPr="00357C74" w:rsidRDefault="001A4223" w:rsidP="00CB2FBB">
            <w:pPr>
              <w:pStyle w:val="Tabletext"/>
            </w:pPr>
            <w:r w:rsidRPr="00357C74">
              <w:t>Na-Cl</w:t>
            </w:r>
          </w:p>
        </w:tc>
        <w:tc>
          <w:tcPr>
            <w:tcW w:w="7371" w:type="dxa"/>
          </w:tcPr>
          <w:p w:rsidR="001A4223" w:rsidRPr="00357C74" w:rsidRDefault="001A4223" w:rsidP="00CB2FBB">
            <w:pPr>
              <w:pStyle w:val="Tabletext"/>
            </w:pPr>
            <w:r w:rsidRPr="00357C74">
              <w:t>Sodium chloride</w:t>
            </w:r>
          </w:p>
        </w:tc>
      </w:tr>
      <w:tr w:rsidR="001A4223" w:rsidRPr="0075269C" w:rsidTr="00E0340A">
        <w:trPr>
          <w:trHeight w:val="84"/>
        </w:trPr>
        <w:tc>
          <w:tcPr>
            <w:tcW w:w="1985" w:type="dxa"/>
          </w:tcPr>
          <w:p w:rsidR="001A4223" w:rsidRPr="00357C74" w:rsidRDefault="001A4223" w:rsidP="00CB2FBB">
            <w:pPr>
              <w:pStyle w:val="Tabletext"/>
            </w:pPr>
            <w:r w:rsidRPr="00357C74">
              <w:t>Na-HCO</w:t>
            </w:r>
            <w:r w:rsidRPr="00357C74">
              <w:rPr>
                <w:vertAlign w:val="subscript"/>
              </w:rPr>
              <w:t>3</w:t>
            </w:r>
          </w:p>
        </w:tc>
        <w:tc>
          <w:tcPr>
            <w:tcW w:w="7371" w:type="dxa"/>
          </w:tcPr>
          <w:p w:rsidR="001A4223" w:rsidRPr="00357C74" w:rsidRDefault="00332853" w:rsidP="00CB2FBB">
            <w:pPr>
              <w:pStyle w:val="Tabletext"/>
            </w:pPr>
            <w:r w:rsidRPr="00357C74">
              <w:t>Sodium bicarbonate</w:t>
            </w:r>
          </w:p>
        </w:tc>
      </w:tr>
      <w:tr w:rsidR="001A4223" w:rsidRPr="0075269C" w:rsidTr="00E0340A">
        <w:trPr>
          <w:trHeight w:val="84"/>
        </w:trPr>
        <w:tc>
          <w:tcPr>
            <w:tcW w:w="1985" w:type="dxa"/>
          </w:tcPr>
          <w:p w:rsidR="001A4223" w:rsidRPr="00357C74" w:rsidRDefault="001A4223" w:rsidP="00CB2FBB">
            <w:pPr>
              <w:pStyle w:val="Tabletext"/>
              <w:rPr>
                <w:vertAlign w:val="subscript"/>
              </w:rPr>
            </w:pPr>
            <w:r w:rsidRPr="00357C74">
              <w:t>Na(+K)-HCO</w:t>
            </w:r>
            <w:r w:rsidRPr="00357C74">
              <w:rPr>
                <w:vertAlign w:val="subscript"/>
              </w:rPr>
              <w:t>3</w:t>
            </w:r>
          </w:p>
        </w:tc>
        <w:tc>
          <w:tcPr>
            <w:tcW w:w="7371" w:type="dxa"/>
          </w:tcPr>
          <w:p w:rsidR="001A4223" w:rsidRPr="00357C74" w:rsidRDefault="006B79CA" w:rsidP="00CB2FBB">
            <w:pPr>
              <w:pStyle w:val="Tabletext"/>
            </w:pPr>
            <w:r w:rsidRPr="00357C74">
              <w:t>Sodium-potassium-bicarbonate</w:t>
            </w:r>
          </w:p>
        </w:tc>
      </w:tr>
      <w:tr w:rsidR="001A4223" w:rsidRPr="0075269C" w:rsidTr="00E0340A">
        <w:trPr>
          <w:trHeight w:val="84"/>
        </w:trPr>
        <w:tc>
          <w:tcPr>
            <w:tcW w:w="1985" w:type="dxa"/>
          </w:tcPr>
          <w:p w:rsidR="001A4223" w:rsidRPr="00357C74" w:rsidRDefault="001A4223" w:rsidP="00CB2FBB">
            <w:pPr>
              <w:pStyle w:val="Tabletext"/>
            </w:pPr>
            <w:r w:rsidRPr="00357C74">
              <w:t>Na(+K)-HCO3-Cl</w:t>
            </w:r>
          </w:p>
        </w:tc>
        <w:tc>
          <w:tcPr>
            <w:tcW w:w="7371" w:type="dxa"/>
          </w:tcPr>
          <w:p w:rsidR="001A4223" w:rsidRPr="00357C74" w:rsidRDefault="00E03710" w:rsidP="00CB2FBB">
            <w:pPr>
              <w:pStyle w:val="Tabletext"/>
            </w:pPr>
            <w:r w:rsidRPr="00357C74">
              <w:t>Sodium-potassium-bicarbonate-chlorine</w:t>
            </w:r>
          </w:p>
        </w:tc>
      </w:tr>
      <w:tr w:rsidR="001A4223" w:rsidRPr="0075269C" w:rsidTr="00E0340A">
        <w:trPr>
          <w:trHeight w:val="84"/>
        </w:trPr>
        <w:tc>
          <w:tcPr>
            <w:tcW w:w="1985" w:type="dxa"/>
          </w:tcPr>
          <w:p w:rsidR="001A4223" w:rsidRPr="00357C74" w:rsidRDefault="001A4223" w:rsidP="00CB2FBB">
            <w:pPr>
              <w:pStyle w:val="Tabletext"/>
              <w:rPr>
                <w:vertAlign w:val="subscript"/>
              </w:rPr>
            </w:pPr>
            <w:r w:rsidRPr="00357C74">
              <w:t>n</w:t>
            </w:r>
            <w:r w:rsidRPr="00357C74">
              <w:rPr>
                <w:vertAlign w:val="subscript"/>
              </w:rPr>
              <w:t>e</w:t>
            </w:r>
          </w:p>
        </w:tc>
        <w:tc>
          <w:tcPr>
            <w:tcW w:w="7371" w:type="dxa"/>
          </w:tcPr>
          <w:p w:rsidR="001A4223" w:rsidRPr="00357C74" w:rsidRDefault="001A4223" w:rsidP="00CB2FBB">
            <w:pPr>
              <w:pStyle w:val="Tabletext"/>
            </w:pPr>
            <w:r w:rsidRPr="00357C74">
              <w:t>Porosity</w:t>
            </w:r>
          </w:p>
        </w:tc>
      </w:tr>
      <w:tr w:rsidR="001A4223" w:rsidRPr="0075269C" w:rsidTr="00E0340A">
        <w:trPr>
          <w:trHeight w:val="84"/>
        </w:trPr>
        <w:tc>
          <w:tcPr>
            <w:tcW w:w="1985" w:type="dxa"/>
          </w:tcPr>
          <w:p w:rsidR="001A4223" w:rsidRPr="00357C74" w:rsidRDefault="001A4223" w:rsidP="00CB2FBB">
            <w:pPr>
              <w:pStyle w:val="Tabletext"/>
              <w:rPr>
                <w:vertAlign w:val="subscript"/>
              </w:rPr>
            </w:pPr>
            <w:r w:rsidRPr="00357C74">
              <w:t>NH</w:t>
            </w:r>
            <w:r w:rsidRPr="00357C74">
              <w:rPr>
                <w:vertAlign w:val="subscript"/>
              </w:rPr>
              <w:t>3</w:t>
            </w:r>
          </w:p>
        </w:tc>
        <w:tc>
          <w:tcPr>
            <w:tcW w:w="7371" w:type="dxa"/>
          </w:tcPr>
          <w:p w:rsidR="001A4223" w:rsidRPr="00357C74" w:rsidRDefault="001A4223" w:rsidP="00CB2FBB">
            <w:pPr>
              <w:pStyle w:val="Tabletext"/>
            </w:pPr>
            <w:r w:rsidRPr="00357C74">
              <w:t xml:space="preserve">Un-ionised ammonia </w:t>
            </w:r>
          </w:p>
        </w:tc>
      </w:tr>
      <w:tr w:rsidR="001A4223" w:rsidRPr="0075269C" w:rsidTr="00E0340A">
        <w:trPr>
          <w:trHeight w:val="84"/>
        </w:trPr>
        <w:tc>
          <w:tcPr>
            <w:tcW w:w="1985" w:type="dxa"/>
          </w:tcPr>
          <w:p w:rsidR="001A4223" w:rsidRPr="00357C74" w:rsidRDefault="001A4223" w:rsidP="00CB2FBB">
            <w:pPr>
              <w:pStyle w:val="Tabletext"/>
              <w:rPr>
                <w:vertAlign w:val="subscript"/>
              </w:rPr>
            </w:pPr>
            <w:r w:rsidRPr="00357C74">
              <w:t>NO</w:t>
            </w:r>
            <w:r w:rsidRPr="00357C74">
              <w:rPr>
                <w:vertAlign w:val="subscript"/>
              </w:rPr>
              <w:t>2</w:t>
            </w:r>
          </w:p>
        </w:tc>
        <w:tc>
          <w:tcPr>
            <w:tcW w:w="7371" w:type="dxa"/>
          </w:tcPr>
          <w:p w:rsidR="001A4223" w:rsidRPr="00357C74" w:rsidRDefault="001A4223" w:rsidP="00CB2FBB">
            <w:pPr>
              <w:pStyle w:val="Tabletext"/>
            </w:pPr>
            <w:r w:rsidRPr="00357C74">
              <w:t xml:space="preserve">Nitrite </w:t>
            </w:r>
          </w:p>
        </w:tc>
      </w:tr>
      <w:tr w:rsidR="001A4223" w:rsidRPr="0075269C" w:rsidTr="00E0340A">
        <w:trPr>
          <w:trHeight w:val="84"/>
        </w:trPr>
        <w:tc>
          <w:tcPr>
            <w:tcW w:w="1985" w:type="dxa"/>
          </w:tcPr>
          <w:p w:rsidR="001A4223" w:rsidRPr="00357C74" w:rsidRDefault="001A4223" w:rsidP="00CB2FBB">
            <w:pPr>
              <w:pStyle w:val="Tabletext"/>
            </w:pPr>
            <w:r w:rsidRPr="00357C74">
              <w:t>NO</w:t>
            </w:r>
            <w:r w:rsidRPr="00357C74">
              <w:rPr>
                <w:vertAlign w:val="subscript"/>
              </w:rPr>
              <w:t>3</w:t>
            </w:r>
            <w:r w:rsidRPr="00357C74">
              <w:t xml:space="preserve"> </w:t>
            </w:r>
          </w:p>
        </w:tc>
        <w:tc>
          <w:tcPr>
            <w:tcW w:w="7371" w:type="dxa"/>
          </w:tcPr>
          <w:p w:rsidR="001A4223" w:rsidRPr="00357C74" w:rsidRDefault="001A4223" w:rsidP="00CB2FBB">
            <w:pPr>
              <w:pStyle w:val="Tabletext"/>
            </w:pPr>
            <w:r w:rsidRPr="00357C74">
              <w:t xml:space="preserve">Nitrate </w:t>
            </w:r>
          </w:p>
        </w:tc>
      </w:tr>
      <w:tr w:rsidR="001A4223" w:rsidRPr="0075269C" w:rsidTr="00E0340A">
        <w:trPr>
          <w:trHeight w:val="84"/>
        </w:trPr>
        <w:tc>
          <w:tcPr>
            <w:tcW w:w="1985" w:type="dxa"/>
          </w:tcPr>
          <w:p w:rsidR="001A4223" w:rsidRPr="00357C74" w:rsidRDefault="001A4223" w:rsidP="00CB2FBB">
            <w:pPr>
              <w:pStyle w:val="Tabletext"/>
            </w:pPr>
            <w:r w:rsidRPr="00357C74">
              <w:t>Nm</w:t>
            </w:r>
          </w:p>
        </w:tc>
        <w:tc>
          <w:tcPr>
            <w:tcW w:w="7371" w:type="dxa"/>
          </w:tcPr>
          <w:p w:rsidR="001A4223" w:rsidRPr="00357C74" w:rsidRDefault="001A4223" w:rsidP="00CB2FBB">
            <w:pPr>
              <w:pStyle w:val="Tabletext"/>
            </w:pPr>
            <w:r w:rsidRPr="00357C74">
              <w:t>Nanometre</w:t>
            </w:r>
          </w:p>
        </w:tc>
      </w:tr>
      <w:tr w:rsidR="001A4223" w:rsidRPr="008D3AD6" w:rsidTr="00E0340A">
        <w:trPr>
          <w:trHeight w:val="84"/>
        </w:trPr>
        <w:tc>
          <w:tcPr>
            <w:tcW w:w="1985" w:type="dxa"/>
          </w:tcPr>
          <w:p w:rsidR="001A4223" w:rsidRPr="00357C74" w:rsidRDefault="001A4223" w:rsidP="00CB2FBB">
            <w:pPr>
              <w:pStyle w:val="Tabletext"/>
              <w:rPr>
                <w:rFonts w:eastAsia="Times New Roman"/>
              </w:rPr>
            </w:pPr>
            <w:r w:rsidRPr="00357C74">
              <w:rPr>
                <w:vertAlign w:val="superscript"/>
              </w:rPr>
              <w:t>16</w:t>
            </w:r>
            <w:r w:rsidRPr="00357C74">
              <w:t xml:space="preserve">O, </w:t>
            </w:r>
            <w:r w:rsidRPr="00357C74">
              <w:rPr>
                <w:vertAlign w:val="superscript"/>
              </w:rPr>
              <w:t>17</w:t>
            </w:r>
            <w:r w:rsidRPr="00357C74">
              <w:t xml:space="preserve">O, </w:t>
            </w:r>
            <w:r w:rsidRPr="00357C74">
              <w:rPr>
                <w:vertAlign w:val="superscript"/>
              </w:rPr>
              <w:t>18</w:t>
            </w:r>
            <w:r w:rsidRPr="00357C74">
              <w:t>O</w:t>
            </w:r>
          </w:p>
        </w:tc>
        <w:tc>
          <w:tcPr>
            <w:tcW w:w="7371" w:type="dxa"/>
          </w:tcPr>
          <w:p w:rsidR="001A4223" w:rsidRPr="00357C74" w:rsidRDefault="00A678C7" w:rsidP="00CB2FBB">
            <w:pPr>
              <w:pStyle w:val="Tabletext"/>
            </w:pPr>
            <w:r w:rsidRPr="00357C74">
              <w:t>Oxygen-16, Oxygen-17, Oxygen-18 (isotopes of Oxygen)</w:t>
            </w:r>
          </w:p>
        </w:tc>
      </w:tr>
      <w:tr w:rsidR="001A4223" w:rsidRPr="008D3AD6" w:rsidTr="00E0340A">
        <w:trPr>
          <w:trHeight w:val="84"/>
        </w:trPr>
        <w:tc>
          <w:tcPr>
            <w:tcW w:w="1985" w:type="dxa"/>
          </w:tcPr>
          <w:p w:rsidR="001A4223" w:rsidRPr="00357C74" w:rsidRDefault="001A4223" w:rsidP="00CB2FBB">
            <w:pPr>
              <w:pStyle w:val="Tabletext"/>
            </w:pPr>
            <w:r w:rsidRPr="00357C74">
              <w:t>O</w:t>
            </w:r>
          </w:p>
        </w:tc>
        <w:tc>
          <w:tcPr>
            <w:tcW w:w="7371" w:type="dxa"/>
          </w:tcPr>
          <w:p w:rsidR="001A4223" w:rsidRPr="00357C74" w:rsidRDefault="00A678C7" w:rsidP="00CB2FBB">
            <w:pPr>
              <w:pStyle w:val="Tabletext"/>
            </w:pPr>
            <w:r w:rsidRPr="00357C74">
              <w:t>Oxygen</w:t>
            </w:r>
          </w:p>
        </w:tc>
      </w:tr>
      <w:tr w:rsidR="001A4223" w:rsidRPr="008D3AD6" w:rsidTr="00E0340A">
        <w:trPr>
          <w:trHeight w:val="84"/>
        </w:trPr>
        <w:tc>
          <w:tcPr>
            <w:tcW w:w="1985" w:type="dxa"/>
          </w:tcPr>
          <w:p w:rsidR="001A4223" w:rsidRPr="00357C74" w:rsidRDefault="001A4223" w:rsidP="00CB2FBB">
            <w:pPr>
              <w:pStyle w:val="Tabletext"/>
              <w:rPr>
                <w:vertAlign w:val="subscript"/>
              </w:rPr>
            </w:pPr>
            <w:r w:rsidRPr="00357C74">
              <w:t>O</w:t>
            </w:r>
            <w:r w:rsidRPr="00357C74">
              <w:rPr>
                <w:vertAlign w:val="subscript"/>
              </w:rPr>
              <w:t>2</w:t>
            </w:r>
          </w:p>
        </w:tc>
        <w:tc>
          <w:tcPr>
            <w:tcW w:w="7371" w:type="dxa"/>
          </w:tcPr>
          <w:p w:rsidR="001A4223" w:rsidRPr="00357C74" w:rsidRDefault="00A678C7" w:rsidP="00CB2FBB">
            <w:pPr>
              <w:pStyle w:val="Tabletext"/>
            </w:pPr>
            <w:r w:rsidRPr="00357C74">
              <w:t>Oxygen dioxide</w:t>
            </w:r>
          </w:p>
        </w:tc>
      </w:tr>
      <w:tr w:rsidR="001A4223" w:rsidRPr="008D3AD6" w:rsidTr="00E0340A">
        <w:trPr>
          <w:trHeight w:val="84"/>
        </w:trPr>
        <w:tc>
          <w:tcPr>
            <w:tcW w:w="1985" w:type="dxa"/>
          </w:tcPr>
          <w:p w:rsidR="001A4223" w:rsidRPr="00357C74" w:rsidRDefault="001A4223" w:rsidP="00CB2FBB">
            <w:pPr>
              <w:pStyle w:val="Tabletext"/>
              <w:rPr>
                <w:rFonts w:eastAsia="Times New Roman"/>
              </w:rPr>
            </w:pPr>
            <w:r w:rsidRPr="00357C74">
              <w:rPr>
                <w:rFonts w:cstheme="minorHAnsi"/>
              </w:rPr>
              <w:t>σ</w:t>
            </w:r>
            <w:r w:rsidRPr="00357C74">
              <w:rPr>
                <w:vertAlign w:val="subscript"/>
              </w:rPr>
              <w:t>1</w:t>
            </w:r>
            <w:r w:rsidRPr="00357C74">
              <w:t xml:space="preserve">, </w:t>
            </w:r>
            <w:r w:rsidRPr="00357C74">
              <w:rPr>
                <w:rFonts w:cstheme="minorHAnsi"/>
              </w:rPr>
              <w:t>σ</w:t>
            </w:r>
            <w:r w:rsidRPr="00357C74">
              <w:rPr>
                <w:vertAlign w:val="subscript"/>
              </w:rPr>
              <w:t>2</w:t>
            </w:r>
            <w:r w:rsidRPr="00357C74">
              <w:t>,</w:t>
            </w:r>
            <w:r w:rsidRPr="00357C74">
              <w:rPr>
                <w:vertAlign w:val="subscript"/>
              </w:rPr>
              <w:t xml:space="preserve"> </w:t>
            </w:r>
            <w:r w:rsidRPr="00357C74">
              <w:rPr>
                <w:rFonts w:cstheme="minorHAnsi"/>
              </w:rPr>
              <w:t>σ</w:t>
            </w:r>
            <w:r w:rsidRPr="00357C74">
              <w:rPr>
                <w:vertAlign w:val="subscript"/>
              </w:rPr>
              <w:t>3</w:t>
            </w:r>
            <w:r w:rsidRPr="00357C74">
              <w:t>,</w:t>
            </w:r>
            <w:r w:rsidRPr="00357C74">
              <w:rPr>
                <w:vertAlign w:val="subscript"/>
              </w:rPr>
              <w:t xml:space="preserve"> </w:t>
            </w:r>
            <w:r w:rsidRPr="00357C74">
              <w:rPr>
                <w:rFonts w:cstheme="minorHAnsi"/>
              </w:rPr>
              <w:t>σ</w:t>
            </w:r>
            <w:r w:rsidRPr="00357C74">
              <w:rPr>
                <w:vertAlign w:val="subscript"/>
              </w:rPr>
              <w:t>S</w:t>
            </w:r>
            <w:r w:rsidRPr="00357C74">
              <w:t>,</w:t>
            </w:r>
            <w:r w:rsidRPr="00357C74">
              <w:rPr>
                <w:vertAlign w:val="subscript"/>
              </w:rPr>
              <w:t xml:space="preserve"> </w:t>
            </w:r>
            <w:r w:rsidRPr="00357C74">
              <w:rPr>
                <w:rFonts w:cstheme="minorHAnsi"/>
              </w:rPr>
              <w:t>σ</w:t>
            </w:r>
            <w:r w:rsidRPr="00357C74">
              <w:rPr>
                <w:vertAlign w:val="subscript"/>
              </w:rPr>
              <w:t>N</w:t>
            </w:r>
            <w:r w:rsidRPr="00357C74">
              <w:t>,</w:t>
            </w:r>
            <w:r w:rsidRPr="00357C74">
              <w:rPr>
                <w:vertAlign w:val="subscript"/>
              </w:rPr>
              <w:t xml:space="preserve"> </w:t>
            </w:r>
            <w:r w:rsidRPr="00357C74">
              <w:rPr>
                <w:rFonts w:cstheme="minorHAnsi"/>
              </w:rPr>
              <w:t>σ</w:t>
            </w:r>
            <w:r w:rsidRPr="00357C74">
              <w:rPr>
                <w:vertAlign w:val="subscript"/>
              </w:rPr>
              <w:t>min</w:t>
            </w:r>
          </w:p>
        </w:tc>
        <w:tc>
          <w:tcPr>
            <w:tcW w:w="7371" w:type="dxa"/>
          </w:tcPr>
          <w:p w:rsidR="001A4223" w:rsidRPr="00357C74" w:rsidRDefault="001A4223" w:rsidP="00CB2FBB">
            <w:pPr>
              <w:pStyle w:val="Tabletext"/>
            </w:pPr>
            <w:r w:rsidRPr="00357C74">
              <w:t>Greatest (σ</w:t>
            </w:r>
            <w:r w:rsidRPr="00357C74">
              <w:rPr>
                <w:vertAlign w:val="subscript"/>
              </w:rPr>
              <w:t>1</w:t>
            </w:r>
            <w:r w:rsidRPr="00357C74">
              <w:t>), intermediate (σ</w:t>
            </w:r>
            <w:r w:rsidRPr="00357C74">
              <w:rPr>
                <w:vertAlign w:val="subscript"/>
              </w:rPr>
              <w:t>2</w:t>
            </w:r>
            <w:r w:rsidRPr="00357C74">
              <w:t>), least (σ</w:t>
            </w:r>
            <w:r w:rsidRPr="00357C74">
              <w:rPr>
                <w:vertAlign w:val="subscript"/>
              </w:rPr>
              <w:t>3</w:t>
            </w:r>
            <w:r w:rsidRPr="00357C74">
              <w:t>), shear (</w:t>
            </w:r>
            <w:r w:rsidRPr="00357C74">
              <w:rPr>
                <w:rFonts w:cstheme="minorHAnsi"/>
              </w:rPr>
              <w:t>σ</w:t>
            </w:r>
            <w:r w:rsidRPr="00357C74">
              <w:rPr>
                <w:vertAlign w:val="subscript"/>
              </w:rPr>
              <w:t>S</w:t>
            </w:r>
            <w:r w:rsidRPr="00357C74">
              <w:t>), minimum (</w:t>
            </w:r>
            <w:r w:rsidRPr="00357C74">
              <w:rPr>
                <w:rFonts w:cstheme="minorHAnsi"/>
              </w:rPr>
              <w:t>σ</w:t>
            </w:r>
            <w:r w:rsidRPr="00357C74">
              <w:rPr>
                <w:vertAlign w:val="subscript"/>
              </w:rPr>
              <w:t>min</w:t>
            </w:r>
            <w:r w:rsidRPr="00357C74">
              <w:t>) and normal (</w:t>
            </w:r>
            <w:r w:rsidRPr="00357C74">
              <w:rPr>
                <w:rFonts w:cstheme="minorHAnsi"/>
              </w:rPr>
              <w:t>σ</w:t>
            </w:r>
            <w:r w:rsidRPr="00357C74">
              <w:rPr>
                <w:vertAlign w:val="subscript"/>
              </w:rPr>
              <w:t>N</w:t>
            </w:r>
            <w:r w:rsidRPr="00357C74">
              <w:t>) principal stresses (ellipse)</w:t>
            </w:r>
          </w:p>
        </w:tc>
      </w:tr>
      <w:tr w:rsidR="001A4223" w:rsidRPr="008D3AD6" w:rsidTr="00E0340A">
        <w:trPr>
          <w:trHeight w:val="84"/>
        </w:trPr>
        <w:tc>
          <w:tcPr>
            <w:tcW w:w="1985" w:type="dxa"/>
          </w:tcPr>
          <w:p w:rsidR="001A4223" w:rsidRPr="00357C74" w:rsidRDefault="001A4223" w:rsidP="00CB2FBB">
            <w:pPr>
              <w:pStyle w:val="Tabletext"/>
            </w:pPr>
            <w:r w:rsidRPr="00357C74">
              <w:t>P</w:t>
            </w:r>
          </w:p>
        </w:tc>
        <w:tc>
          <w:tcPr>
            <w:tcW w:w="7371" w:type="dxa"/>
          </w:tcPr>
          <w:p w:rsidR="001A4223" w:rsidRPr="00357C74" w:rsidRDefault="001A4223" w:rsidP="00CB2FBB">
            <w:pPr>
              <w:pStyle w:val="Tabletext"/>
            </w:pPr>
            <w:r w:rsidRPr="00357C74">
              <w:t>Fluid pressure</w:t>
            </w:r>
          </w:p>
        </w:tc>
      </w:tr>
      <w:tr w:rsidR="001A4223" w:rsidRPr="0075269C" w:rsidTr="00E0340A">
        <w:trPr>
          <w:trHeight w:val="84"/>
        </w:trPr>
        <w:tc>
          <w:tcPr>
            <w:tcW w:w="1985" w:type="dxa"/>
          </w:tcPr>
          <w:p w:rsidR="001A4223" w:rsidRPr="00357C74" w:rsidRDefault="001A4223" w:rsidP="00CB2FBB">
            <w:pPr>
              <w:pStyle w:val="Tabletext"/>
            </w:pPr>
            <w:r w:rsidRPr="00357C74">
              <w:t>pH</w:t>
            </w:r>
          </w:p>
        </w:tc>
        <w:tc>
          <w:tcPr>
            <w:tcW w:w="7371" w:type="dxa"/>
          </w:tcPr>
          <w:p w:rsidR="001A4223" w:rsidRPr="00357C74" w:rsidRDefault="00A678C7" w:rsidP="00CB2FBB">
            <w:pPr>
              <w:pStyle w:val="Tabletext"/>
            </w:pPr>
            <w:r w:rsidRPr="00357C74">
              <w:t>pH - quantitative measure of the acidity or basicity of aqueous or other liquid solutions</w:t>
            </w:r>
          </w:p>
        </w:tc>
      </w:tr>
      <w:tr w:rsidR="001A4223" w:rsidRPr="0075269C" w:rsidTr="00E0340A">
        <w:trPr>
          <w:trHeight w:val="84"/>
        </w:trPr>
        <w:tc>
          <w:tcPr>
            <w:tcW w:w="1985" w:type="dxa"/>
          </w:tcPr>
          <w:p w:rsidR="001A4223" w:rsidRPr="00357C74" w:rsidRDefault="001A4223" w:rsidP="00CB2FBB">
            <w:pPr>
              <w:pStyle w:val="Tabletext"/>
            </w:pPr>
            <w:r w:rsidRPr="00357C74">
              <w:t>PJ</w:t>
            </w:r>
          </w:p>
        </w:tc>
        <w:tc>
          <w:tcPr>
            <w:tcW w:w="7371" w:type="dxa"/>
          </w:tcPr>
          <w:p w:rsidR="001A4223" w:rsidRPr="00357C74" w:rsidRDefault="001A4223" w:rsidP="00CB2FBB">
            <w:pPr>
              <w:pStyle w:val="Tabletext"/>
            </w:pPr>
            <w:r w:rsidRPr="00357C74">
              <w:t>Petajoules</w:t>
            </w:r>
          </w:p>
        </w:tc>
      </w:tr>
      <w:tr w:rsidR="001A4223" w:rsidRPr="0075269C" w:rsidTr="00E0340A">
        <w:trPr>
          <w:trHeight w:val="84"/>
        </w:trPr>
        <w:tc>
          <w:tcPr>
            <w:tcW w:w="1985" w:type="dxa"/>
          </w:tcPr>
          <w:p w:rsidR="001A4223" w:rsidRPr="00357C74" w:rsidRDefault="001A4223" w:rsidP="00CB2FBB">
            <w:pPr>
              <w:pStyle w:val="Tabletext"/>
            </w:pPr>
            <w:r w:rsidRPr="00357C74">
              <w:t>REV</w:t>
            </w:r>
          </w:p>
        </w:tc>
        <w:tc>
          <w:tcPr>
            <w:tcW w:w="7371" w:type="dxa"/>
          </w:tcPr>
          <w:p w:rsidR="001A4223" w:rsidRPr="00357C74" w:rsidRDefault="001A4223" w:rsidP="00CB2FBB">
            <w:pPr>
              <w:pStyle w:val="Tabletext"/>
            </w:pPr>
            <w:r w:rsidRPr="00357C74">
              <w:t>Representative Elementary Volume</w:t>
            </w:r>
          </w:p>
        </w:tc>
      </w:tr>
      <w:tr w:rsidR="001A4223" w:rsidRPr="0075269C" w:rsidTr="00E0340A">
        <w:trPr>
          <w:trHeight w:val="84"/>
        </w:trPr>
        <w:tc>
          <w:tcPr>
            <w:tcW w:w="1985" w:type="dxa"/>
          </w:tcPr>
          <w:p w:rsidR="001A4223" w:rsidRPr="00357C74" w:rsidRDefault="001A4223" w:rsidP="00CB2FBB">
            <w:pPr>
              <w:pStyle w:val="Tabletext"/>
            </w:pPr>
            <w:r w:rsidRPr="00357C74">
              <w:rPr>
                <w:vertAlign w:val="superscript"/>
              </w:rPr>
              <w:t>222</w:t>
            </w:r>
            <w:r w:rsidRPr="00357C74">
              <w:t>Rn</w:t>
            </w:r>
          </w:p>
        </w:tc>
        <w:tc>
          <w:tcPr>
            <w:tcW w:w="7371" w:type="dxa"/>
          </w:tcPr>
          <w:p w:rsidR="001A4223" w:rsidRPr="00357C74" w:rsidRDefault="00A678C7" w:rsidP="00CB2FBB">
            <w:pPr>
              <w:pStyle w:val="Tabletext"/>
            </w:pPr>
            <w:r w:rsidRPr="00357C74">
              <w:t>Radon-222 (isotope of Radon)</w:t>
            </w:r>
          </w:p>
        </w:tc>
      </w:tr>
      <w:tr w:rsidR="001A4223" w:rsidRPr="0075269C" w:rsidTr="00E0340A">
        <w:trPr>
          <w:trHeight w:val="84"/>
        </w:trPr>
        <w:tc>
          <w:tcPr>
            <w:tcW w:w="1985" w:type="dxa"/>
          </w:tcPr>
          <w:p w:rsidR="001A4223" w:rsidRPr="00357C74" w:rsidRDefault="001A4223" w:rsidP="00CB2FBB">
            <w:pPr>
              <w:pStyle w:val="Tabletext"/>
            </w:pPr>
            <w:r w:rsidRPr="00357C74">
              <w:lastRenderedPageBreak/>
              <w:t>s, sec</w:t>
            </w:r>
          </w:p>
        </w:tc>
        <w:tc>
          <w:tcPr>
            <w:tcW w:w="7371" w:type="dxa"/>
          </w:tcPr>
          <w:p w:rsidR="001A4223" w:rsidRPr="00357C74" w:rsidRDefault="001A4223" w:rsidP="00CB2FBB">
            <w:pPr>
              <w:pStyle w:val="Tabletext"/>
            </w:pPr>
            <w:r w:rsidRPr="00357C74">
              <w:t>Second</w:t>
            </w:r>
          </w:p>
        </w:tc>
      </w:tr>
      <w:tr w:rsidR="001A4223" w:rsidRPr="0075269C" w:rsidTr="00E0340A">
        <w:trPr>
          <w:trHeight w:val="84"/>
        </w:trPr>
        <w:tc>
          <w:tcPr>
            <w:tcW w:w="1985" w:type="dxa"/>
          </w:tcPr>
          <w:p w:rsidR="001A4223" w:rsidRPr="00357C74" w:rsidRDefault="001A4223" w:rsidP="00CB2FBB">
            <w:pPr>
              <w:pStyle w:val="Tabletext"/>
            </w:pPr>
            <w:r w:rsidRPr="00357C74">
              <w:t>S</w:t>
            </w:r>
          </w:p>
        </w:tc>
        <w:tc>
          <w:tcPr>
            <w:tcW w:w="7371" w:type="dxa"/>
          </w:tcPr>
          <w:p w:rsidR="001A4223" w:rsidRPr="00357C74" w:rsidRDefault="001A4223" w:rsidP="00CB2FBB">
            <w:pPr>
              <w:pStyle w:val="Tabletext"/>
            </w:pPr>
            <w:r w:rsidRPr="00357C74">
              <w:t>Storativity</w:t>
            </w:r>
          </w:p>
        </w:tc>
      </w:tr>
      <w:tr w:rsidR="001A4223" w:rsidRPr="0075269C" w:rsidTr="00E0340A">
        <w:trPr>
          <w:trHeight w:val="84"/>
        </w:trPr>
        <w:tc>
          <w:tcPr>
            <w:tcW w:w="1985" w:type="dxa"/>
          </w:tcPr>
          <w:p w:rsidR="001A4223" w:rsidRPr="00357C74" w:rsidRDefault="001A4223" w:rsidP="00CB2FBB">
            <w:pPr>
              <w:pStyle w:val="Tabletext"/>
            </w:pPr>
            <w:r w:rsidRPr="00357C74">
              <w:t>SF</w:t>
            </w:r>
            <w:r w:rsidRPr="00357C74">
              <w:rPr>
                <w:vertAlign w:val="subscript"/>
              </w:rPr>
              <w:t>6</w:t>
            </w:r>
          </w:p>
        </w:tc>
        <w:tc>
          <w:tcPr>
            <w:tcW w:w="7371" w:type="dxa"/>
          </w:tcPr>
          <w:p w:rsidR="001A4223" w:rsidRPr="00357C74" w:rsidRDefault="00357C74" w:rsidP="00CB2FBB">
            <w:pPr>
              <w:pStyle w:val="Tabletext"/>
            </w:pPr>
            <w:r w:rsidRPr="00357C74">
              <w:t>Sulfur hexafluoride</w:t>
            </w:r>
          </w:p>
        </w:tc>
      </w:tr>
      <w:tr w:rsidR="001A4223" w:rsidRPr="0075269C" w:rsidTr="00E0340A">
        <w:trPr>
          <w:trHeight w:val="84"/>
        </w:trPr>
        <w:tc>
          <w:tcPr>
            <w:tcW w:w="1985" w:type="dxa"/>
          </w:tcPr>
          <w:p w:rsidR="001A4223" w:rsidRPr="00357C74" w:rsidRDefault="001A4223" w:rsidP="00CB2FBB">
            <w:pPr>
              <w:pStyle w:val="Tabletext"/>
            </w:pPr>
            <w:r w:rsidRPr="00357C74">
              <w:t>SO</w:t>
            </w:r>
            <w:r w:rsidRPr="00357C74">
              <w:rPr>
                <w:vertAlign w:val="subscript"/>
              </w:rPr>
              <w:t>4</w:t>
            </w:r>
          </w:p>
        </w:tc>
        <w:tc>
          <w:tcPr>
            <w:tcW w:w="7371" w:type="dxa"/>
          </w:tcPr>
          <w:p w:rsidR="001A4223" w:rsidRPr="00357C74" w:rsidRDefault="00357C74" w:rsidP="00CB2FBB">
            <w:pPr>
              <w:pStyle w:val="Tabletext"/>
            </w:pPr>
            <w:r w:rsidRPr="00357C74">
              <w:t>Sulfate</w:t>
            </w:r>
          </w:p>
        </w:tc>
      </w:tr>
      <w:tr w:rsidR="001A4223" w:rsidRPr="0075269C" w:rsidTr="00E0340A">
        <w:trPr>
          <w:trHeight w:val="84"/>
        </w:trPr>
        <w:tc>
          <w:tcPr>
            <w:tcW w:w="1985" w:type="dxa"/>
          </w:tcPr>
          <w:p w:rsidR="001A4223" w:rsidRPr="00357C74" w:rsidRDefault="001A4223" w:rsidP="00CB2FBB">
            <w:pPr>
              <w:pStyle w:val="Tabletext"/>
            </w:pPr>
            <w:r w:rsidRPr="00357C74">
              <w:t>S</w:t>
            </w:r>
            <w:r w:rsidRPr="00357C74">
              <w:rPr>
                <w:vertAlign w:val="subscript"/>
              </w:rPr>
              <w:t>s</w:t>
            </w:r>
          </w:p>
        </w:tc>
        <w:tc>
          <w:tcPr>
            <w:tcW w:w="7371" w:type="dxa"/>
          </w:tcPr>
          <w:p w:rsidR="001A4223" w:rsidRPr="00357C74" w:rsidRDefault="001A4223" w:rsidP="00CB2FBB">
            <w:pPr>
              <w:pStyle w:val="Tabletext"/>
            </w:pPr>
            <w:r w:rsidRPr="00357C74">
              <w:t>Specific storativity</w:t>
            </w:r>
          </w:p>
        </w:tc>
      </w:tr>
      <w:tr w:rsidR="001A4223" w:rsidRPr="0075269C" w:rsidTr="00E0340A">
        <w:trPr>
          <w:trHeight w:val="84"/>
        </w:trPr>
        <w:tc>
          <w:tcPr>
            <w:tcW w:w="1985" w:type="dxa"/>
          </w:tcPr>
          <w:p w:rsidR="001A4223" w:rsidRPr="00357C74" w:rsidRDefault="001A4223" w:rsidP="00CB2FBB">
            <w:pPr>
              <w:pStyle w:val="Tabletext"/>
            </w:pPr>
            <w:r w:rsidRPr="00357C74">
              <w:t>S</w:t>
            </w:r>
            <w:r w:rsidRPr="00357C74">
              <w:rPr>
                <w:vertAlign w:val="subscript"/>
              </w:rPr>
              <w:t>y</w:t>
            </w:r>
          </w:p>
        </w:tc>
        <w:tc>
          <w:tcPr>
            <w:tcW w:w="7371" w:type="dxa"/>
          </w:tcPr>
          <w:p w:rsidR="001A4223" w:rsidRPr="00357C74" w:rsidRDefault="001A4223" w:rsidP="00CB2FBB">
            <w:pPr>
              <w:pStyle w:val="Tabletext"/>
            </w:pPr>
            <w:r w:rsidRPr="00357C74">
              <w:t>Specific yield</w:t>
            </w:r>
          </w:p>
        </w:tc>
      </w:tr>
      <w:tr w:rsidR="001A4223" w:rsidRPr="0075269C" w:rsidTr="00E0340A">
        <w:trPr>
          <w:trHeight w:val="84"/>
        </w:trPr>
        <w:tc>
          <w:tcPr>
            <w:tcW w:w="1985" w:type="dxa"/>
          </w:tcPr>
          <w:p w:rsidR="001A4223" w:rsidRPr="00357C74" w:rsidRDefault="001A4223" w:rsidP="00CB2FBB">
            <w:pPr>
              <w:pStyle w:val="Tabletext"/>
            </w:pPr>
            <w:r w:rsidRPr="00357C74">
              <w:t>T</w:t>
            </w:r>
          </w:p>
        </w:tc>
        <w:tc>
          <w:tcPr>
            <w:tcW w:w="7371" w:type="dxa"/>
          </w:tcPr>
          <w:p w:rsidR="001A4223" w:rsidRPr="00357C74" w:rsidRDefault="001A4223" w:rsidP="00CB2FBB">
            <w:pPr>
              <w:pStyle w:val="Tabletext"/>
            </w:pPr>
            <w:r w:rsidRPr="00357C74">
              <w:t>Transmissivity</w:t>
            </w:r>
          </w:p>
        </w:tc>
      </w:tr>
      <w:tr w:rsidR="001A4223" w:rsidRPr="0075269C" w:rsidTr="00E0340A">
        <w:trPr>
          <w:trHeight w:val="84"/>
        </w:trPr>
        <w:tc>
          <w:tcPr>
            <w:tcW w:w="1985" w:type="dxa"/>
          </w:tcPr>
          <w:p w:rsidR="001A4223" w:rsidRPr="00357C74" w:rsidRDefault="001A4223" w:rsidP="00CB2FBB">
            <w:pPr>
              <w:pStyle w:val="Tabletext"/>
            </w:pPr>
            <w:r w:rsidRPr="00357C74">
              <w:t>Th</w:t>
            </w:r>
          </w:p>
        </w:tc>
        <w:tc>
          <w:tcPr>
            <w:tcW w:w="7371" w:type="dxa"/>
          </w:tcPr>
          <w:p w:rsidR="001A4223" w:rsidRPr="00357C74" w:rsidRDefault="001A4223" w:rsidP="00CB2FBB">
            <w:pPr>
              <w:pStyle w:val="Tabletext"/>
            </w:pPr>
            <w:r w:rsidRPr="00357C74">
              <w:t>Thorium</w:t>
            </w:r>
          </w:p>
        </w:tc>
      </w:tr>
      <w:tr w:rsidR="001A4223" w:rsidRPr="0075269C" w:rsidTr="00E0340A">
        <w:trPr>
          <w:trHeight w:val="84"/>
        </w:trPr>
        <w:tc>
          <w:tcPr>
            <w:tcW w:w="1985" w:type="dxa"/>
          </w:tcPr>
          <w:p w:rsidR="001A4223" w:rsidRPr="00357C74" w:rsidRDefault="001A4223" w:rsidP="00CB2FBB">
            <w:pPr>
              <w:pStyle w:val="Tabletext"/>
            </w:pPr>
            <w:r w:rsidRPr="00357C74">
              <w:t>µm</w:t>
            </w:r>
          </w:p>
        </w:tc>
        <w:tc>
          <w:tcPr>
            <w:tcW w:w="7371" w:type="dxa"/>
          </w:tcPr>
          <w:p w:rsidR="001A4223" w:rsidRPr="00357C74" w:rsidRDefault="001A4223" w:rsidP="00CB2FBB">
            <w:pPr>
              <w:pStyle w:val="Tabletext"/>
            </w:pPr>
            <w:r w:rsidRPr="00357C74">
              <w:t>Micrometre (10 000 µm is equal to 1 cm)</w:t>
            </w:r>
          </w:p>
        </w:tc>
      </w:tr>
      <w:tr w:rsidR="001A4223" w:rsidRPr="0075269C" w:rsidTr="00E0340A">
        <w:trPr>
          <w:trHeight w:val="84"/>
        </w:trPr>
        <w:tc>
          <w:tcPr>
            <w:tcW w:w="1985" w:type="dxa"/>
          </w:tcPr>
          <w:p w:rsidR="001A4223" w:rsidRPr="00357C74" w:rsidRDefault="001A4223" w:rsidP="00CB2FBB">
            <w:pPr>
              <w:pStyle w:val="Tabletext"/>
            </w:pPr>
            <w:r w:rsidRPr="00357C74">
              <w:t>µS/cm</w:t>
            </w:r>
          </w:p>
        </w:tc>
        <w:tc>
          <w:tcPr>
            <w:tcW w:w="7371" w:type="dxa"/>
          </w:tcPr>
          <w:p w:rsidR="001A4223" w:rsidRPr="00357C74" w:rsidRDefault="001A4223" w:rsidP="00CB2FBB">
            <w:pPr>
              <w:pStyle w:val="Tabletext"/>
            </w:pPr>
            <w:r w:rsidRPr="00357C74">
              <w:t>Microsecond per centimetre</w:t>
            </w:r>
          </w:p>
        </w:tc>
      </w:tr>
      <w:tr w:rsidR="001A4223" w:rsidRPr="0075269C" w:rsidTr="00E0340A">
        <w:trPr>
          <w:trHeight w:val="84"/>
        </w:trPr>
        <w:tc>
          <w:tcPr>
            <w:tcW w:w="1985" w:type="dxa"/>
          </w:tcPr>
          <w:p w:rsidR="001A4223" w:rsidRPr="00357C74" w:rsidRDefault="001A4223" w:rsidP="00CB2FBB">
            <w:pPr>
              <w:pStyle w:val="Tabletext"/>
            </w:pPr>
            <w:r w:rsidRPr="00357C74">
              <w:t>U</w:t>
            </w:r>
          </w:p>
        </w:tc>
        <w:tc>
          <w:tcPr>
            <w:tcW w:w="7371" w:type="dxa"/>
          </w:tcPr>
          <w:p w:rsidR="001A4223" w:rsidRPr="00357C74" w:rsidRDefault="001A4223" w:rsidP="00CB2FBB">
            <w:pPr>
              <w:pStyle w:val="Tabletext"/>
            </w:pPr>
            <w:r w:rsidRPr="00357C74">
              <w:t>Uranium</w:t>
            </w:r>
          </w:p>
        </w:tc>
      </w:tr>
      <w:tr w:rsidR="001A4223" w:rsidRPr="0075269C" w:rsidTr="00E0340A">
        <w:trPr>
          <w:trHeight w:val="84"/>
        </w:trPr>
        <w:tc>
          <w:tcPr>
            <w:tcW w:w="1985" w:type="dxa"/>
          </w:tcPr>
          <w:p w:rsidR="001A4223" w:rsidRPr="00357C74" w:rsidRDefault="001A4223" w:rsidP="00CB2FBB">
            <w:pPr>
              <w:pStyle w:val="Tabletext"/>
            </w:pPr>
            <m:oMathPara>
              <m:oMath>
                <m:r>
                  <w:rPr>
                    <w:rFonts w:ascii="Cambria Math" w:hAnsi="Cambria Math"/>
                  </w:rPr>
                  <m:t>υ</m:t>
                </m:r>
              </m:oMath>
            </m:oMathPara>
          </w:p>
        </w:tc>
        <w:tc>
          <w:tcPr>
            <w:tcW w:w="7371" w:type="dxa"/>
          </w:tcPr>
          <w:p w:rsidR="001A4223" w:rsidRPr="00357C74" w:rsidRDefault="001A4223" w:rsidP="00CB2FBB">
            <w:pPr>
              <w:pStyle w:val="Tabletext"/>
            </w:pPr>
            <w:r w:rsidRPr="00357C74">
              <w:t>Poisson’s ratio - the degree to which a rock core bulges as it shortens</w:t>
            </w:r>
          </w:p>
        </w:tc>
      </w:tr>
      <w:tr w:rsidR="001A4223" w:rsidRPr="0075269C" w:rsidTr="00E0340A">
        <w:trPr>
          <w:trHeight w:val="84"/>
        </w:trPr>
        <w:tc>
          <w:tcPr>
            <w:tcW w:w="1985" w:type="dxa"/>
          </w:tcPr>
          <w:p w:rsidR="001A4223" w:rsidRPr="00357C74" w:rsidRDefault="001A4223" w:rsidP="00CB2FBB">
            <w:pPr>
              <w:pStyle w:val="Tabletext"/>
            </w:pPr>
            <w:r w:rsidRPr="00357C74">
              <w:t>V</w:t>
            </w:r>
          </w:p>
        </w:tc>
        <w:tc>
          <w:tcPr>
            <w:tcW w:w="7371" w:type="dxa"/>
          </w:tcPr>
          <w:p w:rsidR="001A4223" w:rsidRPr="00357C74" w:rsidRDefault="001A4223" w:rsidP="00CB2FBB">
            <w:pPr>
              <w:pStyle w:val="Tabletext"/>
            </w:pPr>
            <w:r w:rsidRPr="00357C74">
              <w:t xml:space="preserve">Volume </w:t>
            </w:r>
          </w:p>
        </w:tc>
      </w:tr>
      <w:tr w:rsidR="001A4223" w:rsidRPr="00F927A1" w:rsidTr="00E0340A">
        <w:trPr>
          <w:trHeight w:val="84"/>
        </w:trPr>
        <w:tc>
          <w:tcPr>
            <w:tcW w:w="1985" w:type="dxa"/>
          </w:tcPr>
          <w:p w:rsidR="001A4223" w:rsidRPr="00357C74" w:rsidRDefault="001A4223" w:rsidP="00CB2FBB">
            <w:pPr>
              <w:pStyle w:val="Tabletext"/>
            </w:pPr>
            <w:r w:rsidRPr="00357C74">
              <w:t>Ω.m</w:t>
            </w:r>
          </w:p>
        </w:tc>
        <w:tc>
          <w:tcPr>
            <w:tcW w:w="7371" w:type="dxa"/>
          </w:tcPr>
          <w:p w:rsidR="001A4223" w:rsidRPr="00357C74" w:rsidRDefault="001A4223" w:rsidP="00CB2FBB">
            <w:pPr>
              <w:pStyle w:val="Tabletext"/>
            </w:pPr>
            <w:r w:rsidRPr="00357C74">
              <w:t>Ohm-metre (metric unit for specific resistance)</w:t>
            </w:r>
          </w:p>
        </w:tc>
      </w:tr>
      <w:tr w:rsidR="001A4223" w:rsidRPr="00F927A1" w:rsidTr="00E0340A">
        <w:trPr>
          <w:trHeight w:val="84"/>
        </w:trPr>
        <w:tc>
          <w:tcPr>
            <w:tcW w:w="1985" w:type="dxa"/>
          </w:tcPr>
          <w:p w:rsidR="001A4223" w:rsidRPr="00357C74" w:rsidRDefault="001A4223" w:rsidP="00CB2FBB">
            <w:pPr>
              <w:pStyle w:val="Tabletext"/>
            </w:pPr>
            <w:r w:rsidRPr="00357C74">
              <w:t>%</w:t>
            </w:r>
          </w:p>
        </w:tc>
        <w:tc>
          <w:tcPr>
            <w:tcW w:w="7371" w:type="dxa"/>
          </w:tcPr>
          <w:p w:rsidR="001A4223" w:rsidRPr="00357C74" w:rsidRDefault="001A4223" w:rsidP="00CB2FBB">
            <w:pPr>
              <w:pStyle w:val="Tabletext"/>
            </w:pPr>
            <w:r w:rsidRPr="00357C74">
              <w:t>Per cent</w:t>
            </w:r>
          </w:p>
        </w:tc>
      </w:tr>
    </w:tbl>
    <w:p w:rsidR="00F032A0" w:rsidRDefault="00F032A0" w:rsidP="00E95593">
      <w:pPr>
        <w:rPr>
          <w:lang w:val="en-GB"/>
        </w:rPr>
      </w:pPr>
    </w:p>
    <w:p w:rsidR="00DC1B48" w:rsidRPr="0075269C" w:rsidRDefault="00DC1B48" w:rsidP="00E95593">
      <w:pPr>
        <w:rPr>
          <w:lang w:val="en-GB"/>
        </w:rPr>
      </w:pP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969"/>
        <w:gridCol w:w="5387"/>
      </w:tblGrid>
      <w:tr w:rsidR="008054BE" w:rsidRPr="0075269C" w:rsidTr="000F143F">
        <w:trPr>
          <w:trHeight w:val="84"/>
          <w:tblHeader/>
        </w:trPr>
        <w:tc>
          <w:tcPr>
            <w:tcW w:w="3969" w:type="dxa"/>
            <w:shd w:val="clear" w:color="auto" w:fill="C6D9F1" w:themeFill="text2" w:themeFillTint="33"/>
          </w:tcPr>
          <w:p w:rsidR="008054BE" w:rsidRPr="001A4223" w:rsidRDefault="008054BE" w:rsidP="00470AD4">
            <w:pPr>
              <w:pStyle w:val="Tableheading"/>
            </w:pPr>
            <w:bookmarkStart w:id="21" w:name="_Toc351121191"/>
            <w:bookmarkStart w:id="22" w:name="_Toc384907696"/>
            <w:r w:rsidRPr="001A4223">
              <w:t>Formulae</w:t>
            </w:r>
          </w:p>
        </w:tc>
        <w:tc>
          <w:tcPr>
            <w:tcW w:w="5387" w:type="dxa"/>
            <w:shd w:val="clear" w:color="auto" w:fill="C6D9F1" w:themeFill="text2" w:themeFillTint="33"/>
          </w:tcPr>
          <w:p w:rsidR="008054BE" w:rsidRPr="001A4223" w:rsidRDefault="008054BE" w:rsidP="00470AD4">
            <w:pPr>
              <w:pStyle w:val="Tableheading"/>
            </w:pPr>
            <w:r w:rsidRPr="001A4223">
              <w:t>Description</w:t>
            </w:r>
          </w:p>
        </w:tc>
      </w:tr>
      <w:tr w:rsidR="008054BE" w:rsidRPr="0075269C" w:rsidTr="004911EE">
        <w:trPr>
          <w:trHeight w:val="84"/>
        </w:trPr>
        <w:tc>
          <w:tcPr>
            <w:tcW w:w="3969" w:type="dxa"/>
          </w:tcPr>
          <w:p w:rsidR="008054BE" w:rsidRPr="00661549" w:rsidRDefault="008054BE" w:rsidP="00CB2FBB">
            <w:pPr>
              <w:pStyle w:val="Tabletext"/>
            </w:pPr>
            <m:oMathPara>
              <m:oMathParaPr>
                <m:jc m:val="left"/>
              </m:oMathParaPr>
              <m:oMath>
                <m:r>
                  <w:rPr>
                    <w:rFonts w:ascii="Cambria Math" w:hAnsi="Cambria Math"/>
                  </w:rPr>
                  <m:t>q</m:t>
                </m:r>
                <m:r>
                  <m:rPr>
                    <m:sty m:val="p"/>
                  </m:rPr>
                  <w:rPr>
                    <w:rFonts w:ascii="Cambria Math" w:hAnsi="Cambria Math"/>
                  </w:rPr>
                  <m:t>=</m:t>
                </m:r>
                <m:f>
                  <m:fPr>
                    <m:ctrlPr>
                      <w:rPr>
                        <w:rFonts w:ascii="Cambria Math" w:hAnsi="Cambria Math"/>
                      </w:rPr>
                    </m:ctrlPr>
                  </m:fPr>
                  <m:num>
                    <m:r>
                      <w:rPr>
                        <w:rFonts w:ascii="Cambria Math" w:hAnsi="Cambria Math"/>
                      </w:rPr>
                      <m:t>Q</m:t>
                    </m:r>
                  </m:num>
                  <m:den>
                    <m:r>
                      <w:rPr>
                        <w:rFonts w:ascii="Cambria Math" w:hAnsi="Cambria Math"/>
                      </w:rPr>
                      <m:t>A</m:t>
                    </m:r>
                  </m:den>
                </m:f>
                <m:r>
                  <m:rPr>
                    <m:sty m:val="p"/>
                  </m:rPr>
                  <w:rPr>
                    <w:rFonts w:ascii="Cambria Math" w:hAnsi="Cambria Math"/>
                  </w:rPr>
                  <m:t>=-</m:t>
                </m:r>
                <m:r>
                  <w:rPr>
                    <w:rFonts w:ascii="Cambria Math" w:hAnsi="Cambria Math"/>
                  </w:rPr>
                  <m:t>K</m:t>
                </m:r>
                <m:f>
                  <m:fPr>
                    <m:ctrlPr>
                      <w:rPr>
                        <w:rFonts w:ascii="Cambria Math" w:hAnsi="Cambria Math"/>
                      </w:rPr>
                    </m:ctrlPr>
                  </m:fPr>
                  <m:num>
                    <m:r>
                      <w:rPr>
                        <w:rFonts w:ascii="Cambria Math" w:hAnsi="Cambria Math"/>
                      </w:rPr>
                      <m:t>dh</m:t>
                    </m:r>
                  </m:num>
                  <m:den>
                    <m:r>
                      <w:rPr>
                        <w:rFonts w:ascii="Cambria Math" w:hAnsi="Cambria Math"/>
                      </w:rPr>
                      <m:t>dz</m:t>
                    </m:r>
                  </m:den>
                </m:f>
              </m:oMath>
            </m:oMathPara>
          </w:p>
          <w:p w:rsidR="008054BE" w:rsidRDefault="008054BE" w:rsidP="00CB2FBB">
            <w:pPr>
              <w:pStyle w:val="Tabletext"/>
            </w:pPr>
          </w:p>
        </w:tc>
        <w:tc>
          <w:tcPr>
            <w:tcW w:w="5387" w:type="dxa"/>
          </w:tcPr>
          <w:p w:rsidR="008054BE" w:rsidRDefault="008054BE" w:rsidP="00CB2FBB">
            <w:pPr>
              <w:pStyle w:val="Tabletext"/>
            </w:pPr>
            <w:r>
              <w:t>Darcy’s Law:</w:t>
            </w:r>
          </w:p>
          <w:p w:rsidR="008054BE" w:rsidRDefault="008054BE" w:rsidP="00CB2FBB">
            <w:pPr>
              <w:pStyle w:val="Tabletext"/>
            </w:pPr>
            <w:r w:rsidRPr="00C43193">
              <w:t>q</w:t>
            </w:r>
            <w:r>
              <w:t xml:space="preserve"> = specific discharge of water [q (m/day)]</w:t>
            </w:r>
          </w:p>
          <w:p w:rsidR="008054BE" w:rsidRDefault="008054BE" w:rsidP="00CB2FBB">
            <w:pPr>
              <w:pStyle w:val="Tabletext"/>
            </w:pPr>
            <w:r w:rsidRPr="00C43193">
              <w:t>Q</w:t>
            </w:r>
            <w:r>
              <w:t xml:space="preserve"> = volumetric flow rate [</w:t>
            </w:r>
            <w:r w:rsidRPr="00C21593">
              <w:t>Q</w:t>
            </w:r>
            <w:r>
              <w:t xml:space="preserve"> (m</w:t>
            </w:r>
            <w:r w:rsidRPr="00C21593">
              <w:rPr>
                <w:vertAlign w:val="superscript"/>
              </w:rPr>
              <w:t>3</w:t>
            </w:r>
            <w:r>
              <w:t>/day)]</w:t>
            </w:r>
          </w:p>
          <w:p w:rsidR="008054BE" w:rsidRDefault="008054BE" w:rsidP="00CB2FBB">
            <w:pPr>
              <w:pStyle w:val="Tabletext"/>
            </w:pPr>
            <w:r w:rsidRPr="00C43193">
              <w:t>A</w:t>
            </w:r>
            <w:r>
              <w:t xml:space="preserve"> = cross-sectional area [A (m</w:t>
            </w:r>
            <w:r>
              <w:rPr>
                <w:vertAlign w:val="superscript"/>
              </w:rPr>
              <w:t>2</w:t>
            </w:r>
            <w:r>
              <w:t>)]</w:t>
            </w:r>
          </w:p>
          <w:p w:rsidR="008054BE" w:rsidRPr="00CA06DD" w:rsidRDefault="008054BE" w:rsidP="00CB2FBB">
            <w:pPr>
              <w:pStyle w:val="Tabletext"/>
            </w:pPr>
            <w:r w:rsidRPr="00C43193">
              <w:t>K</w:t>
            </w:r>
            <w:r>
              <w:t xml:space="preserve"> = h</w:t>
            </w:r>
            <w:r w:rsidRPr="0022535B">
              <w:t>ydraulic conductivity</w:t>
            </w:r>
            <w:r>
              <w:t xml:space="preserve"> of the geologic media [K (m/day)]</w:t>
            </w:r>
          </w:p>
          <w:p w:rsidR="008054BE" w:rsidRPr="00CA06DD" w:rsidRDefault="008054BE" w:rsidP="00CB2FBB">
            <w:pPr>
              <w:pStyle w:val="Tabletext"/>
            </w:pPr>
            <w:proofErr w:type="gramStart"/>
            <w:r w:rsidRPr="00C43193">
              <w:t>dh/dz</w:t>
            </w:r>
            <w:proofErr w:type="gramEnd"/>
            <w:r>
              <w:t xml:space="preserve"> = hydraulic gradient, where dh is the change [</w:t>
            </w:r>
            <w:r w:rsidRPr="00CA06DD">
              <w:t>d</w:t>
            </w:r>
            <w:r>
              <w:t>] in hydraulic head [h (m)] over a distance [z (m)] along the direction of flow.</w:t>
            </w:r>
          </w:p>
        </w:tc>
      </w:tr>
      <w:tr w:rsidR="008054BE" w:rsidRPr="0022535B" w:rsidTr="004911EE">
        <w:trPr>
          <w:trHeight w:val="84"/>
        </w:trPr>
        <w:tc>
          <w:tcPr>
            <w:tcW w:w="3969" w:type="dxa"/>
          </w:tcPr>
          <w:p w:rsidR="008054BE" w:rsidRPr="00CA06DD" w:rsidRDefault="008054BE" w:rsidP="00CB2FBB">
            <w:pPr>
              <w:pStyle w:val="Tabletext"/>
            </w:pPr>
            <m:oMathPara>
              <m:oMath>
                <m:r>
                  <w:rPr>
                    <w:rFonts w:ascii="Cambria Math" w:hAnsi="Cambria Math"/>
                  </w:rPr>
                  <m:t>K</m:t>
                </m:r>
                <m:r>
                  <m:rPr>
                    <m:sty m:val="p"/>
                  </m:rPr>
                  <w:rPr>
                    <w:rFonts w:ascii="Cambria Math" w:hAnsi="Cambria Math"/>
                  </w:rPr>
                  <m:t>=</m:t>
                </m:r>
                <m:f>
                  <m:fPr>
                    <m:ctrlPr>
                      <w:rPr>
                        <w:rFonts w:ascii="Cambria Math" w:hAnsi="Cambria Math"/>
                      </w:rPr>
                    </m:ctrlPr>
                  </m:fPr>
                  <m:num>
                    <m:r>
                      <w:rPr>
                        <w:rFonts w:ascii="Cambria Math" w:hAnsi="Cambria Math"/>
                      </w:rPr>
                      <m:t>kρg</m:t>
                    </m:r>
                  </m:num>
                  <m:den>
                    <m:r>
                      <w:rPr>
                        <w:rFonts w:ascii="Cambria Math" w:hAnsi="Cambria Math"/>
                      </w:rPr>
                      <m:t>μ</m:t>
                    </m:r>
                  </m:den>
                </m:f>
              </m:oMath>
            </m:oMathPara>
          </w:p>
        </w:tc>
        <w:tc>
          <w:tcPr>
            <w:tcW w:w="5387" w:type="dxa"/>
          </w:tcPr>
          <w:p w:rsidR="008054BE" w:rsidRDefault="008054BE" w:rsidP="00CB2FBB">
            <w:pPr>
              <w:pStyle w:val="Tabletext"/>
            </w:pPr>
            <w:r w:rsidRPr="00C43193">
              <w:t>K</w:t>
            </w:r>
            <w:r w:rsidR="00357C74">
              <w:t xml:space="preserve"> = hydraulic conductivity</w:t>
            </w:r>
          </w:p>
          <w:p w:rsidR="008054BE" w:rsidRDefault="008054BE" w:rsidP="00CB2FBB">
            <w:pPr>
              <w:pStyle w:val="Tabletext"/>
            </w:pPr>
            <w:r>
              <w:t>k = i</w:t>
            </w:r>
            <w:r w:rsidRPr="0022535B">
              <w:t>ntrinsic permeability</w:t>
            </w:r>
            <w:r>
              <w:t xml:space="preserve"> [k (m</w:t>
            </w:r>
            <w:r>
              <w:rPr>
                <w:vertAlign w:val="superscript"/>
              </w:rPr>
              <w:t>2</w:t>
            </w:r>
            <w:r>
              <w:t xml:space="preserve">) I unit) or k </w:t>
            </w:r>
            <w:r w:rsidRPr="00C43193">
              <w:t>(</w:t>
            </w:r>
            <w:r>
              <w:t>D)]</w:t>
            </w:r>
          </w:p>
          <w:p w:rsidR="008054BE" w:rsidRDefault="008054BE" w:rsidP="00CB2FBB">
            <w:pPr>
              <w:pStyle w:val="Tabletext"/>
            </w:pPr>
            <m:oMath>
              <m:r>
                <w:rPr>
                  <w:rFonts w:ascii="Cambria Math" w:hAnsi="Cambria Math"/>
                </w:rPr>
                <m:t>ρ</m:t>
              </m:r>
            </m:oMath>
            <w:r>
              <w:t xml:space="preserve"> = density </w:t>
            </w:r>
          </w:p>
          <w:p w:rsidR="008054BE" w:rsidRDefault="008054BE" w:rsidP="00CB2FBB">
            <w:pPr>
              <w:pStyle w:val="Tabletext"/>
            </w:pPr>
            <w:r w:rsidRPr="00105ABD">
              <w:t>g</w:t>
            </w:r>
            <w:r>
              <w:t xml:space="preserve"> = </w:t>
            </w:r>
            <w:r w:rsidRPr="00C43193">
              <w:t xml:space="preserve">acceleration due to gravity (1g is </w:t>
            </w:r>
            <w:r>
              <w:t>approximately</w:t>
            </w:r>
            <w:r w:rsidRPr="00C43193">
              <w:t xml:space="preserve"> 9.81</w:t>
            </w:r>
            <w:r>
              <w:t> </w:t>
            </w:r>
            <w:r w:rsidRPr="00C43193">
              <w:t>m/s)</w:t>
            </w:r>
          </w:p>
          <w:p w:rsidR="008054BE" w:rsidRPr="00CA06DD" w:rsidRDefault="008054BE" w:rsidP="00CB2FBB">
            <w:pPr>
              <w:pStyle w:val="Tabletext"/>
            </w:pPr>
            <w:r w:rsidRPr="00105ABD">
              <w:t>µ</w:t>
            </w:r>
            <w:r>
              <w:t xml:space="preserve"> = viscosity</w:t>
            </w:r>
          </w:p>
        </w:tc>
      </w:tr>
      <w:tr w:rsidR="008054BE" w:rsidRPr="0075269C" w:rsidTr="004911EE">
        <w:trPr>
          <w:trHeight w:val="84"/>
        </w:trPr>
        <w:tc>
          <w:tcPr>
            <w:tcW w:w="3969" w:type="dxa"/>
          </w:tcPr>
          <w:p w:rsidR="008054BE" w:rsidRPr="00C43193" w:rsidRDefault="008054BE" w:rsidP="00CB2FBB">
            <w:pPr>
              <w:pStyle w:val="Tabletext"/>
            </w:pPr>
            <m:oMathPara>
              <m:oMath>
                <m:r>
                  <w:rPr>
                    <w:rFonts w:ascii="Cambria Math" w:hAnsi="Cambria Math"/>
                  </w:rPr>
                  <m:t>Q</m:t>
                </m:r>
                <m:r>
                  <m:rPr>
                    <m:sty m:val="p"/>
                  </m:rPr>
                  <w:rPr>
                    <w:rFonts w:ascii="Cambria Math" w:hAnsi="Cambria Math"/>
                  </w:rPr>
                  <m:t>=</m:t>
                </m:r>
                <m:r>
                  <w:rPr>
                    <w:rFonts w:ascii="Cambria Math" w:hAnsi="Cambria Math"/>
                  </w:rPr>
                  <m:t>C</m:t>
                </m:r>
                <m:sSup>
                  <m:sSupPr>
                    <m:ctrlPr>
                      <w:rPr>
                        <w:rFonts w:ascii="Cambria Math" w:hAnsi="Cambria Math"/>
                      </w:rPr>
                    </m:ctrlPr>
                  </m:sSupPr>
                  <m:e>
                    <m:d>
                      <m:dPr>
                        <m:ctrlPr>
                          <w:rPr>
                            <w:rFonts w:ascii="Cambria Math" w:hAnsi="Cambria Math"/>
                          </w:rPr>
                        </m:ctrlPr>
                      </m:dPr>
                      <m:e>
                        <m:r>
                          <m:rPr>
                            <m:sty m:val="p"/>
                          </m:rPr>
                          <w:rPr>
                            <w:rFonts w:ascii="Cambria Math" w:hAnsi="Cambria Math"/>
                          </w:rPr>
                          <m:t>2</m:t>
                        </m:r>
                        <m:r>
                          <w:rPr>
                            <w:rFonts w:ascii="Cambria Math" w:hAnsi="Cambria Math"/>
                          </w:rPr>
                          <m:t>b</m:t>
                        </m:r>
                      </m:e>
                    </m:d>
                  </m:e>
                  <m:sup>
                    <m:r>
                      <m:rPr>
                        <m:sty m:val="p"/>
                      </m:rPr>
                      <w:rPr>
                        <w:rFonts w:ascii="Cambria Math" w:hAnsi="Cambria Math"/>
                      </w:rPr>
                      <m:t>3</m:t>
                    </m:r>
                  </m:sup>
                </m:sSup>
                <m:r>
                  <w:rPr>
                    <w:rFonts w:ascii="Cambria Math" w:hAnsi="Cambria Math"/>
                  </w:rPr>
                  <m:t>Δh</m:t>
                </m:r>
              </m:oMath>
            </m:oMathPara>
          </w:p>
        </w:tc>
        <w:tc>
          <w:tcPr>
            <w:tcW w:w="5387" w:type="dxa"/>
          </w:tcPr>
          <w:p w:rsidR="008054BE" w:rsidRDefault="008054BE" w:rsidP="00CB2FBB">
            <w:pPr>
              <w:pStyle w:val="Tabletext"/>
            </w:pPr>
            <w:r>
              <w:t>Cubic Law:</w:t>
            </w:r>
          </w:p>
          <w:p w:rsidR="008054BE" w:rsidRDefault="008054BE" w:rsidP="00CB2FBB">
            <w:pPr>
              <w:pStyle w:val="Tabletext"/>
            </w:pPr>
            <w:r w:rsidRPr="00C43193">
              <w:t>Q</w:t>
            </w:r>
            <w:r>
              <w:t xml:space="preserve"> = volumetric flow rate [</w:t>
            </w:r>
            <w:r w:rsidRPr="00C21593">
              <w:t>Q</w:t>
            </w:r>
            <w:r>
              <w:t xml:space="preserve"> (m</w:t>
            </w:r>
            <w:r w:rsidRPr="00C21593">
              <w:rPr>
                <w:vertAlign w:val="superscript"/>
              </w:rPr>
              <w:t>3</w:t>
            </w:r>
            <w:r>
              <w:t>/day)]</w:t>
            </w:r>
          </w:p>
          <w:p w:rsidR="008054BE" w:rsidRDefault="008054BE" w:rsidP="00CB2FBB">
            <w:pPr>
              <w:pStyle w:val="Tabletext"/>
            </w:pPr>
            <w:r>
              <w:t>C = a constant related to the properties of the fluid and the geometry of the fracture</w:t>
            </w:r>
          </w:p>
          <w:p w:rsidR="008054BE" w:rsidRDefault="008054BE" w:rsidP="00CB2FBB">
            <w:pPr>
              <w:pStyle w:val="Tabletext"/>
            </w:pPr>
            <w:r w:rsidRPr="00105ABD">
              <w:t>b</w:t>
            </w:r>
            <w:r>
              <w:t xml:space="preserve"> = aperture of the fraction</w:t>
            </w:r>
          </w:p>
          <w:p w:rsidR="008054BE" w:rsidRPr="00C43193" w:rsidRDefault="008054BE" w:rsidP="00CB2FBB">
            <w:pPr>
              <w:pStyle w:val="Tabletext"/>
            </w:pPr>
            <w:r w:rsidRPr="00105ABD">
              <w:t>∆h</w:t>
            </w:r>
            <w:r>
              <w:t xml:space="preserve"> = change in hydraulic head</w:t>
            </w:r>
          </w:p>
        </w:tc>
      </w:tr>
      <w:tr w:rsidR="008054BE" w:rsidRPr="0075269C" w:rsidTr="004911EE">
        <w:trPr>
          <w:trHeight w:val="84"/>
        </w:trPr>
        <w:tc>
          <w:tcPr>
            <w:tcW w:w="3969" w:type="dxa"/>
          </w:tcPr>
          <w:p w:rsidR="008054BE" w:rsidRPr="00105ABD" w:rsidRDefault="008054BE" w:rsidP="00CB2FBB">
            <w:pPr>
              <w:pStyle w:val="Tabletext"/>
            </w:pPr>
            <m:oMathPara>
              <m:oMath>
                <m:r>
                  <w:rPr>
                    <w:rFonts w:ascii="Cambria Math" w:hAnsi="Cambria Math"/>
                  </w:rPr>
                  <w:lastRenderedPageBreak/>
                  <m:t>v</m:t>
                </m:r>
                <m:r>
                  <m:rPr>
                    <m:sty m:val="p"/>
                  </m:rPr>
                  <w:rPr>
                    <w:rFonts w:ascii="Cambria Math" w:hAnsi="Cambria Math"/>
                  </w:rPr>
                  <m:t>=</m:t>
                </m:r>
                <m:f>
                  <m:fPr>
                    <m:ctrlPr>
                      <w:rPr>
                        <w:rFonts w:ascii="Cambria Math" w:hAnsi="Cambria Math"/>
                      </w:rPr>
                    </m:ctrlPr>
                  </m:fPr>
                  <m:num>
                    <m:r>
                      <m:rPr>
                        <m:sty m:val="p"/>
                      </m:rPr>
                      <w:rPr>
                        <w:rFonts w:ascii="Cambria Math" w:hAnsi="Cambria Math"/>
                      </w:rPr>
                      <m:t>1</m:t>
                    </m:r>
                  </m:num>
                  <m:den>
                    <m:sSub>
                      <m:sSubPr>
                        <m:ctrlPr>
                          <w:rPr>
                            <w:rFonts w:ascii="Cambria Math" w:hAnsi="Cambria Math"/>
                          </w:rPr>
                        </m:ctrlPr>
                      </m:sSubPr>
                      <m:e>
                        <m:r>
                          <w:rPr>
                            <w:rFonts w:ascii="Cambria Math" w:hAnsi="Cambria Math"/>
                          </w:rPr>
                          <m:t>n</m:t>
                        </m:r>
                      </m:e>
                      <m:sub>
                        <m:r>
                          <w:rPr>
                            <w:rFonts w:ascii="Cambria Math" w:hAnsi="Cambria Math"/>
                          </w:rPr>
                          <m:t>e</m:t>
                        </m:r>
                      </m:sub>
                    </m:sSub>
                  </m:den>
                </m:f>
                <m:r>
                  <w:rPr>
                    <w:rFonts w:ascii="Cambria Math" w:hAnsi="Cambria Math"/>
                  </w:rPr>
                  <m:t>K</m:t>
                </m:r>
                <m:f>
                  <m:fPr>
                    <m:ctrlPr>
                      <w:rPr>
                        <w:rFonts w:ascii="Cambria Math" w:hAnsi="Cambria Math"/>
                      </w:rPr>
                    </m:ctrlPr>
                  </m:fPr>
                  <m:num>
                    <m:r>
                      <w:rPr>
                        <w:rFonts w:ascii="Cambria Math" w:hAnsi="Cambria Math"/>
                      </w:rPr>
                      <m:t>dh</m:t>
                    </m:r>
                  </m:num>
                  <m:den>
                    <m:r>
                      <w:rPr>
                        <w:rFonts w:ascii="Cambria Math" w:hAnsi="Cambria Math"/>
                      </w:rPr>
                      <m:t>dz</m:t>
                    </m:r>
                  </m:den>
                </m:f>
              </m:oMath>
            </m:oMathPara>
          </w:p>
        </w:tc>
        <w:tc>
          <w:tcPr>
            <w:tcW w:w="5387" w:type="dxa"/>
          </w:tcPr>
          <w:p w:rsidR="008054BE" w:rsidRDefault="008054BE" w:rsidP="00CB2FBB">
            <w:pPr>
              <w:pStyle w:val="Tabletext"/>
            </w:pPr>
            <w:r w:rsidRPr="00105ABD">
              <w:t>v</w:t>
            </w:r>
            <w:r>
              <w:t xml:space="preserve"> = groundwater velocity</w:t>
            </w:r>
          </w:p>
          <w:p w:rsidR="008054BE" w:rsidRDefault="008054BE" w:rsidP="00CB2FBB">
            <w:pPr>
              <w:pStyle w:val="Tabletext"/>
            </w:pPr>
            <w:r w:rsidRPr="005700F2">
              <w:t>n</w:t>
            </w:r>
            <w:r w:rsidRPr="005700F2">
              <w:rPr>
                <w:vertAlign w:val="subscript"/>
              </w:rPr>
              <w:t>e</w:t>
            </w:r>
            <w:r>
              <w:rPr>
                <w:vertAlign w:val="subscript"/>
              </w:rPr>
              <w:t xml:space="preserve"> </w:t>
            </w:r>
            <w:r>
              <w:t>= effective porosity</w:t>
            </w:r>
          </w:p>
          <w:p w:rsidR="008054BE" w:rsidRPr="00CA06DD" w:rsidRDefault="008054BE" w:rsidP="00CB2FBB">
            <w:pPr>
              <w:pStyle w:val="Tabletext"/>
            </w:pPr>
            <w:r w:rsidRPr="00C43193">
              <w:t>K</w:t>
            </w:r>
            <w:r>
              <w:t xml:space="preserve"> = h</w:t>
            </w:r>
            <w:r w:rsidRPr="0022535B">
              <w:t>ydraulic conductivity</w:t>
            </w:r>
            <w:r>
              <w:t xml:space="preserve"> of the geologic media [K (m/day)]</w:t>
            </w:r>
          </w:p>
          <w:p w:rsidR="008054BE" w:rsidRPr="003D673A" w:rsidRDefault="008054BE" w:rsidP="00CB2FBB">
            <w:pPr>
              <w:pStyle w:val="Tabletext"/>
            </w:pPr>
            <w:proofErr w:type="gramStart"/>
            <w:r w:rsidRPr="00C43193">
              <w:t>dh/dz</w:t>
            </w:r>
            <w:proofErr w:type="gramEnd"/>
            <w:r>
              <w:t xml:space="preserve"> = hydraulic gradient, where dh is the change [</w:t>
            </w:r>
            <w:r w:rsidRPr="00CA06DD">
              <w:t>d</w:t>
            </w:r>
            <w:r>
              <w:t>] in hydraulic head [h (m)] over a distance [z (m)] along the direction of flow.</w:t>
            </w:r>
          </w:p>
        </w:tc>
      </w:tr>
      <w:tr w:rsidR="008054BE" w:rsidRPr="0075269C" w:rsidTr="004911EE">
        <w:trPr>
          <w:trHeight w:val="84"/>
        </w:trPr>
        <w:tc>
          <w:tcPr>
            <w:tcW w:w="3969" w:type="dxa"/>
          </w:tcPr>
          <w:p w:rsidR="008054BE" w:rsidRPr="00105ABD" w:rsidRDefault="00E23933" w:rsidP="00CB2FBB">
            <w:pPr>
              <w:pStyle w:val="Tabletext"/>
            </w:pPr>
            <m:oMathPara>
              <m:oMath>
                <m:sSub>
                  <m:sSubPr>
                    <m:ctrlPr>
                      <w:rPr>
                        <w:rFonts w:ascii="Cambria Math" w:hAnsi="Cambria Math"/>
                      </w:rPr>
                    </m:ctrlPr>
                  </m:sSubPr>
                  <m:e>
                    <m:r>
                      <w:rPr>
                        <w:rFonts w:ascii="Cambria Math" w:hAnsi="Cambria Math"/>
                      </w:rPr>
                      <m:t>D</m:t>
                    </m:r>
                  </m:e>
                  <m:sub>
                    <m:r>
                      <w:rPr>
                        <w:rFonts w:ascii="Cambria Math" w:hAnsi="Cambria Math"/>
                      </w:rPr>
                      <m:t>L</m:t>
                    </m:r>
                  </m:sub>
                </m:sSub>
                <m:r>
                  <m:rPr>
                    <m:sty m:val="p"/>
                  </m:rPr>
                  <w:rPr>
                    <w:rFonts w:ascii="Cambria Math" w:hAnsi="Cambria Math"/>
                  </w:rPr>
                  <m:t>=</m:t>
                </m:r>
                <m:sSub>
                  <m:sSubPr>
                    <m:ctrlPr>
                      <w:rPr>
                        <w:rFonts w:ascii="Cambria Math" w:hAnsi="Cambria Math"/>
                      </w:rPr>
                    </m:ctrlPr>
                  </m:sSubPr>
                  <m:e>
                    <m:r>
                      <w:rPr>
                        <w:rFonts w:ascii="Cambria Math" w:hAnsi="Cambria Math"/>
                      </w:rPr>
                      <m:t>a</m:t>
                    </m:r>
                  </m:e>
                  <m:sub>
                    <m:r>
                      <w:rPr>
                        <w:rFonts w:ascii="Cambria Math" w:hAnsi="Cambria Math"/>
                      </w:rPr>
                      <m:t>L</m:t>
                    </m:r>
                  </m:sub>
                </m:sSub>
                <m:sSub>
                  <m:sSubPr>
                    <m:ctrlPr>
                      <w:rPr>
                        <w:rFonts w:ascii="Cambria Math" w:hAnsi="Cambria Math"/>
                      </w:rPr>
                    </m:ctrlPr>
                  </m:sSubPr>
                  <m:e>
                    <m:r>
                      <w:rPr>
                        <w:rFonts w:ascii="Cambria Math" w:hAnsi="Cambria Math"/>
                      </w:rPr>
                      <m:t>v</m:t>
                    </m:r>
                  </m:e>
                  <m:sub>
                    <m:r>
                      <w:rPr>
                        <w:rFonts w:ascii="Cambria Math" w:hAnsi="Cambria Math"/>
                      </w:rPr>
                      <m:t>z</m:t>
                    </m:r>
                  </m:sub>
                </m:sSub>
                <m:r>
                  <m:rPr>
                    <m:sty m:val="p"/>
                  </m:rPr>
                  <w:rPr>
                    <w:rFonts w:ascii="Cambria Math" w:hAnsi="Cambria Math"/>
                  </w:rPr>
                  <m:t>+</m:t>
                </m:r>
                <m:sSup>
                  <m:sSupPr>
                    <m:ctrlPr>
                      <w:rPr>
                        <w:rFonts w:ascii="Cambria Math" w:hAnsi="Cambria Math"/>
                      </w:rPr>
                    </m:ctrlPr>
                  </m:sSupPr>
                  <m:e>
                    <m:r>
                      <w:rPr>
                        <w:rFonts w:ascii="Cambria Math" w:hAnsi="Cambria Math"/>
                      </w:rPr>
                      <m:t>D</m:t>
                    </m:r>
                  </m:e>
                  <m:sup>
                    <m:r>
                      <m:rPr>
                        <m:sty m:val="p"/>
                      </m:rPr>
                      <w:rPr>
                        <w:rFonts w:ascii="Cambria Math" w:hAnsi="Cambria Math"/>
                      </w:rPr>
                      <m:t>*</m:t>
                    </m:r>
                  </m:sup>
                </m:sSup>
              </m:oMath>
            </m:oMathPara>
          </w:p>
        </w:tc>
        <w:tc>
          <w:tcPr>
            <w:tcW w:w="5387" w:type="dxa"/>
          </w:tcPr>
          <w:p w:rsidR="008054BE" w:rsidRDefault="008054BE" w:rsidP="00CB2FBB">
            <w:pPr>
              <w:pStyle w:val="Tabletext"/>
            </w:pPr>
            <w:r w:rsidRPr="00A47F3D">
              <w:t>D</w:t>
            </w:r>
            <w:r w:rsidRPr="00A47F3D">
              <w:rPr>
                <w:vertAlign w:val="subscript"/>
              </w:rPr>
              <w:t>L</w:t>
            </w:r>
            <w:r>
              <w:rPr>
                <w:vertAlign w:val="subscript"/>
              </w:rPr>
              <w:t xml:space="preserve"> = </w:t>
            </w:r>
            <w:r>
              <w:t>coefficient of l</w:t>
            </w:r>
            <w:r w:rsidRPr="00687506">
              <w:t>ongitudinal hydrodynamic dispersion</w:t>
            </w:r>
          </w:p>
          <w:p w:rsidR="008054BE" w:rsidRDefault="008054BE" w:rsidP="00CB2FBB">
            <w:pPr>
              <w:pStyle w:val="Tabletext"/>
            </w:pPr>
            <w:r w:rsidRPr="00E31DD0">
              <w:t>a</w:t>
            </w:r>
            <w:r w:rsidRPr="00E31DD0">
              <w:rPr>
                <w:vertAlign w:val="subscript"/>
              </w:rPr>
              <w:t>L</w:t>
            </w:r>
            <w:r>
              <w:t xml:space="preserve"> = the dynamic dispersivity</w:t>
            </w:r>
          </w:p>
          <w:p w:rsidR="008054BE" w:rsidRPr="00A47F3D" w:rsidRDefault="008054BE" w:rsidP="00CB2FBB">
            <w:pPr>
              <w:pStyle w:val="Tabletext"/>
            </w:pPr>
            <w:r w:rsidRPr="00105ABD">
              <w:t>v</w:t>
            </w:r>
            <w:r>
              <w:t xml:space="preserve"> = groundwater velocity</w:t>
            </w:r>
          </w:p>
          <w:p w:rsidR="008054BE" w:rsidRDefault="008054BE" w:rsidP="00CB2FBB">
            <w:pPr>
              <w:pStyle w:val="Tabletext"/>
            </w:pPr>
            <w:r>
              <w:t>z = distance</w:t>
            </w:r>
          </w:p>
          <w:p w:rsidR="008054BE" w:rsidRDefault="008054BE" w:rsidP="00CB2FBB">
            <w:pPr>
              <w:pStyle w:val="Tabletext"/>
            </w:pPr>
            <w:r w:rsidRPr="00E31DD0">
              <w:t>D*</w:t>
            </w:r>
            <w:r>
              <w:t xml:space="preserve"> = the effective molecular diffusion coefficient</w:t>
            </w:r>
          </w:p>
        </w:tc>
      </w:tr>
      <w:tr w:rsidR="008054BE" w:rsidRPr="0075269C" w:rsidTr="004911EE">
        <w:trPr>
          <w:trHeight w:val="84"/>
        </w:trPr>
        <w:tc>
          <w:tcPr>
            <w:tcW w:w="3969" w:type="dxa"/>
          </w:tcPr>
          <w:p w:rsidR="008054BE" w:rsidRPr="00686BB7" w:rsidRDefault="00E23933" w:rsidP="00CB2FBB">
            <w:pPr>
              <w:pStyle w:val="Tabletext"/>
            </w:pPr>
            <m:oMathPara>
              <m:oMath>
                <m:sSub>
                  <m:sSubPr>
                    <m:ctrlPr>
                      <w:rPr>
                        <w:rFonts w:ascii="Cambria Math" w:hAnsi="Cambria Math"/>
                      </w:rPr>
                    </m:ctrlPr>
                  </m:sSubPr>
                  <m:e>
                    <m:f>
                      <m:fPr>
                        <m:ctrlPr>
                          <w:rPr>
                            <w:rFonts w:ascii="Cambria Math" w:hAnsi="Cambria Math"/>
                          </w:rPr>
                        </m:ctrlPr>
                      </m:fPr>
                      <m:num>
                        <m:r>
                          <w:rPr>
                            <w:rFonts w:ascii="Cambria Math" w:hAnsi="Cambria Math"/>
                          </w:rPr>
                          <m:t>∂C</m:t>
                        </m:r>
                      </m:num>
                      <m:den>
                        <m:r>
                          <w:rPr>
                            <w:rFonts w:ascii="Cambria Math" w:hAnsi="Cambria Math"/>
                          </w:rPr>
                          <m:t>∂t</m:t>
                        </m:r>
                        <m:r>
                          <m:rPr>
                            <m:sty m:val="p"/>
                          </m:rPr>
                          <w:rPr>
                            <w:rFonts w:ascii="Cambria Math" w:hAnsi="Cambria Math"/>
                          </w:rPr>
                          <m:t xml:space="preserve"> </m:t>
                        </m:r>
                      </m:den>
                    </m:f>
                    <m:r>
                      <m:rPr>
                        <m:sty m:val="p"/>
                      </m:rPr>
                      <w:rPr>
                        <w:rFonts w:ascii="Cambria Math" w:hAnsi="Cambria Math"/>
                      </w:rPr>
                      <m:t>=-</m:t>
                    </m:r>
                    <m:sSub>
                      <m:sSubPr>
                        <m:ctrlPr>
                          <w:rPr>
                            <w:rFonts w:ascii="Cambria Math" w:hAnsi="Cambria Math"/>
                          </w:rPr>
                        </m:ctrlPr>
                      </m:sSubPr>
                      <m:e>
                        <m:r>
                          <w:rPr>
                            <w:rFonts w:ascii="Cambria Math" w:hAnsi="Cambria Math"/>
                          </w:rPr>
                          <m:t>v</m:t>
                        </m:r>
                      </m:e>
                      <m:sub>
                        <m:r>
                          <w:rPr>
                            <w:rFonts w:ascii="Cambria Math" w:hAnsi="Cambria Math"/>
                          </w:rPr>
                          <m:t>z</m:t>
                        </m:r>
                      </m:sub>
                    </m:sSub>
                    <m:f>
                      <m:fPr>
                        <m:ctrlPr>
                          <w:rPr>
                            <w:rFonts w:ascii="Cambria Math" w:hAnsi="Cambria Math"/>
                          </w:rPr>
                        </m:ctrlPr>
                      </m:fPr>
                      <m:num>
                        <m:r>
                          <w:rPr>
                            <w:rFonts w:ascii="Cambria Math" w:hAnsi="Cambria Math"/>
                          </w:rPr>
                          <m:t>∂C</m:t>
                        </m:r>
                      </m:num>
                      <m:den>
                        <m:r>
                          <w:rPr>
                            <w:rFonts w:ascii="Cambria Math" w:hAnsi="Cambria Math"/>
                          </w:rPr>
                          <m:t>∂z</m:t>
                        </m:r>
                        <m:r>
                          <m:rPr>
                            <m:sty m:val="p"/>
                          </m:rPr>
                          <w:rPr>
                            <w:rFonts w:ascii="Cambria Math" w:hAnsi="Cambria Math"/>
                          </w:rPr>
                          <m:t xml:space="preserve"> </m:t>
                        </m:r>
                      </m:den>
                    </m:f>
                    <m:r>
                      <m:rPr>
                        <m:sty m:val="p"/>
                      </m:rPr>
                      <w:rPr>
                        <w:rFonts w:ascii="Cambria Math" w:hAnsi="Cambria Math"/>
                      </w:rPr>
                      <m:t>+</m:t>
                    </m:r>
                    <m:r>
                      <w:rPr>
                        <w:rFonts w:ascii="Cambria Math" w:hAnsi="Cambria Math"/>
                      </w:rPr>
                      <m:t>D</m:t>
                    </m:r>
                  </m:e>
                  <m:sub>
                    <m:r>
                      <w:rPr>
                        <w:rFonts w:ascii="Cambria Math" w:hAnsi="Cambria Math"/>
                      </w:rPr>
                      <m:t>L</m:t>
                    </m:r>
                  </m:sub>
                </m:sSub>
                <m:f>
                  <m:fPr>
                    <m:ctrlPr>
                      <w:rPr>
                        <w:rFonts w:ascii="Cambria Math" w:hAnsi="Cambria Math"/>
                      </w:rPr>
                    </m:ctrlPr>
                  </m:fPr>
                  <m:num>
                    <m:sSup>
                      <m:sSupPr>
                        <m:ctrlPr>
                          <w:rPr>
                            <w:rFonts w:ascii="Cambria Math" w:hAnsi="Cambria Math"/>
                          </w:rPr>
                        </m:ctrlPr>
                      </m:sSupPr>
                      <m:e>
                        <m:r>
                          <w:rPr>
                            <w:rFonts w:ascii="Cambria Math" w:hAnsi="Cambria Math"/>
                          </w:rPr>
                          <m:t>∂</m:t>
                        </m:r>
                      </m:e>
                      <m:sup>
                        <m:r>
                          <m:rPr>
                            <m:sty m:val="p"/>
                          </m:rPr>
                          <w:rPr>
                            <w:rFonts w:ascii="Cambria Math" w:hAnsi="Cambria Math"/>
                          </w:rPr>
                          <m:t>2</m:t>
                        </m:r>
                      </m:sup>
                    </m:sSup>
                    <m:r>
                      <w:rPr>
                        <w:rFonts w:ascii="Cambria Math" w:hAnsi="Cambria Math"/>
                      </w:rPr>
                      <m:t>C</m:t>
                    </m:r>
                  </m:num>
                  <m:den>
                    <m:r>
                      <w:rPr>
                        <w:rFonts w:ascii="Cambria Math" w:hAnsi="Cambria Math"/>
                      </w:rPr>
                      <m:t>∂</m:t>
                    </m:r>
                    <m:sSup>
                      <m:sSupPr>
                        <m:ctrlPr>
                          <w:rPr>
                            <w:rFonts w:ascii="Cambria Math" w:hAnsi="Cambria Math"/>
                          </w:rPr>
                        </m:ctrlPr>
                      </m:sSupPr>
                      <m:e>
                        <m:r>
                          <w:rPr>
                            <w:rFonts w:ascii="Cambria Math" w:hAnsi="Cambria Math"/>
                          </w:rPr>
                          <m:t>z</m:t>
                        </m:r>
                      </m:e>
                      <m:sup>
                        <m:r>
                          <m:rPr>
                            <m:sty m:val="p"/>
                          </m:rPr>
                          <w:rPr>
                            <w:rFonts w:ascii="Cambria Math" w:hAnsi="Cambria Math"/>
                          </w:rPr>
                          <m:t>2</m:t>
                        </m:r>
                      </m:sup>
                    </m:sSup>
                  </m:den>
                </m:f>
              </m:oMath>
            </m:oMathPara>
          </w:p>
        </w:tc>
        <w:tc>
          <w:tcPr>
            <w:tcW w:w="5387" w:type="dxa"/>
          </w:tcPr>
          <w:p w:rsidR="008054BE" w:rsidRDefault="008054BE" w:rsidP="00CB2FBB">
            <w:pPr>
              <w:pStyle w:val="Tabletext"/>
            </w:pPr>
            <m:oMath>
              <m:r>
                <w:rPr>
                  <w:rFonts w:ascii="Cambria Math" w:hAnsi="Cambria Math"/>
                </w:rPr>
                <m:t>∂</m:t>
              </m:r>
            </m:oMath>
            <w:r>
              <w:t xml:space="preserve"> = </w:t>
            </w:r>
            <w:r w:rsidRPr="00F44860">
              <w:t>advection</w:t>
            </w:r>
          </w:p>
          <w:p w:rsidR="008054BE" w:rsidRDefault="008054BE" w:rsidP="00CB2FBB">
            <w:pPr>
              <w:pStyle w:val="Tabletext"/>
            </w:pPr>
            <w:r w:rsidRPr="005700F2">
              <w:t>C</w:t>
            </w:r>
            <w:r>
              <w:t xml:space="preserve"> = solute concentration</w:t>
            </w:r>
          </w:p>
          <w:p w:rsidR="008054BE" w:rsidRDefault="008054BE" w:rsidP="00CB2FBB">
            <w:pPr>
              <w:pStyle w:val="Tabletext"/>
            </w:pPr>
            <w:r w:rsidRPr="005700F2">
              <w:t>t</w:t>
            </w:r>
            <w:r>
              <w:t xml:space="preserve"> = time</w:t>
            </w:r>
          </w:p>
          <w:p w:rsidR="008054BE" w:rsidRPr="00A47F3D" w:rsidRDefault="008054BE" w:rsidP="00CB2FBB">
            <w:pPr>
              <w:pStyle w:val="Tabletext"/>
            </w:pPr>
            <w:r w:rsidRPr="00105ABD">
              <w:t>v</w:t>
            </w:r>
            <w:r>
              <w:t xml:space="preserve"> = groundwater velocity</w:t>
            </w:r>
          </w:p>
          <w:p w:rsidR="008054BE" w:rsidRDefault="008054BE" w:rsidP="00CB2FBB">
            <w:pPr>
              <w:pStyle w:val="Tabletext"/>
            </w:pPr>
            <w:r w:rsidRPr="005700F2">
              <w:t>z</w:t>
            </w:r>
            <w:r>
              <w:t xml:space="preserve"> = distance</w:t>
            </w:r>
          </w:p>
          <w:p w:rsidR="008054BE" w:rsidRDefault="008054BE" w:rsidP="00CB2FBB">
            <w:pPr>
              <w:pStyle w:val="Tabletext"/>
            </w:pPr>
            <w:r w:rsidRPr="00A47F3D">
              <w:t>D</w:t>
            </w:r>
            <w:r w:rsidRPr="00A47F3D">
              <w:rPr>
                <w:vertAlign w:val="subscript"/>
              </w:rPr>
              <w:t>L</w:t>
            </w:r>
            <w:r>
              <w:rPr>
                <w:vertAlign w:val="subscript"/>
              </w:rPr>
              <w:t xml:space="preserve"> = </w:t>
            </w:r>
            <w:r>
              <w:t>coefficient of l</w:t>
            </w:r>
            <w:r w:rsidRPr="00687506">
              <w:t>ongitudinal hydrodynamic dispersion</w:t>
            </w:r>
          </w:p>
        </w:tc>
      </w:tr>
      <w:tr w:rsidR="008054BE" w:rsidRPr="0075269C" w:rsidTr="004911EE">
        <w:trPr>
          <w:trHeight w:val="84"/>
        </w:trPr>
        <w:tc>
          <w:tcPr>
            <w:tcW w:w="3969" w:type="dxa"/>
          </w:tcPr>
          <w:p w:rsidR="008054BE" w:rsidRPr="005700F2" w:rsidRDefault="008054BE" w:rsidP="00CB2FBB">
            <w:pPr>
              <w:pStyle w:val="Tabletext"/>
            </w:pPr>
            <m:oMathPara>
              <m:oMath>
                <m:r>
                  <w:rPr>
                    <w:rFonts w:ascii="Cambria Math" w:hAnsi="Cambria Math"/>
                  </w:rPr>
                  <m:t>Pe</m:t>
                </m:r>
                <m:r>
                  <m:rPr>
                    <m:sty m:val="p"/>
                  </m:rP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v</m:t>
                        </m:r>
                      </m:e>
                      <m:sub>
                        <m:r>
                          <w:rPr>
                            <w:rFonts w:ascii="Cambria Math" w:hAnsi="Cambria Math"/>
                          </w:rPr>
                          <m:t>z</m:t>
                        </m:r>
                      </m:sub>
                    </m:sSub>
                  </m:num>
                  <m:den>
                    <m:sSub>
                      <m:sSubPr>
                        <m:ctrlPr>
                          <w:rPr>
                            <w:rFonts w:ascii="Cambria Math" w:hAnsi="Cambria Math"/>
                          </w:rPr>
                        </m:ctrlPr>
                      </m:sSubPr>
                      <m:e>
                        <m:r>
                          <w:rPr>
                            <w:rFonts w:ascii="Cambria Math" w:hAnsi="Cambria Math"/>
                          </w:rPr>
                          <m:t>D</m:t>
                        </m:r>
                      </m:e>
                      <m:sub>
                        <m:r>
                          <w:rPr>
                            <w:rFonts w:ascii="Cambria Math" w:hAnsi="Cambria Math"/>
                          </w:rPr>
                          <m:t>L</m:t>
                        </m:r>
                      </m:sub>
                    </m:sSub>
                  </m:den>
                </m:f>
                <m:r>
                  <w:rPr>
                    <w:rFonts w:ascii="Cambria Math" w:hAnsi="Cambria Math"/>
                  </w:rPr>
                  <m:t>L</m:t>
                </m:r>
              </m:oMath>
            </m:oMathPara>
          </w:p>
        </w:tc>
        <w:tc>
          <w:tcPr>
            <w:tcW w:w="5387" w:type="dxa"/>
          </w:tcPr>
          <w:p w:rsidR="008054BE" w:rsidRDefault="008054BE" w:rsidP="00CB2FBB">
            <w:pPr>
              <w:pStyle w:val="Tabletext"/>
            </w:pPr>
            <w:r w:rsidRPr="005700F2">
              <w:t>Pe</w:t>
            </w:r>
            <w:r>
              <w:t xml:space="preserve"> = Peclet number</w:t>
            </w:r>
          </w:p>
          <w:p w:rsidR="008054BE" w:rsidRPr="00A47F3D" w:rsidRDefault="008054BE" w:rsidP="00CB2FBB">
            <w:pPr>
              <w:pStyle w:val="Tabletext"/>
            </w:pPr>
            <w:r w:rsidRPr="00105ABD">
              <w:t>v</w:t>
            </w:r>
            <w:r>
              <w:t xml:space="preserve"> = groundwater velocity</w:t>
            </w:r>
          </w:p>
          <w:p w:rsidR="008054BE" w:rsidRDefault="008054BE" w:rsidP="00CB2FBB">
            <w:pPr>
              <w:pStyle w:val="Tabletext"/>
            </w:pPr>
            <w:r w:rsidRPr="005700F2">
              <w:t>z</w:t>
            </w:r>
            <w:r>
              <w:t xml:space="preserve"> = distance</w:t>
            </w:r>
          </w:p>
          <w:p w:rsidR="008054BE" w:rsidRDefault="008054BE" w:rsidP="00CB2FBB">
            <w:pPr>
              <w:pStyle w:val="Tabletext"/>
            </w:pPr>
            <w:r w:rsidRPr="00A47F3D">
              <w:t>D</w:t>
            </w:r>
            <w:r w:rsidRPr="00A47F3D">
              <w:rPr>
                <w:vertAlign w:val="subscript"/>
              </w:rPr>
              <w:t>L</w:t>
            </w:r>
            <w:r>
              <w:rPr>
                <w:vertAlign w:val="subscript"/>
              </w:rPr>
              <w:t xml:space="preserve"> = </w:t>
            </w:r>
            <w:r>
              <w:t>coefficient of l</w:t>
            </w:r>
            <w:r w:rsidRPr="00687506">
              <w:t>ongitudinal hydrodynamic dispersion</w:t>
            </w:r>
          </w:p>
          <w:p w:rsidR="008054BE" w:rsidRDefault="008054BE" w:rsidP="00CB2FBB">
            <w:pPr>
              <w:pStyle w:val="Tabletext"/>
            </w:pPr>
            <w:r w:rsidRPr="005700F2">
              <w:t>L</w:t>
            </w:r>
            <w:r>
              <w:t xml:space="preserve"> = length</w:t>
            </w:r>
          </w:p>
        </w:tc>
      </w:tr>
      <w:tr w:rsidR="008054BE" w:rsidRPr="0075269C" w:rsidTr="004911EE">
        <w:trPr>
          <w:trHeight w:val="84"/>
        </w:trPr>
        <w:tc>
          <w:tcPr>
            <w:tcW w:w="3969" w:type="dxa"/>
          </w:tcPr>
          <w:p w:rsidR="008054BE" w:rsidRPr="00184A80" w:rsidRDefault="008054BE" w:rsidP="00CB2FBB">
            <w:pPr>
              <w:pStyle w:val="Tabletext"/>
            </w:pPr>
            <m:oMathPara>
              <m:oMath>
                <m:r>
                  <w:rPr>
                    <w:rFonts w:ascii="Cambria Math" w:hAnsi="Cambria Math"/>
                  </w:rPr>
                  <m:t>v</m:t>
                </m:r>
                <m:r>
                  <m:rPr>
                    <m:sty m:val="p"/>
                  </m:rPr>
                  <w:rPr>
                    <w:rFonts w:ascii="Cambria Math" w:hAnsi="Cambria Math"/>
                  </w:rPr>
                  <m:t>=</m:t>
                </m:r>
                <m:f>
                  <m:fPr>
                    <m:ctrlPr>
                      <w:rPr>
                        <w:rFonts w:ascii="Cambria Math" w:hAnsi="Cambria Math"/>
                      </w:rPr>
                    </m:ctrlPr>
                  </m:fPr>
                  <m:num>
                    <m:r>
                      <w:rPr>
                        <w:rFonts w:ascii="Cambria Math" w:hAnsi="Cambria Math"/>
                      </w:rPr>
                      <m:t>ρg</m:t>
                    </m:r>
                  </m:num>
                  <m:den>
                    <m:r>
                      <m:rPr>
                        <m:sty m:val="p"/>
                      </m:rPr>
                      <w:rPr>
                        <w:rFonts w:ascii="Cambria Math" w:hAnsi="Cambria Math"/>
                      </w:rPr>
                      <m:t>12</m:t>
                    </m:r>
                    <m:r>
                      <w:rPr>
                        <w:rFonts w:ascii="Cambria Math" w:hAnsi="Cambria Math"/>
                      </w:rPr>
                      <m:t>μ</m:t>
                    </m:r>
                  </m:den>
                </m:f>
                <m:sSup>
                  <m:sSupPr>
                    <m:ctrlPr>
                      <w:rPr>
                        <w:rFonts w:ascii="Cambria Math" w:hAnsi="Cambria Math"/>
                        <w:vertAlign w:val="superscript"/>
                      </w:rPr>
                    </m:ctrlPr>
                  </m:sSupPr>
                  <m:e>
                    <m:d>
                      <m:dPr>
                        <m:ctrlPr>
                          <w:rPr>
                            <w:rFonts w:ascii="Cambria Math" w:hAnsi="Cambria Math"/>
                          </w:rPr>
                        </m:ctrlPr>
                      </m:dPr>
                      <m:e>
                        <m:r>
                          <m:rPr>
                            <m:sty m:val="p"/>
                          </m:rPr>
                          <w:rPr>
                            <w:rFonts w:ascii="Cambria Math" w:hAnsi="Cambria Math"/>
                          </w:rPr>
                          <m:t>2</m:t>
                        </m:r>
                        <m:r>
                          <w:rPr>
                            <w:rFonts w:ascii="Cambria Math" w:hAnsi="Cambria Math"/>
                          </w:rPr>
                          <m:t>b</m:t>
                        </m:r>
                      </m:e>
                    </m:d>
                  </m:e>
                  <m:sup>
                    <m:r>
                      <m:rPr>
                        <m:sty m:val="p"/>
                      </m:rPr>
                      <w:rPr>
                        <w:rFonts w:ascii="Cambria Math" w:hAnsi="Cambria Math"/>
                        <w:vertAlign w:val="superscript"/>
                      </w:rPr>
                      <m:t>2</m:t>
                    </m:r>
                  </m:sup>
                </m:sSup>
                <m:f>
                  <m:fPr>
                    <m:ctrlPr>
                      <w:rPr>
                        <w:rFonts w:ascii="Cambria Math" w:hAnsi="Cambria Math"/>
                      </w:rPr>
                    </m:ctrlPr>
                  </m:fPr>
                  <m:num>
                    <m:r>
                      <w:rPr>
                        <w:rFonts w:ascii="Cambria Math" w:hAnsi="Cambria Math"/>
                      </w:rPr>
                      <m:t>dh</m:t>
                    </m:r>
                  </m:num>
                  <m:den>
                    <m:r>
                      <w:rPr>
                        <w:rFonts w:ascii="Cambria Math" w:hAnsi="Cambria Math"/>
                      </w:rPr>
                      <m:t>dz</m:t>
                    </m:r>
                  </m:den>
                </m:f>
              </m:oMath>
            </m:oMathPara>
          </w:p>
        </w:tc>
        <w:tc>
          <w:tcPr>
            <w:tcW w:w="5387" w:type="dxa"/>
          </w:tcPr>
          <w:p w:rsidR="008054BE" w:rsidRPr="00A47F3D" w:rsidRDefault="008054BE" w:rsidP="00CB2FBB">
            <w:pPr>
              <w:pStyle w:val="Tabletext"/>
            </w:pPr>
            <w:r w:rsidRPr="00105ABD">
              <w:t>v</w:t>
            </w:r>
            <w:r>
              <w:t xml:space="preserve"> = groundwater velocity</w:t>
            </w:r>
          </w:p>
          <w:p w:rsidR="008054BE" w:rsidRDefault="008054BE" w:rsidP="00CB2FBB">
            <w:pPr>
              <w:pStyle w:val="Tabletext"/>
            </w:pPr>
            <m:oMath>
              <m:r>
                <w:rPr>
                  <w:rFonts w:ascii="Cambria Math" w:hAnsi="Cambria Math"/>
                </w:rPr>
                <m:t>ρ</m:t>
              </m:r>
            </m:oMath>
            <w:r>
              <w:t xml:space="preserve"> = density </w:t>
            </w:r>
          </w:p>
          <w:p w:rsidR="008054BE" w:rsidRDefault="008054BE" w:rsidP="00CB2FBB">
            <w:pPr>
              <w:pStyle w:val="Tabletext"/>
            </w:pPr>
            <w:r w:rsidRPr="00105ABD">
              <w:t>g</w:t>
            </w:r>
            <w:r>
              <w:t xml:space="preserve"> = </w:t>
            </w:r>
            <w:r w:rsidRPr="00C43193">
              <w:t xml:space="preserve">acceleration due to gravity (1g is </w:t>
            </w:r>
            <w:r>
              <w:t>approximately</w:t>
            </w:r>
            <w:r w:rsidRPr="00C43193">
              <w:t xml:space="preserve"> 9.81</w:t>
            </w:r>
            <w:r>
              <w:t> </w:t>
            </w:r>
            <w:r w:rsidRPr="00C43193">
              <w:t>m/s)</w:t>
            </w:r>
          </w:p>
          <w:p w:rsidR="008054BE" w:rsidRDefault="008054BE" w:rsidP="00CB2FBB">
            <w:pPr>
              <w:pStyle w:val="Tabletext"/>
            </w:pPr>
            <w:r w:rsidRPr="00105ABD">
              <w:t>µ</w:t>
            </w:r>
            <w:r>
              <w:t xml:space="preserve"> = viscosity</w:t>
            </w:r>
          </w:p>
          <w:p w:rsidR="008054BE" w:rsidRDefault="008054BE" w:rsidP="00CB2FBB">
            <w:pPr>
              <w:pStyle w:val="Tabletext"/>
            </w:pPr>
            <w:r w:rsidRPr="00105ABD">
              <w:t>b</w:t>
            </w:r>
            <w:r>
              <w:t xml:space="preserve"> = aperture of the fraction</w:t>
            </w:r>
          </w:p>
          <w:p w:rsidR="008054BE" w:rsidRDefault="008054BE" w:rsidP="00CB2FBB">
            <w:pPr>
              <w:pStyle w:val="Tabletext"/>
            </w:pPr>
            <w:proofErr w:type="gramStart"/>
            <w:r w:rsidRPr="00C43193">
              <w:t>dh/dz</w:t>
            </w:r>
            <w:proofErr w:type="gramEnd"/>
            <w:r>
              <w:t xml:space="preserve"> = hydraulic gradient, where dh is the change [</w:t>
            </w:r>
            <w:r w:rsidRPr="00CA06DD">
              <w:t>d</w:t>
            </w:r>
            <w:r>
              <w:t>] in hydraulic head [h (m)] over a distance [z (m)] along the direction of flow.</w:t>
            </w:r>
          </w:p>
        </w:tc>
      </w:tr>
      <w:tr w:rsidR="008054BE" w:rsidRPr="0075269C" w:rsidTr="004911EE">
        <w:trPr>
          <w:trHeight w:val="84"/>
        </w:trPr>
        <w:tc>
          <w:tcPr>
            <w:tcW w:w="3969" w:type="dxa"/>
          </w:tcPr>
          <w:p w:rsidR="008054BE" w:rsidRPr="00212993" w:rsidRDefault="008054BE" w:rsidP="00CB2FBB">
            <w:pPr>
              <w:pStyle w:val="Tabletext"/>
            </w:pPr>
            <m:oMathPara>
              <m:oMath>
                <m:r>
                  <w:rPr>
                    <w:rFonts w:ascii="Cambria Math" w:hAnsi="Cambria Math"/>
                  </w:rPr>
                  <m:t>K</m:t>
                </m:r>
                <m:r>
                  <m:rPr>
                    <m:sty m:val="p"/>
                  </m:rPr>
                  <w:rPr>
                    <w:rFonts w:ascii="Cambria Math" w:hAnsi="Cambria Math"/>
                  </w:rPr>
                  <m:t>=</m:t>
                </m:r>
                <m:f>
                  <m:fPr>
                    <m:ctrlPr>
                      <w:rPr>
                        <w:rFonts w:ascii="Cambria Math" w:hAnsi="Cambria Math"/>
                      </w:rPr>
                    </m:ctrlPr>
                  </m:fPr>
                  <m:num>
                    <m:r>
                      <w:rPr>
                        <w:rFonts w:ascii="Cambria Math" w:hAnsi="Cambria Math"/>
                      </w:rPr>
                      <m:t>VL</m:t>
                    </m:r>
                  </m:num>
                  <m:den>
                    <m:r>
                      <w:rPr>
                        <w:rFonts w:ascii="Cambria Math" w:hAnsi="Cambria Math"/>
                      </w:rPr>
                      <m:t>Ath</m:t>
                    </m:r>
                  </m:den>
                </m:f>
              </m:oMath>
            </m:oMathPara>
          </w:p>
        </w:tc>
        <w:tc>
          <w:tcPr>
            <w:tcW w:w="5387" w:type="dxa"/>
          </w:tcPr>
          <w:p w:rsidR="008054BE" w:rsidRDefault="008054BE" w:rsidP="00CB2FBB">
            <w:pPr>
              <w:pStyle w:val="Tabletext"/>
            </w:pPr>
            <w:r>
              <w:t>Hydraulic conductivity (K in L/T) from a modified version of Darcy’s Law:</w:t>
            </w:r>
          </w:p>
          <w:p w:rsidR="008054BE" w:rsidRDefault="008054BE" w:rsidP="00CB2FBB">
            <w:pPr>
              <w:pStyle w:val="Tabletext"/>
            </w:pPr>
            <w:r w:rsidRPr="00212993">
              <w:t>K</w:t>
            </w:r>
            <w:r>
              <w:t xml:space="preserve"> = hydraulic conductivity</w:t>
            </w:r>
          </w:p>
          <w:p w:rsidR="008054BE" w:rsidRDefault="008054BE" w:rsidP="00CB2FBB">
            <w:pPr>
              <w:pStyle w:val="Tabletext"/>
            </w:pPr>
            <w:r w:rsidRPr="00212993">
              <w:t>V</w:t>
            </w:r>
            <w:r>
              <w:t xml:space="preserve"> = volume of water discharged (L</w:t>
            </w:r>
            <w:r>
              <w:rPr>
                <w:vertAlign w:val="superscript"/>
              </w:rPr>
              <w:t>3</w:t>
            </w:r>
            <w:r>
              <w:t>)</w:t>
            </w:r>
          </w:p>
          <w:p w:rsidR="008054BE" w:rsidRDefault="008054BE" w:rsidP="00CB2FBB">
            <w:pPr>
              <w:pStyle w:val="Tabletext"/>
            </w:pPr>
            <w:r w:rsidRPr="00212993">
              <w:t>L</w:t>
            </w:r>
            <w:r>
              <w:t xml:space="preserve"> = length of the sample</w:t>
            </w:r>
          </w:p>
          <w:p w:rsidR="008054BE" w:rsidRDefault="008054BE" w:rsidP="00CB2FBB">
            <w:pPr>
              <w:pStyle w:val="Tabletext"/>
            </w:pPr>
            <w:r w:rsidRPr="00212993">
              <w:t>A</w:t>
            </w:r>
            <w:r>
              <w:t xml:space="preserve"> = cross-sectional area of the sample (L</w:t>
            </w:r>
            <w:r>
              <w:rPr>
                <w:vertAlign w:val="superscript"/>
              </w:rPr>
              <w:t>2</w:t>
            </w:r>
            <w:r>
              <w:t>)</w:t>
            </w:r>
          </w:p>
          <w:p w:rsidR="008054BE" w:rsidRDefault="008054BE" w:rsidP="00CB2FBB">
            <w:pPr>
              <w:pStyle w:val="Tabletext"/>
            </w:pPr>
            <w:r w:rsidRPr="00212993">
              <w:t>t</w:t>
            </w:r>
            <w:r>
              <w:t xml:space="preserve"> = time</w:t>
            </w:r>
          </w:p>
          <w:p w:rsidR="008054BE" w:rsidRPr="00212993" w:rsidRDefault="008054BE" w:rsidP="00CB2FBB">
            <w:pPr>
              <w:pStyle w:val="Tabletext"/>
            </w:pPr>
            <w:r w:rsidRPr="00212993">
              <w:t>h</w:t>
            </w:r>
            <w:r>
              <w:t xml:space="preserve"> = hydraulic head (L)</w:t>
            </w:r>
          </w:p>
        </w:tc>
      </w:tr>
      <w:tr w:rsidR="008054BE" w:rsidRPr="0075269C" w:rsidTr="004911EE">
        <w:trPr>
          <w:trHeight w:val="84"/>
        </w:trPr>
        <w:tc>
          <w:tcPr>
            <w:tcW w:w="3969" w:type="dxa"/>
          </w:tcPr>
          <w:p w:rsidR="008054BE" w:rsidRPr="00B9376C" w:rsidRDefault="008054BE" w:rsidP="00CB2FBB">
            <w:pPr>
              <w:pStyle w:val="Tabletext"/>
            </w:pPr>
            <m:oMathPara>
              <m:oMath>
                <m:r>
                  <m:rPr>
                    <m:sty m:val="p"/>
                  </m:rPr>
                  <w:rPr>
                    <w:rFonts w:ascii="Cambria Math" w:hAnsi="Cambria Math"/>
                  </w:rPr>
                  <m:t>K=</m:t>
                </m:r>
                <m:f>
                  <m:fPr>
                    <m:ctrlPr>
                      <w:rPr>
                        <w:rFonts w:ascii="Cambria Math" w:hAnsi="Cambria Math"/>
                      </w:rPr>
                    </m:ctrlPr>
                  </m:fPr>
                  <m:num>
                    <m:sSubSup>
                      <m:sSubSupPr>
                        <m:ctrlPr>
                          <w:rPr>
                            <w:rFonts w:ascii="Cambria Math" w:hAnsi="Cambria Math"/>
                          </w:rPr>
                        </m:ctrlPr>
                      </m:sSubSupPr>
                      <m:e>
                        <m:r>
                          <w:rPr>
                            <w:rFonts w:ascii="Cambria Math" w:hAnsi="Cambria Math"/>
                          </w:rPr>
                          <m:t>d</m:t>
                        </m:r>
                      </m:e>
                      <m:sub>
                        <m:r>
                          <w:rPr>
                            <w:rFonts w:ascii="Cambria Math" w:hAnsi="Cambria Math"/>
                          </w:rPr>
                          <m:t>t</m:t>
                        </m:r>
                      </m:sub>
                      <m:sup>
                        <m:r>
                          <m:rPr>
                            <m:sty m:val="p"/>
                          </m:rPr>
                          <w:rPr>
                            <w:rFonts w:ascii="Cambria Math" w:hAnsi="Cambria Math"/>
                          </w:rPr>
                          <m:t>2</m:t>
                        </m:r>
                      </m:sup>
                    </m:sSubSup>
                    <m:r>
                      <w:rPr>
                        <w:rFonts w:ascii="Cambria Math" w:hAnsi="Cambria Math"/>
                      </w:rPr>
                      <m:t>L</m:t>
                    </m:r>
                  </m:num>
                  <m:den>
                    <m:sSubSup>
                      <m:sSubSupPr>
                        <m:ctrlPr>
                          <w:rPr>
                            <w:rFonts w:ascii="Cambria Math" w:hAnsi="Cambria Math"/>
                          </w:rPr>
                        </m:ctrlPr>
                      </m:sSubSupPr>
                      <m:e>
                        <m:r>
                          <w:rPr>
                            <w:rFonts w:ascii="Cambria Math" w:hAnsi="Cambria Math"/>
                          </w:rPr>
                          <m:t>d</m:t>
                        </m:r>
                      </m:e>
                      <m:sub>
                        <m:r>
                          <w:rPr>
                            <w:rFonts w:ascii="Cambria Math" w:hAnsi="Cambria Math"/>
                          </w:rPr>
                          <m:t>c</m:t>
                        </m:r>
                      </m:sub>
                      <m:sup>
                        <m:r>
                          <m:rPr>
                            <m:sty m:val="p"/>
                          </m:rPr>
                          <w:rPr>
                            <w:rFonts w:ascii="Cambria Math" w:hAnsi="Cambria Math"/>
                          </w:rPr>
                          <m:t>2</m:t>
                        </m:r>
                      </m:sup>
                    </m:sSubSup>
                    <m:r>
                      <w:rPr>
                        <w:rFonts w:ascii="Cambria Math" w:hAnsi="Cambria Math"/>
                      </w:rPr>
                      <m:t>t</m:t>
                    </m:r>
                  </m:den>
                </m:f>
                <m:r>
                  <w:rPr>
                    <w:rFonts w:ascii="Cambria Math" w:hAnsi="Cambria Math"/>
                  </w:rPr>
                  <m:t>ln</m:t>
                </m:r>
                <m:d>
                  <m:dPr>
                    <m:ctrlPr>
                      <w:rPr>
                        <w:rFonts w:ascii="Cambria Math" w:hAnsi="Cambria Math"/>
                      </w:rPr>
                    </m:ctrlPr>
                  </m:dPr>
                  <m:e>
                    <m:f>
                      <m:fPr>
                        <m:ctrlPr>
                          <w:rPr>
                            <w:rFonts w:ascii="Cambria Math" w:hAnsi="Cambria Math"/>
                          </w:rPr>
                        </m:ctrlPr>
                      </m:fPr>
                      <m:num>
                        <m:sSub>
                          <m:sSubPr>
                            <m:ctrlPr>
                              <w:rPr>
                                <w:rFonts w:ascii="Cambria Math" w:hAnsi="Cambria Math"/>
                              </w:rPr>
                            </m:ctrlPr>
                          </m:sSubPr>
                          <m:e>
                            <m:r>
                              <w:rPr>
                                <w:rFonts w:ascii="Cambria Math" w:hAnsi="Cambria Math"/>
                              </w:rPr>
                              <m:t>h</m:t>
                            </m:r>
                          </m:e>
                          <m:sub>
                            <m:r>
                              <m:rPr>
                                <m:sty m:val="p"/>
                              </m:rPr>
                              <w:rPr>
                                <w:rFonts w:ascii="Cambria Math" w:hAnsi="Cambria Math"/>
                              </w:rPr>
                              <m:t>0</m:t>
                            </m:r>
                          </m:sub>
                        </m:sSub>
                      </m:num>
                      <m:den>
                        <m:r>
                          <w:rPr>
                            <w:rFonts w:ascii="Cambria Math" w:hAnsi="Cambria Math"/>
                          </w:rPr>
                          <m:t>h</m:t>
                        </m:r>
                      </m:den>
                    </m:f>
                  </m:e>
                </m:d>
              </m:oMath>
            </m:oMathPara>
          </w:p>
        </w:tc>
        <w:tc>
          <w:tcPr>
            <w:tcW w:w="5387" w:type="dxa"/>
          </w:tcPr>
          <w:p w:rsidR="008054BE" w:rsidRDefault="008054BE" w:rsidP="00CB2FBB">
            <w:pPr>
              <w:pStyle w:val="Tabletext"/>
            </w:pPr>
            <w:r w:rsidRPr="00212993">
              <w:t>K</w:t>
            </w:r>
            <w:r>
              <w:t xml:space="preserve"> = hydraulic conductivity</w:t>
            </w:r>
          </w:p>
          <w:p w:rsidR="008054BE" w:rsidRPr="0073444E" w:rsidRDefault="008054BE" w:rsidP="00CB2FBB">
            <w:pPr>
              <w:pStyle w:val="Tabletext"/>
            </w:pPr>
            <w:r w:rsidRPr="0073444E">
              <w:t>d</w:t>
            </w:r>
            <w:r w:rsidRPr="0073444E">
              <w:rPr>
                <w:vertAlign w:val="subscript"/>
              </w:rPr>
              <w:t>t</w:t>
            </w:r>
            <w:r>
              <w:t xml:space="preserve"> = inside diameter of the falling-head tube (L)</w:t>
            </w:r>
          </w:p>
          <w:p w:rsidR="008054BE" w:rsidRDefault="008054BE" w:rsidP="00CB2FBB">
            <w:pPr>
              <w:pStyle w:val="Tabletext"/>
            </w:pPr>
            <w:r w:rsidRPr="00212993">
              <w:t>L</w:t>
            </w:r>
            <w:r>
              <w:t xml:space="preserve"> = length of the sample</w:t>
            </w:r>
          </w:p>
          <w:p w:rsidR="008054BE" w:rsidRPr="0073444E" w:rsidRDefault="008054BE" w:rsidP="00CB2FBB">
            <w:pPr>
              <w:pStyle w:val="Tabletext"/>
            </w:pPr>
            <w:r>
              <w:t>d</w:t>
            </w:r>
            <w:r>
              <w:rPr>
                <w:vertAlign w:val="subscript"/>
              </w:rPr>
              <w:t>c</w:t>
            </w:r>
            <w:r>
              <w:t xml:space="preserve"> = inside diameter of the sample chamber (L)</w:t>
            </w:r>
          </w:p>
          <w:p w:rsidR="008054BE" w:rsidRPr="0073444E" w:rsidRDefault="008054BE" w:rsidP="00CB2FBB">
            <w:pPr>
              <w:pStyle w:val="Tabletext"/>
            </w:pPr>
            <w:r w:rsidRPr="00212993">
              <w:lastRenderedPageBreak/>
              <w:t>t</w:t>
            </w:r>
            <w:r>
              <w:t xml:space="preserve"> = time for head to go from </w:t>
            </w:r>
            <w:r w:rsidRPr="0073444E">
              <w:t>h</w:t>
            </w:r>
            <w:r w:rsidRPr="0073444E">
              <w:rPr>
                <w:vertAlign w:val="subscript"/>
              </w:rPr>
              <w:t>o</w:t>
            </w:r>
            <w:r>
              <w:t xml:space="preserve"> to </w:t>
            </w:r>
            <w:r w:rsidRPr="0073444E">
              <w:t>h</w:t>
            </w:r>
          </w:p>
          <w:p w:rsidR="008054BE" w:rsidRDefault="008054BE" w:rsidP="00CB2FBB">
            <w:pPr>
              <w:pStyle w:val="Tabletext"/>
            </w:pPr>
            <w:r w:rsidRPr="00212993">
              <w:t>h</w:t>
            </w:r>
            <w:r>
              <w:rPr>
                <w:vertAlign w:val="subscript"/>
              </w:rPr>
              <w:t>o</w:t>
            </w:r>
            <w:r>
              <w:t xml:space="preserve"> = initial water level</w:t>
            </w:r>
          </w:p>
          <w:p w:rsidR="008054BE" w:rsidRDefault="008054BE" w:rsidP="00CB2FBB">
            <w:pPr>
              <w:pStyle w:val="Tabletext"/>
            </w:pPr>
            <w:r w:rsidRPr="0073444E">
              <w:t>h</w:t>
            </w:r>
            <w:r>
              <w:t xml:space="preserve"> = water level</w:t>
            </w:r>
          </w:p>
        </w:tc>
      </w:tr>
      <w:tr w:rsidR="008054BE" w:rsidRPr="0075269C" w:rsidTr="004911EE">
        <w:trPr>
          <w:trHeight w:val="84"/>
        </w:trPr>
        <w:tc>
          <w:tcPr>
            <w:tcW w:w="3969" w:type="dxa"/>
          </w:tcPr>
          <w:p w:rsidR="008054BE" w:rsidRPr="00DC0ABC" w:rsidRDefault="008054BE" w:rsidP="00CB2FBB">
            <w:pPr>
              <w:pStyle w:val="Tabletext"/>
            </w:pPr>
            <m:oMathPara>
              <m:oMath>
                <m:r>
                  <w:rPr>
                    <w:rFonts w:ascii="Cambria Math" w:hAnsi="Cambria Math"/>
                  </w:rPr>
                  <w:lastRenderedPageBreak/>
                  <m:t>k</m:t>
                </m:r>
                <m:r>
                  <m:rPr>
                    <m:sty m:val="p"/>
                  </m:rPr>
                  <w:rPr>
                    <w:rFonts w:ascii="Cambria Math" w:hAnsi="Cambria Math"/>
                  </w:rPr>
                  <m:t>=</m:t>
                </m:r>
                <m:f>
                  <m:fPr>
                    <m:ctrlPr>
                      <w:rPr>
                        <w:rFonts w:ascii="Cambria Math" w:hAnsi="Cambria Math"/>
                      </w:rPr>
                    </m:ctrlPr>
                  </m:fPr>
                  <m:num>
                    <m:d>
                      <m:dPr>
                        <m:ctrlPr>
                          <w:rPr>
                            <w:rFonts w:ascii="Cambria Math" w:hAnsi="Cambria Math"/>
                          </w:rPr>
                        </m:ctrlPr>
                      </m:dPr>
                      <m:e>
                        <m:r>
                          <m:rPr>
                            <m:sty m:val="p"/>
                          </m:rPr>
                          <w:rPr>
                            <w:rFonts w:ascii="Cambria Math" w:hAnsi="Cambria Math"/>
                          </w:rPr>
                          <m:t>2</m:t>
                        </m:r>
                        <m:sSub>
                          <m:sSubPr>
                            <m:ctrlPr>
                              <w:rPr>
                                <w:rFonts w:ascii="Cambria Math" w:hAnsi="Cambria Math"/>
                              </w:rPr>
                            </m:ctrlPr>
                          </m:sSubPr>
                          <m:e>
                            <m:r>
                              <w:rPr>
                                <w:rFonts w:ascii="Cambria Math" w:hAnsi="Cambria Math"/>
                              </w:rPr>
                              <m:t>Q</m:t>
                            </m:r>
                          </m:e>
                          <m:sub>
                            <m:r>
                              <w:rPr>
                                <w:rFonts w:ascii="Cambria Math" w:hAnsi="Cambria Math"/>
                              </w:rPr>
                              <m:t>e</m:t>
                            </m:r>
                          </m:sub>
                        </m:sSub>
                        <m:sSub>
                          <m:sSubPr>
                            <m:ctrlPr>
                              <w:rPr>
                                <w:rFonts w:ascii="Cambria Math" w:hAnsi="Cambria Math"/>
                              </w:rPr>
                            </m:ctrlPr>
                          </m:sSubPr>
                          <m:e>
                            <m:r>
                              <w:rPr>
                                <w:rFonts w:ascii="Cambria Math" w:hAnsi="Cambria Math"/>
                              </w:rPr>
                              <m:t>P</m:t>
                            </m:r>
                          </m:e>
                          <m:sub>
                            <m:r>
                              <w:rPr>
                                <w:rFonts w:ascii="Cambria Math" w:hAnsi="Cambria Math"/>
                              </w:rPr>
                              <m:t>e</m:t>
                            </m:r>
                          </m:sub>
                        </m:sSub>
                        <m:r>
                          <w:rPr>
                            <w:rFonts w:ascii="Cambria Math" w:hAnsi="Cambria Math"/>
                          </w:rPr>
                          <m:t>μL</m:t>
                        </m:r>
                      </m:e>
                    </m:d>
                  </m:num>
                  <m:den>
                    <m:d>
                      <m:dPr>
                        <m:ctrlPr>
                          <w:rPr>
                            <w:rFonts w:ascii="Cambria Math" w:hAnsi="Cambria Math"/>
                          </w:rPr>
                        </m:ctrlPr>
                      </m:dPr>
                      <m:e>
                        <m:sSubSup>
                          <m:sSubSupPr>
                            <m:ctrlPr>
                              <w:rPr>
                                <w:rFonts w:ascii="Cambria Math" w:hAnsi="Cambria Math"/>
                              </w:rPr>
                            </m:ctrlPr>
                          </m:sSubSupPr>
                          <m:e>
                            <m:r>
                              <w:rPr>
                                <w:rFonts w:ascii="Cambria Math" w:hAnsi="Cambria Math"/>
                              </w:rPr>
                              <m:t>P</m:t>
                            </m:r>
                          </m:e>
                          <m:sub>
                            <m:r>
                              <w:rPr>
                                <w:rFonts w:ascii="Cambria Math" w:hAnsi="Cambria Math"/>
                              </w:rPr>
                              <m:t>i</m:t>
                            </m:r>
                          </m:sub>
                          <m:sup>
                            <m:r>
                              <m:rPr>
                                <m:sty m:val="p"/>
                              </m:rPr>
                              <w:rPr>
                                <w:rFonts w:ascii="Cambria Math" w:hAnsi="Cambria Math"/>
                              </w:rPr>
                              <m:t>2</m:t>
                            </m:r>
                          </m:sup>
                        </m:sSubSup>
                        <m:r>
                          <m:rPr>
                            <m:sty m:val="p"/>
                          </m:rPr>
                          <w:rPr>
                            <w:rFonts w:ascii="Cambria Math" w:hAnsi="Cambria Math"/>
                          </w:rPr>
                          <m:t>-</m:t>
                        </m:r>
                        <m:sSubSup>
                          <m:sSubSupPr>
                            <m:ctrlPr>
                              <w:rPr>
                                <w:rFonts w:ascii="Cambria Math" w:hAnsi="Cambria Math"/>
                              </w:rPr>
                            </m:ctrlPr>
                          </m:sSubSupPr>
                          <m:e>
                            <m:r>
                              <w:rPr>
                                <w:rFonts w:ascii="Cambria Math" w:hAnsi="Cambria Math"/>
                              </w:rPr>
                              <m:t>P</m:t>
                            </m:r>
                          </m:e>
                          <m:sub>
                            <m:r>
                              <w:rPr>
                                <w:rFonts w:ascii="Cambria Math" w:hAnsi="Cambria Math"/>
                              </w:rPr>
                              <m:t>e</m:t>
                            </m:r>
                          </m:sub>
                          <m:sup>
                            <m:r>
                              <m:rPr>
                                <m:sty m:val="p"/>
                              </m:rPr>
                              <w:rPr>
                                <w:rFonts w:ascii="Cambria Math" w:hAnsi="Cambria Math"/>
                              </w:rPr>
                              <m:t>2</m:t>
                            </m:r>
                          </m:sup>
                        </m:sSubSup>
                      </m:e>
                    </m:d>
                    <m:r>
                      <w:rPr>
                        <w:rFonts w:ascii="Cambria Math" w:hAnsi="Cambria Math"/>
                      </w:rPr>
                      <m:t>A</m:t>
                    </m:r>
                  </m:den>
                </m:f>
              </m:oMath>
            </m:oMathPara>
          </w:p>
        </w:tc>
        <w:tc>
          <w:tcPr>
            <w:tcW w:w="5387" w:type="dxa"/>
          </w:tcPr>
          <w:p w:rsidR="008054BE" w:rsidRDefault="008054BE" w:rsidP="00CB2FBB">
            <w:pPr>
              <w:pStyle w:val="Tabletext"/>
            </w:pPr>
            <w:r>
              <w:t>Modification of Darcy’s Law:</w:t>
            </w:r>
          </w:p>
          <w:p w:rsidR="008054BE" w:rsidRPr="00C2793F" w:rsidRDefault="008054BE" w:rsidP="00CB2FBB">
            <w:pPr>
              <w:pStyle w:val="Tabletext"/>
            </w:pPr>
            <w:r>
              <w:t>k = permeability to air (k in L</w:t>
            </w:r>
            <w:r>
              <w:rPr>
                <w:vertAlign w:val="superscript"/>
              </w:rPr>
              <w:t>2</w:t>
            </w:r>
            <w:r>
              <w:t>)</w:t>
            </w:r>
          </w:p>
          <w:p w:rsidR="008054BE" w:rsidRDefault="008054BE" w:rsidP="00CB2FBB">
            <w:pPr>
              <w:pStyle w:val="Tabletext"/>
            </w:pPr>
            <w:r>
              <w:t>Q</w:t>
            </w:r>
            <w:r>
              <w:rPr>
                <w:vertAlign w:val="subscript"/>
              </w:rPr>
              <w:t>e</w:t>
            </w:r>
            <w:r>
              <w:t xml:space="preserve"> = </w:t>
            </w:r>
            <w:r w:rsidRPr="0063624F">
              <w:t>exit flow rate (L</w:t>
            </w:r>
            <w:r w:rsidRPr="0063624F">
              <w:rPr>
                <w:vertAlign w:val="superscript"/>
              </w:rPr>
              <w:t>3</w:t>
            </w:r>
            <w:r w:rsidRPr="0063624F">
              <w:t>/T)</w:t>
            </w:r>
          </w:p>
          <w:p w:rsidR="008054BE" w:rsidRDefault="008054BE" w:rsidP="00CB2FBB">
            <w:pPr>
              <w:pStyle w:val="Tabletext"/>
            </w:pPr>
            <w:r w:rsidRPr="0063624F">
              <w:t>P</w:t>
            </w:r>
            <w:r w:rsidRPr="0063624F">
              <w:rPr>
                <w:vertAlign w:val="subscript"/>
              </w:rPr>
              <w:t>e</w:t>
            </w:r>
            <w:r w:rsidRPr="0063624F">
              <w:t xml:space="preserve"> </w:t>
            </w:r>
            <w:r>
              <w:t>= exit pressures (M/LT</w:t>
            </w:r>
            <w:r>
              <w:rPr>
                <w:vertAlign w:val="superscript"/>
              </w:rPr>
              <w:t>2</w:t>
            </w:r>
            <w:r>
              <w:t>)</w:t>
            </w:r>
          </w:p>
          <w:p w:rsidR="008054BE" w:rsidRDefault="008054BE" w:rsidP="00CB2FBB">
            <w:pPr>
              <w:pStyle w:val="Tabletext"/>
            </w:pPr>
            <w:r>
              <w:t>µ = viscosity of the air (M/LT)</w:t>
            </w:r>
          </w:p>
          <w:p w:rsidR="008054BE" w:rsidRDefault="008054BE" w:rsidP="00CB2FBB">
            <w:pPr>
              <w:pStyle w:val="Tabletext"/>
            </w:pPr>
            <w:r w:rsidRPr="0063624F">
              <w:t>L</w:t>
            </w:r>
            <w:r>
              <w:t xml:space="preserve"> = length of the sample (L)</w:t>
            </w:r>
          </w:p>
          <w:p w:rsidR="008054BE" w:rsidRDefault="008054BE" w:rsidP="00CB2FBB">
            <w:pPr>
              <w:pStyle w:val="Tabletext"/>
            </w:pPr>
            <w:r w:rsidRPr="0063624F">
              <w:t>P</w:t>
            </w:r>
            <w:r w:rsidRPr="0063624F">
              <w:rPr>
                <w:vertAlign w:val="subscript"/>
              </w:rPr>
              <w:t>i</w:t>
            </w:r>
            <w:r w:rsidRPr="0063624F">
              <w:t xml:space="preserve"> </w:t>
            </w:r>
            <w:r>
              <w:t>= entrance pressures (M/LT</w:t>
            </w:r>
            <w:r>
              <w:rPr>
                <w:vertAlign w:val="superscript"/>
              </w:rPr>
              <w:t>2</w:t>
            </w:r>
            <w:r>
              <w:t>)</w:t>
            </w:r>
          </w:p>
          <w:p w:rsidR="008054BE" w:rsidRDefault="008054BE" w:rsidP="00CB2FBB">
            <w:pPr>
              <w:pStyle w:val="Tabletext"/>
            </w:pPr>
            <w:r w:rsidRPr="0063624F">
              <w:t>A</w:t>
            </w:r>
            <w:r>
              <w:t xml:space="preserve"> = cross-sectional area (L</w:t>
            </w:r>
            <w:r>
              <w:rPr>
                <w:vertAlign w:val="superscript"/>
              </w:rPr>
              <w:t>2</w:t>
            </w:r>
            <w:r>
              <w:t>)</w:t>
            </w:r>
          </w:p>
        </w:tc>
      </w:tr>
      <w:tr w:rsidR="008054BE" w:rsidRPr="0075269C" w:rsidTr="004911EE">
        <w:trPr>
          <w:trHeight w:val="84"/>
        </w:trPr>
        <w:tc>
          <w:tcPr>
            <w:tcW w:w="3969" w:type="dxa"/>
          </w:tcPr>
          <w:p w:rsidR="008054BE" w:rsidRPr="0097620E" w:rsidRDefault="008054BE" w:rsidP="00CB2FBB">
            <w:pPr>
              <w:pStyle w:val="Tabletext"/>
            </w:pPr>
            <m:oMathPara>
              <m:oMath>
                <m:r>
                  <w:rPr>
                    <w:rFonts w:ascii="Cambria Math" w:hAnsi="Cambria Math"/>
                  </w:rPr>
                  <m:t>t</m:t>
                </m:r>
                <m:r>
                  <m:rPr>
                    <m:sty m:val="p"/>
                  </m:rPr>
                  <w:rPr>
                    <w:rFonts w:ascii="Cambria Math" w:hAnsi="Cambria Math"/>
                  </w:rPr>
                  <m:t>=-</m:t>
                </m:r>
                <m:sSup>
                  <m:sSupPr>
                    <m:ctrlPr>
                      <w:rPr>
                        <w:rFonts w:ascii="Cambria Math" w:hAnsi="Cambria Math"/>
                      </w:rPr>
                    </m:ctrlPr>
                  </m:sSupPr>
                  <m:e>
                    <m:r>
                      <m:rPr>
                        <m:sty m:val="p"/>
                      </m:rPr>
                      <w:rPr>
                        <w:rFonts w:ascii="Cambria Math" w:hAnsi="Cambria Math"/>
                      </w:rPr>
                      <m:t>λ</m:t>
                    </m:r>
                  </m:e>
                  <m:sup>
                    <m:r>
                      <m:rPr>
                        <m:sty m:val="p"/>
                      </m:rPr>
                      <w:rPr>
                        <w:rFonts w:ascii="Cambria Math" w:hAnsi="Cambria Math"/>
                      </w:rPr>
                      <m:t>-1</m:t>
                    </m:r>
                  </m:sup>
                </m:sSup>
                <m:d>
                  <m:dPr>
                    <m:ctrlPr>
                      <w:rPr>
                        <w:rFonts w:ascii="Cambria Math" w:hAnsi="Cambria Math"/>
                      </w:rPr>
                    </m:ctrlPr>
                  </m:dPr>
                  <m:e>
                    <m:f>
                      <m:fPr>
                        <m:ctrlPr>
                          <w:rPr>
                            <w:rFonts w:ascii="Cambria Math" w:hAnsi="Cambria Math"/>
                          </w:rPr>
                        </m:ctrlPr>
                      </m:fPr>
                      <m:num>
                        <m:r>
                          <w:rPr>
                            <w:rFonts w:ascii="Cambria Math" w:hAnsi="Cambria Math"/>
                          </w:rPr>
                          <m:t>C</m:t>
                        </m:r>
                      </m:num>
                      <m:den>
                        <m:sSub>
                          <m:sSubPr>
                            <m:ctrlPr>
                              <w:rPr>
                                <w:rFonts w:ascii="Cambria Math" w:hAnsi="Cambria Math"/>
                              </w:rPr>
                            </m:ctrlPr>
                          </m:sSubPr>
                          <m:e>
                            <m:r>
                              <w:rPr>
                                <w:rFonts w:ascii="Cambria Math" w:hAnsi="Cambria Math"/>
                              </w:rPr>
                              <m:t>C</m:t>
                            </m:r>
                          </m:e>
                          <m:sub>
                            <m:r>
                              <m:rPr>
                                <m:sty m:val="p"/>
                              </m:rPr>
                              <w:rPr>
                                <w:rFonts w:ascii="Cambria Math" w:hAnsi="Cambria Math"/>
                              </w:rPr>
                              <m:t>0</m:t>
                            </m:r>
                          </m:sub>
                        </m:sSub>
                      </m:den>
                    </m:f>
                  </m:e>
                </m:d>
              </m:oMath>
            </m:oMathPara>
          </w:p>
        </w:tc>
        <w:tc>
          <w:tcPr>
            <w:tcW w:w="5387" w:type="dxa"/>
          </w:tcPr>
          <w:p w:rsidR="008054BE" w:rsidRDefault="008054BE" w:rsidP="00CB2FBB">
            <w:pPr>
              <w:pStyle w:val="Tabletext"/>
            </w:pPr>
            <w:r w:rsidRPr="00C5073F">
              <w:t>t</w:t>
            </w:r>
            <w:r>
              <w:t xml:space="preserve"> = apparent ‘age’ of the groundwater</w:t>
            </w:r>
          </w:p>
          <w:p w:rsidR="008054BE" w:rsidRDefault="008054BE" w:rsidP="00CB2FBB">
            <w:pPr>
              <w:pStyle w:val="Tabletext"/>
            </w:pPr>
            <w:r>
              <w:t>C</w:t>
            </w:r>
            <w:r w:rsidRPr="000A4070">
              <w:rPr>
                <w:vertAlign w:val="subscript"/>
              </w:rPr>
              <w:t>0</w:t>
            </w:r>
            <w:r>
              <w:rPr>
                <w:vertAlign w:val="subscript"/>
              </w:rPr>
              <w:t xml:space="preserve"> </w:t>
            </w:r>
            <w:r>
              <w:t>= initial concentration of the radioactive tracer</w:t>
            </w:r>
          </w:p>
          <w:p w:rsidR="008054BE" w:rsidRDefault="008054BE" w:rsidP="00CB2FBB">
            <w:pPr>
              <w:pStyle w:val="Tabletext"/>
            </w:pPr>
            <w:r w:rsidRPr="000A4070">
              <w:t>C</w:t>
            </w:r>
            <w:r>
              <w:t xml:space="preserve"> = measured concentrations of the radioactive tracer</w:t>
            </w:r>
          </w:p>
          <w:p w:rsidR="008054BE" w:rsidRDefault="008054BE" w:rsidP="00CB2FBB">
            <w:pPr>
              <w:pStyle w:val="Tabletext"/>
            </w:pPr>
            <w:r w:rsidRPr="00C5073F">
              <w:t>λ</w:t>
            </w:r>
            <w:r>
              <w:t xml:space="preserve"> = known decay constant for the radioactive tracer.</w:t>
            </w:r>
          </w:p>
        </w:tc>
      </w:tr>
      <w:tr w:rsidR="008054BE" w:rsidRPr="0075269C" w:rsidTr="004911EE">
        <w:trPr>
          <w:trHeight w:val="84"/>
        </w:trPr>
        <w:tc>
          <w:tcPr>
            <w:tcW w:w="3969" w:type="dxa"/>
            <w:tcBorders>
              <w:bottom w:val="single" w:sz="4" w:space="0" w:color="auto"/>
            </w:tcBorders>
          </w:tcPr>
          <w:p w:rsidR="008054BE" w:rsidRPr="00802ADA" w:rsidRDefault="00E23933" w:rsidP="00CB2FBB">
            <w:pPr>
              <w:pStyle w:val="Tabletext"/>
            </w:pPr>
            <m:oMathPara>
              <m:oMath>
                <m:sSub>
                  <m:sSubPr>
                    <m:ctrlPr>
                      <w:rPr>
                        <w:rFonts w:ascii="Cambria Math" w:hAnsi="Cambria Math"/>
                      </w:rPr>
                    </m:ctrlPr>
                  </m:sSubPr>
                  <m:e>
                    <m:r>
                      <m:rPr>
                        <m:sty m:val="p"/>
                      </m:rPr>
                      <w:rPr>
                        <w:rFonts w:ascii="Cambria Math" w:hAnsi="Cambria Math"/>
                      </w:rPr>
                      <m:t>[</m:t>
                    </m:r>
                    <m:r>
                      <w:rPr>
                        <w:rFonts w:ascii="Cambria Math" w:hAnsi="Cambria Math"/>
                      </w:rPr>
                      <m:t>Cl</m:t>
                    </m:r>
                    <m:r>
                      <m:rPr>
                        <m:sty m:val="p"/>
                      </m:rPr>
                      <w:rPr>
                        <w:rFonts w:ascii="Cambria Math" w:hAnsi="Cambria Math"/>
                      </w:rPr>
                      <m:t>]</m:t>
                    </m:r>
                  </m:e>
                  <m:sub>
                    <m:r>
                      <w:rPr>
                        <w:rFonts w:ascii="Cambria Math" w:hAnsi="Cambria Math"/>
                      </w:rPr>
                      <m:t>M</m:t>
                    </m:r>
                  </m:sub>
                </m:sSub>
                <m:r>
                  <m:rPr>
                    <m:sty m:val="p"/>
                  </m:rPr>
                  <w:rPr>
                    <w:rFonts w:ascii="Cambria Math" w:hAnsi="Cambria Math"/>
                  </w:rPr>
                  <m:t>=</m:t>
                </m:r>
                <m:r>
                  <w:rPr>
                    <w:rFonts w:ascii="Cambria Math" w:hAnsi="Cambria Math"/>
                  </w:rPr>
                  <m:t>x</m:t>
                </m:r>
                <m:r>
                  <m:rPr>
                    <m:sty m:val="p"/>
                  </m:rPr>
                  <w:rPr>
                    <w:rFonts w:ascii="Cambria Math" w:hAnsi="Cambria Math"/>
                  </w:rPr>
                  <m:t>×</m:t>
                </m:r>
                <m:sSub>
                  <m:sSubPr>
                    <m:ctrlPr>
                      <w:rPr>
                        <w:rFonts w:ascii="Cambria Math" w:hAnsi="Cambria Math"/>
                      </w:rPr>
                    </m:ctrlPr>
                  </m:sSubPr>
                  <m:e>
                    <m:r>
                      <m:rPr>
                        <m:sty m:val="p"/>
                      </m:rPr>
                      <w:rPr>
                        <w:rFonts w:ascii="Cambria Math" w:hAnsi="Cambria Math"/>
                      </w:rPr>
                      <m:t>[</m:t>
                    </m:r>
                    <m:r>
                      <w:rPr>
                        <w:rFonts w:ascii="Cambria Math" w:hAnsi="Cambria Math"/>
                      </w:rPr>
                      <m:t>Cl</m:t>
                    </m:r>
                    <m:r>
                      <m:rPr>
                        <m:sty m:val="p"/>
                      </m:rPr>
                      <w:rPr>
                        <w:rFonts w:ascii="Cambria Math" w:hAnsi="Cambria Math"/>
                      </w:rPr>
                      <m:t>]</m:t>
                    </m:r>
                  </m:e>
                  <m:sub>
                    <m:r>
                      <w:rPr>
                        <w:rFonts w:ascii="Cambria Math" w:hAnsi="Cambria Math"/>
                      </w:rPr>
                      <m:t>A</m:t>
                    </m:r>
                  </m:sub>
                </m:sSub>
                <m:r>
                  <m:rPr>
                    <m:sty m:val="p"/>
                  </m:rPr>
                  <w:rPr>
                    <w:rFonts w:ascii="Cambria Math" w:hAnsi="Cambria Math"/>
                  </w:rPr>
                  <m:t>+(1-</m:t>
                </m:r>
                <m:r>
                  <w:rPr>
                    <w:rFonts w:ascii="Cambria Math" w:hAnsi="Cambria Math"/>
                  </w:rPr>
                  <m:t>x</m:t>
                </m:r>
                <m:r>
                  <m:rPr>
                    <m:sty m:val="p"/>
                  </m:rPr>
                  <w:rPr>
                    <w:rFonts w:ascii="Cambria Math" w:hAnsi="Cambria Math"/>
                  </w:rPr>
                  <m:t>)×</m:t>
                </m:r>
                <m:sSub>
                  <m:sSubPr>
                    <m:ctrlPr>
                      <w:rPr>
                        <w:rFonts w:ascii="Cambria Math" w:hAnsi="Cambria Math"/>
                      </w:rPr>
                    </m:ctrlPr>
                  </m:sSubPr>
                  <m:e>
                    <m:r>
                      <m:rPr>
                        <m:sty m:val="p"/>
                      </m:rPr>
                      <w:rPr>
                        <w:rFonts w:ascii="Cambria Math" w:hAnsi="Cambria Math"/>
                      </w:rPr>
                      <m:t>[</m:t>
                    </m:r>
                    <m:r>
                      <w:rPr>
                        <w:rFonts w:ascii="Cambria Math" w:hAnsi="Cambria Math"/>
                      </w:rPr>
                      <m:t>Cl</m:t>
                    </m:r>
                    <m:r>
                      <m:rPr>
                        <m:sty m:val="p"/>
                      </m:rPr>
                      <w:rPr>
                        <w:rFonts w:ascii="Cambria Math" w:hAnsi="Cambria Math"/>
                      </w:rPr>
                      <m:t>]</m:t>
                    </m:r>
                  </m:e>
                  <m:sub>
                    <m:r>
                      <w:rPr>
                        <w:rFonts w:ascii="Cambria Math" w:hAnsi="Cambria Math"/>
                      </w:rPr>
                      <m:t>B</m:t>
                    </m:r>
                  </m:sub>
                </m:sSub>
              </m:oMath>
            </m:oMathPara>
          </w:p>
        </w:tc>
        <w:tc>
          <w:tcPr>
            <w:tcW w:w="5387" w:type="dxa"/>
            <w:tcBorders>
              <w:bottom w:val="single" w:sz="4" w:space="0" w:color="auto"/>
            </w:tcBorders>
          </w:tcPr>
          <w:p w:rsidR="008054BE" w:rsidRDefault="008054BE" w:rsidP="00CB2FBB">
            <w:pPr>
              <w:pStyle w:val="Tabletext"/>
            </w:pPr>
            <w:r>
              <w:t>[Cl]</w:t>
            </w:r>
            <w:r>
              <w:rPr>
                <w:vertAlign w:val="subscript"/>
              </w:rPr>
              <w:t>M</w:t>
            </w:r>
            <w:r>
              <w:t xml:space="preserve"> = Cl</w:t>
            </w:r>
            <w:r>
              <w:rPr>
                <w:vertAlign w:val="superscript"/>
              </w:rPr>
              <w:t>-</w:t>
            </w:r>
            <w:r>
              <w:t xml:space="preserve"> concentration in the mixture </w:t>
            </w:r>
          </w:p>
          <w:p w:rsidR="008054BE" w:rsidRDefault="008054BE" w:rsidP="00CB2FBB">
            <w:pPr>
              <w:pStyle w:val="Tabletext"/>
            </w:pPr>
            <w:r>
              <w:t>[Cl]</w:t>
            </w:r>
            <w:r>
              <w:rPr>
                <w:vertAlign w:val="subscript"/>
              </w:rPr>
              <w:t>A</w:t>
            </w:r>
            <w:r>
              <w:t xml:space="preserve"> = Cl</w:t>
            </w:r>
            <w:r>
              <w:rPr>
                <w:vertAlign w:val="superscript"/>
              </w:rPr>
              <w:t>-</w:t>
            </w:r>
            <w:r>
              <w:t xml:space="preserve"> concentration in aquifer A</w:t>
            </w:r>
          </w:p>
          <w:p w:rsidR="008054BE" w:rsidRDefault="008054BE" w:rsidP="00CB2FBB">
            <w:pPr>
              <w:pStyle w:val="Tabletext"/>
            </w:pPr>
            <w:r>
              <w:t>[Cl]</w:t>
            </w:r>
            <w:r>
              <w:rPr>
                <w:vertAlign w:val="subscript"/>
              </w:rPr>
              <w:t>B</w:t>
            </w:r>
            <w:r>
              <w:t xml:space="preserve"> = Cl</w:t>
            </w:r>
            <w:r>
              <w:rPr>
                <w:vertAlign w:val="superscript"/>
              </w:rPr>
              <w:t>-</w:t>
            </w:r>
            <w:r>
              <w:t xml:space="preserve"> concentration in aquifer B</w:t>
            </w:r>
          </w:p>
          <w:p w:rsidR="008054BE" w:rsidRDefault="008054BE" w:rsidP="00CB2FBB">
            <w:pPr>
              <w:pStyle w:val="Tabletext"/>
            </w:pPr>
            <w:r>
              <w:t>x = fraction of water from aquifer A</w:t>
            </w:r>
          </w:p>
          <w:p w:rsidR="008054BE" w:rsidRDefault="008054BE" w:rsidP="00CB2FBB">
            <w:pPr>
              <w:pStyle w:val="Tabletext"/>
            </w:pPr>
            <w:r>
              <w:t>1-x = fraction from aquifer B</w:t>
            </w:r>
          </w:p>
        </w:tc>
      </w:tr>
      <w:tr w:rsidR="008054BE" w:rsidRPr="0075269C" w:rsidTr="004911EE">
        <w:trPr>
          <w:trHeight w:val="84"/>
        </w:trPr>
        <w:tc>
          <w:tcPr>
            <w:tcW w:w="9356" w:type="dxa"/>
            <w:gridSpan w:val="2"/>
            <w:tcBorders>
              <w:bottom w:val="nil"/>
            </w:tcBorders>
          </w:tcPr>
          <w:p w:rsidR="008054BE" w:rsidRDefault="00E23933" w:rsidP="00CB2FBB">
            <w:pPr>
              <w:pStyle w:val="Tabletext"/>
            </w:pPr>
            <m:oMathPara>
              <m:oMath>
                <m:sSub>
                  <m:sSubPr>
                    <m:ctrlPr>
                      <w:rPr>
                        <w:rFonts w:ascii="Cambria Math" w:hAnsi="Cambria Math"/>
                      </w:rPr>
                    </m:ctrlPr>
                  </m:sSubPr>
                  <m:e>
                    <m:r>
                      <w:rPr>
                        <w:rFonts w:ascii="Cambria Math" w:hAnsi="Cambria Math"/>
                      </w:rPr>
                      <m:t>σ</m:t>
                    </m:r>
                  </m:e>
                  <m:sub>
                    <m:r>
                      <m:rPr>
                        <m:nor/>
                      </m:rPr>
                      <m:t>min</m:t>
                    </m:r>
                  </m:sub>
                </m:sSub>
                <m:r>
                  <m:rPr>
                    <m:sty m:val="p"/>
                  </m:rPr>
                  <w:rPr>
                    <w:rFonts w:ascii="Cambria Math" w:hAnsi="Cambria Math"/>
                  </w:rPr>
                  <m:t>≅</m:t>
                </m:r>
                <m:limLow>
                  <m:limLowPr>
                    <m:ctrlPr>
                      <w:rPr>
                        <w:rFonts w:ascii="Cambria Math" w:hAnsi="Cambria Math"/>
                      </w:rPr>
                    </m:ctrlPr>
                  </m:limLowPr>
                  <m:e>
                    <m:groupChr>
                      <m:groupChrPr>
                        <m:ctrlPr>
                          <w:rPr>
                            <w:rFonts w:ascii="Cambria Math" w:hAnsi="Cambria Math"/>
                          </w:rPr>
                        </m:ctrlPr>
                      </m:groupChrPr>
                      <m:e>
                        <m:f>
                          <m:fPr>
                            <m:ctrlPr>
                              <w:rPr>
                                <w:rFonts w:ascii="Cambria Math" w:hAnsi="Cambria Math"/>
                              </w:rPr>
                            </m:ctrlPr>
                          </m:fPr>
                          <m:num>
                            <m:r>
                              <w:rPr>
                                <w:rFonts w:ascii="Cambria Math" w:hAnsi="Cambria Math"/>
                              </w:rPr>
                              <m:t>υ</m:t>
                            </m:r>
                          </m:num>
                          <m:den>
                            <m:r>
                              <m:rPr>
                                <m:sty m:val="p"/>
                              </m:rPr>
                              <w:rPr>
                                <w:rFonts w:ascii="Cambria Math" w:hAnsi="Cambria Math"/>
                              </w:rPr>
                              <m:t>1-</m:t>
                            </m:r>
                            <m:r>
                              <w:rPr>
                                <w:rFonts w:ascii="Cambria Math" w:hAnsi="Cambria Math"/>
                              </w:rPr>
                              <m:t>υ</m:t>
                            </m:r>
                          </m:den>
                        </m:f>
                        <m:d>
                          <m:dPr>
                            <m:ctrlPr>
                              <w:rPr>
                                <w:rFonts w:ascii="Cambria Math" w:hAnsi="Cambria Math"/>
                              </w:rPr>
                            </m:ctrlPr>
                          </m:dPr>
                          <m:e>
                            <m:sSub>
                              <m:sSubPr>
                                <m:ctrlPr>
                                  <w:rPr>
                                    <w:rFonts w:ascii="Cambria Math" w:hAnsi="Cambria Math"/>
                                  </w:rPr>
                                </m:ctrlPr>
                              </m:sSubPr>
                              <m:e>
                                <m:r>
                                  <w:rPr>
                                    <w:rFonts w:ascii="Cambria Math" w:hAnsi="Cambria Math"/>
                                  </w:rPr>
                                  <m:t>σ</m:t>
                                </m:r>
                              </m:e>
                              <m:sub>
                                <m:r>
                                  <m:rPr>
                                    <m:sty m:val="p"/>
                                  </m:rPr>
                                  <w:rPr>
                                    <w:rFonts w:ascii="Cambria Math" w:hAnsi="Cambria Math"/>
                                  </w:rPr>
                                  <m:t>ob</m:t>
                                </m:r>
                              </m:sub>
                            </m:sSub>
                            <m:r>
                              <m:rPr>
                                <m:sty m:val="p"/>
                              </m:rPr>
                              <w:rPr>
                                <w:rFonts w:ascii="Cambria Math" w:hAnsi="Cambria Math"/>
                              </w:rPr>
                              <m:t>-</m:t>
                            </m:r>
                            <m:r>
                              <w:rPr>
                                <w:rFonts w:ascii="Cambria Math" w:hAnsi="Cambria Math"/>
                              </w:rPr>
                              <m:t>α</m:t>
                            </m:r>
                            <m:sSub>
                              <m:sSubPr>
                                <m:ctrlPr>
                                  <w:rPr>
                                    <w:rFonts w:ascii="Cambria Math" w:hAnsi="Cambria Math"/>
                                  </w:rPr>
                                </m:ctrlPr>
                              </m:sSubPr>
                              <m:e>
                                <m:r>
                                  <w:rPr>
                                    <w:rFonts w:ascii="Cambria Math" w:hAnsi="Cambria Math"/>
                                  </w:rPr>
                                  <m:t>σ</m:t>
                                </m:r>
                              </m:e>
                              <m:sub>
                                <m:r>
                                  <m:rPr>
                                    <m:sty m:val="p"/>
                                  </m:rPr>
                                  <w:rPr>
                                    <w:rFonts w:ascii="Cambria Math" w:hAnsi="Cambria Math"/>
                                  </w:rPr>
                                  <m:t>p</m:t>
                                </m:r>
                              </m:sub>
                            </m:sSub>
                          </m:e>
                        </m:d>
                        <m:r>
                          <m:rPr>
                            <m:sty m:val="p"/>
                          </m:rPr>
                          <w:rPr>
                            <w:rFonts w:ascii="Cambria Math" w:hAnsi="Cambria Math"/>
                          </w:rPr>
                          <m:t>+</m:t>
                        </m:r>
                        <m:r>
                          <w:rPr>
                            <w:rFonts w:ascii="Cambria Math" w:hAnsi="Cambria Math"/>
                          </w:rPr>
                          <m:t>α</m:t>
                        </m:r>
                        <m:sSub>
                          <m:sSubPr>
                            <m:ctrlPr>
                              <w:rPr>
                                <w:rFonts w:ascii="Cambria Math" w:hAnsi="Cambria Math"/>
                              </w:rPr>
                            </m:ctrlPr>
                          </m:sSubPr>
                          <m:e>
                            <m:r>
                              <w:rPr>
                                <w:rFonts w:ascii="Cambria Math" w:hAnsi="Cambria Math"/>
                              </w:rPr>
                              <m:t>σ</m:t>
                            </m:r>
                          </m:e>
                          <m:sub>
                            <m:r>
                              <m:rPr>
                                <m:sty m:val="p"/>
                              </m:rPr>
                              <w:rPr>
                                <w:rFonts w:ascii="Cambria Math" w:hAnsi="Cambria Math"/>
                              </w:rPr>
                              <m:t>p</m:t>
                            </m:r>
                          </m:sub>
                        </m:sSub>
                      </m:e>
                    </m:groupChr>
                  </m:e>
                  <m:lim>
                    <m:eqArr>
                      <m:eqArrPr>
                        <m:ctrlPr>
                          <w:rPr>
                            <w:rFonts w:ascii="Cambria Math" w:hAnsi="Cambria Math"/>
                          </w:rPr>
                        </m:ctrlPr>
                      </m:eqArrPr>
                      <m:e>
                        <m:r>
                          <m:rPr>
                            <m:sty m:val="p"/>
                          </m:rPr>
                          <w:rPr>
                            <w:rFonts w:ascii="Cambria Math" w:hAnsi="Cambria Math"/>
                          </w:rPr>
                          <m:t>horizontal stress from the vertical</m:t>
                        </m:r>
                      </m:e>
                      <m:e>
                        <m:r>
                          <m:rPr>
                            <m:sty m:val="p"/>
                          </m:rPr>
                          <w:rPr>
                            <w:rFonts w:ascii="Cambria Math" w:hAnsi="Cambria Math"/>
                          </w:rPr>
                          <m:t>stress and the poroelastic</m:t>
                        </m:r>
                        <m:ctrlPr>
                          <w:rPr>
                            <w:rFonts w:ascii="Cambria Math" w:eastAsia="Cambria Math" w:hAnsi="Cambria Math"/>
                          </w:rPr>
                        </m:ctrlPr>
                      </m:e>
                      <m:e>
                        <m:r>
                          <m:rPr>
                            <m:sty m:val="p"/>
                          </m:rPr>
                          <w:rPr>
                            <w:rFonts w:ascii="Cambria Math" w:eastAsia="Cambria Math" w:hAnsi="Cambria Math"/>
                          </w:rPr>
                          <m:t>behaviour of the formation</m:t>
                        </m:r>
                      </m:e>
                    </m:eqArr>
                  </m:lim>
                </m:limLow>
                <m:r>
                  <m:rPr>
                    <m:sty m:val="p"/>
                  </m:rPr>
                  <w:rPr>
                    <w:rFonts w:ascii="Cambria Math" w:hAnsi="Cambria Math"/>
                  </w:rPr>
                  <m:t>+</m:t>
                </m:r>
                <m:sSub>
                  <m:sSubPr>
                    <m:ctrlPr>
                      <w:rPr>
                        <w:rFonts w:ascii="Cambria Math" w:hAnsi="Cambria Math"/>
                      </w:rPr>
                    </m:ctrlPr>
                  </m:sSubPr>
                  <m:e>
                    <m:r>
                      <w:rPr>
                        <w:rFonts w:ascii="Cambria Math" w:hAnsi="Cambria Math"/>
                      </w:rPr>
                      <m:t>σ</m:t>
                    </m:r>
                  </m:e>
                  <m:sub>
                    <m:r>
                      <m:rPr>
                        <m:sty m:val="p"/>
                      </m:rPr>
                      <w:rPr>
                        <w:rFonts w:ascii="Cambria Math" w:hAnsi="Cambria Math"/>
                      </w:rPr>
                      <m:t>ext</m:t>
                    </m:r>
                  </m:sub>
                </m:sSub>
              </m:oMath>
            </m:oMathPara>
          </w:p>
        </w:tc>
      </w:tr>
      <w:tr w:rsidR="008054BE" w:rsidRPr="0075269C" w:rsidTr="004911EE">
        <w:trPr>
          <w:trHeight w:val="84"/>
        </w:trPr>
        <w:tc>
          <w:tcPr>
            <w:tcW w:w="3969" w:type="dxa"/>
            <w:tcBorders>
              <w:top w:val="nil"/>
              <w:right w:val="nil"/>
            </w:tcBorders>
          </w:tcPr>
          <w:p w:rsidR="008054BE" w:rsidRDefault="008054BE" w:rsidP="00CB2FBB">
            <w:pPr>
              <w:pStyle w:val="Tabletext"/>
            </w:pPr>
          </w:p>
        </w:tc>
        <w:tc>
          <w:tcPr>
            <w:tcW w:w="5387" w:type="dxa"/>
            <w:tcBorders>
              <w:top w:val="nil"/>
              <w:left w:val="nil"/>
            </w:tcBorders>
          </w:tcPr>
          <w:p w:rsidR="008054BE" w:rsidRDefault="00E23933" w:rsidP="00CB2FBB">
            <w:pPr>
              <w:pStyle w:val="Tabletext"/>
            </w:pPr>
            <m:oMath>
              <m:sSub>
                <m:sSubPr>
                  <m:ctrlPr>
                    <w:rPr>
                      <w:rFonts w:ascii="Cambria Math" w:hAnsi="Cambria Math"/>
                    </w:rPr>
                  </m:ctrlPr>
                </m:sSubPr>
                <m:e>
                  <m:r>
                    <w:rPr>
                      <w:rFonts w:ascii="Cambria Math" w:hAnsi="Cambria Math"/>
                    </w:rPr>
                    <m:t>σ</m:t>
                  </m:r>
                </m:e>
                <m:sub>
                  <m:r>
                    <m:rPr>
                      <m:sty m:val="p"/>
                    </m:rPr>
                    <w:rPr>
                      <w:rFonts w:ascii="Cambria Math" w:hAnsi="Cambria Math"/>
                    </w:rPr>
                    <m:t>ob</m:t>
                  </m:r>
                </m:sub>
              </m:sSub>
            </m:oMath>
            <w:r w:rsidR="008054BE">
              <w:t xml:space="preserve"> =</w:t>
            </w:r>
            <w:r w:rsidR="008054BE" w:rsidRPr="00897DA1">
              <w:t xml:space="preserve"> overburden stress (a function of depth)</w:t>
            </w:r>
          </w:p>
          <w:p w:rsidR="008054BE" w:rsidRDefault="00E23933" w:rsidP="00CB2FBB">
            <w:pPr>
              <w:pStyle w:val="Tabletext"/>
            </w:pPr>
            <m:oMath>
              <m:sSub>
                <m:sSubPr>
                  <m:ctrlPr>
                    <w:rPr>
                      <w:rFonts w:ascii="Cambria Math" w:hAnsi="Cambria Math"/>
                    </w:rPr>
                  </m:ctrlPr>
                </m:sSubPr>
                <m:e>
                  <m:r>
                    <w:rPr>
                      <w:rFonts w:ascii="Cambria Math" w:hAnsi="Cambria Math"/>
                    </w:rPr>
                    <m:t>σ</m:t>
                  </m:r>
                </m:e>
                <m:sub>
                  <m:r>
                    <m:rPr>
                      <m:sty m:val="p"/>
                    </m:rPr>
                    <w:rPr>
                      <w:rFonts w:ascii="Cambria Math" w:hAnsi="Cambria Math"/>
                    </w:rPr>
                    <m:t>p</m:t>
                  </m:r>
                </m:sub>
              </m:sSub>
            </m:oMath>
            <w:r w:rsidR="008054BE">
              <w:t xml:space="preserve"> = pore pressure</w:t>
            </w:r>
          </w:p>
          <w:p w:rsidR="008054BE" w:rsidRDefault="00E23933" w:rsidP="00CB2FBB">
            <w:pPr>
              <w:pStyle w:val="Tabletext"/>
            </w:pPr>
            <m:oMath>
              <m:sSub>
                <m:sSubPr>
                  <m:ctrlPr>
                    <w:rPr>
                      <w:rFonts w:ascii="Cambria Math" w:hAnsi="Cambria Math"/>
                    </w:rPr>
                  </m:ctrlPr>
                </m:sSubPr>
                <m:e>
                  <m:r>
                    <w:rPr>
                      <w:rFonts w:ascii="Cambria Math" w:hAnsi="Cambria Math"/>
                    </w:rPr>
                    <m:t>σ</m:t>
                  </m:r>
                </m:e>
                <m:sub>
                  <m:r>
                    <m:rPr>
                      <m:sty m:val="p"/>
                    </m:rPr>
                    <w:rPr>
                      <w:rFonts w:ascii="Cambria Math" w:hAnsi="Cambria Math"/>
                    </w:rPr>
                    <m:t>ext</m:t>
                  </m:r>
                </m:sub>
              </m:sSub>
            </m:oMath>
            <w:r w:rsidR="008054BE">
              <w:t xml:space="preserve"> = tectonic stress</w:t>
            </w:r>
          </w:p>
        </w:tc>
      </w:tr>
      <w:tr w:rsidR="008054BE" w:rsidRPr="0075269C" w:rsidTr="004911EE">
        <w:trPr>
          <w:trHeight w:val="84"/>
        </w:trPr>
        <w:tc>
          <w:tcPr>
            <w:tcW w:w="3969" w:type="dxa"/>
          </w:tcPr>
          <w:p w:rsidR="008054BE" w:rsidRDefault="00E23933" w:rsidP="00CB2FBB">
            <w:pPr>
              <w:pStyle w:val="Tabletext"/>
            </w:pPr>
            <m:oMathPara>
              <m:oMath>
                <m:sSub>
                  <m:sSubPr>
                    <m:ctrlPr>
                      <w:rPr>
                        <w:rFonts w:ascii="Cambria Math" w:hAnsi="Cambria Math"/>
                      </w:rPr>
                    </m:ctrlPr>
                  </m:sSubPr>
                  <m:e>
                    <m:r>
                      <w:rPr>
                        <w:rFonts w:ascii="Cambria Math" w:hAnsi="Cambria Math"/>
                      </w:rPr>
                      <m:t>K</m:t>
                    </m:r>
                  </m:e>
                  <m:sub>
                    <m:r>
                      <w:rPr>
                        <w:rFonts w:ascii="Cambria Math" w:hAnsi="Cambria Math"/>
                      </w:rPr>
                      <m:t>w</m:t>
                    </m:r>
                  </m:sub>
                </m:sSub>
                <m:r>
                  <m:rPr>
                    <m:sty m:val="p"/>
                  </m:rPr>
                  <w:rPr>
                    <w:rFonts w:ascii="Cambria Math" w:hAnsi="Cambria Math"/>
                  </w:rPr>
                  <m:t>=</m:t>
                </m:r>
                <m:f>
                  <m:fPr>
                    <m:ctrlPr>
                      <w:rPr>
                        <w:rFonts w:ascii="Cambria Math" w:hAnsi="Cambria Math"/>
                      </w:rPr>
                    </m:ctrlPr>
                  </m:fPr>
                  <m:num>
                    <m:sSubSup>
                      <m:sSubSupPr>
                        <m:ctrlPr>
                          <w:rPr>
                            <w:rFonts w:ascii="Cambria Math" w:hAnsi="Cambria Math"/>
                          </w:rPr>
                        </m:ctrlPr>
                      </m:sSubSupPr>
                      <m:e>
                        <m:r>
                          <w:rPr>
                            <w:rFonts w:ascii="Cambria Math" w:hAnsi="Cambria Math"/>
                          </w:rPr>
                          <m:t>r</m:t>
                        </m:r>
                      </m:e>
                      <m:sub>
                        <m:r>
                          <w:rPr>
                            <w:rFonts w:ascii="Cambria Math" w:hAnsi="Cambria Math"/>
                          </w:rPr>
                          <m:t>s</m:t>
                        </m:r>
                      </m:sub>
                      <m:sup>
                        <m:r>
                          <m:rPr>
                            <m:sty m:val="p"/>
                          </m:rPr>
                          <w:rPr>
                            <w:rFonts w:ascii="Cambria Math" w:hAnsi="Cambria Math"/>
                          </w:rPr>
                          <m:t>2</m:t>
                        </m:r>
                      </m:sup>
                    </m:sSubSup>
                    <m:r>
                      <w:rPr>
                        <w:rFonts w:ascii="Cambria Math" w:hAnsi="Cambria Math"/>
                      </w:rPr>
                      <m:t>ρg</m:t>
                    </m:r>
                  </m:num>
                  <m:den>
                    <m:r>
                      <m:rPr>
                        <m:sty m:val="p"/>
                      </m:rPr>
                      <w:rPr>
                        <w:rFonts w:ascii="Cambria Math" w:hAnsi="Cambria Math"/>
                      </w:rPr>
                      <m:t>8</m:t>
                    </m:r>
                    <m:r>
                      <w:rPr>
                        <w:rFonts w:ascii="Cambria Math" w:hAnsi="Cambria Math"/>
                      </w:rPr>
                      <m:t>μ</m:t>
                    </m:r>
                  </m:den>
                </m:f>
              </m:oMath>
            </m:oMathPara>
          </w:p>
        </w:tc>
        <w:tc>
          <w:tcPr>
            <w:tcW w:w="5387" w:type="dxa"/>
          </w:tcPr>
          <w:p w:rsidR="008054BE" w:rsidRDefault="008054BE" w:rsidP="00CB2FBB">
            <w:pPr>
              <w:pStyle w:val="Tabletext"/>
            </w:pPr>
            <w:r>
              <w:t>K</w:t>
            </w:r>
            <w:r>
              <w:rPr>
                <w:vertAlign w:val="subscript"/>
              </w:rPr>
              <w:t>w</w:t>
            </w:r>
            <w:r>
              <w:t xml:space="preserve"> = hydraulic conductivity of a well</w:t>
            </w:r>
          </w:p>
          <w:p w:rsidR="008054BE" w:rsidRDefault="008054BE" w:rsidP="00CB2FBB">
            <w:pPr>
              <w:pStyle w:val="Tabletext"/>
            </w:pPr>
            <w:r>
              <w:t>r</w:t>
            </w:r>
            <w:r>
              <w:rPr>
                <w:vertAlign w:val="subscript"/>
              </w:rPr>
              <w:t>s</w:t>
            </w:r>
            <w:r>
              <w:t xml:space="preserve"> = radius of the well (L)</w:t>
            </w:r>
          </w:p>
          <w:p w:rsidR="008054BE" w:rsidRDefault="008054BE" w:rsidP="00CB2FBB">
            <w:pPr>
              <w:pStyle w:val="Tabletext"/>
            </w:pPr>
            <m:oMath>
              <m:r>
                <w:rPr>
                  <w:rFonts w:ascii="Cambria Math" w:hAnsi="Cambria Math"/>
                </w:rPr>
                <m:t>ρ</m:t>
              </m:r>
            </m:oMath>
            <w:r>
              <w:t xml:space="preserve"> = density </w:t>
            </w:r>
          </w:p>
          <w:p w:rsidR="008054BE" w:rsidRDefault="008054BE" w:rsidP="00CB2FBB">
            <w:pPr>
              <w:pStyle w:val="Tabletext"/>
            </w:pPr>
            <w:r w:rsidRPr="00105ABD">
              <w:t>g</w:t>
            </w:r>
            <w:r>
              <w:t xml:space="preserve"> = </w:t>
            </w:r>
            <w:r w:rsidRPr="00C43193">
              <w:t>acceleration due to gravity</w:t>
            </w:r>
          </w:p>
          <w:p w:rsidR="008054BE" w:rsidRPr="009738A8" w:rsidRDefault="008054BE" w:rsidP="00CB2FBB">
            <w:pPr>
              <w:pStyle w:val="Tabletext"/>
            </w:pPr>
            <w:r w:rsidRPr="00105ABD">
              <w:t>µ</w:t>
            </w:r>
            <w:r>
              <w:t xml:space="preserve"> = viscosity</w:t>
            </w:r>
          </w:p>
        </w:tc>
      </w:tr>
    </w:tbl>
    <w:p w:rsidR="00031534" w:rsidRDefault="008054BE">
      <w:pPr>
        <w:widowControl/>
        <w:suppressAutoHyphens w:val="0"/>
        <w:autoSpaceDE/>
        <w:autoSpaceDN/>
        <w:adjustRightInd/>
        <w:spacing w:after="200" w:line="240" w:lineRule="auto"/>
        <w:textAlignment w:val="auto"/>
        <w:rPr>
          <w:b/>
          <w:bCs/>
          <w:color w:val="00B0F0"/>
          <w:sz w:val="48"/>
          <w:szCs w:val="48"/>
        </w:rPr>
      </w:pPr>
      <w:r>
        <w:t xml:space="preserve"> </w:t>
      </w:r>
      <w:r w:rsidR="00031534">
        <w:br w:type="page"/>
      </w:r>
    </w:p>
    <w:p w:rsidR="00E95593" w:rsidRDefault="00E95593" w:rsidP="005F6513">
      <w:pPr>
        <w:pStyle w:val="SummaryH1"/>
      </w:pPr>
      <w:bookmarkStart w:id="23" w:name="_Toc389055206"/>
      <w:r w:rsidRPr="0075269C">
        <w:lastRenderedPageBreak/>
        <w:t>Glossary</w:t>
      </w:r>
      <w:bookmarkEnd w:id="21"/>
      <w:bookmarkEnd w:id="22"/>
      <w:bookmarkEnd w:id="23"/>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268"/>
        <w:gridCol w:w="6804"/>
      </w:tblGrid>
      <w:tr w:rsidR="00E95593" w:rsidRPr="00470AD4" w:rsidTr="000F143F">
        <w:trPr>
          <w:tblHeader/>
        </w:trPr>
        <w:tc>
          <w:tcPr>
            <w:tcW w:w="2268" w:type="dxa"/>
            <w:shd w:val="clear" w:color="auto" w:fill="C6D9F1" w:themeFill="text2" w:themeFillTint="33"/>
          </w:tcPr>
          <w:p w:rsidR="00E95593" w:rsidRPr="00470AD4" w:rsidRDefault="004911EE" w:rsidP="00470AD4">
            <w:pPr>
              <w:pStyle w:val="Tableheading"/>
            </w:pPr>
            <w:r w:rsidRPr="00470AD4">
              <w:t>Term</w:t>
            </w:r>
          </w:p>
        </w:tc>
        <w:tc>
          <w:tcPr>
            <w:tcW w:w="6804" w:type="dxa"/>
            <w:shd w:val="clear" w:color="auto" w:fill="C6D9F1" w:themeFill="text2" w:themeFillTint="33"/>
          </w:tcPr>
          <w:p w:rsidR="00E95593" w:rsidRPr="00470AD4" w:rsidRDefault="004911EE" w:rsidP="00470AD4">
            <w:pPr>
              <w:pStyle w:val="Tableheading"/>
            </w:pPr>
            <w:r w:rsidRPr="00470AD4">
              <w:t>Description</w:t>
            </w:r>
          </w:p>
        </w:tc>
      </w:tr>
      <w:tr w:rsidR="00E95593" w:rsidRPr="00470AD4" w:rsidTr="007269F4">
        <w:tc>
          <w:tcPr>
            <w:tcW w:w="2268" w:type="dxa"/>
          </w:tcPr>
          <w:p w:rsidR="00E95593" w:rsidRPr="00470AD4" w:rsidRDefault="00E95593" w:rsidP="00CB2FBB">
            <w:pPr>
              <w:pStyle w:val="Tabletext"/>
            </w:pPr>
            <w:r w:rsidRPr="00470AD4">
              <w:t>Adsorption</w:t>
            </w:r>
          </w:p>
        </w:tc>
        <w:tc>
          <w:tcPr>
            <w:tcW w:w="6804" w:type="dxa"/>
          </w:tcPr>
          <w:p w:rsidR="00E95593" w:rsidRPr="00470AD4" w:rsidRDefault="00E95593" w:rsidP="00CB2FBB">
            <w:pPr>
              <w:pStyle w:val="Tabletext"/>
            </w:pPr>
            <w:r w:rsidRPr="00470AD4">
              <w:t xml:space="preserve">The reversible binding of molecules to a particle surface. This process can bind methane and carbon dioxide, for example, to coal particles. </w:t>
            </w:r>
          </w:p>
        </w:tc>
      </w:tr>
      <w:tr w:rsidR="00F931D3" w:rsidRPr="00470AD4" w:rsidTr="007269F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trHeight w:val="300"/>
        </w:trPr>
        <w:tc>
          <w:tcPr>
            <w:tcW w:w="2268" w:type="dxa"/>
            <w:tcBorders>
              <w:top w:val="nil"/>
              <w:left w:val="single" w:sz="4" w:space="0" w:color="auto"/>
              <w:bottom w:val="single" w:sz="4" w:space="0" w:color="auto"/>
              <w:right w:val="single" w:sz="4" w:space="0" w:color="auto"/>
            </w:tcBorders>
            <w:shd w:val="clear" w:color="auto" w:fill="auto"/>
          </w:tcPr>
          <w:p w:rsidR="00F931D3" w:rsidRPr="00470AD4" w:rsidRDefault="00F931D3" w:rsidP="00CB2FBB">
            <w:pPr>
              <w:pStyle w:val="Tabletext"/>
            </w:pPr>
            <w:r w:rsidRPr="00470AD4">
              <w:t>Advection</w:t>
            </w:r>
          </w:p>
        </w:tc>
        <w:tc>
          <w:tcPr>
            <w:tcW w:w="6804" w:type="dxa"/>
            <w:tcBorders>
              <w:top w:val="nil"/>
              <w:left w:val="nil"/>
              <w:bottom w:val="single" w:sz="4" w:space="0" w:color="auto"/>
              <w:right w:val="single" w:sz="4" w:space="0" w:color="auto"/>
            </w:tcBorders>
            <w:shd w:val="clear" w:color="auto" w:fill="auto"/>
          </w:tcPr>
          <w:p w:rsidR="00F931D3" w:rsidRPr="00470AD4" w:rsidRDefault="005D22C5" w:rsidP="00CB2FBB">
            <w:pPr>
              <w:pStyle w:val="Tabletext"/>
            </w:pPr>
            <w:r w:rsidRPr="00470AD4">
              <w:t>The process whereby solutes are transported by the bulk mass of flowing fluid.</w:t>
            </w:r>
          </w:p>
        </w:tc>
      </w:tr>
      <w:tr w:rsidR="00F41F92" w:rsidRPr="00470AD4" w:rsidTr="003964E3">
        <w:tc>
          <w:tcPr>
            <w:tcW w:w="2268" w:type="dxa"/>
          </w:tcPr>
          <w:p w:rsidR="00F41F92" w:rsidRPr="00470AD4" w:rsidRDefault="00F41F92" w:rsidP="00CB2FBB">
            <w:pPr>
              <w:pStyle w:val="Tabletext"/>
            </w:pPr>
            <w:r w:rsidRPr="00470AD4">
              <w:t>Alkalinity</w:t>
            </w:r>
          </w:p>
        </w:tc>
        <w:tc>
          <w:tcPr>
            <w:tcW w:w="6804" w:type="dxa"/>
          </w:tcPr>
          <w:p w:rsidR="00F41F92" w:rsidRPr="00470AD4" w:rsidRDefault="00F41F92" w:rsidP="00CB2FBB">
            <w:pPr>
              <w:pStyle w:val="Tabletext"/>
            </w:pPr>
            <w:r w:rsidRPr="00470AD4">
              <w:t xml:space="preserve">The quantitative capacity of aqueous media to react with hydroxyl ions. The equivalent sum of the bases </w:t>
            </w:r>
            <w:proofErr w:type="gramStart"/>
            <w:r w:rsidRPr="00470AD4">
              <w:t>that are</w:t>
            </w:r>
            <w:proofErr w:type="gramEnd"/>
            <w:r w:rsidRPr="00470AD4">
              <w:t xml:space="preserve"> titratable with strong acid. Alkalinity is a capacity factor that represents the acid-neutralising capacity of an aqueous system.</w:t>
            </w:r>
          </w:p>
        </w:tc>
      </w:tr>
      <w:tr w:rsidR="006B3817" w:rsidRPr="00470AD4" w:rsidTr="007269F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trHeight w:val="300"/>
        </w:trPr>
        <w:tc>
          <w:tcPr>
            <w:tcW w:w="2268" w:type="dxa"/>
            <w:tcBorders>
              <w:top w:val="nil"/>
              <w:left w:val="single" w:sz="4" w:space="0" w:color="auto"/>
              <w:bottom w:val="single" w:sz="4" w:space="0" w:color="auto"/>
              <w:right w:val="single" w:sz="4" w:space="0" w:color="auto"/>
            </w:tcBorders>
            <w:shd w:val="clear" w:color="auto" w:fill="auto"/>
            <w:hideMark/>
          </w:tcPr>
          <w:p w:rsidR="006B3817" w:rsidRPr="00470AD4" w:rsidRDefault="006B3817" w:rsidP="00CB2FBB">
            <w:pPr>
              <w:pStyle w:val="Tabletext"/>
            </w:pPr>
            <w:r w:rsidRPr="00470AD4">
              <w:t>Analytical or numerical methods</w:t>
            </w:r>
          </w:p>
        </w:tc>
        <w:tc>
          <w:tcPr>
            <w:tcW w:w="6804" w:type="dxa"/>
            <w:tcBorders>
              <w:top w:val="nil"/>
              <w:left w:val="nil"/>
              <w:bottom w:val="single" w:sz="4" w:space="0" w:color="auto"/>
              <w:right w:val="single" w:sz="4" w:space="0" w:color="auto"/>
            </w:tcBorders>
            <w:shd w:val="clear" w:color="auto" w:fill="auto"/>
            <w:hideMark/>
          </w:tcPr>
          <w:p w:rsidR="006B3817" w:rsidRPr="00470AD4" w:rsidRDefault="006B3817" w:rsidP="00CB2FBB">
            <w:pPr>
              <w:pStyle w:val="Tabletext"/>
            </w:pPr>
            <w:r w:rsidRPr="00470AD4">
              <w:t>Methods based on applying mathematical solutions derived from first principles to calculate how the rock mass will behave when an excavation is made within it.</w:t>
            </w:r>
          </w:p>
        </w:tc>
      </w:tr>
      <w:tr w:rsidR="00A44939" w:rsidRPr="00470AD4" w:rsidTr="007269F4">
        <w:tc>
          <w:tcPr>
            <w:tcW w:w="2268" w:type="dxa"/>
          </w:tcPr>
          <w:p w:rsidR="00A44939" w:rsidRPr="00470AD4" w:rsidRDefault="00454153" w:rsidP="00CB2FBB">
            <w:pPr>
              <w:pStyle w:val="Tabletext"/>
            </w:pPr>
            <w:r w:rsidRPr="00470AD4">
              <w:t>Anisotropy</w:t>
            </w:r>
          </w:p>
        </w:tc>
        <w:tc>
          <w:tcPr>
            <w:tcW w:w="6804" w:type="dxa"/>
          </w:tcPr>
          <w:p w:rsidR="00A44939" w:rsidRPr="00470AD4" w:rsidRDefault="005D22C5" w:rsidP="00CB2FBB">
            <w:pPr>
              <w:pStyle w:val="Tabletext"/>
            </w:pPr>
            <w:r w:rsidRPr="00470AD4">
              <w:t>The condition of having different properties in different directions.</w:t>
            </w:r>
          </w:p>
        </w:tc>
      </w:tr>
      <w:tr w:rsidR="001B611D" w:rsidRPr="00470AD4" w:rsidTr="007269F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300"/>
        </w:trPr>
        <w:tc>
          <w:tcPr>
            <w:tcW w:w="2268" w:type="dxa"/>
            <w:tcBorders>
              <w:top w:val="nil"/>
              <w:left w:val="single" w:sz="4" w:space="0" w:color="auto"/>
              <w:bottom w:val="single" w:sz="4" w:space="0" w:color="auto"/>
              <w:right w:val="single" w:sz="4" w:space="0" w:color="auto"/>
            </w:tcBorders>
            <w:shd w:val="clear" w:color="auto" w:fill="auto"/>
          </w:tcPr>
          <w:p w:rsidR="001B611D" w:rsidRPr="00470AD4" w:rsidRDefault="001B611D" w:rsidP="00CB2FBB">
            <w:pPr>
              <w:pStyle w:val="Tabletext"/>
            </w:pPr>
            <w:r w:rsidRPr="00470AD4">
              <w:t>Anthropogenic</w:t>
            </w:r>
          </w:p>
        </w:tc>
        <w:tc>
          <w:tcPr>
            <w:tcW w:w="6804" w:type="dxa"/>
            <w:tcBorders>
              <w:top w:val="nil"/>
              <w:left w:val="nil"/>
              <w:bottom w:val="single" w:sz="4" w:space="0" w:color="auto"/>
              <w:right w:val="single" w:sz="4" w:space="0" w:color="auto"/>
            </w:tcBorders>
            <w:shd w:val="clear" w:color="auto" w:fill="auto"/>
            <w:vAlign w:val="center"/>
          </w:tcPr>
          <w:p w:rsidR="001B611D" w:rsidRPr="00470AD4" w:rsidRDefault="00F44860" w:rsidP="00CB2FBB">
            <w:pPr>
              <w:pStyle w:val="Tabletext"/>
            </w:pPr>
            <w:r w:rsidRPr="00470AD4">
              <w:t>Relating to, or resulting from, the influence of human beings on nature.</w:t>
            </w:r>
          </w:p>
        </w:tc>
      </w:tr>
      <w:tr w:rsidR="001C7D1F" w:rsidRPr="00470AD4" w:rsidTr="007269F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300"/>
        </w:trPr>
        <w:tc>
          <w:tcPr>
            <w:tcW w:w="2268" w:type="dxa"/>
            <w:tcBorders>
              <w:top w:val="nil"/>
              <w:left w:val="single" w:sz="4" w:space="0" w:color="auto"/>
              <w:bottom w:val="single" w:sz="4" w:space="0" w:color="auto"/>
              <w:right w:val="single" w:sz="4" w:space="0" w:color="auto"/>
            </w:tcBorders>
            <w:shd w:val="clear" w:color="auto" w:fill="auto"/>
          </w:tcPr>
          <w:p w:rsidR="001C7D1F" w:rsidRPr="00470AD4" w:rsidRDefault="00F922F5" w:rsidP="00CB2FBB">
            <w:pPr>
              <w:pStyle w:val="Tabletext"/>
            </w:pPr>
            <w:r w:rsidRPr="00470AD4">
              <w:t>Anticline</w:t>
            </w:r>
          </w:p>
        </w:tc>
        <w:tc>
          <w:tcPr>
            <w:tcW w:w="6804" w:type="dxa"/>
            <w:tcBorders>
              <w:top w:val="nil"/>
              <w:left w:val="nil"/>
              <w:bottom w:val="single" w:sz="4" w:space="0" w:color="auto"/>
              <w:right w:val="single" w:sz="4" w:space="0" w:color="auto"/>
            </w:tcBorders>
            <w:shd w:val="clear" w:color="auto" w:fill="auto"/>
            <w:vAlign w:val="center"/>
          </w:tcPr>
          <w:p w:rsidR="001C7D1F" w:rsidRPr="00470AD4" w:rsidRDefault="00F44860" w:rsidP="00CB2FBB">
            <w:pPr>
              <w:pStyle w:val="Tabletext"/>
            </w:pPr>
            <w:r w:rsidRPr="00470AD4">
              <w:t>In structural geology, an anticline is a fold that is convex up and has its oldest beds at its core.</w:t>
            </w:r>
          </w:p>
        </w:tc>
      </w:tr>
      <w:tr w:rsidR="0053011E" w:rsidRPr="00470AD4" w:rsidTr="007269F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300"/>
        </w:trPr>
        <w:tc>
          <w:tcPr>
            <w:tcW w:w="2268" w:type="dxa"/>
            <w:tcBorders>
              <w:top w:val="nil"/>
              <w:left w:val="single" w:sz="4" w:space="0" w:color="auto"/>
              <w:bottom w:val="single" w:sz="4" w:space="0" w:color="auto"/>
              <w:right w:val="single" w:sz="4" w:space="0" w:color="auto"/>
            </w:tcBorders>
            <w:shd w:val="clear" w:color="auto" w:fill="auto"/>
          </w:tcPr>
          <w:p w:rsidR="0053011E" w:rsidRPr="00470AD4" w:rsidRDefault="0053011E" w:rsidP="00CB2FBB">
            <w:pPr>
              <w:pStyle w:val="Tabletext"/>
            </w:pPr>
            <w:r w:rsidRPr="00470AD4">
              <w:t>Aperture</w:t>
            </w:r>
          </w:p>
        </w:tc>
        <w:tc>
          <w:tcPr>
            <w:tcW w:w="6804" w:type="dxa"/>
            <w:tcBorders>
              <w:top w:val="nil"/>
              <w:left w:val="nil"/>
              <w:bottom w:val="single" w:sz="4" w:space="0" w:color="auto"/>
              <w:right w:val="single" w:sz="4" w:space="0" w:color="auto"/>
            </w:tcBorders>
            <w:shd w:val="clear" w:color="auto" w:fill="auto"/>
            <w:vAlign w:val="center"/>
          </w:tcPr>
          <w:p w:rsidR="0053011E" w:rsidRPr="00470AD4" w:rsidRDefault="00F922F5" w:rsidP="00CB2FBB">
            <w:pPr>
              <w:pStyle w:val="Tabletext"/>
            </w:pPr>
            <w:r w:rsidRPr="00470AD4">
              <w:t>Hole or opening.</w:t>
            </w:r>
          </w:p>
        </w:tc>
      </w:tr>
      <w:tr w:rsidR="002D6A86" w:rsidRPr="00470AD4" w:rsidTr="007269F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300"/>
        </w:trPr>
        <w:tc>
          <w:tcPr>
            <w:tcW w:w="2268" w:type="dxa"/>
            <w:tcBorders>
              <w:top w:val="nil"/>
              <w:left w:val="single" w:sz="4" w:space="0" w:color="auto"/>
              <w:bottom w:val="single" w:sz="4" w:space="0" w:color="auto"/>
              <w:right w:val="single" w:sz="4" w:space="0" w:color="auto"/>
            </w:tcBorders>
            <w:shd w:val="clear" w:color="auto" w:fill="auto"/>
          </w:tcPr>
          <w:p w:rsidR="002D6A86" w:rsidRPr="00470AD4" w:rsidRDefault="002D6A86" w:rsidP="00CB2FBB">
            <w:pPr>
              <w:pStyle w:val="Tabletext"/>
            </w:pPr>
            <w:r w:rsidRPr="00470AD4">
              <w:t>Aquiclude</w:t>
            </w:r>
          </w:p>
        </w:tc>
        <w:tc>
          <w:tcPr>
            <w:tcW w:w="6804" w:type="dxa"/>
            <w:tcBorders>
              <w:top w:val="nil"/>
              <w:left w:val="nil"/>
              <w:bottom w:val="single" w:sz="4" w:space="0" w:color="auto"/>
              <w:right w:val="single" w:sz="4" w:space="0" w:color="auto"/>
            </w:tcBorders>
            <w:shd w:val="clear" w:color="auto" w:fill="auto"/>
            <w:vAlign w:val="center"/>
          </w:tcPr>
          <w:p w:rsidR="00754693" w:rsidRPr="00470AD4" w:rsidRDefault="00754693" w:rsidP="00CB2FBB">
            <w:pPr>
              <w:pStyle w:val="Tabletext"/>
            </w:pPr>
            <w:r w:rsidRPr="00470AD4">
              <w:t>A hydrogeologic unit which, although porous and capable of storing water, does not transmit it at rates sufficient to furnish an appreciable supply for a well or spring.</w:t>
            </w:r>
          </w:p>
        </w:tc>
      </w:tr>
      <w:tr w:rsidR="006B3817" w:rsidRPr="00470AD4" w:rsidTr="007269F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300"/>
        </w:trPr>
        <w:tc>
          <w:tcPr>
            <w:tcW w:w="2268" w:type="dxa"/>
            <w:tcBorders>
              <w:top w:val="nil"/>
              <w:left w:val="single" w:sz="4" w:space="0" w:color="auto"/>
              <w:bottom w:val="single" w:sz="4" w:space="0" w:color="auto"/>
              <w:right w:val="single" w:sz="4" w:space="0" w:color="auto"/>
            </w:tcBorders>
            <w:shd w:val="clear" w:color="auto" w:fill="auto"/>
            <w:hideMark/>
          </w:tcPr>
          <w:p w:rsidR="006B3817" w:rsidRPr="00470AD4" w:rsidRDefault="006B3817" w:rsidP="00CB2FBB">
            <w:pPr>
              <w:pStyle w:val="Tabletext"/>
            </w:pPr>
            <w:r w:rsidRPr="00470AD4">
              <w:t>Aquifer</w:t>
            </w:r>
          </w:p>
        </w:tc>
        <w:tc>
          <w:tcPr>
            <w:tcW w:w="6804" w:type="dxa"/>
            <w:tcBorders>
              <w:top w:val="nil"/>
              <w:left w:val="nil"/>
              <w:bottom w:val="single" w:sz="4" w:space="0" w:color="auto"/>
              <w:right w:val="single" w:sz="4" w:space="0" w:color="auto"/>
            </w:tcBorders>
            <w:shd w:val="clear" w:color="auto" w:fill="auto"/>
            <w:vAlign w:val="center"/>
            <w:hideMark/>
          </w:tcPr>
          <w:p w:rsidR="006B3817" w:rsidRPr="00470AD4" w:rsidRDefault="006B3817" w:rsidP="00CB2FBB">
            <w:pPr>
              <w:pStyle w:val="Tabletext"/>
            </w:pPr>
            <w:r w:rsidRPr="00470AD4">
              <w:t>Rock or sediment in formation, group of formations or part of a formation, that is saturated and sufficiently permeable to transmit quantities of water to wells and springs.</w:t>
            </w:r>
          </w:p>
        </w:tc>
      </w:tr>
      <w:tr w:rsidR="006B3817" w:rsidRPr="00470AD4" w:rsidTr="007269F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300"/>
        </w:trPr>
        <w:tc>
          <w:tcPr>
            <w:tcW w:w="2268" w:type="dxa"/>
            <w:tcBorders>
              <w:top w:val="nil"/>
              <w:left w:val="single" w:sz="4" w:space="0" w:color="auto"/>
              <w:bottom w:val="single" w:sz="4" w:space="0" w:color="auto"/>
              <w:right w:val="single" w:sz="4" w:space="0" w:color="auto"/>
            </w:tcBorders>
            <w:shd w:val="clear" w:color="auto" w:fill="auto"/>
            <w:hideMark/>
          </w:tcPr>
          <w:p w:rsidR="006B3817" w:rsidRPr="00470AD4" w:rsidRDefault="006B3817" w:rsidP="00CB2FBB">
            <w:pPr>
              <w:pStyle w:val="Tabletext"/>
            </w:pPr>
            <w:r w:rsidRPr="00470AD4">
              <w:t>Aquifer connectivity</w:t>
            </w:r>
          </w:p>
        </w:tc>
        <w:tc>
          <w:tcPr>
            <w:tcW w:w="6804" w:type="dxa"/>
            <w:tcBorders>
              <w:top w:val="single" w:sz="4" w:space="0" w:color="auto"/>
              <w:left w:val="nil"/>
              <w:bottom w:val="single" w:sz="4" w:space="0" w:color="auto"/>
              <w:right w:val="single" w:sz="4" w:space="0" w:color="auto"/>
            </w:tcBorders>
            <w:shd w:val="clear" w:color="auto" w:fill="auto"/>
            <w:vAlign w:val="center"/>
            <w:hideMark/>
          </w:tcPr>
          <w:p w:rsidR="006B3817" w:rsidRPr="00470AD4" w:rsidRDefault="006B3817" w:rsidP="00CB2FBB">
            <w:pPr>
              <w:pStyle w:val="Tabletext"/>
            </w:pPr>
            <w:r w:rsidRPr="00470AD4">
              <w:t>The degree to which groundwater can transfer between two adjacent aquifers or to the surface.</w:t>
            </w:r>
          </w:p>
        </w:tc>
      </w:tr>
      <w:tr w:rsidR="001B611D" w:rsidRPr="00470AD4" w:rsidTr="007269F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300"/>
        </w:trPr>
        <w:tc>
          <w:tcPr>
            <w:tcW w:w="2268" w:type="dxa"/>
            <w:tcBorders>
              <w:top w:val="nil"/>
              <w:left w:val="single" w:sz="4" w:space="0" w:color="auto"/>
              <w:bottom w:val="single" w:sz="4" w:space="0" w:color="auto"/>
              <w:right w:val="single" w:sz="4" w:space="0" w:color="auto"/>
            </w:tcBorders>
            <w:shd w:val="clear" w:color="auto" w:fill="auto"/>
          </w:tcPr>
          <w:p w:rsidR="001B611D" w:rsidRPr="00470AD4" w:rsidRDefault="001B611D" w:rsidP="00CB2FBB">
            <w:pPr>
              <w:pStyle w:val="Tabletext"/>
            </w:pPr>
            <w:r w:rsidRPr="00470AD4">
              <w:t>Aquifer discharge</w:t>
            </w:r>
          </w:p>
        </w:tc>
        <w:tc>
          <w:tcPr>
            <w:tcW w:w="6804" w:type="dxa"/>
            <w:tcBorders>
              <w:top w:val="single" w:sz="4" w:space="0" w:color="auto"/>
              <w:left w:val="nil"/>
              <w:bottom w:val="single" w:sz="4" w:space="0" w:color="auto"/>
              <w:right w:val="single" w:sz="4" w:space="0" w:color="auto"/>
            </w:tcBorders>
            <w:shd w:val="clear" w:color="auto" w:fill="auto"/>
            <w:vAlign w:val="center"/>
          </w:tcPr>
          <w:p w:rsidR="001B611D" w:rsidRPr="00470AD4" w:rsidRDefault="00F922F5" w:rsidP="00CB2FBB">
            <w:pPr>
              <w:pStyle w:val="Tabletext"/>
            </w:pPr>
            <w:r w:rsidRPr="00470AD4">
              <w:t>Water leaving an aquifer.</w:t>
            </w:r>
          </w:p>
        </w:tc>
      </w:tr>
      <w:tr w:rsidR="006B3817" w:rsidRPr="00470AD4" w:rsidTr="007269F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300"/>
        </w:trPr>
        <w:tc>
          <w:tcPr>
            <w:tcW w:w="2268" w:type="dxa"/>
            <w:tcBorders>
              <w:top w:val="nil"/>
              <w:left w:val="single" w:sz="4" w:space="0" w:color="auto"/>
              <w:bottom w:val="single" w:sz="4" w:space="0" w:color="auto"/>
              <w:right w:val="single" w:sz="4" w:space="0" w:color="auto"/>
            </w:tcBorders>
            <w:shd w:val="clear" w:color="auto" w:fill="auto"/>
            <w:hideMark/>
          </w:tcPr>
          <w:p w:rsidR="006B3817" w:rsidRPr="00470AD4" w:rsidRDefault="006B3817" w:rsidP="00CB2FBB">
            <w:pPr>
              <w:pStyle w:val="Tabletext"/>
            </w:pPr>
            <w:r w:rsidRPr="00470AD4">
              <w:t>Aquifer recharge</w:t>
            </w:r>
          </w:p>
        </w:tc>
        <w:tc>
          <w:tcPr>
            <w:tcW w:w="6804" w:type="dxa"/>
            <w:tcBorders>
              <w:top w:val="single" w:sz="4" w:space="0" w:color="auto"/>
              <w:left w:val="nil"/>
              <w:bottom w:val="single" w:sz="4" w:space="0" w:color="auto"/>
              <w:right w:val="single" w:sz="4" w:space="0" w:color="auto"/>
            </w:tcBorders>
            <w:shd w:val="clear" w:color="auto" w:fill="auto"/>
            <w:vAlign w:val="center"/>
            <w:hideMark/>
          </w:tcPr>
          <w:p w:rsidR="006B3817" w:rsidRPr="00470AD4" w:rsidRDefault="006B3817" w:rsidP="00CB2FBB">
            <w:pPr>
              <w:pStyle w:val="Tabletext"/>
            </w:pPr>
            <w:r w:rsidRPr="00470AD4">
              <w:t>The amount of water replenishing an aquifer over a given time period.</w:t>
            </w:r>
          </w:p>
        </w:tc>
      </w:tr>
      <w:tr w:rsidR="006B3817" w:rsidRPr="00470AD4" w:rsidTr="007269F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525"/>
        </w:trPr>
        <w:tc>
          <w:tcPr>
            <w:tcW w:w="2268" w:type="dxa"/>
            <w:tcBorders>
              <w:top w:val="nil"/>
              <w:left w:val="single" w:sz="4" w:space="0" w:color="auto"/>
              <w:bottom w:val="single" w:sz="4" w:space="0" w:color="auto"/>
              <w:right w:val="single" w:sz="4" w:space="0" w:color="auto"/>
            </w:tcBorders>
            <w:shd w:val="clear" w:color="auto" w:fill="auto"/>
            <w:hideMark/>
          </w:tcPr>
          <w:p w:rsidR="006B3817" w:rsidRPr="00470AD4" w:rsidRDefault="006B3817" w:rsidP="00CB2FBB">
            <w:pPr>
              <w:pStyle w:val="Tabletext"/>
            </w:pPr>
            <w:r w:rsidRPr="00470AD4">
              <w:t>Aquitard</w:t>
            </w:r>
          </w:p>
        </w:tc>
        <w:tc>
          <w:tcPr>
            <w:tcW w:w="6804" w:type="dxa"/>
            <w:tcBorders>
              <w:top w:val="nil"/>
              <w:left w:val="nil"/>
              <w:bottom w:val="single" w:sz="4" w:space="0" w:color="auto"/>
              <w:right w:val="single" w:sz="4" w:space="0" w:color="auto"/>
            </w:tcBorders>
            <w:shd w:val="clear" w:color="auto" w:fill="auto"/>
            <w:vAlign w:val="center"/>
            <w:hideMark/>
          </w:tcPr>
          <w:p w:rsidR="006B3817" w:rsidRPr="00470AD4" w:rsidRDefault="006B3817" w:rsidP="00CB2FBB">
            <w:pPr>
              <w:pStyle w:val="Tabletext"/>
            </w:pPr>
            <w:r w:rsidRPr="00470AD4">
              <w:t>A saturated geological unit that is less permeable than an aquifer and incapable of transmitting useful quantities of water. Aquitards often form a confining layer over an artesian aquifer</w:t>
            </w:r>
            <w:r w:rsidR="00FE1B28" w:rsidRPr="00470AD4">
              <w:t>.</w:t>
            </w:r>
          </w:p>
        </w:tc>
      </w:tr>
      <w:tr w:rsidR="006B3817" w:rsidRPr="00470AD4" w:rsidTr="007269F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300"/>
        </w:trPr>
        <w:tc>
          <w:tcPr>
            <w:tcW w:w="2268" w:type="dxa"/>
            <w:tcBorders>
              <w:top w:val="nil"/>
              <w:left w:val="single" w:sz="4" w:space="0" w:color="auto"/>
              <w:bottom w:val="single" w:sz="4" w:space="0" w:color="auto"/>
              <w:right w:val="single" w:sz="4" w:space="0" w:color="auto"/>
            </w:tcBorders>
            <w:shd w:val="clear" w:color="auto" w:fill="auto"/>
            <w:hideMark/>
          </w:tcPr>
          <w:p w:rsidR="006B3817" w:rsidRPr="00470AD4" w:rsidRDefault="006B3817" w:rsidP="00CB2FBB">
            <w:pPr>
              <w:pStyle w:val="Tabletext"/>
            </w:pPr>
            <w:r w:rsidRPr="00470AD4">
              <w:t>Artesian</w:t>
            </w:r>
          </w:p>
        </w:tc>
        <w:tc>
          <w:tcPr>
            <w:tcW w:w="6804" w:type="dxa"/>
            <w:tcBorders>
              <w:top w:val="nil"/>
              <w:left w:val="nil"/>
              <w:bottom w:val="single" w:sz="4" w:space="0" w:color="auto"/>
              <w:right w:val="single" w:sz="4" w:space="0" w:color="auto"/>
            </w:tcBorders>
            <w:shd w:val="clear" w:color="auto" w:fill="auto"/>
            <w:vAlign w:val="center"/>
            <w:hideMark/>
          </w:tcPr>
          <w:p w:rsidR="006B3817" w:rsidRPr="00470AD4" w:rsidRDefault="006B3817" w:rsidP="00CB2FBB">
            <w:pPr>
              <w:pStyle w:val="Tabletext"/>
            </w:pPr>
            <w:r w:rsidRPr="00470AD4">
              <w:t>Pertaining to a confined aquifer in which the groundwater is under positive pressure (</w:t>
            </w:r>
            <w:r w:rsidR="00754693" w:rsidRPr="00470AD4">
              <w:t xml:space="preserve">i.e. </w:t>
            </w:r>
            <w:r w:rsidRPr="00470AD4">
              <w:t>a bore screened into the aquifer will have its water level above-ground).</w:t>
            </w:r>
          </w:p>
        </w:tc>
      </w:tr>
      <w:tr w:rsidR="00E95593" w:rsidRPr="00470AD4" w:rsidTr="007269F4">
        <w:tc>
          <w:tcPr>
            <w:tcW w:w="2268" w:type="dxa"/>
          </w:tcPr>
          <w:p w:rsidR="00E95593" w:rsidRPr="00470AD4" w:rsidRDefault="00E95593" w:rsidP="00CB2FBB">
            <w:pPr>
              <w:pStyle w:val="Tabletext"/>
            </w:pPr>
            <w:r w:rsidRPr="00470AD4">
              <w:t>Aquatic ecosystem</w:t>
            </w:r>
          </w:p>
        </w:tc>
        <w:tc>
          <w:tcPr>
            <w:tcW w:w="6804" w:type="dxa"/>
          </w:tcPr>
          <w:p w:rsidR="00E95593" w:rsidRPr="00470AD4" w:rsidRDefault="00E95593" w:rsidP="00CB2FBB">
            <w:pPr>
              <w:pStyle w:val="Tabletext"/>
            </w:pPr>
            <w:r w:rsidRPr="00470AD4">
              <w:t>Any watery environment from small to large, from pond to ocean, in which plants and animals interact with the chemical and physical features of the environment.</w:t>
            </w:r>
          </w:p>
        </w:tc>
      </w:tr>
      <w:tr w:rsidR="003B1829" w:rsidRPr="00470AD4" w:rsidTr="007269F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300"/>
        </w:trPr>
        <w:tc>
          <w:tcPr>
            <w:tcW w:w="2268" w:type="dxa"/>
            <w:tcBorders>
              <w:top w:val="nil"/>
              <w:left w:val="single" w:sz="4" w:space="0" w:color="auto"/>
              <w:bottom w:val="single" w:sz="4" w:space="0" w:color="auto"/>
              <w:right w:val="single" w:sz="4" w:space="0" w:color="auto"/>
            </w:tcBorders>
            <w:shd w:val="clear" w:color="auto" w:fill="auto"/>
            <w:hideMark/>
          </w:tcPr>
          <w:p w:rsidR="003B1829" w:rsidRPr="00470AD4" w:rsidRDefault="003B1829" w:rsidP="00CB2FBB">
            <w:pPr>
              <w:pStyle w:val="Tabletext"/>
            </w:pPr>
            <w:r w:rsidRPr="00470AD4">
              <w:t>Bore/borehole</w:t>
            </w:r>
          </w:p>
        </w:tc>
        <w:tc>
          <w:tcPr>
            <w:tcW w:w="6804" w:type="dxa"/>
            <w:tcBorders>
              <w:top w:val="nil"/>
              <w:left w:val="nil"/>
              <w:bottom w:val="single" w:sz="4" w:space="0" w:color="auto"/>
              <w:right w:val="single" w:sz="4" w:space="0" w:color="auto"/>
            </w:tcBorders>
            <w:shd w:val="clear" w:color="auto" w:fill="auto"/>
            <w:vAlign w:val="center"/>
            <w:hideMark/>
          </w:tcPr>
          <w:p w:rsidR="003B1829" w:rsidRPr="00470AD4" w:rsidRDefault="003B1829" w:rsidP="00CB2FBB">
            <w:pPr>
              <w:pStyle w:val="Tabletext"/>
            </w:pPr>
            <w:r w:rsidRPr="00470AD4">
              <w:t xml:space="preserve">A narrow, artificially constructed hole or cavity used to intercept, collect or store water from an aquifer, or to passively observe or collect groundwater information. Also known as a borehole, well or piezometer. </w:t>
            </w:r>
          </w:p>
        </w:tc>
      </w:tr>
      <w:tr w:rsidR="00F41F92" w:rsidRPr="00470AD4" w:rsidTr="00F922F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723"/>
        </w:trPr>
        <w:tc>
          <w:tcPr>
            <w:tcW w:w="2268" w:type="dxa"/>
            <w:tcBorders>
              <w:top w:val="nil"/>
              <w:left w:val="single" w:sz="4" w:space="0" w:color="auto"/>
              <w:bottom w:val="single" w:sz="4" w:space="0" w:color="auto"/>
              <w:right w:val="single" w:sz="4" w:space="0" w:color="auto"/>
            </w:tcBorders>
            <w:shd w:val="clear" w:color="auto" w:fill="auto"/>
          </w:tcPr>
          <w:p w:rsidR="00F41F92" w:rsidRPr="00470AD4" w:rsidRDefault="00F41F92" w:rsidP="00CB2FBB">
            <w:pPr>
              <w:pStyle w:val="Tabletext"/>
            </w:pPr>
            <w:r w:rsidRPr="00470AD4">
              <w:t>Brecciation</w:t>
            </w:r>
          </w:p>
        </w:tc>
        <w:tc>
          <w:tcPr>
            <w:tcW w:w="6804" w:type="dxa"/>
            <w:tcBorders>
              <w:top w:val="nil"/>
              <w:left w:val="nil"/>
              <w:bottom w:val="single" w:sz="4" w:space="0" w:color="auto"/>
              <w:right w:val="single" w:sz="4" w:space="0" w:color="auto"/>
            </w:tcBorders>
            <w:shd w:val="clear" w:color="auto" w:fill="auto"/>
          </w:tcPr>
          <w:p w:rsidR="00F41F92" w:rsidRPr="00470AD4" w:rsidRDefault="005858EA" w:rsidP="00CB2FBB">
            <w:pPr>
              <w:pStyle w:val="Tabletext"/>
            </w:pPr>
            <w:r w:rsidRPr="00470AD4">
              <w:t>The formation of breccia. Breccia is a</w:t>
            </w:r>
            <w:r w:rsidR="00F922F5" w:rsidRPr="00470AD4">
              <w:t xml:space="preserve"> rock made up of very angular coarse fragments; may be sedimentary or may be formed by grinding or crushing along faults.</w:t>
            </w:r>
          </w:p>
        </w:tc>
      </w:tr>
      <w:tr w:rsidR="003B1829" w:rsidRPr="00470AD4" w:rsidTr="007269F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960"/>
        </w:trPr>
        <w:tc>
          <w:tcPr>
            <w:tcW w:w="2268" w:type="dxa"/>
            <w:tcBorders>
              <w:top w:val="nil"/>
              <w:left w:val="single" w:sz="4" w:space="0" w:color="auto"/>
              <w:bottom w:val="single" w:sz="4" w:space="0" w:color="auto"/>
              <w:right w:val="single" w:sz="4" w:space="0" w:color="auto"/>
            </w:tcBorders>
            <w:shd w:val="clear" w:color="auto" w:fill="auto"/>
            <w:hideMark/>
          </w:tcPr>
          <w:p w:rsidR="003B1829" w:rsidRPr="00470AD4" w:rsidRDefault="003B1829" w:rsidP="00CB2FBB">
            <w:pPr>
              <w:pStyle w:val="Tabletext"/>
            </w:pPr>
            <w:r w:rsidRPr="00470AD4">
              <w:lastRenderedPageBreak/>
              <w:t>Casing</w:t>
            </w:r>
          </w:p>
        </w:tc>
        <w:tc>
          <w:tcPr>
            <w:tcW w:w="6804" w:type="dxa"/>
            <w:tcBorders>
              <w:top w:val="nil"/>
              <w:left w:val="nil"/>
              <w:bottom w:val="single" w:sz="4" w:space="0" w:color="auto"/>
              <w:right w:val="single" w:sz="4" w:space="0" w:color="auto"/>
            </w:tcBorders>
            <w:shd w:val="clear" w:color="auto" w:fill="auto"/>
            <w:vAlign w:val="center"/>
            <w:hideMark/>
          </w:tcPr>
          <w:p w:rsidR="003B1829" w:rsidRPr="00470AD4" w:rsidRDefault="003B1829" w:rsidP="00CB2FBB">
            <w:pPr>
              <w:pStyle w:val="Tabletext"/>
            </w:pPr>
            <w:r w:rsidRPr="00470AD4">
              <w:t>A tube used as a temporary or permanent lining for a bore.</w:t>
            </w:r>
          </w:p>
          <w:p w:rsidR="003B1829" w:rsidRPr="00470AD4" w:rsidRDefault="003B1829" w:rsidP="00CB2FBB">
            <w:pPr>
              <w:pStyle w:val="Tabletext"/>
            </w:pPr>
            <w:r w:rsidRPr="00470AD4">
              <w:rPr>
                <w:i/>
              </w:rPr>
              <w:t>Surface casing</w:t>
            </w:r>
            <w:r w:rsidRPr="00470AD4">
              <w:t xml:space="preserve">: </w:t>
            </w:r>
            <w:r w:rsidR="0019723D" w:rsidRPr="00470AD4">
              <w:t>t</w:t>
            </w:r>
            <w:r w:rsidRPr="00470AD4">
              <w:t>he pipe initially inserted into the top of the hole to prevent washouts and the erosion of softer materials during subsequent drilling. Surface casing is usually grouted in and composed of either steel, PVC-U, or composite materials.</w:t>
            </w:r>
          </w:p>
          <w:p w:rsidR="003B1829" w:rsidRPr="00470AD4" w:rsidRDefault="003B1829" w:rsidP="00CB2FBB">
            <w:pPr>
              <w:pStyle w:val="Tabletext"/>
            </w:pPr>
            <w:r w:rsidRPr="00470AD4">
              <w:rPr>
                <w:i/>
              </w:rPr>
              <w:t>Production casing</w:t>
            </w:r>
            <w:r w:rsidRPr="00470AD4">
              <w:t xml:space="preserve">: </w:t>
            </w:r>
            <w:r w:rsidR="0019723D" w:rsidRPr="00470AD4">
              <w:t>a</w:t>
            </w:r>
            <w:r w:rsidRPr="00470AD4">
              <w:t xml:space="preserve"> continuous string of pipe casings that are inserted into or immediately above the chosen aquifer and back up to the surface through which water and/or gas are extracted/injected.</w:t>
            </w:r>
          </w:p>
        </w:tc>
      </w:tr>
      <w:tr w:rsidR="00F41F92" w:rsidRPr="00470AD4" w:rsidTr="007269F4">
        <w:tc>
          <w:tcPr>
            <w:tcW w:w="2268" w:type="dxa"/>
          </w:tcPr>
          <w:p w:rsidR="00F41F92" w:rsidRPr="00470AD4" w:rsidRDefault="00F41F92" w:rsidP="00CB2FBB">
            <w:pPr>
              <w:pStyle w:val="Tabletext"/>
            </w:pPr>
            <w:r w:rsidRPr="00470AD4">
              <w:t>Cataclasis</w:t>
            </w:r>
          </w:p>
        </w:tc>
        <w:tc>
          <w:tcPr>
            <w:tcW w:w="6804" w:type="dxa"/>
          </w:tcPr>
          <w:p w:rsidR="00AE725F" w:rsidRPr="00470AD4" w:rsidRDefault="00AE725F" w:rsidP="00CB2FBB">
            <w:pPr>
              <w:pStyle w:val="Tabletext"/>
            </w:pPr>
            <w:r w:rsidRPr="00470AD4">
              <w:t>The progressive fracturing and comminution of existing rock, which results in the formation of cataclastic rock. Cataclastic rock is mainly found associated with fault zones.</w:t>
            </w:r>
          </w:p>
        </w:tc>
      </w:tr>
      <w:tr w:rsidR="00D46AAD" w:rsidRPr="00470AD4" w:rsidTr="007269F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300"/>
        </w:trPr>
        <w:tc>
          <w:tcPr>
            <w:tcW w:w="2268" w:type="dxa"/>
            <w:tcBorders>
              <w:top w:val="nil"/>
              <w:left w:val="single" w:sz="4" w:space="0" w:color="auto"/>
              <w:bottom w:val="single" w:sz="4" w:space="0" w:color="auto"/>
              <w:right w:val="single" w:sz="4" w:space="0" w:color="auto"/>
            </w:tcBorders>
            <w:shd w:val="clear" w:color="auto" w:fill="auto"/>
          </w:tcPr>
          <w:p w:rsidR="00D46AAD" w:rsidRPr="00470AD4" w:rsidRDefault="00D46AAD" w:rsidP="00CB2FBB">
            <w:pPr>
              <w:pStyle w:val="Tabletext"/>
            </w:pPr>
            <w:r w:rsidRPr="00470AD4">
              <w:t>Clastic sediments</w:t>
            </w:r>
          </w:p>
        </w:tc>
        <w:tc>
          <w:tcPr>
            <w:tcW w:w="6804" w:type="dxa"/>
            <w:tcBorders>
              <w:top w:val="nil"/>
              <w:left w:val="nil"/>
              <w:bottom w:val="single" w:sz="4" w:space="0" w:color="auto"/>
              <w:right w:val="single" w:sz="4" w:space="0" w:color="auto"/>
            </w:tcBorders>
            <w:shd w:val="clear" w:color="auto" w:fill="auto"/>
            <w:vAlign w:val="center"/>
          </w:tcPr>
          <w:p w:rsidR="00D46AAD" w:rsidRPr="00470AD4" w:rsidRDefault="00AE725F" w:rsidP="00CB2FBB">
            <w:pPr>
              <w:pStyle w:val="Tabletext"/>
            </w:pPr>
            <w:r w:rsidRPr="00470AD4">
              <w:t>Composed predominantly of broken pieces or clasts of older weathered and eroded rocks.</w:t>
            </w:r>
          </w:p>
        </w:tc>
      </w:tr>
      <w:tr w:rsidR="00AD6698" w:rsidRPr="00470AD4" w:rsidTr="007269F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300"/>
        </w:trPr>
        <w:tc>
          <w:tcPr>
            <w:tcW w:w="2268" w:type="dxa"/>
            <w:tcBorders>
              <w:top w:val="nil"/>
              <w:left w:val="single" w:sz="4" w:space="0" w:color="auto"/>
              <w:bottom w:val="single" w:sz="4" w:space="0" w:color="auto"/>
              <w:right w:val="single" w:sz="4" w:space="0" w:color="auto"/>
            </w:tcBorders>
            <w:shd w:val="clear" w:color="auto" w:fill="auto"/>
          </w:tcPr>
          <w:p w:rsidR="00AD6698" w:rsidRPr="00470AD4" w:rsidRDefault="00AD6698" w:rsidP="00CB2FBB">
            <w:pPr>
              <w:pStyle w:val="Tabletext"/>
            </w:pPr>
            <w:r w:rsidRPr="00470AD4">
              <w:t>Clay drapes</w:t>
            </w:r>
          </w:p>
        </w:tc>
        <w:tc>
          <w:tcPr>
            <w:tcW w:w="6804" w:type="dxa"/>
            <w:tcBorders>
              <w:top w:val="nil"/>
              <w:left w:val="nil"/>
              <w:bottom w:val="single" w:sz="4" w:space="0" w:color="auto"/>
              <w:right w:val="single" w:sz="4" w:space="0" w:color="auto"/>
            </w:tcBorders>
            <w:shd w:val="clear" w:color="auto" w:fill="auto"/>
            <w:vAlign w:val="center"/>
          </w:tcPr>
          <w:p w:rsidR="00AD6698" w:rsidRPr="00470AD4" w:rsidRDefault="00AE725F" w:rsidP="00CB2FBB">
            <w:pPr>
              <w:pStyle w:val="Tabletext"/>
            </w:pPr>
            <w:r w:rsidRPr="00470AD4">
              <w:t>Thin irregularly-shaped layers of low-permeability material that are often</w:t>
            </w:r>
            <w:r w:rsidR="006F030C" w:rsidRPr="00470AD4">
              <w:t xml:space="preserve"> </w:t>
            </w:r>
            <w:r w:rsidRPr="00470AD4">
              <w:t>observed in different types of sedimentary deposits</w:t>
            </w:r>
            <w:r w:rsidR="006F030C" w:rsidRPr="00470AD4">
              <w:t>.</w:t>
            </w:r>
          </w:p>
        </w:tc>
      </w:tr>
      <w:tr w:rsidR="003B1829" w:rsidRPr="00470AD4" w:rsidTr="007269F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300"/>
        </w:trPr>
        <w:tc>
          <w:tcPr>
            <w:tcW w:w="2268" w:type="dxa"/>
            <w:tcBorders>
              <w:top w:val="nil"/>
              <w:left w:val="single" w:sz="4" w:space="0" w:color="auto"/>
              <w:bottom w:val="single" w:sz="4" w:space="0" w:color="auto"/>
              <w:right w:val="single" w:sz="4" w:space="0" w:color="auto"/>
            </w:tcBorders>
            <w:shd w:val="clear" w:color="auto" w:fill="auto"/>
            <w:hideMark/>
          </w:tcPr>
          <w:p w:rsidR="003B1829" w:rsidRPr="00470AD4" w:rsidRDefault="003B1829" w:rsidP="00CB2FBB">
            <w:pPr>
              <w:pStyle w:val="Tabletext"/>
            </w:pPr>
            <w:r w:rsidRPr="00470AD4">
              <w:t>Cleats - butt cleats</w:t>
            </w:r>
          </w:p>
        </w:tc>
        <w:tc>
          <w:tcPr>
            <w:tcW w:w="6804" w:type="dxa"/>
            <w:tcBorders>
              <w:top w:val="nil"/>
              <w:left w:val="nil"/>
              <w:bottom w:val="single" w:sz="4" w:space="0" w:color="auto"/>
              <w:right w:val="single" w:sz="4" w:space="0" w:color="auto"/>
            </w:tcBorders>
            <w:shd w:val="clear" w:color="auto" w:fill="auto"/>
            <w:vAlign w:val="center"/>
            <w:hideMark/>
          </w:tcPr>
          <w:p w:rsidR="003B1829" w:rsidRPr="00470AD4" w:rsidRDefault="003B1829" w:rsidP="00CB2FBB">
            <w:pPr>
              <w:pStyle w:val="Tabletext"/>
            </w:pPr>
            <w:r w:rsidRPr="00470AD4">
              <w:t>Fractures that are perpendicular, or at a high angle, to the coal seam bedding planes.</w:t>
            </w:r>
          </w:p>
        </w:tc>
      </w:tr>
      <w:tr w:rsidR="003B1829" w:rsidRPr="00470AD4" w:rsidTr="007269F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300"/>
        </w:trPr>
        <w:tc>
          <w:tcPr>
            <w:tcW w:w="2268" w:type="dxa"/>
            <w:tcBorders>
              <w:top w:val="nil"/>
              <w:left w:val="single" w:sz="4" w:space="0" w:color="auto"/>
              <w:bottom w:val="single" w:sz="4" w:space="0" w:color="auto"/>
              <w:right w:val="single" w:sz="4" w:space="0" w:color="auto"/>
            </w:tcBorders>
            <w:shd w:val="clear" w:color="auto" w:fill="auto"/>
            <w:hideMark/>
          </w:tcPr>
          <w:p w:rsidR="003B1829" w:rsidRPr="00470AD4" w:rsidRDefault="003B1829" w:rsidP="00CB2FBB">
            <w:pPr>
              <w:pStyle w:val="Tabletext"/>
            </w:pPr>
            <w:r w:rsidRPr="00470AD4">
              <w:t>Cleats - face cleats</w:t>
            </w:r>
          </w:p>
        </w:tc>
        <w:tc>
          <w:tcPr>
            <w:tcW w:w="6804" w:type="dxa"/>
            <w:tcBorders>
              <w:top w:val="nil"/>
              <w:left w:val="nil"/>
              <w:bottom w:val="single" w:sz="4" w:space="0" w:color="auto"/>
              <w:right w:val="single" w:sz="4" w:space="0" w:color="auto"/>
            </w:tcBorders>
            <w:shd w:val="clear" w:color="auto" w:fill="auto"/>
            <w:vAlign w:val="center"/>
            <w:hideMark/>
          </w:tcPr>
          <w:p w:rsidR="003B1829" w:rsidRPr="00470AD4" w:rsidRDefault="003B1829" w:rsidP="00CB2FBB">
            <w:pPr>
              <w:pStyle w:val="Tabletext"/>
            </w:pPr>
            <w:r w:rsidRPr="00470AD4">
              <w:t>Thin fractures that are perpendicular, or at a high angle, to the coal seam bedding planes but also orthogonal to the butt cleats.</w:t>
            </w:r>
          </w:p>
        </w:tc>
      </w:tr>
      <w:tr w:rsidR="003B1829" w:rsidRPr="00470AD4" w:rsidTr="007269F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480"/>
        </w:trPr>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3B1829" w:rsidRPr="00470AD4" w:rsidRDefault="003B1829" w:rsidP="00CB2FBB">
            <w:pPr>
              <w:pStyle w:val="Tabletext"/>
            </w:pPr>
            <w:r w:rsidRPr="00470AD4">
              <w:t>Coal seam</w:t>
            </w:r>
          </w:p>
        </w:tc>
        <w:tc>
          <w:tcPr>
            <w:tcW w:w="6804" w:type="dxa"/>
            <w:tcBorders>
              <w:top w:val="single" w:sz="4" w:space="0" w:color="auto"/>
              <w:left w:val="nil"/>
              <w:bottom w:val="single" w:sz="4" w:space="0" w:color="auto"/>
              <w:right w:val="single" w:sz="4" w:space="0" w:color="auto"/>
            </w:tcBorders>
            <w:shd w:val="clear" w:color="auto" w:fill="auto"/>
            <w:vAlign w:val="center"/>
            <w:hideMark/>
          </w:tcPr>
          <w:p w:rsidR="003B1829" w:rsidRPr="00470AD4" w:rsidRDefault="003B1829" w:rsidP="00CB2FBB">
            <w:pPr>
              <w:pStyle w:val="Tabletext"/>
            </w:pPr>
            <w:r w:rsidRPr="00470AD4">
              <w:t>Sedimentary layers consisting primarily of coal. Coal seams store both groundwater and gas and generally contain saltier groundwater than aquifers that are used for drinking water or agriculture.</w:t>
            </w:r>
          </w:p>
        </w:tc>
      </w:tr>
      <w:tr w:rsidR="003B1829" w:rsidRPr="00470AD4" w:rsidTr="007269F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480"/>
        </w:trPr>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3B1829" w:rsidRPr="00470AD4" w:rsidRDefault="003B1829" w:rsidP="00CB2FBB">
            <w:pPr>
              <w:pStyle w:val="Tabletext"/>
            </w:pPr>
            <w:r w:rsidRPr="00470AD4">
              <w:t>Coal seam gas</w:t>
            </w:r>
          </w:p>
        </w:tc>
        <w:tc>
          <w:tcPr>
            <w:tcW w:w="6804" w:type="dxa"/>
            <w:tcBorders>
              <w:top w:val="single" w:sz="4" w:space="0" w:color="auto"/>
              <w:left w:val="nil"/>
              <w:bottom w:val="single" w:sz="4" w:space="0" w:color="auto"/>
              <w:right w:val="single" w:sz="4" w:space="0" w:color="auto"/>
            </w:tcBorders>
            <w:shd w:val="clear" w:color="auto" w:fill="auto"/>
            <w:vAlign w:val="center"/>
            <w:hideMark/>
          </w:tcPr>
          <w:p w:rsidR="003B1829" w:rsidRPr="00470AD4" w:rsidRDefault="003B1829" w:rsidP="00CB2FBB">
            <w:pPr>
              <w:pStyle w:val="Tabletext"/>
            </w:pPr>
            <w:r w:rsidRPr="00470AD4">
              <w:t>A form of natural gas (generally 95-97 per cent pure methane, CH4) typically extracted from permeable coal seams at depths of 300–1000 m.</w:t>
            </w:r>
          </w:p>
        </w:tc>
      </w:tr>
      <w:tr w:rsidR="003B1829" w:rsidRPr="00470AD4" w:rsidTr="007269F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480"/>
        </w:trPr>
        <w:tc>
          <w:tcPr>
            <w:tcW w:w="2268" w:type="dxa"/>
            <w:tcBorders>
              <w:top w:val="nil"/>
              <w:left w:val="single" w:sz="4" w:space="0" w:color="auto"/>
              <w:bottom w:val="single" w:sz="4" w:space="0" w:color="auto"/>
              <w:right w:val="single" w:sz="4" w:space="0" w:color="auto"/>
            </w:tcBorders>
            <w:shd w:val="clear" w:color="auto" w:fill="auto"/>
            <w:hideMark/>
          </w:tcPr>
          <w:p w:rsidR="003B1829" w:rsidRPr="00470AD4" w:rsidRDefault="003B1829" w:rsidP="00CB2FBB">
            <w:pPr>
              <w:pStyle w:val="Tabletext"/>
            </w:pPr>
            <w:r w:rsidRPr="00470AD4">
              <w:t>Compaction</w:t>
            </w:r>
          </w:p>
        </w:tc>
        <w:tc>
          <w:tcPr>
            <w:tcW w:w="6804" w:type="dxa"/>
            <w:tcBorders>
              <w:top w:val="nil"/>
              <w:left w:val="nil"/>
              <w:bottom w:val="single" w:sz="4" w:space="0" w:color="auto"/>
              <w:right w:val="single" w:sz="4" w:space="0" w:color="auto"/>
            </w:tcBorders>
            <w:shd w:val="clear" w:color="auto" w:fill="auto"/>
            <w:vAlign w:val="center"/>
            <w:hideMark/>
          </w:tcPr>
          <w:p w:rsidR="003B1829" w:rsidRPr="00470AD4" w:rsidRDefault="003B1829" w:rsidP="00CB2FBB">
            <w:pPr>
              <w:pStyle w:val="Tabletext"/>
            </w:pPr>
            <w:r w:rsidRPr="00470AD4">
              <w:t>The process by which geological strata under pressure reduce in thickness and porosity, and increase in density.</w:t>
            </w:r>
          </w:p>
        </w:tc>
      </w:tr>
      <w:tr w:rsidR="003B1829" w:rsidRPr="00470AD4" w:rsidTr="007269F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480"/>
        </w:trPr>
        <w:tc>
          <w:tcPr>
            <w:tcW w:w="2268" w:type="dxa"/>
            <w:tcBorders>
              <w:top w:val="nil"/>
              <w:left w:val="single" w:sz="4" w:space="0" w:color="auto"/>
              <w:bottom w:val="single" w:sz="4" w:space="0" w:color="auto"/>
              <w:right w:val="single" w:sz="4" w:space="0" w:color="auto"/>
            </w:tcBorders>
            <w:shd w:val="clear" w:color="auto" w:fill="auto"/>
            <w:hideMark/>
          </w:tcPr>
          <w:p w:rsidR="003B1829" w:rsidRPr="00470AD4" w:rsidRDefault="003B1829" w:rsidP="00CB2FBB">
            <w:pPr>
              <w:pStyle w:val="Tabletext"/>
            </w:pPr>
            <w:r w:rsidRPr="00470AD4">
              <w:t>Compressibility</w:t>
            </w:r>
          </w:p>
        </w:tc>
        <w:tc>
          <w:tcPr>
            <w:tcW w:w="6804" w:type="dxa"/>
            <w:tcBorders>
              <w:top w:val="nil"/>
              <w:left w:val="nil"/>
              <w:bottom w:val="single" w:sz="4" w:space="0" w:color="auto"/>
              <w:right w:val="single" w:sz="4" w:space="0" w:color="auto"/>
            </w:tcBorders>
            <w:shd w:val="clear" w:color="auto" w:fill="auto"/>
            <w:vAlign w:val="center"/>
            <w:hideMark/>
          </w:tcPr>
          <w:p w:rsidR="003B1829" w:rsidRPr="00470AD4" w:rsidRDefault="003B1829" w:rsidP="00CB2FBB">
            <w:pPr>
              <w:pStyle w:val="Tabletext"/>
            </w:pPr>
            <w:r w:rsidRPr="00470AD4">
              <w:t>A parameter that determines the potential for compaction. Compressibility is typically high for soft clays, intermediate for sands, low (but variable) for coals, very low for consolidated sedimentary rocks such as sandstones and mudstone, and extremely low for competent rocks such as granites and other intrusions.</w:t>
            </w:r>
          </w:p>
        </w:tc>
      </w:tr>
      <w:tr w:rsidR="003B1829" w:rsidRPr="00470AD4" w:rsidTr="007269F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300"/>
        </w:trPr>
        <w:tc>
          <w:tcPr>
            <w:tcW w:w="2268" w:type="dxa"/>
            <w:tcBorders>
              <w:top w:val="nil"/>
              <w:left w:val="single" w:sz="4" w:space="0" w:color="auto"/>
              <w:bottom w:val="single" w:sz="4" w:space="0" w:color="auto"/>
              <w:right w:val="single" w:sz="4" w:space="0" w:color="auto"/>
            </w:tcBorders>
            <w:shd w:val="clear" w:color="auto" w:fill="auto"/>
            <w:hideMark/>
          </w:tcPr>
          <w:p w:rsidR="003B1829" w:rsidRPr="00470AD4" w:rsidRDefault="003B1829" w:rsidP="00CB2FBB">
            <w:pPr>
              <w:pStyle w:val="Tabletext"/>
            </w:pPr>
            <w:r w:rsidRPr="00470AD4">
              <w:t>Compression</w:t>
            </w:r>
          </w:p>
        </w:tc>
        <w:tc>
          <w:tcPr>
            <w:tcW w:w="6804" w:type="dxa"/>
            <w:tcBorders>
              <w:top w:val="nil"/>
              <w:left w:val="nil"/>
              <w:bottom w:val="single" w:sz="4" w:space="0" w:color="auto"/>
              <w:right w:val="single" w:sz="4" w:space="0" w:color="auto"/>
            </w:tcBorders>
            <w:shd w:val="clear" w:color="auto" w:fill="auto"/>
            <w:vAlign w:val="center"/>
            <w:hideMark/>
          </w:tcPr>
          <w:p w:rsidR="003B1829" w:rsidRPr="00470AD4" w:rsidRDefault="003B1829" w:rsidP="00CB2FBB">
            <w:pPr>
              <w:pStyle w:val="Tabletext"/>
            </w:pPr>
            <w:r w:rsidRPr="00470AD4">
              <w:t>A system of forces or stresses that tends to decrease the volume or shorten a substance, or the change of volume produced by such a system of forces.</w:t>
            </w:r>
          </w:p>
        </w:tc>
      </w:tr>
      <w:tr w:rsidR="003B1829" w:rsidRPr="00470AD4" w:rsidTr="007269F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300"/>
        </w:trPr>
        <w:tc>
          <w:tcPr>
            <w:tcW w:w="2268" w:type="dxa"/>
            <w:tcBorders>
              <w:top w:val="nil"/>
              <w:left w:val="single" w:sz="4" w:space="0" w:color="auto"/>
              <w:bottom w:val="single" w:sz="4" w:space="0" w:color="auto"/>
              <w:right w:val="single" w:sz="4" w:space="0" w:color="auto"/>
            </w:tcBorders>
            <w:shd w:val="clear" w:color="auto" w:fill="auto"/>
            <w:hideMark/>
          </w:tcPr>
          <w:p w:rsidR="003B1829" w:rsidRPr="00470AD4" w:rsidRDefault="003B1829" w:rsidP="00CB2FBB">
            <w:pPr>
              <w:pStyle w:val="Tabletext"/>
            </w:pPr>
            <w:r w:rsidRPr="00470AD4">
              <w:t>Confined aquifer</w:t>
            </w:r>
          </w:p>
        </w:tc>
        <w:tc>
          <w:tcPr>
            <w:tcW w:w="6804" w:type="dxa"/>
            <w:tcBorders>
              <w:top w:val="nil"/>
              <w:left w:val="nil"/>
              <w:bottom w:val="single" w:sz="4" w:space="0" w:color="auto"/>
              <w:right w:val="single" w:sz="4" w:space="0" w:color="auto"/>
            </w:tcBorders>
            <w:shd w:val="clear" w:color="auto" w:fill="auto"/>
            <w:vAlign w:val="center"/>
            <w:hideMark/>
          </w:tcPr>
          <w:p w:rsidR="003B1829" w:rsidRPr="00470AD4" w:rsidRDefault="0019723D" w:rsidP="00CB2FBB">
            <w:pPr>
              <w:pStyle w:val="Tabletext"/>
            </w:pPr>
            <w:proofErr w:type="gramStart"/>
            <w:r w:rsidRPr="00470AD4">
              <w:t>An aquifer bounded above and below by confining units of distinctly lower</w:t>
            </w:r>
            <w:proofErr w:type="gramEnd"/>
            <w:r w:rsidRPr="00470AD4">
              <w:t xml:space="preserve"> permeability than that of the aquifer itself. </w:t>
            </w:r>
            <w:r w:rsidR="003B1829" w:rsidRPr="00470AD4">
              <w:t>Pressure in confined aquifers is generally greater than atmospheric pressure.</w:t>
            </w:r>
          </w:p>
        </w:tc>
      </w:tr>
      <w:tr w:rsidR="003B1829" w:rsidRPr="00470AD4" w:rsidTr="007269F4">
        <w:tc>
          <w:tcPr>
            <w:tcW w:w="2268" w:type="dxa"/>
          </w:tcPr>
          <w:p w:rsidR="003B1829" w:rsidRPr="00470AD4" w:rsidRDefault="003B1829" w:rsidP="00CB2FBB">
            <w:pPr>
              <w:pStyle w:val="Tabletext"/>
            </w:pPr>
            <w:r w:rsidRPr="00470AD4">
              <w:t>Contaminant</w:t>
            </w:r>
          </w:p>
        </w:tc>
        <w:tc>
          <w:tcPr>
            <w:tcW w:w="6804" w:type="dxa"/>
          </w:tcPr>
          <w:p w:rsidR="003B1829" w:rsidRPr="00470AD4" w:rsidRDefault="003B1829" w:rsidP="00CB2FBB">
            <w:pPr>
              <w:pStyle w:val="Tabletext"/>
            </w:pPr>
            <w:r w:rsidRPr="00470AD4">
              <w:t>Biological (e.g. bacterial and viral pathogens) and chemical (see Toxicants) introductions capable of producing an adverse response (effect) in a biological system, seriously injuring structure or function or producing death.</w:t>
            </w:r>
          </w:p>
        </w:tc>
      </w:tr>
      <w:tr w:rsidR="003B1829" w:rsidRPr="00470AD4" w:rsidTr="007269F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300"/>
        </w:trPr>
        <w:tc>
          <w:tcPr>
            <w:tcW w:w="2268" w:type="dxa"/>
            <w:tcBorders>
              <w:top w:val="nil"/>
              <w:left w:val="single" w:sz="4" w:space="0" w:color="auto"/>
              <w:bottom w:val="single" w:sz="4" w:space="0" w:color="auto"/>
              <w:right w:val="single" w:sz="4" w:space="0" w:color="auto"/>
            </w:tcBorders>
            <w:shd w:val="clear" w:color="auto" w:fill="auto"/>
            <w:hideMark/>
          </w:tcPr>
          <w:p w:rsidR="003B1829" w:rsidRPr="00470AD4" w:rsidRDefault="003B1829" w:rsidP="00CB2FBB">
            <w:pPr>
              <w:pStyle w:val="Tabletext"/>
            </w:pPr>
            <w:r w:rsidRPr="00470AD4">
              <w:t>Co-produced water</w:t>
            </w:r>
          </w:p>
        </w:tc>
        <w:tc>
          <w:tcPr>
            <w:tcW w:w="6804" w:type="dxa"/>
            <w:tcBorders>
              <w:top w:val="single" w:sz="4" w:space="0" w:color="auto"/>
              <w:left w:val="nil"/>
              <w:bottom w:val="single" w:sz="4" w:space="0" w:color="auto"/>
              <w:right w:val="single" w:sz="4" w:space="0" w:color="auto"/>
            </w:tcBorders>
            <w:shd w:val="clear" w:color="auto" w:fill="auto"/>
            <w:vAlign w:val="center"/>
            <w:hideMark/>
          </w:tcPr>
          <w:p w:rsidR="003B1829" w:rsidRPr="00470AD4" w:rsidRDefault="003B1829" w:rsidP="00CB2FBB">
            <w:pPr>
              <w:pStyle w:val="Tabletext"/>
            </w:pPr>
            <w:r w:rsidRPr="00470AD4">
              <w:t xml:space="preserve">The water that is pumped out of coal seams in order to extract coal seam gas. Also referred to as produced water and associated water. Over time, the volume of produced water normally decreases and the volume of produced gas increases. </w:t>
            </w:r>
          </w:p>
        </w:tc>
      </w:tr>
      <w:tr w:rsidR="003B42BA" w:rsidRPr="00470AD4" w:rsidTr="007269F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300"/>
        </w:trPr>
        <w:tc>
          <w:tcPr>
            <w:tcW w:w="2268" w:type="dxa"/>
            <w:tcBorders>
              <w:top w:val="nil"/>
              <w:left w:val="single" w:sz="4" w:space="0" w:color="auto"/>
              <w:bottom w:val="single" w:sz="4" w:space="0" w:color="auto"/>
              <w:right w:val="single" w:sz="4" w:space="0" w:color="auto"/>
            </w:tcBorders>
            <w:shd w:val="clear" w:color="auto" w:fill="auto"/>
          </w:tcPr>
          <w:p w:rsidR="003B42BA" w:rsidRPr="00470AD4" w:rsidRDefault="003B42BA" w:rsidP="00CB2FBB">
            <w:pPr>
              <w:pStyle w:val="Tabletext"/>
            </w:pPr>
            <w:r w:rsidRPr="00470AD4">
              <w:t>Cretaceous period</w:t>
            </w:r>
          </w:p>
        </w:tc>
        <w:tc>
          <w:tcPr>
            <w:tcW w:w="6804" w:type="dxa"/>
            <w:tcBorders>
              <w:top w:val="single" w:sz="4" w:space="0" w:color="auto"/>
              <w:left w:val="nil"/>
              <w:bottom w:val="single" w:sz="4" w:space="0" w:color="auto"/>
              <w:right w:val="single" w:sz="4" w:space="0" w:color="auto"/>
            </w:tcBorders>
            <w:shd w:val="clear" w:color="auto" w:fill="auto"/>
            <w:vAlign w:val="center"/>
          </w:tcPr>
          <w:p w:rsidR="003B42BA" w:rsidRPr="00470AD4" w:rsidRDefault="001F0464" w:rsidP="00CB2FBB">
            <w:pPr>
              <w:pStyle w:val="Tabletext"/>
            </w:pPr>
            <w:r w:rsidRPr="00470AD4">
              <w:t>A period of geologic time, 145 million to 66 million years ago.</w:t>
            </w:r>
          </w:p>
        </w:tc>
      </w:tr>
      <w:tr w:rsidR="003B1829" w:rsidRPr="00470AD4" w:rsidTr="007269F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300"/>
        </w:trPr>
        <w:tc>
          <w:tcPr>
            <w:tcW w:w="2268" w:type="dxa"/>
            <w:tcBorders>
              <w:top w:val="nil"/>
              <w:left w:val="single" w:sz="4" w:space="0" w:color="auto"/>
              <w:bottom w:val="single" w:sz="4" w:space="0" w:color="auto"/>
              <w:right w:val="single" w:sz="4" w:space="0" w:color="auto"/>
            </w:tcBorders>
            <w:shd w:val="clear" w:color="auto" w:fill="auto"/>
            <w:hideMark/>
          </w:tcPr>
          <w:p w:rsidR="003B1829" w:rsidRPr="00470AD4" w:rsidRDefault="003B1829" w:rsidP="00CB2FBB">
            <w:pPr>
              <w:pStyle w:val="Tabletext"/>
            </w:pPr>
            <w:r w:rsidRPr="00470AD4">
              <w:t>Darcy flow equation</w:t>
            </w:r>
          </w:p>
        </w:tc>
        <w:tc>
          <w:tcPr>
            <w:tcW w:w="6804" w:type="dxa"/>
            <w:tcBorders>
              <w:top w:val="single" w:sz="4" w:space="0" w:color="auto"/>
              <w:left w:val="nil"/>
              <w:bottom w:val="single" w:sz="4" w:space="0" w:color="auto"/>
              <w:right w:val="single" w:sz="4" w:space="0" w:color="auto"/>
            </w:tcBorders>
            <w:shd w:val="clear" w:color="auto" w:fill="auto"/>
            <w:vAlign w:val="center"/>
            <w:hideMark/>
          </w:tcPr>
          <w:p w:rsidR="003B1829" w:rsidRPr="00470AD4" w:rsidRDefault="003B1829" w:rsidP="00CB2FBB">
            <w:pPr>
              <w:pStyle w:val="Tabletext"/>
            </w:pPr>
            <w:r w:rsidRPr="00470AD4">
              <w:t>The equation that describes the rate and quantity of groundwater flow.</w:t>
            </w:r>
          </w:p>
        </w:tc>
      </w:tr>
      <w:tr w:rsidR="003B1829" w:rsidRPr="00470AD4" w:rsidTr="007269F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300"/>
        </w:trPr>
        <w:tc>
          <w:tcPr>
            <w:tcW w:w="2268" w:type="dxa"/>
            <w:tcBorders>
              <w:top w:val="nil"/>
              <w:left w:val="single" w:sz="4" w:space="0" w:color="auto"/>
              <w:bottom w:val="single" w:sz="4" w:space="0" w:color="auto"/>
              <w:right w:val="single" w:sz="4" w:space="0" w:color="auto"/>
            </w:tcBorders>
            <w:shd w:val="clear" w:color="auto" w:fill="auto"/>
            <w:hideMark/>
          </w:tcPr>
          <w:p w:rsidR="003B1829" w:rsidRPr="00470AD4" w:rsidRDefault="003B1829" w:rsidP="00CB2FBB">
            <w:pPr>
              <w:pStyle w:val="Tabletext"/>
            </w:pPr>
            <w:r w:rsidRPr="00470AD4">
              <w:lastRenderedPageBreak/>
              <w:t>Depressurisation</w:t>
            </w:r>
          </w:p>
        </w:tc>
        <w:tc>
          <w:tcPr>
            <w:tcW w:w="6804" w:type="dxa"/>
            <w:tcBorders>
              <w:top w:val="single" w:sz="4" w:space="0" w:color="auto"/>
              <w:left w:val="nil"/>
              <w:bottom w:val="single" w:sz="4" w:space="0" w:color="auto"/>
              <w:right w:val="single" w:sz="4" w:space="0" w:color="auto"/>
            </w:tcBorders>
            <w:shd w:val="clear" w:color="auto" w:fill="auto"/>
            <w:vAlign w:val="center"/>
            <w:hideMark/>
          </w:tcPr>
          <w:p w:rsidR="003B1829" w:rsidRPr="00470AD4" w:rsidRDefault="003B1829" w:rsidP="00CB2FBB">
            <w:pPr>
              <w:pStyle w:val="Tabletext"/>
            </w:pPr>
            <w:r w:rsidRPr="00470AD4">
              <w:t>The lowering of static groundwater levels through the partial extraction of available groundwater, usually by means of pumping from one or several groundwater bores.</w:t>
            </w:r>
          </w:p>
        </w:tc>
      </w:tr>
      <w:tr w:rsidR="003B1829" w:rsidRPr="00470AD4" w:rsidTr="007269F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300"/>
        </w:trPr>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3B1829" w:rsidRPr="00470AD4" w:rsidRDefault="003B1829" w:rsidP="00CB2FBB">
            <w:pPr>
              <w:pStyle w:val="Tabletext"/>
            </w:pPr>
            <w:r w:rsidRPr="00470AD4">
              <w:t>Desorption</w:t>
            </w:r>
          </w:p>
        </w:tc>
        <w:tc>
          <w:tcPr>
            <w:tcW w:w="6804" w:type="dxa"/>
            <w:tcBorders>
              <w:top w:val="single" w:sz="4" w:space="0" w:color="auto"/>
              <w:left w:val="nil"/>
              <w:bottom w:val="single" w:sz="4" w:space="0" w:color="auto"/>
              <w:right w:val="single" w:sz="4" w:space="0" w:color="auto"/>
            </w:tcBorders>
            <w:shd w:val="clear" w:color="auto" w:fill="auto"/>
            <w:vAlign w:val="center"/>
            <w:hideMark/>
          </w:tcPr>
          <w:p w:rsidR="003B1829" w:rsidRPr="00470AD4" w:rsidRDefault="003B1829" w:rsidP="00CB2FBB">
            <w:pPr>
              <w:pStyle w:val="Tabletext"/>
            </w:pPr>
            <w:r w:rsidRPr="00470AD4">
              <w:t>The release of a bound molecule from a host particle into a flowing medium such as a liquid or gas.</w:t>
            </w:r>
          </w:p>
        </w:tc>
      </w:tr>
      <w:tr w:rsidR="00C537C4" w:rsidRPr="00470AD4" w:rsidTr="007269F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300"/>
        </w:trPr>
        <w:tc>
          <w:tcPr>
            <w:tcW w:w="2268" w:type="dxa"/>
            <w:tcBorders>
              <w:top w:val="nil"/>
              <w:left w:val="single" w:sz="4" w:space="0" w:color="auto"/>
              <w:bottom w:val="single" w:sz="4" w:space="0" w:color="auto"/>
              <w:right w:val="single" w:sz="4" w:space="0" w:color="auto"/>
            </w:tcBorders>
            <w:shd w:val="clear" w:color="auto" w:fill="auto"/>
          </w:tcPr>
          <w:p w:rsidR="00C537C4" w:rsidRPr="00470AD4" w:rsidRDefault="00C537C4" w:rsidP="00CB2FBB">
            <w:pPr>
              <w:pStyle w:val="Tabletext"/>
            </w:pPr>
            <w:r w:rsidRPr="00470AD4">
              <w:t>Devonian age</w:t>
            </w:r>
          </w:p>
        </w:tc>
        <w:tc>
          <w:tcPr>
            <w:tcW w:w="6804" w:type="dxa"/>
            <w:tcBorders>
              <w:top w:val="single" w:sz="4" w:space="0" w:color="auto"/>
              <w:left w:val="nil"/>
              <w:bottom w:val="single" w:sz="4" w:space="0" w:color="auto"/>
              <w:right w:val="single" w:sz="4" w:space="0" w:color="auto"/>
            </w:tcBorders>
            <w:shd w:val="clear" w:color="auto" w:fill="auto"/>
            <w:vAlign w:val="center"/>
          </w:tcPr>
          <w:p w:rsidR="00C537C4" w:rsidRPr="00470AD4" w:rsidRDefault="006F030C" w:rsidP="00CB2FBB">
            <w:pPr>
              <w:pStyle w:val="Tabletext"/>
            </w:pPr>
            <w:r w:rsidRPr="00470AD4">
              <w:t>A period of geologic time, 419.2 million to 358.9 million years ago.</w:t>
            </w:r>
          </w:p>
        </w:tc>
      </w:tr>
      <w:tr w:rsidR="003B1829" w:rsidRPr="00470AD4" w:rsidTr="007269F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300"/>
        </w:trPr>
        <w:tc>
          <w:tcPr>
            <w:tcW w:w="2268" w:type="dxa"/>
            <w:tcBorders>
              <w:top w:val="nil"/>
              <w:left w:val="single" w:sz="4" w:space="0" w:color="auto"/>
              <w:bottom w:val="single" w:sz="4" w:space="0" w:color="auto"/>
              <w:right w:val="single" w:sz="4" w:space="0" w:color="auto"/>
            </w:tcBorders>
            <w:shd w:val="clear" w:color="auto" w:fill="auto"/>
          </w:tcPr>
          <w:p w:rsidR="003B1829" w:rsidRPr="00470AD4" w:rsidRDefault="003B1829" w:rsidP="00CB2FBB">
            <w:pPr>
              <w:pStyle w:val="Tabletext"/>
            </w:pPr>
            <w:r w:rsidRPr="00470AD4">
              <w:t>Dewatering</w:t>
            </w:r>
          </w:p>
        </w:tc>
        <w:tc>
          <w:tcPr>
            <w:tcW w:w="6804" w:type="dxa"/>
            <w:tcBorders>
              <w:top w:val="single" w:sz="4" w:space="0" w:color="auto"/>
              <w:left w:val="nil"/>
              <w:bottom w:val="single" w:sz="4" w:space="0" w:color="auto"/>
              <w:right w:val="single" w:sz="4" w:space="0" w:color="auto"/>
            </w:tcBorders>
            <w:shd w:val="clear" w:color="auto" w:fill="auto"/>
            <w:vAlign w:val="center"/>
          </w:tcPr>
          <w:p w:rsidR="003B1829" w:rsidRPr="00470AD4" w:rsidRDefault="003B1829" w:rsidP="00CB2FBB">
            <w:pPr>
              <w:pStyle w:val="Tabletext"/>
            </w:pPr>
            <w:r w:rsidRPr="00470AD4">
              <w:t>The lowering of static groundwater levels through complete extraction of all readily available groundwater, usually by means of pumping from one or several groundwater bores.</w:t>
            </w:r>
          </w:p>
        </w:tc>
      </w:tr>
      <w:tr w:rsidR="003964E3" w:rsidRPr="00470AD4" w:rsidTr="007269F4">
        <w:tc>
          <w:tcPr>
            <w:tcW w:w="2268" w:type="dxa"/>
          </w:tcPr>
          <w:p w:rsidR="003964E3" w:rsidRPr="00470AD4" w:rsidRDefault="003964E3" w:rsidP="00CB2FBB">
            <w:pPr>
              <w:pStyle w:val="Tabletext"/>
            </w:pPr>
            <w:r w:rsidRPr="00470AD4">
              <w:t>Diachronic nature</w:t>
            </w:r>
          </w:p>
        </w:tc>
        <w:tc>
          <w:tcPr>
            <w:tcW w:w="6804" w:type="dxa"/>
          </w:tcPr>
          <w:p w:rsidR="003964E3" w:rsidRPr="00470AD4" w:rsidRDefault="0014369C" w:rsidP="00CB2FBB">
            <w:pPr>
              <w:pStyle w:val="Tabletext"/>
            </w:pPr>
            <w:r w:rsidRPr="00470AD4">
              <w:t>The study of the changes in nature over a period of time.</w:t>
            </w:r>
          </w:p>
        </w:tc>
      </w:tr>
      <w:tr w:rsidR="003B4FEB" w:rsidRPr="00470AD4" w:rsidTr="007269F4">
        <w:tc>
          <w:tcPr>
            <w:tcW w:w="2268" w:type="dxa"/>
          </w:tcPr>
          <w:p w:rsidR="003B4FEB" w:rsidRPr="00470AD4" w:rsidRDefault="003B4FEB" w:rsidP="00CB2FBB">
            <w:pPr>
              <w:pStyle w:val="Tabletext"/>
            </w:pPr>
            <w:r w:rsidRPr="00470AD4">
              <w:t>Diffusion</w:t>
            </w:r>
          </w:p>
        </w:tc>
        <w:tc>
          <w:tcPr>
            <w:tcW w:w="6804" w:type="dxa"/>
          </w:tcPr>
          <w:p w:rsidR="003B4FEB" w:rsidRPr="00470AD4" w:rsidRDefault="0019723D" w:rsidP="00CB2FBB">
            <w:pPr>
              <w:pStyle w:val="Tabletext"/>
            </w:pPr>
            <w:r w:rsidRPr="00470AD4">
              <w:t>Process whereby ionic or molecular constituents move under the influence of their kinetic activity in the direction of their concentration gradient.</w:t>
            </w:r>
          </w:p>
        </w:tc>
      </w:tr>
      <w:tr w:rsidR="00E95593" w:rsidRPr="00470AD4" w:rsidTr="007269F4">
        <w:tc>
          <w:tcPr>
            <w:tcW w:w="2268" w:type="dxa"/>
          </w:tcPr>
          <w:p w:rsidR="00E95593" w:rsidRPr="00470AD4" w:rsidRDefault="00E95593" w:rsidP="00CB2FBB">
            <w:pPr>
              <w:pStyle w:val="Tabletext"/>
            </w:pPr>
            <w:r w:rsidRPr="00470AD4">
              <w:t>Dilution</w:t>
            </w:r>
          </w:p>
        </w:tc>
        <w:tc>
          <w:tcPr>
            <w:tcW w:w="6804" w:type="dxa"/>
          </w:tcPr>
          <w:p w:rsidR="00E95593" w:rsidRPr="00470AD4" w:rsidRDefault="00E95593" w:rsidP="00CB2FBB">
            <w:pPr>
              <w:pStyle w:val="Tabletext"/>
            </w:pPr>
            <w:r w:rsidRPr="00470AD4">
              <w:t xml:space="preserve">Dilution is the process of making a substance less concentrated by adding water. This can lower the concentrations of ions, toxins and other substances. </w:t>
            </w:r>
          </w:p>
        </w:tc>
      </w:tr>
      <w:tr w:rsidR="00BB269F" w:rsidRPr="00470AD4" w:rsidTr="00CE5D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300"/>
        </w:trPr>
        <w:tc>
          <w:tcPr>
            <w:tcW w:w="2268" w:type="dxa"/>
            <w:tcBorders>
              <w:top w:val="single" w:sz="4" w:space="0" w:color="auto"/>
              <w:left w:val="single" w:sz="4" w:space="0" w:color="auto"/>
              <w:bottom w:val="single" w:sz="4" w:space="0" w:color="auto"/>
              <w:right w:val="single" w:sz="4" w:space="0" w:color="auto"/>
            </w:tcBorders>
            <w:shd w:val="clear" w:color="auto" w:fill="auto"/>
          </w:tcPr>
          <w:p w:rsidR="00BB269F" w:rsidRPr="00470AD4" w:rsidRDefault="00BB269F" w:rsidP="00CB2FBB">
            <w:pPr>
              <w:pStyle w:val="Tabletext"/>
            </w:pPr>
            <w:r w:rsidRPr="00470AD4">
              <w:t>Discretisation</w:t>
            </w:r>
          </w:p>
        </w:tc>
        <w:tc>
          <w:tcPr>
            <w:tcW w:w="6804" w:type="dxa"/>
            <w:tcBorders>
              <w:top w:val="single" w:sz="4" w:space="0" w:color="auto"/>
              <w:left w:val="nil"/>
              <w:bottom w:val="single" w:sz="4" w:space="0" w:color="auto"/>
              <w:right w:val="single" w:sz="4" w:space="0" w:color="auto"/>
            </w:tcBorders>
            <w:shd w:val="clear" w:color="auto" w:fill="auto"/>
            <w:vAlign w:val="center"/>
          </w:tcPr>
          <w:p w:rsidR="00BB269F" w:rsidRPr="00470AD4" w:rsidRDefault="00BB269F" w:rsidP="00CB2FBB">
            <w:pPr>
              <w:pStyle w:val="Tabletext"/>
            </w:pPr>
            <w:r w:rsidRPr="00470AD4">
              <w:t>Size of blocks and time segments for which the groundwater flow equations will be solved</w:t>
            </w:r>
            <w:r w:rsidR="001B1FD7" w:rsidRPr="00470AD4">
              <w:t>.</w:t>
            </w:r>
          </w:p>
        </w:tc>
      </w:tr>
      <w:tr w:rsidR="00065B40" w:rsidRPr="00470AD4" w:rsidTr="00CE5D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300"/>
        </w:trPr>
        <w:tc>
          <w:tcPr>
            <w:tcW w:w="2268" w:type="dxa"/>
            <w:tcBorders>
              <w:top w:val="single" w:sz="4" w:space="0" w:color="auto"/>
              <w:left w:val="single" w:sz="4" w:space="0" w:color="auto"/>
              <w:bottom w:val="single" w:sz="4" w:space="0" w:color="auto"/>
              <w:right w:val="single" w:sz="4" w:space="0" w:color="auto"/>
            </w:tcBorders>
            <w:shd w:val="clear" w:color="auto" w:fill="auto"/>
          </w:tcPr>
          <w:p w:rsidR="00065B40" w:rsidRPr="00470AD4" w:rsidRDefault="00065B40" w:rsidP="00CB2FBB">
            <w:pPr>
              <w:pStyle w:val="Tabletext"/>
            </w:pPr>
            <w:r w:rsidRPr="00470AD4">
              <w:t>Dispersion</w:t>
            </w:r>
          </w:p>
        </w:tc>
        <w:tc>
          <w:tcPr>
            <w:tcW w:w="6804" w:type="dxa"/>
            <w:tcBorders>
              <w:top w:val="single" w:sz="4" w:space="0" w:color="auto"/>
              <w:left w:val="nil"/>
              <w:bottom w:val="single" w:sz="4" w:space="0" w:color="auto"/>
              <w:right w:val="single" w:sz="4" w:space="0" w:color="auto"/>
            </w:tcBorders>
            <w:shd w:val="clear" w:color="auto" w:fill="auto"/>
            <w:vAlign w:val="center"/>
          </w:tcPr>
          <w:p w:rsidR="00065B40" w:rsidRPr="00470AD4" w:rsidRDefault="00065B40" w:rsidP="00CB2FBB">
            <w:pPr>
              <w:pStyle w:val="Tabletext"/>
            </w:pPr>
            <w:r w:rsidRPr="00470AD4">
              <w:t>When water with high solute concentrations mixes with water with low solute concentrations as flow velocities in a porous medium vary, leading to a reduction of concentration at the macroscopic scale.</w:t>
            </w:r>
          </w:p>
        </w:tc>
      </w:tr>
      <w:tr w:rsidR="00E461B1" w:rsidRPr="00470AD4" w:rsidTr="00CE5D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300"/>
        </w:trPr>
        <w:tc>
          <w:tcPr>
            <w:tcW w:w="2268" w:type="dxa"/>
            <w:tcBorders>
              <w:top w:val="single" w:sz="4" w:space="0" w:color="auto"/>
              <w:left w:val="single" w:sz="4" w:space="0" w:color="auto"/>
              <w:bottom w:val="single" w:sz="4" w:space="0" w:color="auto"/>
              <w:right w:val="single" w:sz="4" w:space="0" w:color="auto"/>
            </w:tcBorders>
            <w:shd w:val="clear" w:color="auto" w:fill="auto"/>
          </w:tcPr>
          <w:p w:rsidR="00E461B1" w:rsidRPr="00470AD4" w:rsidRDefault="00E461B1" w:rsidP="00CB2FBB">
            <w:pPr>
              <w:pStyle w:val="Tabletext"/>
            </w:pPr>
            <w:r w:rsidRPr="00470AD4">
              <w:t>Dispersivity</w:t>
            </w:r>
          </w:p>
        </w:tc>
        <w:tc>
          <w:tcPr>
            <w:tcW w:w="6804" w:type="dxa"/>
            <w:tcBorders>
              <w:top w:val="single" w:sz="4" w:space="0" w:color="auto"/>
              <w:left w:val="nil"/>
              <w:bottom w:val="single" w:sz="4" w:space="0" w:color="auto"/>
              <w:right w:val="single" w:sz="4" w:space="0" w:color="auto"/>
            </w:tcBorders>
            <w:shd w:val="clear" w:color="auto" w:fill="auto"/>
            <w:vAlign w:val="center"/>
          </w:tcPr>
          <w:p w:rsidR="00E461B1" w:rsidRPr="00470AD4" w:rsidRDefault="0019723D" w:rsidP="00CB2FBB">
            <w:pPr>
              <w:pStyle w:val="Tabletext"/>
            </w:pPr>
            <w:r w:rsidRPr="00470AD4">
              <w:t>A geometric property of a porous medium which determines the dispersion characteristics of the medium by relating the components of pore velocity to the dispersion coefficient.</w:t>
            </w:r>
          </w:p>
        </w:tc>
      </w:tr>
      <w:tr w:rsidR="00065B40" w:rsidRPr="00470AD4" w:rsidTr="00CE5D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300"/>
        </w:trPr>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065B40" w:rsidRPr="00470AD4" w:rsidRDefault="00065B40" w:rsidP="00CB2FBB">
            <w:pPr>
              <w:pStyle w:val="Tabletext"/>
            </w:pPr>
            <w:r w:rsidRPr="00470AD4">
              <w:t>Drawdown</w:t>
            </w:r>
          </w:p>
        </w:tc>
        <w:tc>
          <w:tcPr>
            <w:tcW w:w="6804" w:type="dxa"/>
            <w:tcBorders>
              <w:top w:val="single" w:sz="4" w:space="0" w:color="auto"/>
              <w:left w:val="nil"/>
              <w:bottom w:val="single" w:sz="4" w:space="0" w:color="auto"/>
              <w:right w:val="single" w:sz="4" w:space="0" w:color="auto"/>
            </w:tcBorders>
            <w:shd w:val="clear" w:color="auto" w:fill="auto"/>
            <w:vAlign w:val="center"/>
            <w:hideMark/>
          </w:tcPr>
          <w:p w:rsidR="00065B40" w:rsidRPr="00470AD4" w:rsidRDefault="00065B40" w:rsidP="00CB2FBB">
            <w:pPr>
              <w:pStyle w:val="Tabletext"/>
            </w:pPr>
            <w:r w:rsidRPr="00470AD4">
              <w:t>The reduction in groundwater pressure caused by extraction of groundwater from a confined formation, or the lowering of the water-table in an unconfined aquifer.</w:t>
            </w:r>
          </w:p>
        </w:tc>
      </w:tr>
      <w:tr w:rsidR="00B150B8" w:rsidRPr="00470AD4" w:rsidTr="007269F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300"/>
        </w:trPr>
        <w:tc>
          <w:tcPr>
            <w:tcW w:w="2268" w:type="dxa"/>
            <w:tcBorders>
              <w:top w:val="nil"/>
              <w:left w:val="single" w:sz="4" w:space="0" w:color="auto"/>
              <w:bottom w:val="single" w:sz="4" w:space="0" w:color="auto"/>
              <w:right w:val="single" w:sz="4" w:space="0" w:color="auto"/>
            </w:tcBorders>
            <w:shd w:val="clear" w:color="auto" w:fill="auto"/>
          </w:tcPr>
          <w:p w:rsidR="00B150B8" w:rsidRPr="00470AD4" w:rsidRDefault="00B150B8" w:rsidP="00CB2FBB">
            <w:pPr>
              <w:pStyle w:val="Tabletext"/>
            </w:pPr>
            <w:r w:rsidRPr="00470AD4">
              <w:t>Effective porosity</w:t>
            </w:r>
          </w:p>
        </w:tc>
        <w:tc>
          <w:tcPr>
            <w:tcW w:w="6804" w:type="dxa"/>
            <w:tcBorders>
              <w:top w:val="nil"/>
              <w:left w:val="nil"/>
              <w:bottom w:val="single" w:sz="4" w:space="0" w:color="auto"/>
              <w:right w:val="single" w:sz="4" w:space="0" w:color="auto"/>
            </w:tcBorders>
            <w:shd w:val="clear" w:color="auto" w:fill="auto"/>
            <w:vAlign w:val="center"/>
          </w:tcPr>
          <w:p w:rsidR="00B150B8" w:rsidRPr="00470AD4" w:rsidRDefault="00B150B8" w:rsidP="00CB2FBB">
            <w:pPr>
              <w:pStyle w:val="Tabletext"/>
            </w:pPr>
            <w:r w:rsidRPr="00470AD4">
              <w:t>The fraction of pores that are connected to each other and contribute to flow. Materials with low or no total porosity can become very permeable if a small number of highly connected fractures are present.</w:t>
            </w:r>
          </w:p>
        </w:tc>
      </w:tr>
      <w:tr w:rsidR="003B1829" w:rsidRPr="00470AD4" w:rsidTr="007269F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300"/>
        </w:trPr>
        <w:tc>
          <w:tcPr>
            <w:tcW w:w="2268" w:type="dxa"/>
            <w:tcBorders>
              <w:top w:val="nil"/>
              <w:left w:val="single" w:sz="4" w:space="0" w:color="auto"/>
              <w:bottom w:val="single" w:sz="4" w:space="0" w:color="auto"/>
              <w:right w:val="single" w:sz="4" w:space="0" w:color="auto"/>
            </w:tcBorders>
            <w:shd w:val="clear" w:color="auto" w:fill="auto"/>
            <w:hideMark/>
          </w:tcPr>
          <w:p w:rsidR="003B1829" w:rsidRPr="00470AD4" w:rsidRDefault="003B1829" w:rsidP="00CB2FBB">
            <w:pPr>
              <w:pStyle w:val="Tabletext"/>
            </w:pPr>
            <w:r w:rsidRPr="00470AD4">
              <w:t>Effective stress</w:t>
            </w:r>
          </w:p>
        </w:tc>
        <w:tc>
          <w:tcPr>
            <w:tcW w:w="6804" w:type="dxa"/>
            <w:tcBorders>
              <w:top w:val="nil"/>
              <w:left w:val="nil"/>
              <w:bottom w:val="single" w:sz="4" w:space="0" w:color="auto"/>
              <w:right w:val="single" w:sz="4" w:space="0" w:color="auto"/>
            </w:tcBorders>
            <w:shd w:val="clear" w:color="auto" w:fill="auto"/>
            <w:vAlign w:val="center"/>
            <w:hideMark/>
          </w:tcPr>
          <w:p w:rsidR="003B1829" w:rsidRPr="00470AD4" w:rsidRDefault="003B1829" w:rsidP="00CB2FBB">
            <w:pPr>
              <w:pStyle w:val="Tabletext"/>
            </w:pPr>
            <w:r w:rsidRPr="00470AD4">
              <w:t>Stress applied between the solid matrix materials of rocks and soils. The effective stress of a reservoir or coal seam is the difference between the total stress and the pore pressure.</w:t>
            </w:r>
            <w:r w:rsidR="00F41F92" w:rsidRPr="00470AD4">
              <w:t xml:space="preserve"> Also known as stress relief.</w:t>
            </w:r>
          </w:p>
        </w:tc>
      </w:tr>
      <w:tr w:rsidR="004E179A" w:rsidRPr="00470AD4" w:rsidTr="007269F4">
        <w:tc>
          <w:tcPr>
            <w:tcW w:w="2268" w:type="dxa"/>
          </w:tcPr>
          <w:p w:rsidR="004E179A" w:rsidRPr="00470AD4" w:rsidRDefault="004E179A" w:rsidP="00CB2FBB">
            <w:pPr>
              <w:pStyle w:val="Tabletext"/>
            </w:pPr>
            <w:r w:rsidRPr="00470AD4">
              <w:t>Electromagnetics</w:t>
            </w:r>
          </w:p>
        </w:tc>
        <w:tc>
          <w:tcPr>
            <w:tcW w:w="6804" w:type="dxa"/>
          </w:tcPr>
          <w:p w:rsidR="004E179A" w:rsidRPr="00470AD4" w:rsidRDefault="00A75CDD" w:rsidP="00CB2FBB">
            <w:pPr>
              <w:pStyle w:val="Tabletext"/>
            </w:pPr>
            <w:r w:rsidRPr="00470AD4">
              <w:t xml:space="preserve">Relating to electromagnetism, </w:t>
            </w:r>
            <w:proofErr w:type="gramStart"/>
            <w:r w:rsidRPr="00470AD4">
              <w:t>which is a force described by electromagnetic fields, and has innumerable physical instances including the interaction of electrically charged particles and the interaction of uncharged magnetic force fields with electrical conductors.</w:t>
            </w:r>
            <w:proofErr w:type="gramEnd"/>
          </w:p>
        </w:tc>
      </w:tr>
      <w:tr w:rsidR="00AD6698" w:rsidRPr="00470AD4" w:rsidTr="007269F4">
        <w:tc>
          <w:tcPr>
            <w:tcW w:w="2268" w:type="dxa"/>
          </w:tcPr>
          <w:p w:rsidR="00AD6698" w:rsidRPr="00470AD4" w:rsidRDefault="00AD6698" w:rsidP="00CB2FBB">
            <w:pPr>
              <w:pStyle w:val="Tabletext"/>
            </w:pPr>
            <w:r w:rsidRPr="00470AD4">
              <w:t>Elliptical</w:t>
            </w:r>
          </w:p>
        </w:tc>
        <w:tc>
          <w:tcPr>
            <w:tcW w:w="6804" w:type="dxa"/>
          </w:tcPr>
          <w:p w:rsidR="00AD6698" w:rsidRPr="00470AD4" w:rsidRDefault="00A75CDD" w:rsidP="00CB2FBB">
            <w:pPr>
              <w:pStyle w:val="Tabletext"/>
            </w:pPr>
            <w:r w:rsidRPr="00470AD4">
              <w:t>Retated to, or having, the shape of an ellipse.</w:t>
            </w:r>
          </w:p>
        </w:tc>
      </w:tr>
      <w:tr w:rsidR="007C0592" w:rsidRPr="00470AD4" w:rsidTr="007269F4">
        <w:tc>
          <w:tcPr>
            <w:tcW w:w="2268" w:type="dxa"/>
          </w:tcPr>
          <w:p w:rsidR="007C0592" w:rsidRPr="00470AD4" w:rsidRDefault="0019723D" w:rsidP="00CB2FBB">
            <w:pPr>
              <w:pStyle w:val="Tabletext"/>
            </w:pPr>
            <w:r w:rsidRPr="00470AD4">
              <w:t>Equipotential line</w:t>
            </w:r>
          </w:p>
        </w:tc>
        <w:tc>
          <w:tcPr>
            <w:tcW w:w="6804" w:type="dxa"/>
          </w:tcPr>
          <w:p w:rsidR="007C0592" w:rsidRPr="00470AD4" w:rsidRDefault="0019723D" w:rsidP="00CB2FBB">
            <w:pPr>
              <w:pStyle w:val="Tabletext"/>
            </w:pPr>
            <w:r w:rsidRPr="00470AD4">
              <w:t>Line along which the potential is constant.</w:t>
            </w:r>
          </w:p>
        </w:tc>
      </w:tr>
      <w:tr w:rsidR="002D6A86" w:rsidRPr="00470AD4" w:rsidTr="007269F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300"/>
        </w:trPr>
        <w:tc>
          <w:tcPr>
            <w:tcW w:w="2268" w:type="dxa"/>
            <w:tcBorders>
              <w:top w:val="single" w:sz="4" w:space="0" w:color="auto"/>
              <w:left w:val="single" w:sz="4" w:space="0" w:color="auto"/>
              <w:bottom w:val="single" w:sz="4" w:space="0" w:color="auto"/>
              <w:right w:val="single" w:sz="4" w:space="0" w:color="auto"/>
            </w:tcBorders>
            <w:shd w:val="clear" w:color="auto" w:fill="auto"/>
          </w:tcPr>
          <w:p w:rsidR="002D6A86" w:rsidRPr="00470AD4" w:rsidRDefault="0069206E" w:rsidP="00CB2FBB">
            <w:pPr>
              <w:pStyle w:val="Tabletext"/>
            </w:pPr>
            <w:r w:rsidRPr="00470AD4">
              <w:t>Fault</w:t>
            </w:r>
          </w:p>
        </w:tc>
        <w:tc>
          <w:tcPr>
            <w:tcW w:w="6804" w:type="dxa"/>
            <w:tcBorders>
              <w:top w:val="single" w:sz="4" w:space="0" w:color="auto"/>
              <w:left w:val="nil"/>
              <w:bottom w:val="single" w:sz="4" w:space="0" w:color="auto"/>
              <w:right w:val="single" w:sz="4" w:space="0" w:color="auto"/>
            </w:tcBorders>
            <w:shd w:val="clear" w:color="auto" w:fill="auto"/>
            <w:vAlign w:val="center"/>
          </w:tcPr>
          <w:p w:rsidR="002D6A86" w:rsidRPr="00470AD4" w:rsidRDefault="00A75CDD" w:rsidP="00CB2FBB">
            <w:pPr>
              <w:pStyle w:val="Tabletext"/>
            </w:pPr>
            <w:r w:rsidRPr="00470AD4">
              <w:t>A planar fracture or discontinuity in a volume of rock, across which there has been significant displacement along the fractures as a result of earth movement.</w:t>
            </w:r>
          </w:p>
        </w:tc>
      </w:tr>
      <w:tr w:rsidR="003B1829" w:rsidRPr="00470AD4" w:rsidTr="007269F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300"/>
        </w:trPr>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3B1829" w:rsidRPr="00470AD4" w:rsidRDefault="003B1829" w:rsidP="00CB2FBB">
            <w:pPr>
              <w:pStyle w:val="Tabletext"/>
            </w:pPr>
            <w:r w:rsidRPr="00470AD4">
              <w:t>Flowback</w:t>
            </w:r>
          </w:p>
        </w:tc>
        <w:tc>
          <w:tcPr>
            <w:tcW w:w="6804" w:type="dxa"/>
            <w:tcBorders>
              <w:top w:val="single" w:sz="4" w:space="0" w:color="auto"/>
              <w:left w:val="nil"/>
              <w:bottom w:val="single" w:sz="4" w:space="0" w:color="auto"/>
              <w:right w:val="single" w:sz="4" w:space="0" w:color="auto"/>
            </w:tcBorders>
            <w:shd w:val="clear" w:color="auto" w:fill="auto"/>
            <w:vAlign w:val="center"/>
            <w:hideMark/>
          </w:tcPr>
          <w:p w:rsidR="003B1829" w:rsidRPr="00470AD4" w:rsidRDefault="003B1829" w:rsidP="00CB2FBB">
            <w:pPr>
              <w:pStyle w:val="Tabletext"/>
            </w:pPr>
            <w:r w:rsidRPr="00470AD4">
              <w:t>The fluid that flows back, or is pumped back, to surface following hydraulic fracturing but prior to gas production.</w:t>
            </w:r>
          </w:p>
        </w:tc>
      </w:tr>
      <w:tr w:rsidR="0069206E" w:rsidRPr="00470AD4" w:rsidTr="007269F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300"/>
        </w:trPr>
        <w:tc>
          <w:tcPr>
            <w:tcW w:w="2268" w:type="dxa"/>
            <w:tcBorders>
              <w:top w:val="nil"/>
              <w:left w:val="single" w:sz="4" w:space="0" w:color="auto"/>
              <w:bottom w:val="single" w:sz="4" w:space="0" w:color="auto"/>
              <w:right w:val="single" w:sz="4" w:space="0" w:color="auto"/>
            </w:tcBorders>
            <w:shd w:val="clear" w:color="auto" w:fill="auto"/>
          </w:tcPr>
          <w:p w:rsidR="0069206E" w:rsidRPr="00470AD4" w:rsidRDefault="0069206E" w:rsidP="00CB2FBB">
            <w:pPr>
              <w:pStyle w:val="Tabletext"/>
            </w:pPr>
            <w:r w:rsidRPr="00470AD4">
              <w:t>Fracture</w:t>
            </w:r>
          </w:p>
        </w:tc>
        <w:tc>
          <w:tcPr>
            <w:tcW w:w="6804" w:type="dxa"/>
            <w:tcBorders>
              <w:top w:val="nil"/>
              <w:left w:val="nil"/>
              <w:bottom w:val="single" w:sz="4" w:space="0" w:color="auto"/>
              <w:right w:val="single" w:sz="4" w:space="0" w:color="auto"/>
            </w:tcBorders>
            <w:shd w:val="clear" w:color="auto" w:fill="auto"/>
            <w:vAlign w:val="center"/>
          </w:tcPr>
          <w:p w:rsidR="0069206E" w:rsidRPr="00470AD4" w:rsidRDefault="0069206E" w:rsidP="00CB2FBB">
            <w:pPr>
              <w:pStyle w:val="Tabletext"/>
            </w:pPr>
            <w:r w:rsidRPr="00470AD4">
              <w:t>The separation of an object or material into two, or more, pieces under the action of stress.</w:t>
            </w:r>
          </w:p>
        </w:tc>
      </w:tr>
      <w:tr w:rsidR="004E179A" w:rsidRPr="00470AD4" w:rsidTr="007269F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300"/>
        </w:trPr>
        <w:tc>
          <w:tcPr>
            <w:tcW w:w="2268" w:type="dxa"/>
            <w:tcBorders>
              <w:top w:val="nil"/>
              <w:left w:val="single" w:sz="4" w:space="0" w:color="auto"/>
              <w:bottom w:val="single" w:sz="4" w:space="0" w:color="auto"/>
              <w:right w:val="single" w:sz="4" w:space="0" w:color="auto"/>
            </w:tcBorders>
            <w:shd w:val="clear" w:color="auto" w:fill="auto"/>
          </w:tcPr>
          <w:p w:rsidR="004E179A" w:rsidRPr="00470AD4" w:rsidRDefault="004E179A" w:rsidP="00CB2FBB">
            <w:pPr>
              <w:pStyle w:val="Tabletext"/>
            </w:pPr>
            <w:r w:rsidRPr="00470AD4">
              <w:lastRenderedPageBreak/>
              <w:t>Gamma-ray spectometry</w:t>
            </w:r>
          </w:p>
        </w:tc>
        <w:tc>
          <w:tcPr>
            <w:tcW w:w="6804" w:type="dxa"/>
            <w:tcBorders>
              <w:top w:val="nil"/>
              <w:left w:val="nil"/>
              <w:bottom w:val="single" w:sz="4" w:space="0" w:color="auto"/>
              <w:right w:val="single" w:sz="4" w:space="0" w:color="auto"/>
            </w:tcBorders>
            <w:shd w:val="clear" w:color="auto" w:fill="auto"/>
            <w:vAlign w:val="center"/>
          </w:tcPr>
          <w:p w:rsidR="004E179A" w:rsidRPr="00470AD4" w:rsidRDefault="0069206E" w:rsidP="00CB2FBB">
            <w:pPr>
              <w:pStyle w:val="Tabletext"/>
            </w:pPr>
            <w:r w:rsidRPr="00470AD4">
              <w:t>An instrument for measuring the distribution (or spectrum) of the intensity of gamma radiation versus the energy of each photon.</w:t>
            </w:r>
          </w:p>
        </w:tc>
      </w:tr>
      <w:tr w:rsidR="00BE1861" w:rsidRPr="00470AD4" w:rsidTr="007269F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300"/>
        </w:trPr>
        <w:tc>
          <w:tcPr>
            <w:tcW w:w="2268" w:type="dxa"/>
            <w:tcBorders>
              <w:top w:val="nil"/>
              <w:left w:val="single" w:sz="4" w:space="0" w:color="auto"/>
              <w:bottom w:val="single" w:sz="4" w:space="0" w:color="auto"/>
              <w:right w:val="single" w:sz="4" w:space="0" w:color="auto"/>
            </w:tcBorders>
            <w:shd w:val="clear" w:color="auto" w:fill="auto"/>
          </w:tcPr>
          <w:p w:rsidR="00BE1861" w:rsidRPr="00470AD4" w:rsidRDefault="0069206E" w:rsidP="00CB2FBB">
            <w:pPr>
              <w:pStyle w:val="Tabletext"/>
            </w:pPr>
            <w:r w:rsidRPr="00470AD4">
              <w:t>Geologic stratum</w:t>
            </w:r>
          </w:p>
        </w:tc>
        <w:tc>
          <w:tcPr>
            <w:tcW w:w="6804" w:type="dxa"/>
            <w:tcBorders>
              <w:top w:val="nil"/>
              <w:left w:val="nil"/>
              <w:bottom w:val="single" w:sz="4" w:space="0" w:color="auto"/>
              <w:right w:val="single" w:sz="4" w:space="0" w:color="auto"/>
            </w:tcBorders>
            <w:shd w:val="clear" w:color="auto" w:fill="auto"/>
            <w:vAlign w:val="center"/>
          </w:tcPr>
          <w:p w:rsidR="00BE1861" w:rsidRPr="00470AD4" w:rsidRDefault="0069206E" w:rsidP="00CB2FBB">
            <w:pPr>
              <w:pStyle w:val="Tabletext"/>
            </w:pPr>
            <w:r w:rsidRPr="00470AD4">
              <w:t>A layer of sedimentary rock or soil with internally consistent characteristics that disting</w:t>
            </w:r>
            <w:r w:rsidR="009078BE">
              <w:t>uish it from other layers. The ‘stratum’</w:t>
            </w:r>
            <w:r w:rsidRPr="00470AD4">
              <w:t xml:space="preserve"> is the fundamental unit in a stratigraphic column and forms the basis of the study of stratigraphy.</w:t>
            </w:r>
          </w:p>
        </w:tc>
      </w:tr>
      <w:tr w:rsidR="002565B6" w:rsidRPr="00470AD4" w:rsidTr="007269F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300"/>
        </w:trPr>
        <w:tc>
          <w:tcPr>
            <w:tcW w:w="2268" w:type="dxa"/>
            <w:tcBorders>
              <w:top w:val="nil"/>
              <w:left w:val="single" w:sz="4" w:space="0" w:color="auto"/>
              <w:bottom w:val="single" w:sz="4" w:space="0" w:color="auto"/>
              <w:right w:val="single" w:sz="4" w:space="0" w:color="auto"/>
            </w:tcBorders>
            <w:shd w:val="clear" w:color="auto" w:fill="auto"/>
          </w:tcPr>
          <w:p w:rsidR="002565B6" w:rsidRPr="00470AD4" w:rsidRDefault="002565B6" w:rsidP="00CB2FBB">
            <w:pPr>
              <w:pStyle w:val="Tabletext"/>
            </w:pPr>
            <w:r w:rsidRPr="00470AD4">
              <w:t>Geological layer</w:t>
            </w:r>
          </w:p>
        </w:tc>
        <w:tc>
          <w:tcPr>
            <w:tcW w:w="6804" w:type="dxa"/>
            <w:tcBorders>
              <w:top w:val="nil"/>
              <w:left w:val="nil"/>
              <w:bottom w:val="single" w:sz="4" w:space="0" w:color="auto"/>
              <w:right w:val="single" w:sz="4" w:space="0" w:color="auto"/>
            </w:tcBorders>
            <w:shd w:val="clear" w:color="auto" w:fill="auto"/>
            <w:vAlign w:val="center"/>
          </w:tcPr>
          <w:p w:rsidR="002565B6" w:rsidRPr="00470AD4" w:rsidRDefault="00A44A04" w:rsidP="00CB2FBB">
            <w:pPr>
              <w:pStyle w:val="Tabletext"/>
            </w:pPr>
            <w:r w:rsidRPr="00470AD4">
              <w:t xml:space="preserve">A layer of a given sample. An example is Earth itself. The crust is made up of many different geological layers which are made up of many different minerals/substances. The layers contain important information as to the history of the planet. </w:t>
            </w:r>
          </w:p>
        </w:tc>
      </w:tr>
      <w:tr w:rsidR="002565B6" w:rsidRPr="00470AD4" w:rsidTr="007269F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300"/>
        </w:trPr>
        <w:tc>
          <w:tcPr>
            <w:tcW w:w="2268" w:type="dxa"/>
            <w:tcBorders>
              <w:top w:val="nil"/>
              <w:left w:val="single" w:sz="4" w:space="0" w:color="auto"/>
              <w:bottom w:val="single" w:sz="4" w:space="0" w:color="auto"/>
              <w:right w:val="single" w:sz="4" w:space="0" w:color="auto"/>
            </w:tcBorders>
            <w:shd w:val="clear" w:color="auto" w:fill="auto"/>
          </w:tcPr>
          <w:p w:rsidR="002565B6" w:rsidRPr="00470AD4" w:rsidRDefault="00BE1861" w:rsidP="00CB2FBB">
            <w:pPr>
              <w:pStyle w:val="Tabletext"/>
            </w:pPr>
            <w:r w:rsidRPr="00470AD4">
              <w:t>Geological window</w:t>
            </w:r>
          </w:p>
        </w:tc>
        <w:tc>
          <w:tcPr>
            <w:tcW w:w="6804" w:type="dxa"/>
            <w:tcBorders>
              <w:top w:val="nil"/>
              <w:left w:val="nil"/>
              <w:bottom w:val="single" w:sz="4" w:space="0" w:color="auto"/>
              <w:right w:val="single" w:sz="4" w:space="0" w:color="auto"/>
            </w:tcBorders>
            <w:shd w:val="clear" w:color="auto" w:fill="auto"/>
            <w:vAlign w:val="center"/>
          </w:tcPr>
          <w:p w:rsidR="002565B6" w:rsidRPr="00470AD4" w:rsidRDefault="00D43540" w:rsidP="00CB2FBB">
            <w:pPr>
              <w:pStyle w:val="Tabletext"/>
            </w:pPr>
            <w:r w:rsidRPr="00470AD4">
              <w:t>A geologic structure formed by erosion or normal faulting on a thrust system. In such a system the rock mass (hanging wall block) that has been transported by movement along the thrust is called a nappe. When erosion or normal faulting produces a hole in the nappe where the underlying autochthonous (i.e. un-transported) rocks crop out this is called a window. Windows can be almost any size, from a couple of metres to hundreds of kilometres.</w:t>
            </w:r>
          </w:p>
        </w:tc>
      </w:tr>
      <w:tr w:rsidR="003B1829" w:rsidRPr="00470AD4" w:rsidTr="007269F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300"/>
        </w:trPr>
        <w:tc>
          <w:tcPr>
            <w:tcW w:w="2268" w:type="dxa"/>
            <w:tcBorders>
              <w:top w:val="nil"/>
              <w:left w:val="single" w:sz="4" w:space="0" w:color="auto"/>
              <w:bottom w:val="single" w:sz="4" w:space="0" w:color="auto"/>
              <w:right w:val="single" w:sz="4" w:space="0" w:color="auto"/>
            </w:tcBorders>
            <w:shd w:val="clear" w:color="auto" w:fill="auto"/>
            <w:hideMark/>
          </w:tcPr>
          <w:p w:rsidR="003B1829" w:rsidRPr="00470AD4" w:rsidRDefault="003B1829" w:rsidP="00CB2FBB">
            <w:pPr>
              <w:pStyle w:val="Tabletext"/>
            </w:pPr>
            <w:r w:rsidRPr="00470AD4">
              <w:t>Groundwater</w:t>
            </w:r>
          </w:p>
        </w:tc>
        <w:tc>
          <w:tcPr>
            <w:tcW w:w="6804" w:type="dxa"/>
            <w:tcBorders>
              <w:top w:val="nil"/>
              <w:left w:val="nil"/>
              <w:bottom w:val="single" w:sz="4" w:space="0" w:color="auto"/>
              <w:right w:val="single" w:sz="4" w:space="0" w:color="auto"/>
            </w:tcBorders>
            <w:shd w:val="clear" w:color="auto" w:fill="auto"/>
            <w:vAlign w:val="center"/>
            <w:hideMark/>
          </w:tcPr>
          <w:p w:rsidR="003B1829" w:rsidRPr="00470AD4" w:rsidRDefault="003B1829" w:rsidP="00CB2FBB">
            <w:pPr>
              <w:pStyle w:val="Tabletext"/>
            </w:pPr>
            <w:r w:rsidRPr="00470AD4">
              <w:t>Water occurring naturally below ground level (whether in an aquifer or other low permeability material), or water occurring at a place below ground that has been pumped, diverted or released to that place for storage there. This does not include water held in underground tanks, pipes or other works.</w:t>
            </w:r>
          </w:p>
        </w:tc>
      </w:tr>
      <w:tr w:rsidR="003B1829" w:rsidRPr="00470AD4" w:rsidTr="007269F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300"/>
        </w:trPr>
        <w:tc>
          <w:tcPr>
            <w:tcW w:w="2268" w:type="dxa"/>
            <w:tcBorders>
              <w:top w:val="nil"/>
              <w:left w:val="single" w:sz="4" w:space="0" w:color="auto"/>
              <w:bottom w:val="single" w:sz="4" w:space="0" w:color="auto"/>
              <w:right w:val="single" w:sz="4" w:space="0" w:color="auto"/>
            </w:tcBorders>
            <w:shd w:val="clear" w:color="auto" w:fill="auto"/>
            <w:hideMark/>
          </w:tcPr>
          <w:p w:rsidR="003B1829" w:rsidRPr="00470AD4" w:rsidRDefault="003B1829" w:rsidP="00CB2FBB">
            <w:pPr>
              <w:pStyle w:val="Tabletext"/>
            </w:pPr>
            <w:r w:rsidRPr="00470AD4">
              <w:t>Groundwater injection bore</w:t>
            </w:r>
          </w:p>
        </w:tc>
        <w:tc>
          <w:tcPr>
            <w:tcW w:w="6804" w:type="dxa"/>
            <w:tcBorders>
              <w:top w:val="nil"/>
              <w:left w:val="nil"/>
              <w:bottom w:val="single" w:sz="4" w:space="0" w:color="auto"/>
              <w:right w:val="single" w:sz="4" w:space="0" w:color="auto"/>
            </w:tcBorders>
            <w:shd w:val="clear" w:color="auto" w:fill="auto"/>
            <w:vAlign w:val="center"/>
            <w:hideMark/>
          </w:tcPr>
          <w:p w:rsidR="003B1829" w:rsidRPr="00470AD4" w:rsidRDefault="003B1829" w:rsidP="00CB2FBB">
            <w:pPr>
              <w:pStyle w:val="Tabletext"/>
            </w:pPr>
            <w:r w:rsidRPr="00470AD4">
              <w:t>A bore installed to facilitate the injection of liquid (for example, H</w:t>
            </w:r>
            <w:r w:rsidRPr="00470AD4">
              <w:rPr>
                <w:vertAlign w:val="subscript"/>
              </w:rPr>
              <w:t>2</w:t>
            </w:r>
            <w:r w:rsidRPr="00470AD4">
              <w:t>0) or gas (for example, CO</w:t>
            </w:r>
            <w:r w:rsidRPr="00470AD4">
              <w:rPr>
                <w:vertAlign w:val="subscript"/>
              </w:rPr>
              <w:t>2</w:t>
            </w:r>
            <w:r w:rsidRPr="00470AD4">
              <w:t>) into an aquifer. Commonly used in Managed Aquifer Recharge schemes or groundwater remediation.</w:t>
            </w:r>
          </w:p>
        </w:tc>
      </w:tr>
      <w:tr w:rsidR="003B1829" w:rsidRPr="00470AD4" w:rsidTr="007269F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480"/>
        </w:trPr>
        <w:tc>
          <w:tcPr>
            <w:tcW w:w="2268" w:type="dxa"/>
            <w:tcBorders>
              <w:top w:val="nil"/>
              <w:left w:val="single" w:sz="4" w:space="0" w:color="auto"/>
              <w:bottom w:val="single" w:sz="4" w:space="0" w:color="auto"/>
              <w:right w:val="single" w:sz="4" w:space="0" w:color="auto"/>
            </w:tcBorders>
            <w:shd w:val="clear" w:color="auto" w:fill="auto"/>
            <w:hideMark/>
          </w:tcPr>
          <w:p w:rsidR="003B1829" w:rsidRPr="00470AD4" w:rsidRDefault="003B1829" w:rsidP="00CB2FBB">
            <w:pPr>
              <w:pStyle w:val="Tabletext"/>
            </w:pPr>
            <w:r w:rsidRPr="00470AD4">
              <w:t>Groundwater monitoring/ observation bore</w:t>
            </w:r>
          </w:p>
        </w:tc>
        <w:tc>
          <w:tcPr>
            <w:tcW w:w="6804" w:type="dxa"/>
            <w:tcBorders>
              <w:top w:val="nil"/>
              <w:left w:val="nil"/>
              <w:bottom w:val="single" w:sz="4" w:space="0" w:color="auto"/>
              <w:right w:val="single" w:sz="4" w:space="0" w:color="auto"/>
            </w:tcBorders>
            <w:shd w:val="clear" w:color="auto" w:fill="auto"/>
            <w:vAlign w:val="center"/>
            <w:hideMark/>
          </w:tcPr>
          <w:p w:rsidR="003B1829" w:rsidRPr="00470AD4" w:rsidRDefault="003B1829" w:rsidP="00CB2FBB">
            <w:pPr>
              <w:pStyle w:val="Tabletext"/>
            </w:pPr>
            <w:r w:rsidRPr="00470AD4">
              <w:t>A bore installed to: determine the nature and properties of subsurface groundwater conditions; provide access to groundwater for measuring level, physical and chemical properties; permit the collection of groundwater samples; and/or to conduct aquifer tests.</w:t>
            </w:r>
          </w:p>
        </w:tc>
      </w:tr>
      <w:tr w:rsidR="003B1829" w:rsidRPr="00470AD4" w:rsidTr="007269F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480"/>
        </w:trPr>
        <w:tc>
          <w:tcPr>
            <w:tcW w:w="2268" w:type="dxa"/>
            <w:tcBorders>
              <w:top w:val="nil"/>
              <w:left w:val="single" w:sz="4" w:space="0" w:color="auto"/>
              <w:bottom w:val="single" w:sz="4" w:space="0" w:color="auto"/>
              <w:right w:val="single" w:sz="4" w:space="0" w:color="auto"/>
            </w:tcBorders>
            <w:shd w:val="clear" w:color="auto" w:fill="auto"/>
            <w:hideMark/>
          </w:tcPr>
          <w:p w:rsidR="003B1829" w:rsidRPr="00470AD4" w:rsidRDefault="003B1829" w:rsidP="00CB2FBB">
            <w:pPr>
              <w:pStyle w:val="Tabletext"/>
            </w:pPr>
            <w:r w:rsidRPr="00470AD4">
              <w:t>Groundwater pumping/production bore</w:t>
            </w:r>
          </w:p>
        </w:tc>
        <w:tc>
          <w:tcPr>
            <w:tcW w:w="6804" w:type="dxa"/>
            <w:tcBorders>
              <w:top w:val="nil"/>
              <w:left w:val="nil"/>
              <w:bottom w:val="single" w:sz="4" w:space="0" w:color="auto"/>
              <w:right w:val="single" w:sz="4" w:space="0" w:color="auto"/>
            </w:tcBorders>
            <w:shd w:val="clear" w:color="auto" w:fill="auto"/>
            <w:vAlign w:val="center"/>
            <w:hideMark/>
          </w:tcPr>
          <w:p w:rsidR="003B1829" w:rsidRPr="00470AD4" w:rsidRDefault="003B1829" w:rsidP="00CB2FBB">
            <w:pPr>
              <w:pStyle w:val="Tabletext"/>
            </w:pPr>
            <w:r w:rsidRPr="00470AD4">
              <w:t>A bore installed with the primary purpose to extract groundwater for productive use from a particular hydrogeological formation.</w:t>
            </w:r>
          </w:p>
        </w:tc>
      </w:tr>
      <w:tr w:rsidR="00E95593" w:rsidRPr="00470AD4" w:rsidTr="007269F4">
        <w:tc>
          <w:tcPr>
            <w:tcW w:w="2268" w:type="dxa"/>
          </w:tcPr>
          <w:p w:rsidR="00E95593" w:rsidRPr="00470AD4" w:rsidRDefault="00E95593" w:rsidP="00CB2FBB">
            <w:pPr>
              <w:pStyle w:val="Tabletext"/>
            </w:pPr>
            <w:r w:rsidRPr="00470AD4">
              <w:t>Heterogeneity</w:t>
            </w:r>
          </w:p>
        </w:tc>
        <w:tc>
          <w:tcPr>
            <w:tcW w:w="6804" w:type="dxa"/>
          </w:tcPr>
          <w:p w:rsidR="00E95593" w:rsidRPr="00470AD4" w:rsidRDefault="00E95593" w:rsidP="00CB2FBB">
            <w:pPr>
              <w:pStyle w:val="Tabletext"/>
            </w:pPr>
            <w:r w:rsidRPr="00470AD4">
              <w:t>Composition from dissimilar parts.</w:t>
            </w:r>
          </w:p>
        </w:tc>
      </w:tr>
      <w:tr w:rsidR="003B1829" w:rsidRPr="00470AD4" w:rsidTr="007269F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300"/>
        </w:trPr>
        <w:tc>
          <w:tcPr>
            <w:tcW w:w="2268" w:type="dxa"/>
            <w:tcBorders>
              <w:top w:val="nil"/>
              <w:left w:val="single" w:sz="4" w:space="0" w:color="auto"/>
              <w:bottom w:val="single" w:sz="4" w:space="0" w:color="auto"/>
              <w:right w:val="single" w:sz="4" w:space="0" w:color="auto"/>
            </w:tcBorders>
            <w:shd w:val="clear" w:color="auto" w:fill="auto"/>
            <w:hideMark/>
          </w:tcPr>
          <w:p w:rsidR="003B1829" w:rsidRPr="00470AD4" w:rsidRDefault="003B1829" w:rsidP="00CB2FBB">
            <w:pPr>
              <w:pStyle w:val="Tabletext"/>
            </w:pPr>
            <w:r w:rsidRPr="00470AD4">
              <w:t>Hydraulic conductivity</w:t>
            </w:r>
          </w:p>
        </w:tc>
        <w:tc>
          <w:tcPr>
            <w:tcW w:w="6804" w:type="dxa"/>
            <w:tcBorders>
              <w:top w:val="single" w:sz="4" w:space="0" w:color="auto"/>
              <w:left w:val="nil"/>
              <w:bottom w:val="single" w:sz="4" w:space="0" w:color="auto"/>
              <w:right w:val="single" w:sz="4" w:space="0" w:color="auto"/>
            </w:tcBorders>
            <w:shd w:val="clear" w:color="auto" w:fill="FFFFFF" w:themeFill="background1"/>
            <w:hideMark/>
          </w:tcPr>
          <w:p w:rsidR="003B1829" w:rsidRPr="00470AD4" w:rsidRDefault="003B1829" w:rsidP="00CB2FBB">
            <w:pPr>
              <w:pStyle w:val="Tabletext"/>
            </w:pPr>
            <w:r w:rsidRPr="00470AD4">
              <w:t>The rate at which a fluid passes through a permeable medium.</w:t>
            </w:r>
          </w:p>
        </w:tc>
      </w:tr>
      <w:tr w:rsidR="003B1829" w:rsidRPr="00470AD4" w:rsidTr="007269F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480"/>
        </w:trPr>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3B1829" w:rsidRPr="00470AD4" w:rsidRDefault="003B1829" w:rsidP="00CB2FBB">
            <w:pPr>
              <w:pStyle w:val="Tabletext"/>
            </w:pPr>
            <w:r w:rsidRPr="00470AD4">
              <w:t>Hydraulic fracturing</w:t>
            </w:r>
          </w:p>
        </w:tc>
        <w:tc>
          <w:tcPr>
            <w:tcW w:w="6804" w:type="dxa"/>
            <w:tcBorders>
              <w:top w:val="single" w:sz="4" w:space="0" w:color="auto"/>
              <w:left w:val="nil"/>
              <w:bottom w:val="single" w:sz="4" w:space="0" w:color="auto"/>
              <w:right w:val="single" w:sz="4" w:space="0" w:color="auto"/>
            </w:tcBorders>
            <w:shd w:val="clear" w:color="auto" w:fill="FFFFFF" w:themeFill="background1"/>
            <w:vAlign w:val="center"/>
            <w:hideMark/>
          </w:tcPr>
          <w:p w:rsidR="003B1829" w:rsidRPr="00470AD4" w:rsidRDefault="009078BE" w:rsidP="00CB2FBB">
            <w:pPr>
              <w:pStyle w:val="Tabletext"/>
            </w:pPr>
            <w:r>
              <w:t>Also known as ‘fracking’</w:t>
            </w:r>
            <w:r w:rsidR="003B1829" w:rsidRPr="00470AD4">
              <w:t xml:space="preserve">, </w:t>
            </w:r>
            <w:r>
              <w:t>‘</w:t>
            </w:r>
            <w:r w:rsidR="003B1829" w:rsidRPr="00470AD4">
              <w:t>fraccing</w:t>
            </w:r>
            <w:r>
              <w:t>’ or ‘fracture simulation’</w:t>
            </w:r>
            <w:r w:rsidR="003B1829" w:rsidRPr="00470AD4">
              <w:t>, is the process by which hydrocarbon (oil and gas) bearing geological formations are ‘stimulated’ to enhance the flow of hydrocarbons and other fluids towards the well. The process involves the injection of fluids, gas, proppant and other additives under high pressure into a geological formation to create a network of small fractures radiating outwards from the well through which the gas, and any associated water, can flow.</w:t>
            </w:r>
          </w:p>
        </w:tc>
      </w:tr>
      <w:tr w:rsidR="003B1829" w:rsidRPr="00470AD4" w:rsidTr="007269F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300"/>
        </w:trPr>
        <w:tc>
          <w:tcPr>
            <w:tcW w:w="2268" w:type="dxa"/>
            <w:tcBorders>
              <w:top w:val="nil"/>
              <w:left w:val="single" w:sz="4" w:space="0" w:color="auto"/>
              <w:bottom w:val="single" w:sz="4" w:space="0" w:color="auto"/>
              <w:right w:val="single" w:sz="4" w:space="0" w:color="auto"/>
            </w:tcBorders>
            <w:shd w:val="clear" w:color="auto" w:fill="auto"/>
            <w:hideMark/>
          </w:tcPr>
          <w:p w:rsidR="003B1829" w:rsidRPr="00470AD4" w:rsidRDefault="003B1829" w:rsidP="00CB2FBB">
            <w:pPr>
              <w:pStyle w:val="Tabletext"/>
            </w:pPr>
            <w:r w:rsidRPr="00470AD4">
              <w:t>Hydraulic gradient</w:t>
            </w:r>
          </w:p>
        </w:tc>
        <w:tc>
          <w:tcPr>
            <w:tcW w:w="6804" w:type="dxa"/>
            <w:tcBorders>
              <w:top w:val="single" w:sz="4" w:space="0" w:color="auto"/>
              <w:left w:val="nil"/>
              <w:bottom w:val="single" w:sz="4" w:space="0" w:color="auto"/>
              <w:right w:val="single" w:sz="4" w:space="0" w:color="auto"/>
            </w:tcBorders>
            <w:shd w:val="clear" w:color="auto" w:fill="FFFFFF" w:themeFill="background1"/>
            <w:vAlign w:val="center"/>
            <w:hideMark/>
          </w:tcPr>
          <w:p w:rsidR="003B1829" w:rsidRPr="00470AD4" w:rsidRDefault="003B1829" w:rsidP="00CB2FBB">
            <w:pPr>
              <w:pStyle w:val="Tabletext"/>
            </w:pPr>
            <w:r w:rsidRPr="00470AD4">
              <w:t>The change in hydraulic head between different locations within or between aquifers or other formations, as indicated by bores constructed in those formations.</w:t>
            </w:r>
          </w:p>
        </w:tc>
      </w:tr>
      <w:tr w:rsidR="003B1829" w:rsidRPr="00470AD4" w:rsidTr="007269F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300"/>
        </w:trPr>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3B1829" w:rsidRPr="00470AD4" w:rsidRDefault="003B1829" w:rsidP="00CB2FBB">
            <w:pPr>
              <w:pStyle w:val="Tabletext"/>
            </w:pPr>
            <w:r w:rsidRPr="00470AD4">
              <w:lastRenderedPageBreak/>
              <w:t>Hydraulic head</w:t>
            </w:r>
          </w:p>
        </w:tc>
        <w:tc>
          <w:tcPr>
            <w:tcW w:w="6804" w:type="dxa"/>
            <w:tcBorders>
              <w:top w:val="single" w:sz="4" w:space="0" w:color="auto"/>
              <w:left w:val="nil"/>
              <w:bottom w:val="single" w:sz="4" w:space="0" w:color="auto"/>
              <w:right w:val="single" w:sz="4" w:space="0" w:color="auto"/>
            </w:tcBorders>
            <w:shd w:val="clear" w:color="auto" w:fill="FFFFFF" w:themeFill="background1"/>
            <w:vAlign w:val="center"/>
            <w:hideMark/>
          </w:tcPr>
          <w:p w:rsidR="003B1829" w:rsidRPr="00470AD4" w:rsidRDefault="003B1829" w:rsidP="00CB2FBB">
            <w:pPr>
              <w:pStyle w:val="Tabletext"/>
            </w:pPr>
            <w:r w:rsidRPr="00470AD4">
              <w:t>The potential energy contained within groundwater as a result of elevation and pressure. It is indicated by the level to which water will rise within a bore constructed at a particular location and depth. For an unconfined aquifer, it will be largely subject to the elevation of the water table at that location. For a confined aquifer, it is a reflection of the pressure that the groundwater is subject to and will typically manifest in a bore as a water level above the top of the confined aquifer, and in some cases above ground level.</w:t>
            </w:r>
          </w:p>
        </w:tc>
      </w:tr>
      <w:tr w:rsidR="003B1829" w:rsidRPr="00470AD4" w:rsidTr="007269F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300"/>
        </w:trPr>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3B1829" w:rsidRPr="00470AD4" w:rsidRDefault="003B1829" w:rsidP="00CB2FBB">
            <w:pPr>
              <w:pStyle w:val="Tabletext"/>
            </w:pPr>
            <w:r w:rsidRPr="00470AD4">
              <w:t>Hydraulic pressure</w:t>
            </w:r>
          </w:p>
        </w:tc>
        <w:tc>
          <w:tcPr>
            <w:tcW w:w="6804" w:type="dxa"/>
            <w:tcBorders>
              <w:top w:val="single" w:sz="4" w:space="0" w:color="auto"/>
              <w:left w:val="nil"/>
              <w:bottom w:val="single" w:sz="4" w:space="0" w:color="auto"/>
              <w:right w:val="single" w:sz="4" w:space="0" w:color="auto"/>
            </w:tcBorders>
            <w:shd w:val="clear" w:color="auto" w:fill="FFFFFF" w:themeFill="background1"/>
            <w:vAlign w:val="center"/>
            <w:hideMark/>
          </w:tcPr>
          <w:p w:rsidR="003B1829" w:rsidRPr="00470AD4" w:rsidRDefault="003B1829" w:rsidP="00CB2FBB">
            <w:pPr>
              <w:pStyle w:val="Tabletext"/>
            </w:pPr>
            <w:r w:rsidRPr="00470AD4">
              <w:t xml:space="preserve">The total pressure that water exerts on the materials comprising the aquifer. Also known as </w:t>
            </w:r>
            <w:proofErr w:type="gramStart"/>
            <w:r w:rsidRPr="00470AD4">
              <w:t>pore</w:t>
            </w:r>
            <w:proofErr w:type="gramEnd"/>
            <w:r w:rsidRPr="00470AD4">
              <w:t xml:space="preserve"> pressure.</w:t>
            </w:r>
          </w:p>
        </w:tc>
      </w:tr>
      <w:tr w:rsidR="00686BB7" w:rsidRPr="00470AD4" w:rsidTr="007269F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300"/>
        </w:trPr>
        <w:tc>
          <w:tcPr>
            <w:tcW w:w="2268" w:type="dxa"/>
            <w:tcBorders>
              <w:top w:val="nil"/>
              <w:left w:val="single" w:sz="4" w:space="0" w:color="auto"/>
              <w:bottom w:val="single" w:sz="4" w:space="0" w:color="auto"/>
              <w:right w:val="single" w:sz="4" w:space="0" w:color="auto"/>
            </w:tcBorders>
            <w:shd w:val="clear" w:color="auto" w:fill="auto"/>
          </w:tcPr>
          <w:p w:rsidR="00686BB7" w:rsidRPr="00470AD4" w:rsidRDefault="00686BB7" w:rsidP="00CB2FBB">
            <w:pPr>
              <w:pStyle w:val="Tabletext"/>
            </w:pPr>
            <w:r w:rsidRPr="00470AD4">
              <w:t>Hydrodynamic dispersion</w:t>
            </w:r>
          </w:p>
        </w:tc>
        <w:tc>
          <w:tcPr>
            <w:tcW w:w="6804" w:type="dxa"/>
            <w:tcBorders>
              <w:top w:val="single" w:sz="4" w:space="0" w:color="auto"/>
              <w:left w:val="nil"/>
              <w:bottom w:val="single" w:sz="4" w:space="0" w:color="auto"/>
              <w:right w:val="single" w:sz="4" w:space="0" w:color="auto"/>
            </w:tcBorders>
            <w:shd w:val="clear" w:color="auto" w:fill="FFFFFF" w:themeFill="background1"/>
            <w:vAlign w:val="center"/>
          </w:tcPr>
          <w:p w:rsidR="00686BB7" w:rsidRPr="00470AD4" w:rsidRDefault="00ED5A10" w:rsidP="00CB2FBB">
            <w:pPr>
              <w:pStyle w:val="Tabletext"/>
            </w:pPr>
            <w:r w:rsidRPr="00470AD4">
              <w:t>The spreading (at the macroscopic level) of the solute front during transport resulting from both mechanical dispersion and molecular diffusion.</w:t>
            </w:r>
          </w:p>
        </w:tc>
      </w:tr>
      <w:tr w:rsidR="002D6A86" w:rsidRPr="00470AD4" w:rsidTr="007269F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300"/>
        </w:trPr>
        <w:tc>
          <w:tcPr>
            <w:tcW w:w="2268" w:type="dxa"/>
            <w:tcBorders>
              <w:top w:val="nil"/>
              <w:left w:val="single" w:sz="4" w:space="0" w:color="auto"/>
              <w:bottom w:val="single" w:sz="4" w:space="0" w:color="auto"/>
              <w:right w:val="single" w:sz="4" w:space="0" w:color="auto"/>
            </w:tcBorders>
            <w:shd w:val="clear" w:color="auto" w:fill="auto"/>
          </w:tcPr>
          <w:p w:rsidR="002D6A86" w:rsidRPr="00470AD4" w:rsidRDefault="002D6A86" w:rsidP="00CB2FBB">
            <w:pPr>
              <w:pStyle w:val="Tabletext"/>
            </w:pPr>
            <w:r w:rsidRPr="00470AD4">
              <w:t>Hydrogeology</w:t>
            </w:r>
          </w:p>
        </w:tc>
        <w:tc>
          <w:tcPr>
            <w:tcW w:w="6804" w:type="dxa"/>
            <w:tcBorders>
              <w:top w:val="single" w:sz="4" w:space="0" w:color="auto"/>
              <w:left w:val="nil"/>
              <w:bottom w:val="single" w:sz="4" w:space="0" w:color="auto"/>
              <w:right w:val="single" w:sz="4" w:space="0" w:color="auto"/>
            </w:tcBorders>
            <w:shd w:val="clear" w:color="auto" w:fill="FFFFFF" w:themeFill="background1"/>
            <w:vAlign w:val="center"/>
          </w:tcPr>
          <w:p w:rsidR="002D6A86" w:rsidRPr="00470AD4" w:rsidRDefault="00DB20D0" w:rsidP="00CB2FBB">
            <w:pPr>
              <w:pStyle w:val="Tabletext"/>
            </w:pPr>
            <w:r w:rsidRPr="00470AD4">
              <w:t>The area of geology that deals with the distribution and movement of groundwater in the soil and rocks of the Earth's crust (commonly in aquifers).</w:t>
            </w:r>
          </w:p>
        </w:tc>
      </w:tr>
      <w:tr w:rsidR="005C1350" w:rsidRPr="00470AD4" w:rsidTr="007269F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300"/>
        </w:trPr>
        <w:tc>
          <w:tcPr>
            <w:tcW w:w="2268" w:type="dxa"/>
            <w:tcBorders>
              <w:top w:val="nil"/>
              <w:left w:val="single" w:sz="4" w:space="0" w:color="auto"/>
              <w:bottom w:val="single" w:sz="4" w:space="0" w:color="auto"/>
              <w:right w:val="single" w:sz="4" w:space="0" w:color="auto"/>
            </w:tcBorders>
            <w:shd w:val="clear" w:color="auto" w:fill="auto"/>
          </w:tcPr>
          <w:p w:rsidR="005C1350" w:rsidRPr="00470AD4" w:rsidRDefault="002E350D" w:rsidP="00CB2FBB">
            <w:pPr>
              <w:pStyle w:val="Tabletext"/>
            </w:pPr>
            <w:r w:rsidRPr="00470AD4">
              <w:t>Hydrology</w:t>
            </w:r>
          </w:p>
        </w:tc>
        <w:tc>
          <w:tcPr>
            <w:tcW w:w="6804" w:type="dxa"/>
            <w:tcBorders>
              <w:top w:val="single" w:sz="4" w:space="0" w:color="auto"/>
              <w:left w:val="nil"/>
              <w:bottom w:val="single" w:sz="4" w:space="0" w:color="auto"/>
              <w:right w:val="single" w:sz="4" w:space="0" w:color="auto"/>
            </w:tcBorders>
            <w:shd w:val="clear" w:color="auto" w:fill="FFFFFF" w:themeFill="background1"/>
            <w:vAlign w:val="center"/>
          </w:tcPr>
          <w:p w:rsidR="005C1350" w:rsidRPr="00470AD4" w:rsidRDefault="002E350D" w:rsidP="00CB2FBB">
            <w:pPr>
              <w:pStyle w:val="Tabletext"/>
            </w:pPr>
            <w:r w:rsidRPr="00470AD4">
              <w:t>The study of the movement, distribution and quality of water on Earth and other planets, including the hydrologic cycle, water resources and environmental watershed sustainability.</w:t>
            </w:r>
          </w:p>
        </w:tc>
      </w:tr>
      <w:tr w:rsidR="00ED5A10" w:rsidRPr="00470AD4" w:rsidTr="00F4486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300"/>
        </w:trPr>
        <w:tc>
          <w:tcPr>
            <w:tcW w:w="2268" w:type="dxa"/>
            <w:tcBorders>
              <w:top w:val="nil"/>
              <w:left w:val="single" w:sz="4" w:space="0" w:color="auto"/>
              <w:bottom w:val="single" w:sz="4" w:space="0" w:color="auto"/>
              <w:right w:val="single" w:sz="4" w:space="0" w:color="auto"/>
            </w:tcBorders>
            <w:shd w:val="clear" w:color="auto" w:fill="auto"/>
          </w:tcPr>
          <w:p w:rsidR="00ED5A10" w:rsidRPr="00470AD4" w:rsidRDefault="00ED5A10" w:rsidP="00CB2FBB">
            <w:pPr>
              <w:pStyle w:val="Tabletext"/>
            </w:pPr>
            <w:r w:rsidRPr="00470AD4">
              <w:t>Hydrostratigraphic unit</w:t>
            </w:r>
          </w:p>
        </w:tc>
        <w:tc>
          <w:tcPr>
            <w:tcW w:w="6804" w:type="dxa"/>
            <w:tcBorders>
              <w:top w:val="single" w:sz="4" w:space="0" w:color="auto"/>
              <w:left w:val="nil"/>
              <w:bottom w:val="single" w:sz="4" w:space="0" w:color="auto"/>
              <w:right w:val="single" w:sz="4" w:space="0" w:color="auto"/>
            </w:tcBorders>
            <w:shd w:val="clear" w:color="auto" w:fill="FFFFFF" w:themeFill="background1"/>
          </w:tcPr>
          <w:p w:rsidR="00ED5A10" w:rsidRPr="00470AD4" w:rsidRDefault="00ED5A10" w:rsidP="00CB2FBB">
            <w:pPr>
              <w:pStyle w:val="Tabletext"/>
            </w:pPr>
            <w:r w:rsidRPr="00470AD4">
              <w:t>Means any soil or rock unit or zone which by virtue of its porosity or permeability, or lack thereof, has a distinct influence on the storage or movement of groundwater.</w:t>
            </w:r>
          </w:p>
        </w:tc>
      </w:tr>
      <w:tr w:rsidR="00214732" w:rsidRPr="00470AD4" w:rsidTr="007269F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300"/>
        </w:trPr>
        <w:tc>
          <w:tcPr>
            <w:tcW w:w="2268" w:type="dxa"/>
            <w:tcBorders>
              <w:top w:val="single" w:sz="4" w:space="0" w:color="auto"/>
              <w:left w:val="single" w:sz="4" w:space="0" w:color="auto"/>
              <w:bottom w:val="single" w:sz="4" w:space="0" w:color="auto"/>
              <w:right w:val="single" w:sz="4" w:space="0" w:color="auto"/>
            </w:tcBorders>
            <w:shd w:val="clear" w:color="auto" w:fill="auto"/>
          </w:tcPr>
          <w:p w:rsidR="00214732" w:rsidRPr="00470AD4" w:rsidRDefault="00214732" w:rsidP="00CB2FBB">
            <w:pPr>
              <w:pStyle w:val="Tabletext"/>
            </w:pPr>
            <w:r w:rsidRPr="00470AD4">
              <w:t>Inter-aquifer leakage</w:t>
            </w:r>
          </w:p>
        </w:tc>
        <w:tc>
          <w:tcPr>
            <w:tcW w:w="6804" w:type="dxa"/>
            <w:tcBorders>
              <w:top w:val="single" w:sz="4" w:space="0" w:color="auto"/>
              <w:left w:val="nil"/>
              <w:bottom w:val="single" w:sz="4" w:space="0" w:color="auto"/>
              <w:right w:val="single" w:sz="4" w:space="0" w:color="auto"/>
            </w:tcBorders>
            <w:shd w:val="clear" w:color="auto" w:fill="auto"/>
            <w:vAlign w:val="center"/>
          </w:tcPr>
          <w:p w:rsidR="00214732" w:rsidRPr="00470AD4" w:rsidRDefault="00214732" w:rsidP="00CB2FBB">
            <w:pPr>
              <w:pStyle w:val="Tabletext"/>
            </w:pPr>
            <w:r w:rsidRPr="00470AD4">
              <w:t>Groundwater interaction between aquifers that are separated by an aquitard.</w:t>
            </w:r>
          </w:p>
        </w:tc>
      </w:tr>
      <w:tr w:rsidR="00214732" w:rsidRPr="00470AD4" w:rsidTr="007269F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300"/>
        </w:trPr>
        <w:tc>
          <w:tcPr>
            <w:tcW w:w="2268" w:type="dxa"/>
            <w:tcBorders>
              <w:top w:val="single" w:sz="4" w:space="0" w:color="auto"/>
              <w:left w:val="single" w:sz="4" w:space="0" w:color="auto"/>
              <w:bottom w:val="single" w:sz="4" w:space="0" w:color="auto"/>
              <w:right w:val="single" w:sz="4" w:space="0" w:color="auto"/>
            </w:tcBorders>
            <w:shd w:val="clear" w:color="auto" w:fill="auto"/>
          </w:tcPr>
          <w:p w:rsidR="00214732" w:rsidRPr="00470AD4" w:rsidRDefault="00214732" w:rsidP="00CB2FBB">
            <w:pPr>
              <w:pStyle w:val="Tabletext"/>
            </w:pPr>
            <w:r w:rsidRPr="00470AD4">
              <w:t>Intra-aquifer leakage</w:t>
            </w:r>
          </w:p>
        </w:tc>
        <w:tc>
          <w:tcPr>
            <w:tcW w:w="6804" w:type="dxa"/>
            <w:tcBorders>
              <w:top w:val="single" w:sz="4" w:space="0" w:color="auto"/>
              <w:left w:val="nil"/>
              <w:bottom w:val="single" w:sz="4" w:space="0" w:color="auto"/>
              <w:right w:val="single" w:sz="4" w:space="0" w:color="auto"/>
            </w:tcBorders>
            <w:shd w:val="clear" w:color="auto" w:fill="auto"/>
            <w:vAlign w:val="center"/>
          </w:tcPr>
          <w:p w:rsidR="00214732" w:rsidRPr="00470AD4" w:rsidRDefault="00214732" w:rsidP="00CB2FBB">
            <w:pPr>
              <w:pStyle w:val="Tabletext"/>
            </w:pPr>
            <w:r w:rsidRPr="00470AD4">
              <w:t>Groundwater interaction between different parts of the same aquifer.</w:t>
            </w:r>
          </w:p>
          <w:p w:rsidR="00D52B61" w:rsidRPr="00470AD4" w:rsidRDefault="00D52B61" w:rsidP="00CB2FBB">
            <w:pPr>
              <w:pStyle w:val="Tabletext"/>
            </w:pPr>
            <w:r w:rsidRPr="00470AD4">
              <w:t>the lateral migration of fluids and solutes within an aquifer</w:t>
            </w:r>
          </w:p>
        </w:tc>
      </w:tr>
      <w:tr w:rsidR="006778C4" w:rsidRPr="00470AD4" w:rsidTr="007269F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300"/>
        </w:trPr>
        <w:tc>
          <w:tcPr>
            <w:tcW w:w="2268" w:type="dxa"/>
            <w:tcBorders>
              <w:top w:val="single" w:sz="4" w:space="0" w:color="auto"/>
              <w:left w:val="single" w:sz="4" w:space="0" w:color="auto"/>
              <w:bottom w:val="single" w:sz="4" w:space="0" w:color="auto"/>
              <w:right w:val="single" w:sz="4" w:space="0" w:color="auto"/>
            </w:tcBorders>
            <w:shd w:val="clear" w:color="auto" w:fill="auto"/>
          </w:tcPr>
          <w:p w:rsidR="006778C4" w:rsidRPr="00470AD4" w:rsidRDefault="006778C4" w:rsidP="00CB2FBB">
            <w:pPr>
              <w:pStyle w:val="Tabletext"/>
            </w:pPr>
            <w:r w:rsidRPr="00470AD4">
              <w:t>Intrinsic permeability</w:t>
            </w:r>
          </w:p>
        </w:tc>
        <w:tc>
          <w:tcPr>
            <w:tcW w:w="6804" w:type="dxa"/>
            <w:tcBorders>
              <w:top w:val="single" w:sz="4" w:space="0" w:color="auto"/>
              <w:left w:val="nil"/>
              <w:bottom w:val="single" w:sz="4" w:space="0" w:color="auto"/>
              <w:right w:val="single" w:sz="4" w:space="0" w:color="auto"/>
            </w:tcBorders>
            <w:shd w:val="clear" w:color="auto" w:fill="auto"/>
            <w:vAlign w:val="center"/>
          </w:tcPr>
          <w:p w:rsidR="006778C4" w:rsidRPr="00470AD4" w:rsidRDefault="00F412F7" w:rsidP="00CB2FBB">
            <w:pPr>
              <w:pStyle w:val="Tabletext"/>
            </w:pPr>
            <w:r w:rsidRPr="00470AD4">
              <w:t>The property of a porous medium itself that expresses the ease with which gases, liquids, or other substances can pass through it.</w:t>
            </w:r>
          </w:p>
        </w:tc>
      </w:tr>
      <w:tr w:rsidR="00A255D4" w:rsidRPr="00470AD4" w:rsidTr="007269F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300"/>
        </w:trPr>
        <w:tc>
          <w:tcPr>
            <w:tcW w:w="2268" w:type="dxa"/>
            <w:tcBorders>
              <w:top w:val="single" w:sz="4" w:space="0" w:color="auto"/>
              <w:left w:val="single" w:sz="4" w:space="0" w:color="auto"/>
              <w:bottom w:val="single" w:sz="4" w:space="0" w:color="auto"/>
              <w:right w:val="single" w:sz="4" w:space="0" w:color="auto"/>
            </w:tcBorders>
            <w:shd w:val="clear" w:color="auto" w:fill="auto"/>
          </w:tcPr>
          <w:p w:rsidR="00A255D4" w:rsidRPr="00470AD4" w:rsidRDefault="00A255D4" w:rsidP="00CB2FBB">
            <w:pPr>
              <w:pStyle w:val="Tabletext"/>
            </w:pPr>
            <w:r w:rsidRPr="00470AD4">
              <w:t xml:space="preserve">Isotropy </w:t>
            </w:r>
          </w:p>
        </w:tc>
        <w:tc>
          <w:tcPr>
            <w:tcW w:w="6804" w:type="dxa"/>
            <w:tcBorders>
              <w:top w:val="single" w:sz="4" w:space="0" w:color="auto"/>
              <w:left w:val="nil"/>
              <w:bottom w:val="single" w:sz="4" w:space="0" w:color="auto"/>
              <w:right w:val="single" w:sz="4" w:space="0" w:color="auto"/>
            </w:tcBorders>
            <w:shd w:val="clear" w:color="auto" w:fill="auto"/>
            <w:vAlign w:val="center"/>
          </w:tcPr>
          <w:p w:rsidR="00A255D4" w:rsidRPr="00470AD4" w:rsidRDefault="00F412F7" w:rsidP="00CB2FBB">
            <w:pPr>
              <w:pStyle w:val="Tabletext"/>
            </w:pPr>
            <w:r w:rsidRPr="00470AD4">
              <w:t>The condition in which the property or properties of interest are the same in all directions.</w:t>
            </w:r>
          </w:p>
        </w:tc>
      </w:tr>
      <w:tr w:rsidR="003B42BA" w:rsidRPr="00470AD4" w:rsidTr="007269F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300"/>
        </w:trPr>
        <w:tc>
          <w:tcPr>
            <w:tcW w:w="2268" w:type="dxa"/>
            <w:tcBorders>
              <w:top w:val="single" w:sz="4" w:space="0" w:color="auto"/>
              <w:left w:val="single" w:sz="4" w:space="0" w:color="auto"/>
              <w:bottom w:val="single" w:sz="4" w:space="0" w:color="auto"/>
              <w:right w:val="single" w:sz="4" w:space="0" w:color="auto"/>
            </w:tcBorders>
            <w:shd w:val="clear" w:color="auto" w:fill="auto"/>
          </w:tcPr>
          <w:p w:rsidR="003B42BA" w:rsidRPr="00470AD4" w:rsidRDefault="003B42BA" w:rsidP="00CB2FBB">
            <w:pPr>
              <w:pStyle w:val="Tabletext"/>
            </w:pPr>
            <w:r w:rsidRPr="00470AD4">
              <w:t>Jurassic period</w:t>
            </w:r>
          </w:p>
        </w:tc>
        <w:tc>
          <w:tcPr>
            <w:tcW w:w="6804" w:type="dxa"/>
            <w:tcBorders>
              <w:top w:val="single" w:sz="4" w:space="0" w:color="auto"/>
              <w:left w:val="nil"/>
              <w:bottom w:val="single" w:sz="4" w:space="0" w:color="auto"/>
              <w:right w:val="single" w:sz="4" w:space="0" w:color="auto"/>
            </w:tcBorders>
            <w:shd w:val="clear" w:color="auto" w:fill="auto"/>
            <w:vAlign w:val="center"/>
          </w:tcPr>
          <w:p w:rsidR="003B42BA" w:rsidRPr="00470AD4" w:rsidRDefault="001F0464" w:rsidP="00CB2FBB">
            <w:pPr>
              <w:pStyle w:val="Tabletext"/>
            </w:pPr>
            <w:r w:rsidRPr="00470AD4">
              <w:t>A period of geologic time, 201.3 million to 145 million years ago.</w:t>
            </w:r>
          </w:p>
        </w:tc>
      </w:tr>
      <w:tr w:rsidR="00F41F92" w:rsidRPr="00470AD4" w:rsidTr="007269F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480"/>
        </w:trPr>
        <w:tc>
          <w:tcPr>
            <w:tcW w:w="2268" w:type="dxa"/>
            <w:tcBorders>
              <w:top w:val="nil"/>
              <w:left w:val="single" w:sz="4" w:space="0" w:color="auto"/>
              <w:bottom w:val="single" w:sz="4" w:space="0" w:color="auto"/>
              <w:right w:val="single" w:sz="4" w:space="0" w:color="auto"/>
            </w:tcBorders>
            <w:shd w:val="clear" w:color="auto" w:fill="auto"/>
          </w:tcPr>
          <w:p w:rsidR="00F41F92" w:rsidRPr="00470AD4" w:rsidRDefault="00F41F92" w:rsidP="00CB2FBB">
            <w:pPr>
              <w:pStyle w:val="Tabletext"/>
            </w:pPr>
            <w:r w:rsidRPr="00470AD4">
              <w:t>Lineaments</w:t>
            </w:r>
          </w:p>
        </w:tc>
        <w:tc>
          <w:tcPr>
            <w:tcW w:w="6804" w:type="dxa"/>
            <w:tcBorders>
              <w:top w:val="nil"/>
              <w:left w:val="nil"/>
              <w:bottom w:val="single" w:sz="4" w:space="0" w:color="auto"/>
              <w:right w:val="single" w:sz="4" w:space="0" w:color="auto"/>
            </w:tcBorders>
            <w:shd w:val="clear" w:color="auto" w:fill="auto"/>
            <w:vAlign w:val="center"/>
          </w:tcPr>
          <w:p w:rsidR="00F41F92" w:rsidRPr="00470AD4" w:rsidRDefault="00F41F92" w:rsidP="00CB2FBB">
            <w:pPr>
              <w:pStyle w:val="Tabletext"/>
            </w:pPr>
            <w:r w:rsidRPr="00470AD4">
              <w:t>Linear surface expressions of subsurface fracture zones, faults and geological contacts.</w:t>
            </w:r>
          </w:p>
        </w:tc>
      </w:tr>
      <w:tr w:rsidR="00214732" w:rsidRPr="00470AD4" w:rsidTr="007269F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480"/>
        </w:trPr>
        <w:tc>
          <w:tcPr>
            <w:tcW w:w="2268" w:type="dxa"/>
            <w:tcBorders>
              <w:top w:val="nil"/>
              <w:left w:val="single" w:sz="4" w:space="0" w:color="auto"/>
              <w:bottom w:val="single" w:sz="4" w:space="0" w:color="auto"/>
              <w:right w:val="single" w:sz="4" w:space="0" w:color="auto"/>
            </w:tcBorders>
            <w:shd w:val="clear" w:color="auto" w:fill="auto"/>
          </w:tcPr>
          <w:p w:rsidR="00214732" w:rsidRPr="00470AD4" w:rsidRDefault="00214732" w:rsidP="00CB2FBB">
            <w:pPr>
              <w:pStyle w:val="Tabletext"/>
            </w:pPr>
            <w:r w:rsidRPr="00470AD4">
              <w:t>Lithology</w:t>
            </w:r>
          </w:p>
        </w:tc>
        <w:tc>
          <w:tcPr>
            <w:tcW w:w="6804" w:type="dxa"/>
            <w:tcBorders>
              <w:top w:val="nil"/>
              <w:left w:val="nil"/>
              <w:bottom w:val="single" w:sz="4" w:space="0" w:color="auto"/>
              <w:right w:val="single" w:sz="4" w:space="0" w:color="auto"/>
            </w:tcBorders>
            <w:shd w:val="clear" w:color="auto" w:fill="auto"/>
            <w:vAlign w:val="center"/>
          </w:tcPr>
          <w:p w:rsidR="00214732" w:rsidRPr="00470AD4" w:rsidRDefault="00512D4D" w:rsidP="00CB2FBB">
            <w:pPr>
              <w:pStyle w:val="Tabletext"/>
            </w:pPr>
            <w:r w:rsidRPr="00470AD4">
              <w:t>The lithology of a rock unit is a description of its physical characteristics visible at outcrop, in hand or core samples or with low magnification microscopy, such as colour, texture, grain size, or composition.</w:t>
            </w:r>
          </w:p>
        </w:tc>
      </w:tr>
      <w:tr w:rsidR="003964E3" w:rsidRPr="00470AD4" w:rsidTr="007269F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480"/>
        </w:trPr>
        <w:tc>
          <w:tcPr>
            <w:tcW w:w="2268" w:type="dxa"/>
            <w:tcBorders>
              <w:top w:val="nil"/>
              <w:left w:val="single" w:sz="4" w:space="0" w:color="auto"/>
              <w:bottom w:val="single" w:sz="4" w:space="0" w:color="auto"/>
              <w:right w:val="single" w:sz="4" w:space="0" w:color="auto"/>
            </w:tcBorders>
            <w:shd w:val="clear" w:color="auto" w:fill="auto"/>
          </w:tcPr>
          <w:p w:rsidR="003964E3" w:rsidRPr="00470AD4" w:rsidRDefault="003964E3" w:rsidP="00CB2FBB">
            <w:pPr>
              <w:pStyle w:val="Tabletext"/>
            </w:pPr>
            <w:r w:rsidRPr="00470AD4">
              <w:t>Lithostratigraphy</w:t>
            </w:r>
          </w:p>
        </w:tc>
        <w:tc>
          <w:tcPr>
            <w:tcW w:w="6804" w:type="dxa"/>
            <w:tcBorders>
              <w:top w:val="nil"/>
              <w:left w:val="nil"/>
              <w:bottom w:val="single" w:sz="4" w:space="0" w:color="auto"/>
              <w:right w:val="single" w:sz="4" w:space="0" w:color="auto"/>
            </w:tcBorders>
            <w:shd w:val="clear" w:color="auto" w:fill="auto"/>
            <w:vAlign w:val="center"/>
          </w:tcPr>
          <w:p w:rsidR="003964E3" w:rsidRPr="00470AD4" w:rsidRDefault="00512D4D" w:rsidP="00CB2FBB">
            <w:pPr>
              <w:pStyle w:val="Tabletext"/>
            </w:pPr>
            <w:r w:rsidRPr="00470AD4">
              <w:t>A sub-discipline of stratigraphy, the geological science associated with the study of strata or rock layers. Major focuses include geochronology, comparative geology, and petrology. In general a stratum will be primarily igneous or sedimentary relating to how the rock was formed.</w:t>
            </w:r>
          </w:p>
        </w:tc>
      </w:tr>
      <w:tr w:rsidR="003B42BA" w:rsidRPr="00470AD4" w:rsidTr="007269F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300"/>
        </w:trPr>
        <w:tc>
          <w:tcPr>
            <w:tcW w:w="2268" w:type="dxa"/>
            <w:tcBorders>
              <w:top w:val="nil"/>
              <w:left w:val="single" w:sz="4" w:space="0" w:color="auto"/>
              <w:bottom w:val="single" w:sz="4" w:space="0" w:color="auto"/>
              <w:right w:val="single" w:sz="4" w:space="0" w:color="auto"/>
            </w:tcBorders>
            <w:shd w:val="clear" w:color="auto" w:fill="auto"/>
          </w:tcPr>
          <w:p w:rsidR="003B42BA" w:rsidRPr="00470AD4" w:rsidRDefault="003B42BA" w:rsidP="00CB2FBB">
            <w:pPr>
              <w:pStyle w:val="Tabletext"/>
            </w:pPr>
            <w:r w:rsidRPr="00470AD4">
              <w:t>Major unconformities</w:t>
            </w:r>
          </w:p>
        </w:tc>
        <w:tc>
          <w:tcPr>
            <w:tcW w:w="6804" w:type="dxa"/>
            <w:tcBorders>
              <w:top w:val="nil"/>
              <w:left w:val="nil"/>
              <w:bottom w:val="single" w:sz="4" w:space="0" w:color="auto"/>
              <w:right w:val="single" w:sz="4" w:space="0" w:color="auto"/>
            </w:tcBorders>
            <w:shd w:val="clear" w:color="auto" w:fill="auto"/>
            <w:vAlign w:val="center"/>
          </w:tcPr>
          <w:p w:rsidR="003B42BA" w:rsidRPr="00470AD4" w:rsidRDefault="003B42BA" w:rsidP="00CB2FBB">
            <w:pPr>
              <w:pStyle w:val="Tabletext"/>
            </w:pPr>
            <w:r w:rsidRPr="00470AD4">
              <w:t>Prolonged periods of erosion without deposition of sediments</w:t>
            </w:r>
          </w:p>
        </w:tc>
      </w:tr>
      <w:tr w:rsidR="003B42BA" w:rsidRPr="00470AD4" w:rsidTr="007269F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300"/>
        </w:trPr>
        <w:tc>
          <w:tcPr>
            <w:tcW w:w="2268" w:type="dxa"/>
            <w:tcBorders>
              <w:top w:val="nil"/>
              <w:left w:val="single" w:sz="4" w:space="0" w:color="auto"/>
              <w:bottom w:val="single" w:sz="4" w:space="0" w:color="auto"/>
              <w:right w:val="single" w:sz="4" w:space="0" w:color="auto"/>
            </w:tcBorders>
            <w:shd w:val="clear" w:color="auto" w:fill="auto"/>
          </w:tcPr>
          <w:p w:rsidR="003B42BA" w:rsidRPr="00470AD4" w:rsidRDefault="003B42BA" w:rsidP="00CB2FBB">
            <w:pPr>
              <w:pStyle w:val="Tabletext"/>
            </w:pPr>
            <w:r w:rsidRPr="00470AD4">
              <w:t>Mesozoic era</w:t>
            </w:r>
          </w:p>
        </w:tc>
        <w:tc>
          <w:tcPr>
            <w:tcW w:w="6804" w:type="dxa"/>
            <w:tcBorders>
              <w:top w:val="nil"/>
              <w:left w:val="nil"/>
              <w:bottom w:val="single" w:sz="4" w:space="0" w:color="auto"/>
              <w:right w:val="single" w:sz="4" w:space="0" w:color="auto"/>
            </w:tcBorders>
            <w:shd w:val="clear" w:color="auto" w:fill="auto"/>
            <w:vAlign w:val="center"/>
          </w:tcPr>
          <w:p w:rsidR="003B42BA" w:rsidRPr="00470AD4" w:rsidRDefault="001F0464" w:rsidP="00CB2FBB">
            <w:pPr>
              <w:pStyle w:val="Tabletext"/>
            </w:pPr>
            <w:r w:rsidRPr="00470AD4">
              <w:t>An era of geologic time, 252.2 million to 66 million years ago.</w:t>
            </w:r>
          </w:p>
        </w:tc>
      </w:tr>
      <w:tr w:rsidR="00CD4F96" w:rsidRPr="00470AD4" w:rsidTr="007269F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300"/>
        </w:trPr>
        <w:tc>
          <w:tcPr>
            <w:tcW w:w="2268" w:type="dxa"/>
            <w:tcBorders>
              <w:top w:val="nil"/>
              <w:left w:val="single" w:sz="4" w:space="0" w:color="auto"/>
              <w:bottom w:val="single" w:sz="4" w:space="0" w:color="auto"/>
              <w:right w:val="single" w:sz="4" w:space="0" w:color="auto"/>
            </w:tcBorders>
            <w:shd w:val="clear" w:color="auto" w:fill="auto"/>
          </w:tcPr>
          <w:p w:rsidR="00CD4F96" w:rsidRPr="00470AD4" w:rsidRDefault="00CD4F96" w:rsidP="00CB2FBB">
            <w:pPr>
              <w:pStyle w:val="Tabletext"/>
            </w:pPr>
            <w:r w:rsidRPr="00470AD4">
              <w:t>Microseismic monitoring</w:t>
            </w:r>
          </w:p>
        </w:tc>
        <w:tc>
          <w:tcPr>
            <w:tcW w:w="6804" w:type="dxa"/>
            <w:tcBorders>
              <w:top w:val="nil"/>
              <w:left w:val="nil"/>
              <w:bottom w:val="single" w:sz="4" w:space="0" w:color="auto"/>
              <w:right w:val="single" w:sz="4" w:space="0" w:color="auto"/>
            </w:tcBorders>
            <w:shd w:val="clear" w:color="auto" w:fill="auto"/>
            <w:vAlign w:val="center"/>
          </w:tcPr>
          <w:p w:rsidR="00CD4F96" w:rsidRPr="00470AD4" w:rsidRDefault="00512D4D" w:rsidP="00CB2FBB">
            <w:pPr>
              <w:pStyle w:val="Tabletext"/>
            </w:pPr>
            <w:r w:rsidRPr="00470AD4">
              <w:t xml:space="preserve">The monitoring of very slight tremors or quiverings of the earth's crust that are not related to an earthquake, usually </w:t>
            </w:r>
            <w:r w:rsidR="009B432B" w:rsidRPr="00470AD4">
              <w:t>from</w:t>
            </w:r>
            <w:r w:rsidRPr="00470AD4">
              <w:t xml:space="preserve"> </w:t>
            </w:r>
            <w:r w:rsidR="009B432B" w:rsidRPr="00470AD4">
              <w:t>anthropogenic causes.</w:t>
            </w:r>
          </w:p>
        </w:tc>
      </w:tr>
      <w:tr w:rsidR="003F172F" w:rsidRPr="00470AD4" w:rsidTr="007269F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300"/>
        </w:trPr>
        <w:tc>
          <w:tcPr>
            <w:tcW w:w="2268" w:type="dxa"/>
            <w:tcBorders>
              <w:top w:val="nil"/>
              <w:left w:val="single" w:sz="4" w:space="0" w:color="auto"/>
              <w:bottom w:val="single" w:sz="4" w:space="0" w:color="auto"/>
              <w:right w:val="single" w:sz="4" w:space="0" w:color="auto"/>
            </w:tcBorders>
            <w:shd w:val="clear" w:color="auto" w:fill="auto"/>
          </w:tcPr>
          <w:p w:rsidR="003F172F" w:rsidRPr="00470AD4" w:rsidRDefault="003F172F" w:rsidP="00CB2FBB">
            <w:pPr>
              <w:pStyle w:val="Tabletext"/>
            </w:pPr>
            <w:r w:rsidRPr="00470AD4">
              <w:t>Mineback mapping</w:t>
            </w:r>
          </w:p>
        </w:tc>
        <w:tc>
          <w:tcPr>
            <w:tcW w:w="6804" w:type="dxa"/>
            <w:tcBorders>
              <w:top w:val="nil"/>
              <w:left w:val="nil"/>
              <w:bottom w:val="single" w:sz="4" w:space="0" w:color="auto"/>
              <w:right w:val="single" w:sz="4" w:space="0" w:color="auto"/>
            </w:tcBorders>
            <w:shd w:val="clear" w:color="auto" w:fill="auto"/>
            <w:vAlign w:val="center"/>
          </w:tcPr>
          <w:p w:rsidR="003F172F" w:rsidRPr="00470AD4" w:rsidRDefault="003F172F" w:rsidP="00CB2FBB">
            <w:pPr>
              <w:pStyle w:val="Tabletext"/>
            </w:pPr>
            <w:r w:rsidRPr="00470AD4">
              <w:t>Observations of fractures within mining coal seams that were previously hydraulically fractured</w:t>
            </w:r>
          </w:p>
        </w:tc>
      </w:tr>
      <w:tr w:rsidR="00AA7BE8" w:rsidRPr="00470AD4" w:rsidTr="007269F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300"/>
        </w:trPr>
        <w:tc>
          <w:tcPr>
            <w:tcW w:w="2268" w:type="dxa"/>
            <w:tcBorders>
              <w:top w:val="nil"/>
              <w:left w:val="single" w:sz="4" w:space="0" w:color="auto"/>
              <w:bottom w:val="single" w:sz="4" w:space="0" w:color="auto"/>
              <w:right w:val="single" w:sz="4" w:space="0" w:color="auto"/>
            </w:tcBorders>
            <w:shd w:val="clear" w:color="auto" w:fill="auto"/>
          </w:tcPr>
          <w:p w:rsidR="00AA7BE8" w:rsidRPr="00470AD4" w:rsidRDefault="00AA7BE8" w:rsidP="00CB2FBB">
            <w:pPr>
              <w:pStyle w:val="Tabletext"/>
            </w:pPr>
            <w:r w:rsidRPr="00470AD4">
              <w:lastRenderedPageBreak/>
              <w:t>Miocene</w:t>
            </w:r>
          </w:p>
        </w:tc>
        <w:tc>
          <w:tcPr>
            <w:tcW w:w="6804" w:type="dxa"/>
            <w:tcBorders>
              <w:top w:val="nil"/>
              <w:left w:val="nil"/>
              <w:bottom w:val="single" w:sz="4" w:space="0" w:color="auto"/>
              <w:right w:val="single" w:sz="4" w:space="0" w:color="auto"/>
            </w:tcBorders>
            <w:shd w:val="clear" w:color="auto" w:fill="auto"/>
            <w:vAlign w:val="center"/>
          </w:tcPr>
          <w:p w:rsidR="00AA7BE8" w:rsidRPr="00470AD4" w:rsidRDefault="009B432B" w:rsidP="00CB2FBB">
            <w:pPr>
              <w:pStyle w:val="Tabletext"/>
            </w:pPr>
            <w:r w:rsidRPr="00470AD4">
              <w:t>An epoch of geologic time, 23.03 million to 5.332 million years ago.</w:t>
            </w:r>
          </w:p>
        </w:tc>
      </w:tr>
      <w:tr w:rsidR="003B1829" w:rsidRPr="00470AD4" w:rsidTr="007269F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300"/>
        </w:trPr>
        <w:tc>
          <w:tcPr>
            <w:tcW w:w="2268" w:type="dxa"/>
            <w:tcBorders>
              <w:top w:val="nil"/>
              <w:left w:val="single" w:sz="4" w:space="0" w:color="auto"/>
              <w:bottom w:val="single" w:sz="4" w:space="0" w:color="auto"/>
              <w:right w:val="single" w:sz="4" w:space="0" w:color="auto"/>
            </w:tcBorders>
            <w:shd w:val="clear" w:color="auto" w:fill="auto"/>
            <w:hideMark/>
          </w:tcPr>
          <w:p w:rsidR="003B1829" w:rsidRPr="00470AD4" w:rsidRDefault="003B1829" w:rsidP="00CB2FBB">
            <w:pPr>
              <w:pStyle w:val="Tabletext"/>
            </w:pPr>
            <w:r w:rsidRPr="00470AD4">
              <w:t>MODFLOW</w:t>
            </w:r>
          </w:p>
        </w:tc>
        <w:tc>
          <w:tcPr>
            <w:tcW w:w="6804" w:type="dxa"/>
            <w:tcBorders>
              <w:top w:val="nil"/>
              <w:left w:val="nil"/>
              <w:bottom w:val="single" w:sz="4" w:space="0" w:color="auto"/>
              <w:right w:val="single" w:sz="4" w:space="0" w:color="auto"/>
            </w:tcBorders>
            <w:shd w:val="clear" w:color="auto" w:fill="auto"/>
            <w:vAlign w:val="center"/>
            <w:hideMark/>
          </w:tcPr>
          <w:p w:rsidR="003B1829" w:rsidRPr="00470AD4" w:rsidRDefault="003B1829" w:rsidP="00CB2FBB">
            <w:pPr>
              <w:pStyle w:val="Tabletext"/>
            </w:pPr>
            <w:r w:rsidRPr="00470AD4">
              <w:t>A ‘finite difference’ numerical groundwater flow modelling code.</w:t>
            </w:r>
          </w:p>
        </w:tc>
      </w:tr>
      <w:tr w:rsidR="00065B40" w:rsidRPr="00470AD4" w:rsidTr="007269F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300"/>
        </w:trPr>
        <w:tc>
          <w:tcPr>
            <w:tcW w:w="2268" w:type="dxa"/>
            <w:tcBorders>
              <w:top w:val="single" w:sz="4" w:space="0" w:color="auto"/>
              <w:left w:val="single" w:sz="4" w:space="0" w:color="auto"/>
              <w:bottom w:val="single" w:sz="4" w:space="0" w:color="auto"/>
              <w:right w:val="single" w:sz="4" w:space="0" w:color="auto"/>
            </w:tcBorders>
            <w:shd w:val="clear" w:color="auto" w:fill="auto"/>
          </w:tcPr>
          <w:p w:rsidR="00065B40" w:rsidRPr="00470AD4" w:rsidRDefault="00065B40" w:rsidP="00CB2FBB">
            <w:pPr>
              <w:pStyle w:val="Tabletext"/>
            </w:pPr>
            <w:r w:rsidRPr="00470AD4">
              <w:t>Molecular diffusion</w:t>
            </w:r>
          </w:p>
        </w:tc>
        <w:tc>
          <w:tcPr>
            <w:tcW w:w="6804" w:type="dxa"/>
            <w:tcBorders>
              <w:top w:val="single" w:sz="4" w:space="0" w:color="auto"/>
              <w:left w:val="nil"/>
              <w:bottom w:val="single" w:sz="4" w:space="0" w:color="auto"/>
              <w:right w:val="single" w:sz="4" w:space="0" w:color="auto"/>
            </w:tcBorders>
            <w:shd w:val="clear" w:color="auto" w:fill="auto"/>
            <w:vAlign w:val="center"/>
          </w:tcPr>
          <w:p w:rsidR="00F412F7" w:rsidRPr="00470AD4" w:rsidRDefault="00F412F7" w:rsidP="00CB2FBB">
            <w:pPr>
              <w:pStyle w:val="Tabletext"/>
            </w:pPr>
            <w:r w:rsidRPr="00470AD4">
              <w:t>The process whereby solutes are transported at the microscopic level due to variations in the solute concentrations within the fluid phases.</w:t>
            </w:r>
          </w:p>
        </w:tc>
      </w:tr>
      <w:tr w:rsidR="003B1829" w:rsidRPr="00470AD4" w:rsidTr="007269F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300"/>
        </w:trPr>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3B1829" w:rsidRPr="00470AD4" w:rsidRDefault="003B1829" w:rsidP="00CB2FBB">
            <w:pPr>
              <w:pStyle w:val="Tabletext"/>
            </w:pPr>
            <w:r w:rsidRPr="00470AD4">
              <w:t>Overburden</w:t>
            </w:r>
          </w:p>
        </w:tc>
        <w:tc>
          <w:tcPr>
            <w:tcW w:w="6804" w:type="dxa"/>
            <w:tcBorders>
              <w:top w:val="single" w:sz="4" w:space="0" w:color="auto"/>
              <w:left w:val="nil"/>
              <w:bottom w:val="single" w:sz="4" w:space="0" w:color="auto"/>
              <w:right w:val="single" w:sz="4" w:space="0" w:color="auto"/>
            </w:tcBorders>
            <w:shd w:val="clear" w:color="auto" w:fill="auto"/>
            <w:vAlign w:val="center"/>
            <w:hideMark/>
          </w:tcPr>
          <w:p w:rsidR="003B1829" w:rsidRPr="00470AD4" w:rsidRDefault="003B1829" w:rsidP="00CB2FBB">
            <w:pPr>
              <w:pStyle w:val="Tabletext"/>
            </w:pPr>
            <w:r w:rsidRPr="00470AD4">
              <w:t>Material of any nature, consolidated or unconsolidated, that overlies a deposit of useful materials such as ores or coal, especially those deposits that are mined from the surface by open-cut methods.</w:t>
            </w:r>
          </w:p>
        </w:tc>
      </w:tr>
      <w:tr w:rsidR="00C537C4" w:rsidRPr="00470AD4" w:rsidTr="007269F4">
        <w:tc>
          <w:tcPr>
            <w:tcW w:w="2268" w:type="dxa"/>
          </w:tcPr>
          <w:p w:rsidR="00C537C4" w:rsidRPr="00470AD4" w:rsidRDefault="00C537C4" w:rsidP="00CB2FBB">
            <w:pPr>
              <w:pStyle w:val="Tabletext"/>
            </w:pPr>
            <w:r w:rsidRPr="00470AD4">
              <w:t>Palaeozoic</w:t>
            </w:r>
          </w:p>
        </w:tc>
        <w:tc>
          <w:tcPr>
            <w:tcW w:w="6804" w:type="dxa"/>
          </w:tcPr>
          <w:p w:rsidR="00C537C4" w:rsidRPr="00470AD4" w:rsidRDefault="001F0464" w:rsidP="00CB2FBB">
            <w:pPr>
              <w:pStyle w:val="Tabletext"/>
            </w:pPr>
            <w:r w:rsidRPr="00470AD4">
              <w:t>An era of geologic time, 541 million to 252.2 million years ago.</w:t>
            </w:r>
          </w:p>
        </w:tc>
      </w:tr>
      <w:tr w:rsidR="00E461B1" w:rsidRPr="00470AD4" w:rsidTr="007269F4">
        <w:tc>
          <w:tcPr>
            <w:tcW w:w="2268" w:type="dxa"/>
          </w:tcPr>
          <w:p w:rsidR="00E461B1" w:rsidRPr="00470AD4" w:rsidRDefault="00E461B1" w:rsidP="00CB2FBB">
            <w:pPr>
              <w:pStyle w:val="Tabletext"/>
            </w:pPr>
            <w:r w:rsidRPr="00470AD4">
              <w:t>Peclet number</w:t>
            </w:r>
          </w:p>
        </w:tc>
        <w:tc>
          <w:tcPr>
            <w:tcW w:w="6804" w:type="dxa"/>
          </w:tcPr>
          <w:p w:rsidR="00E461B1" w:rsidRPr="00470AD4" w:rsidRDefault="00F412F7" w:rsidP="00CB2FBB">
            <w:pPr>
              <w:pStyle w:val="Tabletext"/>
            </w:pPr>
            <w:r w:rsidRPr="00470AD4">
              <w:t>A relationship between the advective and diffusive components of solute transport expressed as the ratio of the product of the average interstitial velocity, times the characteristic length, divided by the coefficient of molecular diffusion; small values indicate diffusion dominance, large values indicate advection dominance.</w:t>
            </w:r>
          </w:p>
        </w:tc>
      </w:tr>
      <w:tr w:rsidR="003B1829" w:rsidRPr="00470AD4" w:rsidTr="007269F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300"/>
        </w:trPr>
        <w:tc>
          <w:tcPr>
            <w:tcW w:w="2268" w:type="dxa"/>
            <w:tcBorders>
              <w:top w:val="nil"/>
              <w:left w:val="single" w:sz="4" w:space="0" w:color="auto"/>
              <w:bottom w:val="single" w:sz="4" w:space="0" w:color="auto"/>
              <w:right w:val="single" w:sz="4" w:space="0" w:color="auto"/>
            </w:tcBorders>
            <w:shd w:val="clear" w:color="auto" w:fill="auto"/>
            <w:hideMark/>
          </w:tcPr>
          <w:p w:rsidR="003B1829" w:rsidRPr="00470AD4" w:rsidRDefault="003B1829" w:rsidP="00CB2FBB">
            <w:pPr>
              <w:pStyle w:val="Tabletext"/>
            </w:pPr>
            <w:r w:rsidRPr="00470AD4">
              <w:t>Permeability</w:t>
            </w:r>
          </w:p>
        </w:tc>
        <w:tc>
          <w:tcPr>
            <w:tcW w:w="6804" w:type="dxa"/>
            <w:tcBorders>
              <w:top w:val="single" w:sz="4" w:space="0" w:color="auto"/>
              <w:left w:val="nil"/>
              <w:bottom w:val="single" w:sz="4" w:space="0" w:color="auto"/>
              <w:right w:val="single" w:sz="4" w:space="0" w:color="auto"/>
            </w:tcBorders>
            <w:shd w:val="clear" w:color="auto" w:fill="auto"/>
            <w:vAlign w:val="center"/>
            <w:hideMark/>
          </w:tcPr>
          <w:p w:rsidR="003B1829" w:rsidRPr="00470AD4" w:rsidRDefault="003B1829" w:rsidP="00CB2FBB">
            <w:pPr>
              <w:pStyle w:val="Tabletext"/>
            </w:pPr>
            <w:r w:rsidRPr="00470AD4">
              <w:t xml:space="preserve">The measure of the ability of a rock, soil or sediment to yield or transmit a fluid. The magnitude of permeability depends largely on the porosity and the interconnectivity of pores and spaces in the ground. </w:t>
            </w:r>
          </w:p>
        </w:tc>
      </w:tr>
      <w:tr w:rsidR="00E95593" w:rsidRPr="00470AD4" w:rsidTr="007269F4">
        <w:tc>
          <w:tcPr>
            <w:tcW w:w="2268" w:type="dxa"/>
          </w:tcPr>
          <w:p w:rsidR="00E95593" w:rsidRPr="00470AD4" w:rsidRDefault="00E95593" w:rsidP="00CB2FBB">
            <w:pPr>
              <w:pStyle w:val="Tabletext"/>
            </w:pPr>
            <w:r w:rsidRPr="00470AD4">
              <w:t>Permeate</w:t>
            </w:r>
          </w:p>
        </w:tc>
        <w:tc>
          <w:tcPr>
            <w:tcW w:w="6804" w:type="dxa"/>
          </w:tcPr>
          <w:p w:rsidR="00E95593" w:rsidRPr="00470AD4" w:rsidRDefault="00E95593" w:rsidP="00CB2FBB">
            <w:pPr>
              <w:pStyle w:val="Tabletext"/>
            </w:pPr>
            <w:r w:rsidRPr="00470AD4">
              <w:t>To spread or flow throughout.</w:t>
            </w:r>
          </w:p>
        </w:tc>
      </w:tr>
      <w:tr w:rsidR="003B42BA" w:rsidRPr="00470AD4" w:rsidTr="007269F4">
        <w:tc>
          <w:tcPr>
            <w:tcW w:w="2268" w:type="dxa"/>
          </w:tcPr>
          <w:p w:rsidR="003B42BA" w:rsidRPr="00470AD4" w:rsidRDefault="00792A5A" w:rsidP="00CB2FBB">
            <w:pPr>
              <w:pStyle w:val="Tabletext"/>
            </w:pPr>
            <w:r w:rsidRPr="00470AD4">
              <w:t>Permien</w:t>
            </w:r>
          </w:p>
        </w:tc>
        <w:tc>
          <w:tcPr>
            <w:tcW w:w="6804" w:type="dxa"/>
          </w:tcPr>
          <w:p w:rsidR="003B42BA" w:rsidRPr="00470AD4" w:rsidRDefault="001F0464" w:rsidP="00CB2FBB">
            <w:pPr>
              <w:pStyle w:val="Tabletext"/>
            </w:pPr>
            <w:r w:rsidRPr="00470AD4">
              <w:t>The period of geologic time, 298.9 million to 252.2 million years ago.</w:t>
            </w:r>
          </w:p>
        </w:tc>
      </w:tr>
      <w:tr w:rsidR="00F927A1" w:rsidRPr="00470AD4" w:rsidTr="007269F4">
        <w:tc>
          <w:tcPr>
            <w:tcW w:w="2268" w:type="dxa"/>
          </w:tcPr>
          <w:p w:rsidR="00F927A1" w:rsidRPr="00470AD4" w:rsidRDefault="00F927A1" w:rsidP="00CB2FBB">
            <w:pPr>
              <w:pStyle w:val="Tabletext"/>
            </w:pPr>
            <w:r w:rsidRPr="00470AD4">
              <w:t>Perturbation</w:t>
            </w:r>
          </w:p>
        </w:tc>
        <w:tc>
          <w:tcPr>
            <w:tcW w:w="6804" w:type="dxa"/>
          </w:tcPr>
          <w:p w:rsidR="00F927A1" w:rsidRPr="00470AD4" w:rsidRDefault="00E35903" w:rsidP="00CB2FBB">
            <w:pPr>
              <w:pStyle w:val="Tabletext"/>
            </w:pPr>
            <w:r w:rsidRPr="00470AD4">
              <w:t>C</w:t>
            </w:r>
            <w:r w:rsidR="009B432B" w:rsidRPr="00470AD4">
              <w:t>hanges in the nature of alluvial deposits over time</w:t>
            </w:r>
            <w:r w:rsidRPr="00470AD4">
              <w:t>.</w:t>
            </w:r>
          </w:p>
        </w:tc>
      </w:tr>
      <w:tr w:rsidR="00695B43" w:rsidRPr="00470AD4" w:rsidTr="007269F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300"/>
        </w:trPr>
        <w:tc>
          <w:tcPr>
            <w:tcW w:w="2268" w:type="dxa"/>
            <w:tcBorders>
              <w:top w:val="nil"/>
              <w:left w:val="single" w:sz="4" w:space="0" w:color="auto"/>
              <w:bottom w:val="single" w:sz="4" w:space="0" w:color="auto"/>
              <w:right w:val="single" w:sz="4" w:space="0" w:color="auto"/>
            </w:tcBorders>
            <w:shd w:val="clear" w:color="auto" w:fill="auto"/>
          </w:tcPr>
          <w:p w:rsidR="00695B43" w:rsidRPr="00470AD4" w:rsidRDefault="008A37A3" w:rsidP="00CB2FBB">
            <w:pPr>
              <w:pStyle w:val="Tabletext"/>
            </w:pPr>
            <w:r w:rsidRPr="00470AD4">
              <w:t>Phreatic</w:t>
            </w:r>
          </w:p>
        </w:tc>
        <w:tc>
          <w:tcPr>
            <w:tcW w:w="6804" w:type="dxa"/>
            <w:tcBorders>
              <w:top w:val="single" w:sz="4" w:space="0" w:color="auto"/>
              <w:left w:val="nil"/>
              <w:bottom w:val="single" w:sz="4" w:space="0" w:color="auto"/>
              <w:right w:val="single" w:sz="4" w:space="0" w:color="auto"/>
            </w:tcBorders>
            <w:shd w:val="clear" w:color="auto" w:fill="auto"/>
          </w:tcPr>
          <w:p w:rsidR="00695B43" w:rsidRPr="00470AD4" w:rsidRDefault="008A37A3" w:rsidP="00CB2FBB">
            <w:pPr>
              <w:pStyle w:val="Tabletext"/>
            </w:pPr>
            <w:r w:rsidRPr="00470AD4">
              <w:t>Matters relating to groundwater.</w:t>
            </w:r>
          </w:p>
        </w:tc>
      </w:tr>
      <w:tr w:rsidR="00E94250" w:rsidRPr="00470AD4" w:rsidTr="007269F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300"/>
        </w:trPr>
        <w:tc>
          <w:tcPr>
            <w:tcW w:w="2268" w:type="dxa"/>
            <w:tcBorders>
              <w:top w:val="nil"/>
              <w:left w:val="single" w:sz="4" w:space="0" w:color="auto"/>
              <w:bottom w:val="single" w:sz="4" w:space="0" w:color="auto"/>
              <w:right w:val="single" w:sz="4" w:space="0" w:color="auto"/>
            </w:tcBorders>
            <w:shd w:val="clear" w:color="auto" w:fill="auto"/>
          </w:tcPr>
          <w:p w:rsidR="00E94250" w:rsidRPr="00470AD4" w:rsidRDefault="00E94250" w:rsidP="00CB2FBB">
            <w:pPr>
              <w:pStyle w:val="Tabletext"/>
            </w:pPr>
            <w:r w:rsidRPr="00470AD4">
              <w:t>Physico-chemical parameters</w:t>
            </w:r>
          </w:p>
        </w:tc>
        <w:tc>
          <w:tcPr>
            <w:tcW w:w="6804" w:type="dxa"/>
            <w:tcBorders>
              <w:top w:val="single" w:sz="4" w:space="0" w:color="auto"/>
              <w:left w:val="nil"/>
              <w:bottom w:val="single" w:sz="4" w:space="0" w:color="auto"/>
              <w:right w:val="single" w:sz="4" w:space="0" w:color="auto"/>
            </w:tcBorders>
            <w:shd w:val="clear" w:color="auto" w:fill="auto"/>
          </w:tcPr>
          <w:p w:rsidR="00E94250" w:rsidRPr="00470AD4" w:rsidRDefault="008A37A3" w:rsidP="00CB2FBB">
            <w:pPr>
              <w:pStyle w:val="Tabletext"/>
            </w:pPr>
            <w:r w:rsidRPr="00470AD4">
              <w:t>Relating to both physical and chemical characteristics.</w:t>
            </w:r>
          </w:p>
        </w:tc>
      </w:tr>
      <w:tr w:rsidR="003B1829" w:rsidRPr="00470AD4" w:rsidTr="007269F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300"/>
        </w:trPr>
        <w:tc>
          <w:tcPr>
            <w:tcW w:w="2268" w:type="dxa"/>
            <w:tcBorders>
              <w:top w:val="nil"/>
              <w:left w:val="single" w:sz="4" w:space="0" w:color="auto"/>
              <w:bottom w:val="single" w:sz="4" w:space="0" w:color="auto"/>
              <w:right w:val="single" w:sz="4" w:space="0" w:color="auto"/>
            </w:tcBorders>
            <w:shd w:val="clear" w:color="auto" w:fill="auto"/>
            <w:hideMark/>
          </w:tcPr>
          <w:p w:rsidR="003B1829" w:rsidRPr="00470AD4" w:rsidRDefault="003B1829" w:rsidP="00CB2FBB">
            <w:pPr>
              <w:pStyle w:val="Tabletext"/>
            </w:pPr>
            <w:r w:rsidRPr="00470AD4">
              <w:t>Pore-fluid pressure/pore pressure</w:t>
            </w:r>
          </w:p>
        </w:tc>
        <w:tc>
          <w:tcPr>
            <w:tcW w:w="6804" w:type="dxa"/>
            <w:tcBorders>
              <w:top w:val="single" w:sz="4" w:space="0" w:color="auto"/>
              <w:left w:val="nil"/>
              <w:bottom w:val="single" w:sz="4" w:space="0" w:color="auto"/>
              <w:right w:val="single" w:sz="4" w:space="0" w:color="auto"/>
            </w:tcBorders>
            <w:shd w:val="clear" w:color="auto" w:fill="auto"/>
            <w:hideMark/>
          </w:tcPr>
          <w:p w:rsidR="003B1829" w:rsidRPr="00470AD4" w:rsidRDefault="003B1829" w:rsidP="00CB2FBB">
            <w:pPr>
              <w:pStyle w:val="Tabletext"/>
            </w:pPr>
            <w:r w:rsidRPr="00470AD4">
              <w:t>See Hydraulic Pressure.</w:t>
            </w:r>
          </w:p>
        </w:tc>
      </w:tr>
      <w:tr w:rsidR="003B1829" w:rsidRPr="00470AD4" w:rsidTr="007269F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300"/>
        </w:trPr>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3B1829" w:rsidRPr="00470AD4" w:rsidRDefault="003B1829" w:rsidP="00CB2FBB">
            <w:pPr>
              <w:pStyle w:val="Tabletext"/>
            </w:pPr>
            <w:r w:rsidRPr="00470AD4">
              <w:t>Porosity</w:t>
            </w:r>
          </w:p>
        </w:tc>
        <w:tc>
          <w:tcPr>
            <w:tcW w:w="6804" w:type="dxa"/>
            <w:tcBorders>
              <w:top w:val="single" w:sz="4" w:space="0" w:color="auto"/>
              <w:left w:val="nil"/>
              <w:bottom w:val="single" w:sz="4" w:space="0" w:color="auto"/>
              <w:right w:val="single" w:sz="4" w:space="0" w:color="auto"/>
            </w:tcBorders>
            <w:shd w:val="clear" w:color="auto" w:fill="auto"/>
            <w:vAlign w:val="center"/>
            <w:hideMark/>
          </w:tcPr>
          <w:p w:rsidR="003B1829" w:rsidRPr="00470AD4" w:rsidRDefault="003B1829" w:rsidP="00CB2FBB">
            <w:pPr>
              <w:pStyle w:val="Tabletext"/>
            </w:pPr>
            <w:r w:rsidRPr="00470AD4">
              <w:t xml:space="preserve">The proportion of the volume of rock consisting of pores, usually expressed as a percentage of the total rock or soil mass. </w:t>
            </w:r>
          </w:p>
        </w:tc>
      </w:tr>
      <w:tr w:rsidR="002565B6" w:rsidRPr="00470AD4" w:rsidTr="007269F4">
        <w:tc>
          <w:tcPr>
            <w:tcW w:w="2268" w:type="dxa"/>
          </w:tcPr>
          <w:p w:rsidR="002565B6" w:rsidRPr="00470AD4" w:rsidRDefault="002565B6" w:rsidP="00CB2FBB">
            <w:pPr>
              <w:pStyle w:val="Tabletext"/>
            </w:pPr>
            <w:r w:rsidRPr="00470AD4">
              <w:t>Potentiometric surface</w:t>
            </w:r>
          </w:p>
        </w:tc>
        <w:tc>
          <w:tcPr>
            <w:tcW w:w="6804" w:type="dxa"/>
          </w:tcPr>
          <w:p w:rsidR="00F412F7" w:rsidRPr="00470AD4" w:rsidRDefault="00F412F7" w:rsidP="00CB2FBB">
            <w:pPr>
              <w:pStyle w:val="Tabletext"/>
            </w:pPr>
            <w:r w:rsidRPr="00470AD4">
              <w:t>An imaginary surface representing the static head of groundwater and defined by the level to which water will rise in a tightly cased well.</w:t>
            </w:r>
          </w:p>
        </w:tc>
      </w:tr>
      <w:tr w:rsidR="003B1829" w:rsidRPr="00470AD4" w:rsidTr="007269F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300"/>
        </w:trPr>
        <w:tc>
          <w:tcPr>
            <w:tcW w:w="2268" w:type="dxa"/>
            <w:tcBorders>
              <w:top w:val="nil"/>
              <w:left w:val="single" w:sz="4" w:space="0" w:color="auto"/>
              <w:bottom w:val="single" w:sz="4" w:space="0" w:color="auto"/>
              <w:right w:val="single" w:sz="4" w:space="0" w:color="auto"/>
            </w:tcBorders>
            <w:shd w:val="clear" w:color="auto" w:fill="auto"/>
            <w:hideMark/>
          </w:tcPr>
          <w:p w:rsidR="003B1829" w:rsidRPr="00470AD4" w:rsidRDefault="003B1829" w:rsidP="00CB2FBB">
            <w:pPr>
              <w:pStyle w:val="Tabletext"/>
            </w:pPr>
            <w:r w:rsidRPr="00470AD4">
              <w:t>Production well</w:t>
            </w:r>
          </w:p>
        </w:tc>
        <w:tc>
          <w:tcPr>
            <w:tcW w:w="6804" w:type="dxa"/>
            <w:tcBorders>
              <w:top w:val="single" w:sz="4" w:space="0" w:color="auto"/>
              <w:left w:val="nil"/>
              <w:bottom w:val="single" w:sz="4" w:space="0" w:color="auto"/>
              <w:right w:val="single" w:sz="4" w:space="0" w:color="auto"/>
            </w:tcBorders>
            <w:shd w:val="clear" w:color="auto" w:fill="auto"/>
            <w:vAlign w:val="center"/>
            <w:hideMark/>
          </w:tcPr>
          <w:p w:rsidR="003B1829" w:rsidRPr="00470AD4" w:rsidRDefault="003B1829" w:rsidP="00CB2FBB">
            <w:pPr>
              <w:pStyle w:val="Tabletext"/>
            </w:pPr>
            <w:r w:rsidRPr="00470AD4">
              <w:t>A well drilled to produce oil or gas.</w:t>
            </w:r>
          </w:p>
        </w:tc>
      </w:tr>
      <w:tr w:rsidR="003B1829" w:rsidRPr="00470AD4" w:rsidTr="007269F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300"/>
        </w:trPr>
        <w:tc>
          <w:tcPr>
            <w:tcW w:w="2268" w:type="dxa"/>
            <w:tcBorders>
              <w:top w:val="nil"/>
              <w:left w:val="single" w:sz="4" w:space="0" w:color="auto"/>
              <w:bottom w:val="single" w:sz="4" w:space="0" w:color="auto"/>
              <w:right w:val="single" w:sz="4" w:space="0" w:color="auto"/>
            </w:tcBorders>
            <w:shd w:val="clear" w:color="auto" w:fill="auto"/>
          </w:tcPr>
          <w:p w:rsidR="003B1829" w:rsidRPr="00470AD4" w:rsidRDefault="003B1829" w:rsidP="00CB2FBB">
            <w:pPr>
              <w:pStyle w:val="Tabletext"/>
            </w:pPr>
            <w:r w:rsidRPr="00470AD4">
              <w:t>Proppant</w:t>
            </w:r>
          </w:p>
          <w:p w:rsidR="003B1829" w:rsidRPr="00470AD4" w:rsidRDefault="003B1829" w:rsidP="00CB2FBB">
            <w:pPr>
              <w:pStyle w:val="Tabletext"/>
            </w:pPr>
          </w:p>
        </w:tc>
        <w:tc>
          <w:tcPr>
            <w:tcW w:w="6804" w:type="dxa"/>
            <w:tcBorders>
              <w:top w:val="single" w:sz="4" w:space="0" w:color="auto"/>
              <w:left w:val="nil"/>
              <w:bottom w:val="single" w:sz="4" w:space="0" w:color="auto"/>
              <w:right w:val="single" w:sz="4" w:space="0" w:color="auto"/>
            </w:tcBorders>
            <w:shd w:val="clear" w:color="auto" w:fill="auto"/>
            <w:vAlign w:val="center"/>
          </w:tcPr>
          <w:p w:rsidR="003B1829" w:rsidRPr="00470AD4" w:rsidRDefault="003B1829" w:rsidP="00CB2FBB">
            <w:pPr>
              <w:pStyle w:val="Tabletext"/>
            </w:pPr>
            <w:r w:rsidRPr="00470AD4">
              <w:t>A solid material, typically treated sand or man-made ceramic materials, designed to keep an induced hydraulic fracture open, during or following a fracturing treatment.</w:t>
            </w:r>
          </w:p>
        </w:tc>
      </w:tr>
      <w:tr w:rsidR="00792A5A" w:rsidRPr="00470AD4" w:rsidTr="007269F4">
        <w:tc>
          <w:tcPr>
            <w:tcW w:w="2268" w:type="dxa"/>
          </w:tcPr>
          <w:p w:rsidR="00792A5A" w:rsidRPr="00470AD4" w:rsidRDefault="00792A5A" w:rsidP="00CB2FBB">
            <w:pPr>
              <w:pStyle w:val="Tabletext"/>
            </w:pPr>
            <w:r w:rsidRPr="00470AD4">
              <w:t>Quaternary</w:t>
            </w:r>
          </w:p>
        </w:tc>
        <w:tc>
          <w:tcPr>
            <w:tcW w:w="6804" w:type="dxa"/>
          </w:tcPr>
          <w:p w:rsidR="00792A5A" w:rsidRPr="00470AD4" w:rsidRDefault="00953177" w:rsidP="00CB2FBB">
            <w:pPr>
              <w:pStyle w:val="Tabletext"/>
            </w:pPr>
            <w:r w:rsidRPr="00470AD4">
              <w:t>The period of geologic time, 2</w:t>
            </w:r>
            <w:r w:rsidR="001F0464" w:rsidRPr="00470AD4">
              <w:t>.500</w:t>
            </w:r>
            <w:r w:rsidRPr="00470AD4">
              <w:t xml:space="preserve"> million to </w:t>
            </w:r>
            <w:r w:rsidR="001F0464" w:rsidRPr="00470AD4">
              <w:t>zero</w:t>
            </w:r>
            <w:r w:rsidRPr="00470AD4">
              <w:t xml:space="preserve"> million years ago.</w:t>
            </w:r>
          </w:p>
        </w:tc>
      </w:tr>
      <w:tr w:rsidR="004E179A" w:rsidRPr="00470AD4" w:rsidTr="007269F4">
        <w:tc>
          <w:tcPr>
            <w:tcW w:w="2268" w:type="dxa"/>
          </w:tcPr>
          <w:p w:rsidR="004E179A" w:rsidRPr="00470AD4" w:rsidRDefault="004E179A" w:rsidP="00CB2FBB">
            <w:pPr>
              <w:pStyle w:val="Tabletext"/>
            </w:pPr>
            <w:r w:rsidRPr="00470AD4">
              <w:t>Radiometrics</w:t>
            </w:r>
          </w:p>
        </w:tc>
        <w:tc>
          <w:tcPr>
            <w:tcW w:w="6804" w:type="dxa"/>
          </w:tcPr>
          <w:p w:rsidR="004E179A" w:rsidRPr="00470AD4" w:rsidRDefault="00F173FD" w:rsidP="00CB2FBB">
            <w:pPr>
              <w:pStyle w:val="Tabletext"/>
            </w:pPr>
            <w:r w:rsidRPr="00470AD4">
              <w:t>A measure of the natural radiation in the earth’s surface, which can tell us about the distribution of certain soils and rocks.</w:t>
            </w:r>
          </w:p>
        </w:tc>
      </w:tr>
      <w:tr w:rsidR="003B1829" w:rsidRPr="00470AD4" w:rsidTr="007269F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300"/>
        </w:trPr>
        <w:tc>
          <w:tcPr>
            <w:tcW w:w="2268" w:type="dxa"/>
            <w:tcBorders>
              <w:top w:val="nil"/>
              <w:left w:val="single" w:sz="4" w:space="0" w:color="auto"/>
              <w:bottom w:val="single" w:sz="4" w:space="0" w:color="auto"/>
              <w:right w:val="single" w:sz="4" w:space="0" w:color="auto"/>
            </w:tcBorders>
            <w:shd w:val="clear" w:color="auto" w:fill="auto"/>
            <w:hideMark/>
          </w:tcPr>
          <w:p w:rsidR="003B1829" w:rsidRPr="00470AD4" w:rsidRDefault="003B1829" w:rsidP="00CB2FBB">
            <w:pPr>
              <w:pStyle w:val="Tabletext"/>
            </w:pPr>
            <w:r w:rsidRPr="00470AD4">
              <w:t>Reinjection bores</w:t>
            </w:r>
          </w:p>
        </w:tc>
        <w:tc>
          <w:tcPr>
            <w:tcW w:w="6804" w:type="dxa"/>
            <w:tcBorders>
              <w:top w:val="nil"/>
              <w:left w:val="nil"/>
              <w:bottom w:val="single" w:sz="4" w:space="0" w:color="auto"/>
              <w:right w:val="single" w:sz="4" w:space="0" w:color="auto"/>
            </w:tcBorders>
            <w:shd w:val="clear" w:color="auto" w:fill="auto"/>
            <w:vAlign w:val="center"/>
            <w:hideMark/>
          </w:tcPr>
          <w:p w:rsidR="003B1829" w:rsidRPr="00470AD4" w:rsidRDefault="003B1829" w:rsidP="00CB2FBB">
            <w:pPr>
              <w:pStyle w:val="Tabletext"/>
            </w:pPr>
            <w:r w:rsidRPr="00470AD4">
              <w:t>See Groundwater injection bores.</w:t>
            </w:r>
          </w:p>
        </w:tc>
      </w:tr>
      <w:tr w:rsidR="003B4FEB" w:rsidRPr="00470AD4" w:rsidTr="007269F4">
        <w:tc>
          <w:tcPr>
            <w:tcW w:w="2268" w:type="dxa"/>
          </w:tcPr>
          <w:p w:rsidR="003B4FEB" w:rsidRPr="00470AD4" w:rsidRDefault="003B4FEB" w:rsidP="00CB2FBB">
            <w:pPr>
              <w:pStyle w:val="Tabletext"/>
            </w:pPr>
            <w:r w:rsidRPr="00470AD4">
              <w:t>Retardation</w:t>
            </w:r>
          </w:p>
        </w:tc>
        <w:tc>
          <w:tcPr>
            <w:tcW w:w="6804" w:type="dxa"/>
          </w:tcPr>
          <w:p w:rsidR="003B4FEB" w:rsidRPr="00470AD4" w:rsidRDefault="003B4FEB" w:rsidP="00CB2FBB">
            <w:pPr>
              <w:pStyle w:val="Tabletext"/>
            </w:pPr>
            <w:r w:rsidRPr="00470AD4">
              <w:t>Retardation is a general term for processes that cause the solute front to move slower than the advective flow velocity. This can be caused by sorption, when ions or charged molecules become bound to the surface of aquifer or aquitard minerals, or reversible chemical reaction, or diffusion of solutes into pores that do not contribute to flow (adsorption).</w:t>
            </w:r>
          </w:p>
        </w:tc>
      </w:tr>
      <w:tr w:rsidR="002565B6" w:rsidRPr="00470AD4" w:rsidTr="007269F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300"/>
        </w:trPr>
        <w:tc>
          <w:tcPr>
            <w:tcW w:w="2268" w:type="dxa"/>
            <w:tcBorders>
              <w:top w:val="single" w:sz="4" w:space="0" w:color="auto"/>
              <w:left w:val="single" w:sz="4" w:space="0" w:color="auto"/>
              <w:bottom w:val="single" w:sz="4" w:space="0" w:color="auto"/>
              <w:right w:val="single" w:sz="4" w:space="0" w:color="auto"/>
            </w:tcBorders>
            <w:shd w:val="clear" w:color="auto" w:fill="auto"/>
          </w:tcPr>
          <w:p w:rsidR="002565B6" w:rsidRPr="00470AD4" w:rsidRDefault="002565B6" w:rsidP="00CB2FBB">
            <w:pPr>
              <w:pStyle w:val="Tabletext"/>
            </w:pPr>
            <w:r w:rsidRPr="00470AD4">
              <w:lastRenderedPageBreak/>
              <w:t>Saturated zone</w:t>
            </w:r>
          </w:p>
        </w:tc>
        <w:tc>
          <w:tcPr>
            <w:tcW w:w="6804" w:type="dxa"/>
            <w:tcBorders>
              <w:top w:val="single" w:sz="4" w:space="0" w:color="auto"/>
              <w:left w:val="nil"/>
              <w:bottom w:val="single" w:sz="4" w:space="0" w:color="auto"/>
              <w:right w:val="single" w:sz="4" w:space="0" w:color="auto"/>
            </w:tcBorders>
            <w:shd w:val="clear" w:color="auto" w:fill="auto"/>
            <w:vAlign w:val="center"/>
          </w:tcPr>
          <w:p w:rsidR="002565B6" w:rsidRPr="00470AD4" w:rsidRDefault="00F412F7" w:rsidP="00CB2FBB">
            <w:pPr>
              <w:pStyle w:val="Tabletext"/>
            </w:pPr>
            <w:r w:rsidRPr="00470AD4">
              <w:t>That part of the earth's crust beneath the regional water table in which all voids, large and small, are filled with water under pressure greater than atmospheric.</w:t>
            </w:r>
          </w:p>
        </w:tc>
      </w:tr>
      <w:tr w:rsidR="003B1829" w:rsidRPr="00470AD4" w:rsidTr="007269F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300"/>
        </w:trPr>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3B1829" w:rsidRPr="00470AD4" w:rsidRDefault="003B1829" w:rsidP="00CB2FBB">
            <w:pPr>
              <w:pStyle w:val="Tabletext"/>
            </w:pPr>
            <w:r w:rsidRPr="00470AD4">
              <w:t>Screen</w:t>
            </w:r>
          </w:p>
        </w:tc>
        <w:tc>
          <w:tcPr>
            <w:tcW w:w="6804" w:type="dxa"/>
            <w:tcBorders>
              <w:top w:val="single" w:sz="4" w:space="0" w:color="auto"/>
              <w:left w:val="nil"/>
              <w:bottom w:val="single" w:sz="4" w:space="0" w:color="auto"/>
              <w:right w:val="single" w:sz="4" w:space="0" w:color="auto"/>
            </w:tcBorders>
            <w:shd w:val="clear" w:color="auto" w:fill="auto"/>
            <w:vAlign w:val="center"/>
            <w:hideMark/>
          </w:tcPr>
          <w:p w:rsidR="003B1829" w:rsidRPr="00470AD4" w:rsidRDefault="003B1829" w:rsidP="00CB2FBB">
            <w:pPr>
              <w:pStyle w:val="Tabletext"/>
            </w:pPr>
            <w:r w:rsidRPr="00470AD4">
              <w:t>The intake portion of a bore, which contains an open area to permit the inflow of groundwater at a particular depth interval, whilst preventing sediment from entering with the water.</w:t>
            </w:r>
          </w:p>
        </w:tc>
      </w:tr>
      <w:tr w:rsidR="002565B6" w:rsidRPr="00470AD4" w:rsidTr="007269F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300"/>
        </w:trPr>
        <w:tc>
          <w:tcPr>
            <w:tcW w:w="2268" w:type="dxa"/>
            <w:tcBorders>
              <w:top w:val="nil"/>
              <w:left w:val="single" w:sz="4" w:space="0" w:color="auto"/>
              <w:bottom w:val="single" w:sz="4" w:space="0" w:color="auto"/>
              <w:right w:val="single" w:sz="4" w:space="0" w:color="auto"/>
            </w:tcBorders>
            <w:shd w:val="clear" w:color="auto" w:fill="auto"/>
          </w:tcPr>
          <w:p w:rsidR="002565B6" w:rsidRPr="00470AD4" w:rsidRDefault="002565B6" w:rsidP="00CB2FBB">
            <w:pPr>
              <w:pStyle w:val="Tabletext"/>
            </w:pPr>
            <w:r w:rsidRPr="00470AD4">
              <w:t>Sediment</w:t>
            </w:r>
          </w:p>
        </w:tc>
        <w:tc>
          <w:tcPr>
            <w:tcW w:w="6804" w:type="dxa"/>
            <w:tcBorders>
              <w:top w:val="single" w:sz="4" w:space="0" w:color="auto"/>
              <w:left w:val="nil"/>
              <w:bottom w:val="single" w:sz="4" w:space="0" w:color="auto"/>
              <w:right w:val="single" w:sz="4" w:space="0" w:color="auto"/>
            </w:tcBorders>
            <w:shd w:val="clear" w:color="auto" w:fill="auto"/>
            <w:vAlign w:val="center"/>
          </w:tcPr>
          <w:p w:rsidR="002565B6" w:rsidRPr="00470AD4" w:rsidRDefault="00C9305F" w:rsidP="00CB2FBB">
            <w:pPr>
              <w:pStyle w:val="Tabletext"/>
            </w:pPr>
            <w:r w:rsidRPr="00470AD4">
              <w:t>A naturally occurring material that is broken down by processes of weathering and erosion, and is subsequently transported by the action of wind, water, or ice and/or by the force of gravity acting on the particle itself.</w:t>
            </w:r>
          </w:p>
        </w:tc>
      </w:tr>
      <w:tr w:rsidR="003B1829" w:rsidRPr="00470AD4" w:rsidTr="007269F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300"/>
        </w:trPr>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3B1829" w:rsidRPr="00470AD4" w:rsidRDefault="003B1829" w:rsidP="00CB2FBB">
            <w:pPr>
              <w:pStyle w:val="Tabletext"/>
            </w:pPr>
            <w:r w:rsidRPr="00470AD4">
              <w:t>Shearing</w:t>
            </w:r>
          </w:p>
        </w:tc>
        <w:tc>
          <w:tcPr>
            <w:tcW w:w="6804" w:type="dxa"/>
            <w:tcBorders>
              <w:top w:val="single" w:sz="4" w:space="0" w:color="auto"/>
              <w:left w:val="nil"/>
              <w:bottom w:val="single" w:sz="4" w:space="0" w:color="auto"/>
              <w:right w:val="single" w:sz="4" w:space="0" w:color="auto"/>
            </w:tcBorders>
            <w:shd w:val="clear" w:color="auto" w:fill="auto"/>
            <w:vAlign w:val="center"/>
            <w:hideMark/>
          </w:tcPr>
          <w:p w:rsidR="003B1829" w:rsidRPr="00470AD4" w:rsidRDefault="003B1829" w:rsidP="00CB2FBB">
            <w:pPr>
              <w:pStyle w:val="Tabletext"/>
            </w:pPr>
            <w:r w:rsidRPr="00470AD4">
              <w:t>The relative, near horizontal or low angle movement between two sections of a rock stratum or a number of strata due to failure of the rock along a shear plane.</w:t>
            </w:r>
          </w:p>
        </w:tc>
      </w:tr>
      <w:tr w:rsidR="007D6DBF" w:rsidRPr="00470AD4" w:rsidTr="007269F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300"/>
        </w:trPr>
        <w:tc>
          <w:tcPr>
            <w:tcW w:w="2268" w:type="dxa"/>
            <w:tcBorders>
              <w:top w:val="single" w:sz="4" w:space="0" w:color="auto"/>
              <w:left w:val="single" w:sz="4" w:space="0" w:color="auto"/>
              <w:bottom w:val="single" w:sz="4" w:space="0" w:color="auto"/>
              <w:right w:val="single" w:sz="4" w:space="0" w:color="auto"/>
            </w:tcBorders>
            <w:shd w:val="clear" w:color="auto" w:fill="auto"/>
          </w:tcPr>
          <w:p w:rsidR="007D6DBF" w:rsidRPr="00470AD4" w:rsidRDefault="007D6DBF" w:rsidP="00CB2FBB">
            <w:pPr>
              <w:pStyle w:val="Tabletext"/>
            </w:pPr>
            <w:r w:rsidRPr="00470AD4">
              <w:t>Slug test</w:t>
            </w:r>
          </w:p>
        </w:tc>
        <w:tc>
          <w:tcPr>
            <w:tcW w:w="6804" w:type="dxa"/>
            <w:tcBorders>
              <w:top w:val="single" w:sz="4" w:space="0" w:color="auto"/>
              <w:left w:val="nil"/>
              <w:bottom w:val="single" w:sz="4" w:space="0" w:color="auto"/>
              <w:right w:val="single" w:sz="4" w:space="0" w:color="auto"/>
            </w:tcBorders>
            <w:shd w:val="clear" w:color="auto" w:fill="auto"/>
            <w:vAlign w:val="center"/>
          </w:tcPr>
          <w:p w:rsidR="007D6DBF" w:rsidRPr="00470AD4" w:rsidRDefault="00953177" w:rsidP="00CB2FBB">
            <w:pPr>
              <w:pStyle w:val="Tabletext"/>
            </w:pPr>
            <w:r w:rsidRPr="00470AD4">
              <w:t>A particular type of aquifer test where water is quickly added (i.e. slug test or falling head) or removed (i.e. bail test or rising head) from a groundwater well and the change in hydraulic head is monitored through time, to determine the near-well aquifer characteristics.</w:t>
            </w:r>
          </w:p>
        </w:tc>
      </w:tr>
      <w:tr w:rsidR="002D6A86" w:rsidRPr="00470AD4" w:rsidTr="007269F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300"/>
        </w:trPr>
        <w:tc>
          <w:tcPr>
            <w:tcW w:w="2268" w:type="dxa"/>
            <w:tcBorders>
              <w:top w:val="single" w:sz="4" w:space="0" w:color="auto"/>
              <w:left w:val="single" w:sz="4" w:space="0" w:color="auto"/>
              <w:bottom w:val="single" w:sz="4" w:space="0" w:color="auto"/>
              <w:right w:val="single" w:sz="4" w:space="0" w:color="auto"/>
            </w:tcBorders>
            <w:shd w:val="clear" w:color="auto" w:fill="auto"/>
          </w:tcPr>
          <w:p w:rsidR="002D6A86" w:rsidRPr="00470AD4" w:rsidRDefault="002D6A86" w:rsidP="00CB2FBB">
            <w:pPr>
              <w:pStyle w:val="Tabletext"/>
            </w:pPr>
            <w:r w:rsidRPr="00470AD4">
              <w:t>Solute</w:t>
            </w:r>
          </w:p>
        </w:tc>
        <w:tc>
          <w:tcPr>
            <w:tcW w:w="6804" w:type="dxa"/>
            <w:tcBorders>
              <w:top w:val="single" w:sz="4" w:space="0" w:color="auto"/>
              <w:left w:val="nil"/>
              <w:bottom w:val="single" w:sz="4" w:space="0" w:color="auto"/>
              <w:right w:val="single" w:sz="4" w:space="0" w:color="auto"/>
            </w:tcBorders>
            <w:shd w:val="clear" w:color="auto" w:fill="auto"/>
            <w:vAlign w:val="center"/>
          </w:tcPr>
          <w:p w:rsidR="002D6A86" w:rsidRPr="00470AD4" w:rsidRDefault="00F412F7" w:rsidP="00CB2FBB">
            <w:pPr>
              <w:pStyle w:val="Tabletext"/>
            </w:pPr>
            <w:r w:rsidRPr="00470AD4">
              <w:t>The substance present in a solution in the smaller amount. For convenience, water is generally considered the solvent even in concentrated solutions with water molecules in the minority.</w:t>
            </w:r>
          </w:p>
        </w:tc>
      </w:tr>
      <w:tr w:rsidR="003B1829" w:rsidRPr="00470AD4" w:rsidTr="007269F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300"/>
        </w:trPr>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3B1829" w:rsidRPr="00470AD4" w:rsidRDefault="003B1829" w:rsidP="00CB2FBB">
            <w:pPr>
              <w:pStyle w:val="Tabletext"/>
            </w:pPr>
            <w:r w:rsidRPr="00470AD4">
              <w:t>Specific storage</w:t>
            </w:r>
          </w:p>
        </w:tc>
        <w:tc>
          <w:tcPr>
            <w:tcW w:w="6804" w:type="dxa"/>
            <w:tcBorders>
              <w:top w:val="single" w:sz="4" w:space="0" w:color="auto"/>
              <w:left w:val="nil"/>
              <w:bottom w:val="single" w:sz="4" w:space="0" w:color="auto"/>
              <w:right w:val="single" w:sz="4" w:space="0" w:color="auto"/>
            </w:tcBorders>
            <w:shd w:val="clear" w:color="auto" w:fill="auto"/>
            <w:vAlign w:val="center"/>
            <w:hideMark/>
          </w:tcPr>
          <w:p w:rsidR="003B1829" w:rsidRPr="00470AD4" w:rsidRDefault="003B1829" w:rsidP="00CB2FBB">
            <w:pPr>
              <w:pStyle w:val="Tabletext"/>
            </w:pPr>
            <w:r w:rsidRPr="00470AD4">
              <w:t>The amount of water that a portion of an</w:t>
            </w:r>
            <w:r w:rsidRPr="00470AD4">
              <w:rPr>
                <w:rStyle w:val="apple-converted-space"/>
              </w:rPr>
              <w:t xml:space="preserve"> </w:t>
            </w:r>
            <w:hyperlink r:id="rId17" w:tooltip="Aquifer" w:history="1">
              <w:r w:rsidRPr="00470AD4">
                <w:rPr>
                  <w:rStyle w:val="Hyperlink"/>
                  <w:color w:val="000000"/>
                  <w:u w:val="none"/>
                </w:rPr>
                <w:t>aquifer</w:t>
              </w:r>
            </w:hyperlink>
            <w:r w:rsidRPr="00470AD4">
              <w:rPr>
                <w:rStyle w:val="apple-converted-space"/>
              </w:rPr>
              <w:t xml:space="preserve"> </w:t>
            </w:r>
            <w:r w:rsidRPr="00470AD4">
              <w:t>releases as a result of changes in the hydraulic head usually through pumping.</w:t>
            </w:r>
          </w:p>
        </w:tc>
      </w:tr>
      <w:tr w:rsidR="003B1829" w:rsidRPr="00470AD4" w:rsidTr="007269F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300"/>
        </w:trPr>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3B1829" w:rsidRPr="00470AD4" w:rsidRDefault="003B1829" w:rsidP="00CB2FBB">
            <w:pPr>
              <w:pStyle w:val="Tabletext"/>
            </w:pPr>
            <w:r w:rsidRPr="00470AD4">
              <w:t>Specific yield</w:t>
            </w:r>
          </w:p>
        </w:tc>
        <w:tc>
          <w:tcPr>
            <w:tcW w:w="6804" w:type="dxa"/>
            <w:tcBorders>
              <w:top w:val="single" w:sz="4" w:space="0" w:color="auto"/>
              <w:left w:val="nil"/>
              <w:bottom w:val="single" w:sz="4" w:space="0" w:color="auto"/>
              <w:right w:val="single" w:sz="4" w:space="0" w:color="auto"/>
            </w:tcBorders>
            <w:shd w:val="clear" w:color="auto" w:fill="auto"/>
            <w:vAlign w:val="center"/>
            <w:hideMark/>
          </w:tcPr>
          <w:p w:rsidR="003B1829" w:rsidRPr="00470AD4" w:rsidRDefault="003B1829" w:rsidP="00CB2FBB">
            <w:pPr>
              <w:pStyle w:val="Tabletext"/>
            </w:pPr>
            <w:r w:rsidRPr="00470AD4">
              <w:t xml:space="preserve">A ratio indicating the volume of water that an aquifer will yield when all the water is allowed to drain out of it under the forces of gravity. </w:t>
            </w:r>
          </w:p>
        </w:tc>
      </w:tr>
      <w:tr w:rsidR="003B1829" w:rsidRPr="00470AD4" w:rsidTr="007269F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300"/>
        </w:trPr>
        <w:tc>
          <w:tcPr>
            <w:tcW w:w="2268" w:type="dxa"/>
            <w:tcBorders>
              <w:top w:val="nil"/>
              <w:left w:val="single" w:sz="4" w:space="0" w:color="auto"/>
              <w:bottom w:val="single" w:sz="4" w:space="0" w:color="auto"/>
              <w:right w:val="single" w:sz="4" w:space="0" w:color="auto"/>
            </w:tcBorders>
            <w:shd w:val="clear" w:color="auto" w:fill="auto"/>
            <w:hideMark/>
          </w:tcPr>
          <w:p w:rsidR="003B1829" w:rsidRPr="00470AD4" w:rsidRDefault="003B1829" w:rsidP="00CB2FBB">
            <w:pPr>
              <w:pStyle w:val="Tabletext"/>
            </w:pPr>
            <w:r w:rsidRPr="00470AD4">
              <w:t>Storativity</w:t>
            </w:r>
          </w:p>
        </w:tc>
        <w:tc>
          <w:tcPr>
            <w:tcW w:w="6804" w:type="dxa"/>
            <w:tcBorders>
              <w:top w:val="single" w:sz="4" w:space="0" w:color="auto"/>
              <w:left w:val="nil"/>
              <w:bottom w:val="single" w:sz="4" w:space="0" w:color="auto"/>
              <w:right w:val="single" w:sz="4" w:space="0" w:color="auto"/>
            </w:tcBorders>
            <w:shd w:val="clear" w:color="auto" w:fill="auto"/>
            <w:vAlign w:val="center"/>
            <w:hideMark/>
          </w:tcPr>
          <w:p w:rsidR="003B1829" w:rsidRPr="00470AD4" w:rsidRDefault="003B1829" w:rsidP="00CB2FBB">
            <w:pPr>
              <w:pStyle w:val="Tabletext"/>
            </w:pPr>
            <w:r w:rsidRPr="00470AD4">
              <w:t>A dimensionless ratio that relates to the volume of water that is released per unit decline in pressure head for a defined vertical thickness of the formation.</w:t>
            </w:r>
          </w:p>
        </w:tc>
      </w:tr>
      <w:tr w:rsidR="006F0FDA" w:rsidRPr="00470AD4" w:rsidTr="007269F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480"/>
        </w:trPr>
        <w:tc>
          <w:tcPr>
            <w:tcW w:w="2268" w:type="dxa"/>
            <w:tcBorders>
              <w:top w:val="single" w:sz="4" w:space="0" w:color="auto"/>
              <w:left w:val="single" w:sz="4" w:space="0" w:color="auto"/>
              <w:bottom w:val="single" w:sz="4" w:space="0" w:color="auto"/>
              <w:right w:val="single" w:sz="4" w:space="0" w:color="auto"/>
            </w:tcBorders>
            <w:shd w:val="clear" w:color="auto" w:fill="auto"/>
          </w:tcPr>
          <w:p w:rsidR="006F0FDA" w:rsidRPr="00470AD4" w:rsidRDefault="006F0FDA" w:rsidP="00CB2FBB">
            <w:pPr>
              <w:pStyle w:val="Tabletext"/>
            </w:pPr>
            <w:r w:rsidRPr="00470AD4">
              <w:t>Stratigraphy</w:t>
            </w:r>
          </w:p>
        </w:tc>
        <w:tc>
          <w:tcPr>
            <w:tcW w:w="6804" w:type="dxa"/>
            <w:tcBorders>
              <w:top w:val="single" w:sz="4" w:space="0" w:color="auto"/>
              <w:left w:val="nil"/>
              <w:bottom w:val="single" w:sz="4" w:space="0" w:color="auto"/>
              <w:right w:val="single" w:sz="4" w:space="0" w:color="auto"/>
            </w:tcBorders>
            <w:shd w:val="clear" w:color="auto" w:fill="auto"/>
            <w:vAlign w:val="center"/>
          </w:tcPr>
          <w:p w:rsidR="006F0FDA" w:rsidRPr="00470AD4" w:rsidRDefault="00953177" w:rsidP="00CB2FBB">
            <w:pPr>
              <w:pStyle w:val="Tabletext"/>
            </w:pPr>
            <w:r w:rsidRPr="00470AD4">
              <w:t>A branch of geology which studies rock layers (strata) and layering (stratification).</w:t>
            </w:r>
          </w:p>
        </w:tc>
      </w:tr>
      <w:tr w:rsidR="00AA7BE8" w:rsidRPr="00470AD4" w:rsidTr="007269F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480"/>
        </w:trPr>
        <w:tc>
          <w:tcPr>
            <w:tcW w:w="2268" w:type="dxa"/>
            <w:tcBorders>
              <w:top w:val="single" w:sz="4" w:space="0" w:color="auto"/>
              <w:left w:val="single" w:sz="4" w:space="0" w:color="auto"/>
              <w:bottom w:val="single" w:sz="4" w:space="0" w:color="auto"/>
              <w:right w:val="single" w:sz="4" w:space="0" w:color="auto"/>
            </w:tcBorders>
            <w:shd w:val="clear" w:color="auto" w:fill="auto"/>
          </w:tcPr>
          <w:p w:rsidR="00AA7BE8" w:rsidRPr="00470AD4" w:rsidRDefault="00AA7BE8" w:rsidP="00CB2FBB">
            <w:pPr>
              <w:pStyle w:val="Tabletext"/>
            </w:pPr>
            <w:r w:rsidRPr="00470AD4">
              <w:t>Subduction</w:t>
            </w:r>
          </w:p>
        </w:tc>
        <w:tc>
          <w:tcPr>
            <w:tcW w:w="6804" w:type="dxa"/>
            <w:tcBorders>
              <w:top w:val="single" w:sz="4" w:space="0" w:color="auto"/>
              <w:left w:val="nil"/>
              <w:bottom w:val="single" w:sz="4" w:space="0" w:color="auto"/>
              <w:right w:val="single" w:sz="4" w:space="0" w:color="auto"/>
            </w:tcBorders>
            <w:shd w:val="clear" w:color="auto" w:fill="auto"/>
            <w:vAlign w:val="center"/>
          </w:tcPr>
          <w:p w:rsidR="00AA7BE8" w:rsidRPr="00470AD4" w:rsidRDefault="00953177" w:rsidP="00CB2FBB">
            <w:pPr>
              <w:pStyle w:val="Tabletext"/>
            </w:pPr>
            <w:r w:rsidRPr="00470AD4">
              <w:t>The process that takes place at convergent boundaries by which one tectonic plate moves under another tectonic plate and sinks into the mantle as the plates converge.</w:t>
            </w:r>
          </w:p>
        </w:tc>
      </w:tr>
      <w:tr w:rsidR="003B1829" w:rsidRPr="00470AD4" w:rsidTr="007269F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480"/>
        </w:trPr>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3B1829" w:rsidRPr="00470AD4" w:rsidRDefault="003B1829" w:rsidP="00CB2FBB">
            <w:pPr>
              <w:pStyle w:val="Tabletext"/>
            </w:pPr>
            <w:r w:rsidRPr="00470AD4">
              <w:t>Subsidence</w:t>
            </w:r>
          </w:p>
        </w:tc>
        <w:tc>
          <w:tcPr>
            <w:tcW w:w="6804" w:type="dxa"/>
            <w:tcBorders>
              <w:top w:val="single" w:sz="4" w:space="0" w:color="auto"/>
              <w:left w:val="nil"/>
              <w:bottom w:val="single" w:sz="4" w:space="0" w:color="auto"/>
              <w:right w:val="single" w:sz="4" w:space="0" w:color="auto"/>
            </w:tcBorders>
            <w:shd w:val="clear" w:color="auto" w:fill="auto"/>
            <w:vAlign w:val="center"/>
            <w:hideMark/>
          </w:tcPr>
          <w:p w:rsidR="003B1829" w:rsidRPr="00470AD4" w:rsidRDefault="003B1829" w:rsidP="00CB2FBB">
            <w:pPr>
              <w:pStyle w:val="Tabletext"/>
            </w:pPr>
            <w:r w:rsidRPr="00470AD4">
              <w:t>Usually refers to vertical displacement of a point at or below the ground surface. However, the subsidence process actually includes both vertical and horizontal displacements. These horizontal displacements, in cases where subsidence is small, can be greater than the vertical displacement. Subsidence is usually expressed in units of millimetres (mm).</w:t>
            </w:r>
          </w:p>
        </w:tc>
      </w:tr>
      <w:tr w:rsidR="00E95593" w:rsidRPr="00470AD4" w:rsidTr="007269F4">
        <w:tc>
          <w:tcPr>
            <w:tcW w:w="2268" w:type="dxa"/>
          </w:tcPr>
          <w:p w:rsidR="00E95593" w:rsidRPr="00470AD4" w:rsidRDefault="00E95593" w:rsidP="00CB2FBB">
            <w:pPr>
              <w:pStyle w:val="Tabletext"/>
            </w:pPr>
            <w:r w:rsidRPr="00470AD4">
              <w:t>Sodium Adsorption Ratio</w:t>
            </w:r>
          </w:p>
        </w:tc>
        <w:tc>
          <w:tcPr>
            <w:tcW w:w="6804" w:type="dxa"/>
          </w:tcPr>
          <w:p w:rsidR="00E95593" w:rsidRPr="00470AD4" w:rsidRDefault="00E95593" w:rsidP="00CB2FBB">
            <w:pPr>
              <w:pStyle w:val="Tabletext"/>
            </w:pPr>
            <w:r w:rsidRPr="00470AD4">
              <w:t xml:space="preserve">The ratio of sodium to calcium and magnesium in water. Water with high SAR causes dispersion of soil particles, loss of the ability of the soil to form stable aggregates and a reduction in infiltration and permeability with consequences for crop production. Water with high SAR requires treatment if it is to be suitable for irrigation.  </w:t>
            </w:r>
          </w:p>
        </w:tc>
      </w:tr>
      <w:tr w:rsidR="00E95593" w:rsidRPr="00470AD4" w:rsidTr="007269F4">
        <w:tc>
          <w:tcPr>
            <w:tcW w:w="2268" w:type="dxa"/>
          </w:tcPr>
          <w:p w:rsidR="00E95593" w:rsidRPr="00470AD4" w:rsidRDefault="00E95593" w:rsidP="00CB2FBB">
            <w:pPr>
              <w:pStyle w:val="Tabletext"/>
            </w:pPr>
            <w:r w:rsidRPr="00470AD4">
              <w:t>Sorption</w:t>
            </w:r>
          </w:p>
        </w:tc>
        <w:tc>
          <w:tcPr>
            <w:tcW w:w="6804" w:type="dxa"/>
          </w:tcPr>
          <w:p w:rsidR="00E95593" w:rsidRPr="00470AD4" w:rsidRDefault="00E95593" w:rsidP="00CB2FBB">
            <w:pPr>
              <w:pStyle w:val="Tabletext"/>
            </w:pPr>
            <w:r w:rsidRPr="00470AD4">
              <w:t>A physical and chemical process by which one substance becomes attached to another.</w:t>
            </w:r>
          </w:p>
        </w:tc>
      </w:tr>
      <w:tr w:rsidR="00E95593" w:rsidRPr="00470AD4" w:rsidTr="007269F4">
        <w:tc>
          <w:tcPr>
            <w:tcW w:w="2268" w:type="dxa"/>
          </w:tcPr>
          <w:p w:rsidR="00E95593" w:rsidRPr="00470AD4" w:rsidRDefault="00E95593" w:rsidP="00CB2FBB">
            <w:pPr>
              <w:pStyle w:val="Tabletext"/>
            </w:pPr>
            <w:r w:rsidRPr="00470AD4">
              <w:t>Stratification</w:t>
            </w:r>
          </w:p>
        </w:tc>
        <w:tc>
          <w:tcPr>
            <w:tcW w:w="6804" w:type="dxa"/>
          </w:tcPr>
          <w:p w:rsidR="00E95593" w:rsidRPr="00470AD4" w:rsidRDefault="00E95593" w:rsidP="00CB2FBB">
            <w:pPr>
              <w:pStyle w:val="Tabletext"/>
            </w:pPr>
            <w:r w:rsidRPr="00470AD4">
              <w:t xml:space="preserve">The formation of density layers (either temperature or salinity derived) in a water body through lack of mixing. It can create favorable conditions for algal blooms and can lower dissolved oxygen levels in the bottom layers with the associated release of nutrients, metals and other substances. </w:t>
            </w:r>
          </w:p>
        </w:tc>
      </w:tr>
      <w:tr w:rsidR="007269F4" w:rsidRPr="00470AD4" w:rsidTr="007269F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480"/>
        </w:trPr>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7269F4" w:rsidRPr="00470AD4" w:rsidRDefault="007269F4" w:rsidP="00CB2FBB">
            <w:pPr>
              <w:pStyle w:val="Tabletext"/>
            </w:pPr>
            <w:r w:rsidRPr="00470AD4">
              <w:lastRenderedPageBreak/>
              <w:t>Tension</w:t>
            </w:r>
          </w:p>
        </w:tc>
        <w:tc>
          <w:tcPr>
            <w:tcW w:w="6804" w:type="dxa"/>
            <w:tcBorders>
              <w:top w:val="single" w:sz="4" w:space="0" w:color="auto"/>
              <w:left w:val="nil"/>
              <w:bottom w:val="single" w:sz="4" w:space="0" w:color="auto"/>
              <w:right w:val="single" w:sz="4" w:space="0" w:color="auto"/>
            </w:tcBorders>
            <w:shd w:val="clear" w:color="auto" w:fill="auto"/>
            <w:vAlign w:val="center"/>
            <w:hideMark/>
          </w:tcPr>
          <w:p w:rsidR="007269F4" w:rsidRPr="00470AD4" w:rsidRDefault="007269F4" w:rsidP="00CB2FBB">
            <w:pPr>
              <w:pStyle w:val="Tabletext"/>
            </w:pPr>
            <w:r w:rsidRPr="00470AD4">
              <w:t>A system of forces which stretch rocks in two opposite directions. The rocks become longer in a lateral direction and thinner in a vertical direction. One important result of tensile stress is that it creates joints or fractures in the rock. Tensile stress is rare because most subsurface stress is compressive, due to the weight of the overburden.</w:t>
            </w:r>
          </w:p>
        </w:tc>
      </w:tr>
      <w:tr w:rsidR="00792A5A" w:rsidRPr="00470AD4" w:rsidTr="007269F4">
        <w:tc>
          <w:tcPr>
            <w:tcW w:w="2268" w:type="dxa"/>
          </w:tcPr>
          <w:p w:rsidR="00792A5A" w:rsidRPr="00470AD4" w:rsidRDefault="00792A5A" w:rsidP="00CB2FBB">
            <w:pPr>
              <w:pStyle w:val="Tabletext"/>
            </w:pPr>
            <w:r w:rsidRPr="00470AD4">
              <w:t>Tertiary</w:t>
            </w:r>
          </w:p>
        </w:tc>
        <w:tc>
          <w:tcPr>
            <w:tcW w:w="6804" w:type="dxa"/>
          </w:tcPr>
          <w:p w:rsidR="00792A5A" w:rsidRPr="00470AD4" w:rsidRDefault="00E12D79" w:rsidP="00CB2FBB">
            <w:pPr>
              <w:pStyle w:val="Tabletext"/>
            </w:pPr>
            <w:r w:rsidRPr="00470AD4">
              <w:t>A geologic period (from 66 million to 2.588 million years ago) that is no longer recognized as a formal unit by the International Commission on Stratigraphy, but is still widely used.</w:t>
            </w:r>
          </w:p>
        </w:tc>
      </w:tr>
      <w:tr w:rsidR="00CD4F96" w:rsidRPr="00470AD4" w:rsidTr="007269F4">
        <w:trPr>
          <w:trHeight w:val="862"/>
        </w:trPr>
        <w:tc>
          <w:tcPr>
            <w:tcW w:w="2268" w:type="dxa"/>
          </w:tcPr>
          <w:p w:rsidR="00CD4F96" w:rsidRPr="00470AD4" w:rsidRDefault="00CD4F96" w:rsidP="00CB2FBB">
            <w:pPr>
              <w:pStyle w:val="Tabletext"/>
            </w:pPr>
            <w:r w:rsidRPr="00470AD4">
              <w:t>Tiltmeter</w:t>
            </w:r>
          </w:p>
        </w:tc>
        <w:tc>
          <w:tcPr>
            <w:tcW w:w="6804" w:type="dxa"/>
          </w:tcPr>
          <w:p w:rsidR="00CD4F96" w:rsidRPr="00470AD4" w:rsidRDefault="00E12D79" w:rsidP="00CB2FBB">
            <w:pPr>
              <w:pStyle w:val="Tabletext"/>
            </w:pPr>
            <w:r w:rsidRPr="00470AD4">
              <w:t>An instrument designed to measure very small changes from the vertical level, either on the ground or in structures.</w:t>
            </w:r>
          </w:p>
        </w:tc>
      </w:tr>
      <w:tr w:rsidR="007269F4" w:rsidRPr="00470AD4" w:rsidTr="007269F4">
        <w:trPr>
          <w:trHeight w:val="862"/>
        </w:trPr>
        <w:tc>
          <w:tcPr>
            <w:tcW w:w="2268" w:type="dxa"/>
          </w:tcPr>
          <w:p w:rsidR="007269F4" w:rsidRPr="00470AD4" w:rsidRDefault="007269F4" w:rsidP="00CB2FBB">
            <w:pPr>
              <w:pStyle w:val="Tabletext"/>
            </w:pPr>
            <w:r w:rsidRPr="00470AD4">
              <w:t>Toxicant</w:t>
            </w:r>
          </w:p>
        </w:tc>
        <w:tc>
          <w:tcPr>
            <w:tcW w:w="6804" w:type="dxa"/>
          </w:tcPr>
          <w:p w:rsidR="007269F4" w:rsidRPr="00470AD4" w:rsidRDefault="007269F4" w:rsidP="00CB2FBB">
            <w:pPr>
              <w:pStyle w:val="Tabletext"/>
            </w:pPr>
            <w:r w:rsidRPr="00470AD4">
              <w:t>A chemical capable of producing an adverse response (effect) in a biological system at concentrations that might be encountered in the environment, seriously injuring structure or function or producing death. Examples include pesticides and heavy metals.</w:t>
            </w:r>
          </w:p>
        </w:tc>
      </w:tr>
      <w:tr w:rsidR="00F114D6" w:rsidRPr="00470AD4" w:rsidTr="007269F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300"/>
        </w:trPr>
        <w:tc>
          <w:tcPr>
            <w:tcW w:w="2268" w:type="dxa"/>
            <w:tcBorders>
              <w:top w:val="nil"/>
              <w:left w:val="single" w:sz="4" w:space="0" w:color="auto"/>
              <w:bottom w:val="single" w:sz="4" w:space="0" w:color="auto"/>
              <w:right w:val="single" w:sz="4" w:space="0" w:color="auto"/>
            </w:tcBorders>
            <w:shd w:val="clear" w:color="auto" w:fill="auto"/>
          </w:tcPr>
          <w:p w:rsidR="00F114D6" w:rsidRPr="00470AD4" w:rsidRDefault="00F114D6" w:rsidP="00CB2FBB">
            <w:pPr>
              <w:pStyle w:val="Tabletext"/>
            </w:pPr>
            <w:r w:rsidRPr="00470AD4">
              <w:t>Triassic</w:t>
            </w:r>
          </w:p>
        </w:tc>
        <w:tc>
          <w:tcPr>
            <w:tcW w:w="6804" w:type="dxa"/>
            <w:tcBorders>
              <w:top w:val="nil"/>
              <w:left w:val="nil"/>
              <w:bottom w:val="single" w:sz="4" w:space="0" w:color="auto"/>
              <w:right w:val="single" w:sz="4" w:space="0" w:color="auto"/>
            </w:tcBorders>
            <w:shd w:val="clear" w:color="auto" w:fill="auto"/>
            <w:vAlign w:val="center"/>
          </w:tcPr>
          <w:p w:rsidR="00F114D6" w:rsidRPr="00470AD4" w:rsidRDefault="00E12D79" w:rsidP="00CB2FBB">
            <w:pPr>
              <w:pStyle w:val="Tabletext"/>
            </w:pPr>
            <w:r w:rsidRPr="00470AD4">
              <w:t>The period of geologic time, 248 million to 206 million years ago.</w:t>
            </w:r>
          </w:p>
        </w:tc>
      </w:tr>
      <w:tr w:rsidR="0045089D" w:rsidRPr="00470AD4" w:rsidTr="007269F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300"/>
        </w:trPr>
        <w:tc>
          <w:tcPr>
            <w:tcW w:w="2268" w:type="dxa"/>
            <w:tcBorders>
              <w:top w:val="nil"/>
              <w:left w:val="single" w:sz="4" w:space="0" w:color="auto"/>
              <w:bottom w:val="single" w:sz="4" w:space="0" w:color="auto"/>
              <w:right w:val="single" w:sz="4" w:space="0" w:color="auto"/>
            </w:tcBorders>
            <w:shd w:val="clear" w:color="auto" w:fill="auto"/>
          </w:tcPr>
          <w:p w:rsidR="0045089D" w:rsidRPr="00470AD4" w:rsidRDefault="0045089D" w:rsidP="00CB2FBB">
            <w:pPr>
              <w:pStyle w:val="Tabletext"/>
            </w:pPr>
            <w:r w:rsidRPr="00470AD4">
              <w:t>Triaxial cell</w:t>
            </w:r>
          </w:p>
        </w:tc>
        <w:tc>
          <w:tcPr>
            <w:tcW w:w="6804" w:type="dxa"/>
            <w:tcBorders>
              <w:top w:val="nil"/>
              <w:left w:val="nil"/>
              <w:bottom w:val="single" w:sz="4" w:space="0" w:color="auto"/>
              <w:right w:val="single" w:sz="4" w:space="0" w:color="auto"/>
            </w:tcBorders>
            <w:shd w:val="clear" w:color="auto" w:fill="auto"/>
            <w:vAlign w:val="center"/>
          </w:tcPr>
          <w:p w:rsidR="0045089D" w:rsidRPr="00470AD4" w:rsidRDefault="0045089D" w:rsidP="00CB2FBB">
            <w:pPr>
              <w:pStyle w:val="Tabletext"/>
            </w:pPr>
            <w:r w:rsidRPr="00470AD4">
              <w:t>An apparatus that applies stress to a core in three dimensions and is able to subject a sample to its original in situ stresses.</w:t>
            </w:r>
          </w:p>
        </w:tc>
      </w:tr>
      <w:tr w:rsidR="007269F4" w:rsidRPr="00470AD4" w:rsidTr="007269F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300"/>
        </w:trPr>
        <w:tc>
          <w:tcPr>
            <w:tcW w:w="2268" w:type="dxa"/>
            <w:tcBorders>
              <w:top w:val="nil"/>
              <w:left w:val="single" w:sz="4" w:space="0" w:color="auto"/>
              <w:bottom w:val="single" w:sz="4" w:space="0" w:color="auto"/>
              <w:right w:val="single" w:sz="4" w:space="0" w:color="auto"/>
            </w:tcBorders>
            <w:shd w:val="clear" w:color="auto" w:fill="auto"/>
            <w:hideMark/>
          </w:tcPr>
          <w:p w:rsidR="007269F4" w:rsidRPr="00470AD4" w:rsidRDefault="007269F4" w:rsidP="00CB2FBB">
            <w:pPr>
              <w:pStyle w:val="Tabletext"/>
            </w:pPr>
            <w:r w:rsidRPr="00470AD4">
              <w:t>Unconfined aquifer</w:t>
            </w:r>
          </w:p>
        </w:tc>
        <w:tc>
          <w:tcPr>
            <w:tcW w:w="6804" w:type="dxa"/>
            <w:tcBorders>
              <w:top w:val="nil"/>
              <w:left w:val="nil"/>
              <w:bottom w:val="single" w:sz="4" w:space="0" w:color="auto"/>
              <w:right w:val="single" w:sz="4" w:space="0" w:color="auto"/>
            </w:tcBorders>
            <w:shd w:val="clear" w:color="auto" w:fill="auto"/>
            <w:vAlign w:val="center"/>
            <w:hideMark/>
          </w:tcPr>
          <w:p w:rsidR="007269F4" w:rsidRPr="00470AD4" w:rsidRDefault="007269F4" w:rsidP="00CB2FBB">
            <w:pPr>
              <w:pStyle w:val="Tabletext"/>
            </w:pPr>
            <w:r w:rsidRPr="00470AD4">
              <w:t>An aquifer which has the upper surface connected to the atmosphere.</w:t>
            </w:r>
          </w:p>
        </w:tc>
      </w:tr>
      <w:tr w:rsidR="00E95593" w:rsidRPr="00470AD4" w:rsidTr="007269F4">
        <w:tc>
          <w:tcPr>
            <w:tcW w:w="2268" w:type="dxa"/>
          </w:tcPr>
          <w:p w:rsidR="00E95593" w:rsidRPr="00470AD4" w:rsidRDefault="00E95593" w:rsidP="00CB2FBB">
            <w:pPr>
              <w:pStyle w:val="Tabletext"/>
            </w:pPr>
            <w:r w:rsidRPr="00470AD4">
              <w:t>Unconsolidated sediments</w:t>
            </w:r>
            <w:r w:rsidR="00B150B8" w:rsidRPr="00470AD4">
              <w:t>/materials</w:t>
            </w:r>
          </w:p>
        </w:tc>
        <w:tc>
          <w:tcPr>
            <w:tcW w:w="6804" w:type="dxa"/>
          </w:tcPr>
          <w:p w:rsidR="00E95593" w:rsidRPr="00470AD4" w:rsidRDefault="00E95593" w:rsidP="00CB2FBB">
            <w:pPr>
              <w:pStyle w:val="Tabletext"/>
            </w:pPr>
            <w:r w:rsidRPr="00470AD4">
              <w:t xml:space="preserve">Sediments </w:t>
            </w:r>
            <w:r w:rsidR="00B150B8" w:rsidRPr="00470AD4">
              <w:t xml:space="preserve">or materials </w:t>
            </w:r>
            <w:r w:rsidRPr="00470AD4">
              <w:t>that are not bound or hardened by mineral cement, pressure or thermal alteration.</w:t>
            </w:r>
          </w:p>
        </w:tc>
      </w:tr>
      <w:tr w:rsidR="007269F4" w:rsidRPr="00470AD4" w:rsidTr="007269F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300"/>
        </w:trPr>
        <w:tc>
          <w:tcPr>
            <w:tcW w:w="2268" w:type="dxa"/>
            <w:tcBorders>
              <w:top w:val="nil"/>
              <w:left w:val="single" w:sz="4" w:space="0" w:color="auto"/>
              <w:bottom w:val="single" w:sz="4" w:space="0" w:color="auto"/>
              <w:right w:val="single" w:sz="4" w:space="0" w:color="auto"/>
            </w:tcBorders>
            <w:shd w:val="clear" w:color="auto" w:fill="auto"/>
          </w:tcPr>
          <w:p w:rsidR="007269F4" w:rsidRPr="00470AD4" w:rsidRDefault="007269F4" w:rsidP="00CB2FBB">
            <w:pPr>
              <w:pStyle w:val="Tabletext"/>
            </w:pPr>
            <w:r w:rsidRPr="00470AD4">
              <w:t>Vadose zone</w:t>
            </w:r>
          </w:p>
        </w:tc>
        <w:tc>
          <w:tcPr>
            <w:tcW w:w="6804" w:type="dxa"/>
            <w:tcBorders>
              <w:top w:val="nil"/>
              <w:left w:val="nil"/>
              <w:bottom w:val="single" w:sz="4" w:space="0" w:color="auto"/>
              <w:right w:val="single" w:sz="4" w:space="0" w:color="auto"/>
            </w:tcBorders>
            <w:shd w:val="clear" w:color="auto" w:fill="auto"/>
            <w:vAlign w:val="center"/>
          </w:tcPr>
          <w:p w:rsidR="007269F4" w:rsidRPr="00470AD4" w:rsidRDefault="007269F4" w:rsidP="00CB2FBB">
            <w:pPr>
              <w:pStyle w:val="Tabletext"/>
            </w:pPr>
            <w:r w:rsidRPr="00470AD4">
              <w:t>The ‘unsaturated’ zone, extending from the top of the ground surface to the water table. In the vadose zone, the water in the soil's pores is at atmospheric pressure.</w:t>
            </w:r>
          </w:p>
        </w:tc>
      </w:tr>
      <w:tr w:rsidR="006778C4" w:rsidRPr="00470AD4" w:rsidTr="007269F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300"/>
        </w:trPr>
        <w:tc>
          <w:tcPr>
            <w:tcW w:w="2268" w:type="dxa"/>
            <w:tcBorders>
              <w:top w:val="nil"/>
              <w:left w:val="single" w:sz="4" w:space="0" w:color="auto"/>
              <w:bottom w:val="single" w:sz="4" w:space="0" w:color="auto"/>
              <w:right w:val="single" w:sz="4" w:space="0" w:color="auto"/>
            </w:tcBorders>
            <w:shd w:val="clear" w:color="auto" w:fill="auto"/>
          </w:tcPr>
          <w:p w:rsidR="006778C4" w:rsidRPr="00470AD4" w:rsidRDefault="006778C4" w:rsidP="00CB2FBB">
            <w:pPr>
              <w:pStyle w:val="Tabletext"/>
            </w:pPr>
            <w:r w:rsidRPr="00470AD4">
              <w:t>Viscosity</w:t>
            </w:r>
          </w:p>
        </w:tc>
        <w:tc>
          <w:tcPr>
            <w:tcW w:w="6804" w:type="dxa"/>
            <w:tcBorders>
              <w:top w:val="nil"/>
              <w:left w:val="nil"/>
              <w:bottom w:val="single" w:sz="4" w:space="0" w:color="auto"/>
              <w:right w:val="single" w:sz="4" w:space="0" w:color="auto"/>
            </w:tcBorders>
            <w:shd w:val="clear" w:color="auto" w:fill="auto"/>
            <w:vAlign w:val="center"/>
          </w:tcPr>
          <w:p w:rsidR="006778C4" w:rsidRPr="00470AD4" w:rsidRDefault="00E12D79" w:rsidP="00CB2FBB">
            <w:pPr>
              <w:pStyle w:val="Tabletext"/>
            </w:pPr>
            <w:r w:rsidRPr="00470AD4">
              <w:t>A measure of a fluid’s resistance to gradual deformation by shear stress or tensile stress. For liquids, it corresp</w:t>
            </w:r>
            <w:r w:rsidR="009078BE">
              <w:t>onds to the informal notion of ‘</w:t>
            </w:r>
            <w:proofErr w:type="gramStart"/>
            <w:r w:rsidR="009078BE">
              <w:t>thickness’</w:t>
            </w:r>
            <w:proofErr w:type="gramEnd"/>
            <w:r w:rsidRPr="00470AD4">
              <w:t>. For example, honey has a higher viscosity than water.</w:t>
            </w:r>
          </w:p>
        </w:tc>
      </w:tr>
      <w:tr w:rsidR="007269F4" w:rsidRPr="00470AD4" w:rsidTr="007269F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300"/>
        </w:trPr>
        <w:tc>
          <w:tcPr>
            <w:tcW w:w="2268" w:type="dxa"/>
            <w:tcBorders>
              <w:top w:val="nil"/>
              <w:left w:val="single" w:sz="4" w:space="0" w:color="auto"/>
              <w:bottom w:val="single" w:sz="4" w:space="0" w:color="auto"/>
              <w:right w:val="single" w:sz="4" w:space="0" w:color="auto"/>
            </w:tcBorders>
            <w:shd w:val="clear" w:color="auto" w:fill="auto"/>
            <w:hideMark/>
          </w:tcPr>
          <w:p w:rsidR="007269F4" w:rsidRPr="00470AD4" w:rsidRDefault="007269F4" w:rsidP="00CB2FBB">
            <w:pPr>
              <w:pStyle w:val="Tabletext"/>
            </w:pPr>
            <w:r w:rsidRPr="00470AD4">
              <w:t>Water quality</w:t>
            </w:r>
          </w:p>
        </w:tc>
        <w:tc>
          <w:tcPr>
            <w:tcW w:w="6804" w:type="dxa"/>
            <w:tcBorders>
              <w:top w:val="nil"/>
              <w:left w:val="nil"/>
              <w:bottom w:val="single" w:sz="4" w:space="0" w:color="auto"/>
              <w:right w:val="single" w:sz="4" w:space="0" w:color="auto"/>
            </w:tcBorders>
            <w:shd w:val="clear" w:color="auto" w:fill="auto"/>
            <w:vAlign w:val="center"/>
            <w:hideMark/>
          </w:tcPr>
          <w:p w:rsidR="007269F4" w:rsidRPr="00470AD4" w:rsidRDefault="007269F4" w:rsidP="00CB2FBB">
            <w:pPr>
              <w:pStyle w:val="Tabletext"/>
            </w:pPr>
            <w:r w:rsidRPr="00470AD4">
              <w:t xml:space="preserve">The physical, chemical and biological attributes of water that affects its ability to sustain environmental values. </w:t>
            </w:r>
          </w:p>
        </w:tc>
      </w:tr>
      <w:tr w:rsidR="007269F4" w:rsidRPr="00470AD4" w:rsidTr="005D6B34">
        <w:tc>
          <w:tcPr>
            <w:tcW w:w="2268" w:type="dxa"/>
          </w:tcPr>
          <w:p w:rsidR="007269F4" w:rsidRPr="00470AD4" w:rsidRDefault="007269F4" w:rsidP="00CB2FBB">
            <w:pPr>
              <w:pStyle w:val="Tabletext"/>
            </w:pPr>
            <w:r w:rsidRPr="00470AD4">
              <w:t>Water quantity</w:t>
            </w:r>
          </w:p>
        </w:tc>
        <w:tc>
          <w:tcPr>
            <w:tcW w:w="6804" w:type="dxa"/>
          </w:tcPr>
          <w:p w:rsidR="007269F4" w:rsidRPr="00470AD4" w:rsidRDefault="007269F4" w:rsidP="00CB2FBB">
            <w:pPr>
              <w:pStyle w:val="Tabletext"/>
            </w:pPr>
            <w:r w:rsidRPr="00470AD4">
              <w:t xml:space="preserve">Water quantity describes the mass of water and/or discharge and can also include aspects of the flow regime, such as timing, frequency and duration. </w:t>
            </w:r>
          </w:p>
        </w:tc>
      </w:tr>
      <w:tr w:rsidR="007269F4" w:rsidRPr="00470AD4" w:rsidTr="007269F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300"/>
        </w:trPr>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7269F4" w:rsidRPr="00470AD4" w:rsidRDefault="007269F4" w:rsidP="00CB2FBB">
            <w:pPr>
              <w:pStyle w:val="Tabletext"/>
            </w:pPr>
            <w:r w:rsidRPr="00470AD4">
              <w:t>Water table</w:t>
            </w:r>
          </w:p>
        </w:tc>
        <w:tc>
          <w:tcPr>
            <w:tcW w:w="6804" w:type="dxa"/>
            <w:tcBorders>
              <w:top w:val="single" w:sz="4" w:space="0" w:color="auto"/>
              <w:left w:val="nil"/>
              <w:bottom w:val="single" w:sz="4" w:space="0" w:color="auto"/>
              <w:right w:val="single" w:sz="4" w:space="0" w:color="auto"/>
            </w:tcBorders>
            <w:shd w:val="clear" w:color="auto" w:fill="auto"/>
            <w:vAlign w:val="center"/>
            <w:hideMark/>
          </w:tcPr>
          <w:p w:rsidR="007269F4" w:rsidRPr="00470AD4" w:rsidRDefault="007269F4" w:rsidP="00CB2FBB">
            <w:pPr>
              <w:pStyle w:val="Tabletext"/>
            </w:pPr>
            <w:r w:rsidRPr="00470AD4">
              <w:t>The upper surface of a body of groundwater occurring in an unconfined aquifer. At the water table, pore water pressure equals atmospheric pressure.</w:t>
            </w:r>
          </w:p>
        </w:tc>
      </w:tr>
      <w:tr w:rsidR="007269F4" w:rsidRPr="00470AD4" w:rsidTr="007269F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300"/>
        </w:trPr>
        <w:tc>
          <w:tcPr>
            <w:tcW w:w="2268" w:type="dxa"/>
            <w:tcBorders>
              <w:top w:val="nil"/>
              <w:left w:val="single" w:sz="4" w:space="0" w:color="auto"/>
              <w:bottom w:val="single" w:sz="4" w:space="0" w:color="auto"/>
              <w:right w:val="single" w:sz="4" w:space="0" w:color="auto"/>
            </w:tcBorders>
            <w:shd w:val="clear" w:color="auto" w:fill="auto"/>
            <w:hideMark/>
          </w:tcPr>
          <w:p w:rsidR="007269F4" w:rsidRPr="00470AD4" w:rsidRDefault="007269F4" w:rsidP="00CB2FBB">
            <w:pPr>
              <w:pStyle w:val="Tabletext"/>
            </w:pPr>
            <w:r w:rsidRPr="00470AD4">
              <w:t>Well</w:t>
            </w:r>
          </w:p>
        </w:tc>
        <w:tc>
          <w:tcPr>
            <w:tcW w:w="6804" w:type="dxa"/>
            <w:tcBorders>
              <w:top w:val="nil"/>
              <w:left w:val="nil"/>
              <w:bottom w:val="single" w:sz="4" w:space="0" w:color="auto"/>
              <w:right w:val="single" w:sz="4" w:space="0" w:color="auto"/>
            </w:tcBorders>
            <w:shd w:val="clear" w:color="auto" w:fill="auto"/>
            <w:vAlign w:val="center"/>
            <w:hideMark/>
          </w:tcPr>
          <w:p w:rsidR="007269F4" w:rsidRPr="00470AD4" w:rsidRDefault="007269F4" w:rsidP="00CB2FBB">
            <w:pPr>
              <w:pStyle w:val="Tabletext"/>
            </w:pPr>
            <w:r w:rsidRPr="00470AD4">
              <w:t xml:space="preserve">A human-made hole in the ground, generally created by drilling, to obtain water (also see bore).  </w:t>
            </w:r>
          </w:p>
        </w:tc>
      </w:tr>
      <w:tr w:rsidR="007269F4" w:rsidRPr="00754693" w:rsidTr="007269F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300"/>
        </w:trPr>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7269F4" w:rsidRPr="00470AD4" w:rsidRDefault="007269F4" w:rsidP="00CB2FBB">
            <w:pPr>
              <w:pStyle w:val="Tabletext"/>
            </w:pPr>
            <w:r w:rsidRPr="00470AD4">
              <w:t>Yield</w:t>
            </w:r>
          </w:p>
        </w:tc>
        <w:tc>
          <w:tcPr>
            <w:tcW w:w="6804" w:type="dxa"/>
            <w:tcBorders>
              <w:top w:val="single" w:sz="4" w:space="0" w:color="auto"/>
              <w:left w:val="nil"/>
              <w:bottom w:val="single" w:sz="4" w:space="0" w:color="auto"/>
              <w:right w:val="single" w:sz="4" w:space="0" w:color="auto"/>
            </w:tcBorders>
            <w:shd w:val="clear" w:color="auto" w:fill="auto"/>
            <w:vAlign w:val="center"/>
            <w:hideMark/>
          </w:tcPr>
          <w:p w:rsidR="007269F4" w:rsidRPr="00754693" w:rsidRDefault="007269F4" w:rsidP="00CB2FBB">
            <w:pPr>
              <w:pStyle w:val="Tabletext"/>
            </w:pPr>
            <w:r w:rsidRPr="00470AD4">
              <w:t>The rate at which water (or other resources) can be extracted from a pumping well, typically measured in litres per second (L/s) or megalitres per day (ML/d).</w:t>
            </w:r>
          </w:p>
        </w:tc>
      </w:tr>
    </w:tbl>
    <w:p w:rsidR="00B011CD" w:rsidRDefault="00B011CD" w:rsidP="00B011CD">
      <w:pPr>
        <w:pStyle w:val="BRNormal"/>
        <w:sectPr w:rsidR="00B011CD" w:rsidSect="004350AA">
          <w:headerReference w:type="even" r:id="rId18"/>
          <w:headerReference w:type="default" r:id="rId19"/>
          <w:footerReference w:type="even" r:id="rId20"/>
          <w:footerReference w:type="default" r:id="rId21"/>
          <w:headerReference w:type="first" r:id="rId22"/>
          <w:type w:val="continuous"/>
          <w:pgSz w:w="11900" w:h="16840" w:code="9"/>
          <w:pgMar w:top="1943" w:right="1418" w:bottom="1418" w:left="1418" w:header="0" w:footer="821" w:gutter="0"/>
          <w:cols w:space="284"/>
          <w:noEndnote/>
          <w:titlePg/>
          <w:docGrid w:linePitch="326"/>
        </w:sectPr>
      </w:pPr>
      <w:bookmarkStart w:id="24" w:name="_Toc331665442"/>
      <w:bookmarkStart w:id="25" w:name="_Toc332444781"/>
      <w:bookmarkStart w:id="26" w:name="_Toc332445249"/>
      <w:bookmarkStart w:id="27" w:name="_Toc332445573"/>
      <w:bookmarkStart w:id="28" w:name="_Toc332446568"/>
      <w:bookmarkStart w:id="29" w:name="_Toc332450661"/>
      <w:bookmarkStart w:id="30" w:name="_Toc332457719"/>
      <w:bookmarkStart w:id="31" w:name="_Toc332460995"/>
      <w:bookmarkStart w:id="32" w:name="_Toc332461241"/>
      <w:bookmarkStart w:id="33" w:name="_Toc332461485"/>
      <w:bookmarkStart w:id="34" w:name="_Toc332463270"/>
      <w:bookmarkStart w:id="35" w:name="_Toc332463518"/>
      <w:bookmarkStart w:id="36" w:name="_Toc332463766"/>
      <w:bookmarkStart w:id="37" w:name="_Toc332467799"/>
      <w:bookmarkStart w:id="38" w:name="_Toc332444782"/>
      <w:bookmarkStart w:id="39" w:name="_Toc332445250"/>
      <w:bookmarkStart w:id="40" w:name="_Toc332445574"/>
      <w:bookmarkStart w:id="41" w:name="_Toc332446569"/>
      <w:bookmarkStart w:id="42" w:name="_Toc332450662"/>
      <w:bookmarkStart w:id="43" w:name="_Toc332457720"/>
      <w:bookmarkStart w:id="44" w:name="_Toc332460996"/>
      <w:bookmarkStart w:id="45" w:name="_Toc332461242"/>
      <w:bookmarkStart w:id="46" w:name="_Toc332461486"/>
      <w:bookmarkStart w:id="47" w:name="_Toc332463271"/>
      <w:bookmarkStart w:id="48" w:name="_Toc332463519"/>
      <w:bookmarkStart w:id="49" w:name="_Toc332463767"/>
      <w:bookmarkStart w:id="50" w:name="_Toc332467800"/>
      <w:bookmarkStart w:id="51" w:name="_Toc332444783"/>
      <w:bookmarkStart w:id="52" w:name="_Toc332445251"/>
      <w:bookmarkStart w:id="53" w:name="_Toc332445575"/>
      <w:bookmarkStart w:id="54" w:name="_Toc332446570"/>
      <w:bookmarkStart w:id="55" w:name="_Toc332450663"/>
      <w:bookmarkStart w:id="56" w:name="_Toc332457721"/>
      <w:bookmarkStart w:id="57" w:name="_Toc332460997"/>
      <w:bookmarkStart w:id="58" w:name="_Toc332461243"/>
      <w:bookmarkStart w:id="59" w:name="_Toc332461487"/>
      <w:bookmarkStart w:id="60" w:name="_Toc332463272"/>
      <w:bookmarkStart w:id="61" w:name="_Toc332463520"/>
      <w:bookmarkStart w:id="62" w:name="_Toc332463768"/>
      <w:bookmarkStart w:id="63" w:name="_Toc332467801"/>
      <w:bookmarkStart w:id="64" w:name="_Toc332444786"/>
      <w:bookmarkStart w:id="65" w:name="_Toc332445254"/>
      <w:bookmarkStart w:id="66" w:name="_Toc332445578"/>
      <w:bookmarkStart w:id="67" w:name="_Toc332446573"/>
      <w:bookmarkStart w:id="68" w:name="_Toc332450666"/>
      <w:bookmarkStart w:id="69" w:name="_Toc332457724"/>
      <w:bookmarkStart w:id="70" w:name="_Toc332461000"/>
      <w:bookmarkStart w:id="71" w:name="_Toc332461246"/>
      <w:bookmarkStart w:id="72" w:name="_Toc332461490"/>
      <w:bookmarkStart w:id="73" w:name="_Toc332463275"/>
      <w:bookmarkStart w:id="74" w:name="_Toc332463523"/>
      <w:bookmarkStart w:id="75" w:name="_Toc332463771"/>
      <w:bookmarkStart w:id="76" w:name="_Toc332467804"/>
      <w:bookmarkStart w:id="77" w:name="_Toc321822934"/>
      <w:bookmarkStart w:id="78" w:name="_Toc321825833"/>
      <w:bookmarkStart w:id="79" w:name="_Toc321826478"/>
      <w:bookmarkStart w:id="80" w:name="_Toc321826912"/>
      <w:bookmarkStart w:id="81" w:name="_Toc321830816"/>
      <w:bookmarkStart w:id="82" w:name="_Toc321841735"/>
      <w:bookmarkStart w:id="83" w:name="_Toc321922440"/>
      <w:bookmarkStart w:id="84" w:name="_Toc321924028"/>
      <w:bookmarkStart w:id="85" w:name="_Toc332461017"/>
      <w:bookmarkStart w:id="86" w:name="_Toc332461263"/>
      <w:bookmarkStart w:id="87" w:name="_Toc332461507"/>
      <w:bookmarkStart w:id="88" w:name="_Toc332463292"/>
      <w:bookmarkStart w:id="89" w:name="_Toc332463540"/>
      <w:bookmarkStart w:id="90" w:name="_Toc332463788"/>
      <w:bookmarkStart w:id="91" w:name="_Toc332467821"/>
      <w:bookmarkStart w:id="92" w:name="_Toc332461020"/>
      <w:bookmarkStart w:id="93" w:name="_Toc332461266"/>
      <w:bookmarkStart w:id="94" w:name="_Toc332461510"/>
      <w:bookmarkStart w:id="95" w:name="_Toc332463295"/>
      <w:bookmarkStart w:id="96" w:name="_Toc332463543"/>
      <w:bookmarkStart w:id="97" w:name="_Toc332463791"/>
      <w:bookmarkStart w:id="98" w:name="_Toc332467824"/>
      <w:bookmarkStart w:id="99" w:name="_Toc332461021"/>
      <w:bookmarkStart w:id="100" w:name="_Toc332461267"/>
      <w:bookmarkStart w:id="101" w:name="_Toc332461511"/>
      <w:bookmarkStart w:id="102" w:name="_Toc332463296"/>
      <w:bookmarkStart w:id="103" w:name="_Toc332463544"/>
      <w:bookmarkStart w:id="104" w:name="_Toc332463792"/>
      <w:bookmarkStart w:id="105" w:name="_Toc332467825"/>
      <w:bookmarkStart w:id="106" w:name="_Toc332461024"/>
      <w:bookmarkStart w:id="107" w:name="_Toc332461270"/>
      <w:bookmarkStart w:id="108" w:name="_Toc332461514"/>
      <w:bookmarkStart w:id="109" w:name="_Toc332463299"/>
      <w:bookmarkStart w:id="110" w:name="_Toc332463547"/>
      <w:bookmarkStart w:id="111" w:name="_Toc332463795"/>
      <w:bookmarkStart w:id="112" w:name="_Toc332467828"/>
      <w:bookmarkStart w:id="113" w:name="_Toc332461027"/>
      <w:bookmarkStart w:id="114" w:name="_Toc332461273"/>
      <w:bookmarkStart w:id="115" w:name="_Toc332461517"/>
      <w:bookmarkStart w:id="116" w:name="_Toc332463302"/>
      <w:bookmarkStart w:id="117" w:name="_Toc332463550"/>
      <w:bookmarkStart w:id="118" w:name="_Toc332463798"/>
      <w:bookmarkStart w:id="119" w:name="_Toc332467831"/>
      <w:bookmarkStart w:id="120" w:name="_Toc332461028"/>
      <w:bookmarkStart w:id="121" w:name="_Toc332461274"/>
      <w:bookmarkStart w:id="122" w:name="_Toc332461518"/>
      <w:bookmarkStart w:id="123" w:name="_Toc332463303"/>
      <w:bookmarkStart w:id="124" w:name="_Toc332463551"/>
      <w:bookmarkStart w:id="125" w:name="_Toc332463799"/>
      <w:bookmarkStart w:id="126" w:name="_Toc332467832"/>
      <w:bookmarkStart w:id="127" w:name="_Toc332461031"/>
      <w:bookmarkStart w:id="128" w:name="_Toc332461277"/>
      <w:bookmarkStart w:id="129" w:name="_Toc332461521"/>
      <w:bookmarkStart w:id="130" w:name="_Toc332463306"/>
      <w:bookmarkStart w:id="131" w:name="_Toc332463554"/>
      <w:bookmarkStart w:id="132" w:name="_Toc332463802"/>
      <w:bookmarkStart w:id="133" w:name="_Toc332467835"/>
      <w:bookmarkStart w:id="134" w:name="_Toc332461033"/>
      <w:bookmarkStart w:id="135" w:name="_Toc332461279"/>
      <w:bookmarkStart w:id="136" w:name="_Toc332461523"/>
      <w:bookmarkStart w:id="137" w:name="_Toc332463308"/>
      <w:bookmarkStart w:id="138" w:name="_Toc332463556"/>
      <w:bookmarkStart w:id="139" w:name="_Toc332463804"/>
      <w:bookmarkStart w:id="140" w:name="_Toc332467837"/>
      <w:bookmarkStart w:id="141" w:name="_Toc332461037"/>
      <w:bookmarkStart w:id="142" w:name="_Toc332461283"/>
      <w:bookmarkStart w:id="143" w:name="_Toc332461527"/>
      <w:bookmarkStart w:id="144" w:name="_Toc332463312"/>
      <w:bookmarkStart w:id="145" w:name="_Toc332463560"/>
      <w:bookmarkStart w:id="146" w:name="_Toc332463808"/>
      <w:bookmarkStart w:id="147" w:name="_Toc332467841"/>
      <w:bookmarkStart w:id="148" w:name="_Toc332461038"/>
      <w:bookmarkStart w:id="149" w:name="_Toc332461284"/>
      <w:bookmarkStart w:id="150" w:name="_Toc332461528"/>
      <w:bookmarkStart w:id="151" w:name="_Toc332463313"/>
      <w:bookmarkStart w:id="152" w:name="_Toc332463561"/>
      <w:bookmarkStart w:id="153" w:name="_Toc332463809"/>
      <w:bookmarkStart w:id="154" w:name="_Toc332467842"/>
      <w:bookmarkStart w:id="155" w:name="_Toc332461040"/>
      <w:bookmarkStart w:id="156" w:name="_Toc332461286"/>
      <w:bookmarkStart w:id="157" w:name="_Toc332461530"/>
      <w:bookmarkStart w:id="158" w:name="_Toc332463315"/>
      <w:bookmarkStart w:id="159" w:name="_Toc332463563"/>
      <w:bookmarkStart w:id="160" w:name="_Toc332463811"/>
      <w:bookmarkStart w:id="161" w:name="_Toc332467844"/>
      <w:bookmarkStart w:id="162" w:name="_Toc332461046"/>
      <w:bookmarkStart w:id="163" w:name="_Toc332461292"/>
      <w:bookmarkStart w:id="164" w:name="_Toc332461536"/>
      <w:bookmarkStart w:id="165" w:name="_Toc332463321"/>
      <w:bookmarkStart w:id="166" w:name="_Toc332463569"/>
      <w:bookmarkStart w:id="167" w:name="_Toc332463817"/>
      <w:bookmarkStart w:id="168" w:name="_Toc332467850"/>
      <w:bookmarkStart w:id="169" w:name="_Toc332461051"/>
      <w:bookmarkStart w:id="170" w:name="_Toc332461297"/>
      <w:bookmarkStart w:id="171" w:name="_Toc332461541"/>
      <w:bookmarkStart w:id="172" w:name="_Toc332463326"/>
      <w:bookmarkStart w:id="173" w:name="_Toc332463574"/>
      <w:bookmarkStart w:id="174" w:name="_Toc332463822"/>
      <w:bookmarkStart w:id="175" w:name="_Toc332467855"/>
      <w:bookmarkStart w:id="176" w:name="_Toc332461054"/>
      <w:bookmarkStart w:id="177" w:name="_Toc332461300"/>
      <w:bookmarkStart w:id="178" w:name="_Toc332461544"/>
      <w:bookmarkStart w:id="179" w:name="_Toc332463329"/>
      <w:bookmarkStart w:id="180" w:name="_Toc332463577"/>
      <w:bookmarkStart w:id="181" w:name="_Toc332463825"/>
      <w:bookmarkStart w:id="182" w:name="_Toc332467858"/>
      <w:bookmarkStart w:id="183" w:name="_Toc332461055"/>
      <w:bookmarkStart w:id="184" w:name="_Toc332461301"/>
      <w:bookmarkStart w:id="185" w:name="_Toc332461545"/>
      <w:bookmarkStart w:id="186" w:name="_Toc332463330"/>
      <w:bookmarkStart w:id="187" w:name="_Toc332463578"/>
      <w:bookmarkStart w:id="188" w:name="_Toc332463826"/>
      <w:bookmarkStart w:id="189" w:name="_Toc332467859"/>
      <w:bookmarkStart w:id="190" w:name="_Toc332461056"/>
      <w:bookmarkStart w:id="191" w:name="_Toc332461302"/>
      <w:bookmarkStart w:id="192" w:name="_Toc332461546"/>
      <w:bookmarkStart w:id="193" w:name="_Toc332463331"/>
      <w:bookmarkStart w:id="194" w:name="_Toc332463579"/>
      <w:bookmarkStart w:id="195" w:name="_Toc332463827"/>
      <w:bookmarkStart w:id="196" w:name="_Toc332467860"/>
      <w:bookmarkStart w:id="197" w:name="_Toc332461059"/>
      <w:bookmarkStart w:id="198" w:name="_Toc332461305"/>
      <w:bookmarkStart w:id="199" w:name="_Toc332461549"/>
      <w:bookmarkStart w:id="200" w:name="_Toc332463334"/>
      <w:bookmarkStart w:id="201" w:name="_Toc332463582"/>
      <w:bookmarkStart w:id="202" w:name="_Toc332463830"/>
      <w:bookmarkStart w:id="203" w:name="_Toc332467863"/>
      <w:bookmarkStart w:id="204" w:name="_Toc332461060"/>
      <w:bookmarkStart w:id="205" w:name="_Toc332461306"/>
      <w:bookmarkStart w:id="206" w:name="_Toc332461550"/>
      <w:bookmarkStart w:id="207" w:name="_Toc332463335"/>
      <w:bookmarkStart w:id="208" w:name="_Toc332463583"/>
      <w:bookmarkStart w:id="209" w:name="_Toc332463831"/>
      <w:bookmarkStart w:id="210" w:name="_Toc332467864"/>
      <w:bookmarkStart w:id="211" w:name="_Toc332461062"/>
      <w:bookmarkStart w:id="212" w:name="_Toc332461308"/>
      <w:bookmarkStart w:id="213" w:name="_Toc332461552"/>
      <w:bookmarkStart w:id="214" w:name="_Toc332463337"/>
      <w:bookmarkStart w:id="215" w:name="_Toc332463585"/>
      <w:bookmarkStart w:id="216" w:name="_Toc332463833"/>
      <w:bookmarkStart w:id="217" w:name="_Toc332467866"/>
      <w:bookmarkStart w:id="218" w:name="_Toc332461086"/>
      <w:bookmarkStart w:id="219" w:name="_Toc332461332"/>
      <w:bookmarkStart w:id="220" w:name="_Toc332461576"/>
      <w:bookmarkStart w:id="221" w:name="_Toc332463361"/>
      <w:bookmarkStart w:id="222" w:name="_Toc332463609"/>
      <w:bookmarkStart w:id="223" w:name="_Toc332463857"/>
      <w:bookmarkStart w:id="224" w:name="_Toc332467890"/>
      <w:bookmarkStart w:id="225" w:name="_Toc332461089"/>
      <w:bookmarkStart w:id="226" w:name="_Toc332461335"/>
      <w:bookmarkStart w:id="227" w:name="_Toc332461579"/>
      <w:bookmarkStart w:id="228" w:name="_Toc332463364"/>
      <w:bookmarkStart w:id="229" w:name="_Toc332463612"/>
      <w:bookmarkStart w:id="230" w:name="_Toc332463860"/>
      <w:bookmarkStart w:id="231" w:name="_Toc332467893"/>
      <w:bookmarkStart w:id="232" w:name="_Toc332461091"/>
      <w:bookmarkStart w:id="233" w:name="_Toc332461337"/>
      <w:bookmarkStart w:id="234" w:name="_Toc332461581"/>
      <w:bookmarkStart w:id="235" w:name="_Toc332463366"/>
      <w:bookmarkStart w:id="236" w:name="_Toc332463614"/>
      <w:bookmarkStart w:id="237" w:name="_Toc332463862"/>
      <w:bookmarkStart w:id="238" w:name="_Toc332467895"/>
      <w:bookmarkStart w:id="239" w:name="_Toc332461092"/>
      <w:bookmarkStart w:id="240" w:name="_Toc332461338"/>
      <w:bookmarkStart w:id="241" w:name="_Toc332461582"/>
      <w:bookmarkStart w:id="242" w:name="_Toc332463367"/>
      <w:bookmarkStart w:id="243" w:name="_Toc332463615"/>
      <w:bookmarkStart w:id="244" w:name="_Toc332463863"/>
      <w:bookmarkStart w:id="245" w:name="_Toc332467896"/>
      <w:bookmarkStart w:id="246" w:name="_Toc332461095"/>
      <w:bookmarkStart w:id="247" w:name="_Toc332461341"/>
      <w:bookmarkStart w:id="248" w:name="_Toc332461585"/>
      <w:bookmarkStart w:id="249" w:name="_Toc332463370"/>
      <w:bookmarkStart w:id="250" w:name="_Toc332463618"/>
      <w:bookmarkStart w:id="251" w:name="_Toc332463866"/>
      <w:bookmarkStart w:id="252" w:name="_Toc332467899"/>
      <w:bookmarkStart w:id="253" w:name="_Toc332461096"/>
      <w:bookmarkStart w:id="254" w:name="_Toc332461342"/>
      <w:bookmarkStart w:id="255" w:name="_Toc332461586"/>
      <w:bookmarkStart w:id="256" w:name="_Toc332463371"/>
      <w:bookmarkStart w:id="257" w:name="_Toc332463619"/>
      <w:bookmarkStart w:id="258" w:name="_Toc332463867"/>
      <w:bookmarkStart w:id="259" w:name="_Toc332467900"/>
      <w:bookmarkStart w:id="260" w:name="_Toc332461097"/>
      <w:bookmarkStart w:id="261" w:name="_Toc332461343"/>
      <w:bookmarkStart w:id="262" w:name="_Toc332461587"/>
      <w:bookmarkStart w:id="263" w:name="_Toc332463372"/>
      <w:bookmarkStart w:id="264" w:name="_Toc332463620"/>
      <w:bookmarkStart w:id="265" w:name="_Toc332463868"/>
      <w:bookmarkStart w:id="266" w:name="_Toc332467901"/>
      <w:bookmarkStart w:id="267" w:name="_Toc332461098"/>
      <w:bookmarkStart w:id="268" w:name="_Toc332461344"/>
      <w:bookmarkStart w:id="269" w:name="_Toc332461588"/>
      <w:bookmarkStart w:id="270" w:name="_Toc332463373"/>
      <w:bookmarkStart w:id="271" w:name="_Toc332463621"/>
      <w:bookmarkStart w:id="272" w:name="_Toc332463869"/>
      <w:bookmarkStart w:id="273" w:name="_Toc332467902"/>
      <w:bookmarkStart w:id="274" w:name="_Toc332461099"/>
      <w:bookmarkStart w:id="275" w:name="_Toc332461345"/>
      <w:bookmarkStart w:id="276" w:name="_Toc332461589"/>
      <w:bookmarkStart w:id="277" w:name="_Toc332463374"/>
      <w:bookmarkStart w:id="278" w:name="_Toc332463622"/>
      <w:bookmarkStart w:id="279" w:name="_Toc332463870"/>
      <w:bookmarkStart w:id="280" w:name="_Toc332467903"/>
      <w:bookmarkStart w:id="281" w:name="_Toc332461100"/>
      <w:bookmarkStart w:id="282" w:name="_Toc332461346"/>
      <w:bookmarkStart w:id="283" w:name="_Toc332461590"/>
      <w:bookmarkStart w:id="284" w:name="_Toc332463375"/>
      <w:bookmarkStart w:id="285" w:name="_Toc332463623"/>
      <w:bookmarkStart w:id="286" w:name="_Toc332463871"/>
      <w:bookmarkStart w:id="287" w:name="_Toc332467904"/>
      <w:bookmarkStart w:id="288" w:name="_Toc332461102"/>
      <w:bookmarkStart w:id="289" w:name="_Toc332461348"/>
      <w:bookmarkStart w:id="290" w:name="_Toc332461592"/>
      <w:bookmarkStart w:id="291" w:name="_Toc332463377"/>
      <w:bookmarkStart w:id="292" w:name="_Toc332463625"/>
      <w:bookmarkStart w:id="293" w:name="_Toc332463873"/>
      <w:bookmarkStart w:id="294" w:name="_Toc332467906"/>
      <w:bookmarkStart w:id="295" w:name="_Toc332461103"/>
      <w:bookmarkStart w:id="296" w:name="_Toc332461349"/>
      <w:bookmarkStart w:id="297" w:name="_Toc332461593"/>
      <w:bookmarkStart w:id="298" w:name="_Toc332463378"/>
      <w:bookmarkStart w:id="299" w:name="_Toc332463626"/>
      <w:bookmarkStart w:id="300" w:name="_Toc332463874"/>
      <w:bookmarkStart w:id="301" w:name="_Toc332467907"/>
      <w:bookmarkStart w:id="302" w:name="_Toc332461106"/>
      <w:bookmarkStart w:id="303" w:name="_Toc332461352"/>
      <w:bookmarkStart w:id="304" w:name="_Toc332461596"/>
      <w:bookmarkStart w:id="305" w:name="_Toc332463381"/>
      <w:bookmarkStart w:id="306" w:name="_Toc332463629"/>
      <w:bookmarkStart w:id="307" w:name="_Toc332463877"/>
      <w:bookmarkStart w:id="308" w:name="_Toc332467910"/>
      <w:bookmarkStart w:id="309" w:name="_Toc332461110"/>
      <w:bookmarkStart w:id="310" w:name="_Toc332461356"/>
      <w:bookmarkStart w:id="311" w:name="_Toc332461600"/>
      <w:bookmarkStart w:id="312" w:name="_Toc332463385"/>
      <w:bookmarkStart w:id="313" w:name="_Toc332463633"/>
      <w:bookmarkStart w:id="314" w:name="_Toc332463881"/>
      <w:bookmarkStart w:id="315" w:name="_Toc332467914"/>
      <w:bookmarkStart w:id="316" w:name="_Toc332461116"/>
      <w:bookmarkStart w:id="317" w:name="_Toc332461362"/>
      <w:bookmarkStart w:id="318" w:name="_Toc332461606"/>
      <w:bookmarkStart w:id="319" w:name="_Toc332463391"/>
      <w:bookmarkStart w:id="320" w:name="_Toc332463639"/>
      <w:bookmarkStart w:id="321" w:name="_Toc332463887"/>
      <w:bookmarkStart w:id="322" w:name="_Toc332467920"/>
      <w:bookmarkStart w:id="323" w:name="_Toc332461117"/>
      <w:bookmarkStart w:id="324" w:name="_Toc332461363"/>
      <w:bookmarkStart w:id="325" w:name="_Toc332461607"/>
      <w:bookmarkStart w:id="326" w:name="_Toc332463392"/>
      <w:bookmarkStart w:id="327" w:name="_Toc332463640"/>
      <w:bookmarkStart w:id="328" w:name="_Toc332463888"/>
      <w:bookmarkStart w:id="329" w:name="_Toc332467921"/>
      <w:bookmarkStart w:id="330" w:name="_Toc332461118"/>
      <w:bookmarkStart w:id="331" w:name="_Toc332461364"/>
      <w:bookmarkStart w:id="332" w:name="_Toc332461608"/>
      <w:bookmarkStart w:id="333" w:name="_Toc332463393"/>
      <w:bookmarkStart w:id="334" w:name="_Toc332463641"/>
      <w:bookmarkStart w:id="335" w:name="_Toc332463889"/>
      <w:bookmarkStart w:id="336" w:name="_Toc332467922"/>
      <w:bookmarkStart w:id="337" w:name="_Toc332461136"/>
      <w:bookmarkStart w:id="338" w:name="_Toc332461382"/>
      <w:bookmarkStart w:id="339" w:name="_Toc332461626"/>
      <w:bookmarkStart w:id="340" w:name="_Toc332463411"/>
      <w:bookmarkStart w:id="341" w:name="_Toc332463659"/>
      <w:bookmarkStart w:id="342" w:name="_Toc332463907"/>
      <w:bookmarkStart w:id="343" w:name="_Toc332467940"/>
      <w:bookmarkStart w:id="344" w:name="_Toc332461139"/>
      <w:bookmarkStart w:id="345" w:name="_Toc332461385"/>
      <w:bookmarkStart w:id="346" w:name="_Toc332461629"/>
      <w:bookmarkStart w:id="347" w:name="_Toc332463414"/>
      <w:bookmarkStart w:id="348" w:name="_Toc332463662"/>
      <w:bookmarkStart w:id="349" w:name="_Toc332463910"/>
      <w:bookmarkStart w:id="350" w:name="_Toc332467943"/>
      <w:bookmarkStart w:id="351" w:name="_Toc332461147"/>
      <w:bookmarkStart w:id="352" w:name="_Toc332461393"/>
      <w:bookmarkStart w:id="353" w:name="_Toc332461637"/>
      <w:bookmarkStart w:id="354" w:name="_Toc332463422"/>
      <w:bookmarkStart w:id="355" w:name="_Toc332463670"/>
      <w:bookmarkStart w:id="356" w:name="_Toc332463918"/>
      <w:bookmarkStart w:id="357" w:name="_Toc332467951"/>
      <w:bookmarkStart w:id="358" w:name="_Toc332461157"/>
      <w:bookmarkStart w:id="359" w:name="_Toc332461403"/>
      <w:bookmarkStart w:id="360" w:name="_Toc332461647"/>
      <w:bookmarkStart w:id="361" w:name="_Toc332463432"/>
      <w:bookmarkStart w:id="362" w:name="_Toc332463680"/>
      <w:bookmarkStart w:id="363" w:name="_Toc332463928"/>
      <w:bookmarkStart w:id="364" w:name="_Toc332467961"/>
      <w:bookmarkStart w:id="365" w:name="_Toc332461159"/>
      <w:bookmarkStart w:id="366" w:name="_Toc332461405"/>
      <w:bookmarkStart w:id="367" w:name="_Toc332461649"/>
      <w:bookmarkStart w:id="368" w:name="_Toc332463434"/>
      <w:bookmarkStart w:id="369" w:name="_Toc332463682"/>
      <w:bookmarkStart w:id="370" w:name="_Toc332463930"/>
      <w:bookmarkStart w:id="371" w:name="_Toc332467963"/>
      <w:bookmarkStart w:id="372" w:name="_Toc332461162"/>
      <w:bookmarkStart w:id="373" w:name="_Toc332461408"/>
      <w:bookmarkStart w:id="374" w:name="_Toc332461652"/>
      <w:bookmarkStart w:id="375" w:name="_Toc332463437"/>
      <w:bookmarkStart w:id="376" w:name="_Toc332463685"/>
      <w:bookmarkStart w:id="377" w:name="_Toc332463933"/>
      <w:bookmarkStart w:id="378" w:name="_Toc332467966"/>
      <w:bookmarkStart w:id="379" w:name="_Toc332461163"/>
      <w:bookmarkStart w:id="380" w:name="_Toc332461409"/>
      <w:bookmarkStart w:id="381" w:name="_Toc332461653"/>
      <w:bookmarkStart w:id="382" w:name="_Toc332463438"/>
      <w:bookmarkStart w:id="383" w:name="_Toc332463686"/>
      <w:bookmarkStart w:id="384" w:name="_Toc332463934"/>
      <w:bookmarkStart w:id="385" w:name="_Toc332467967"/>
      <w:bookmarkStart w:id="386" w:name="_Toc332461164"/>
      <w:bookmarkStart w:id="387" w:name="_Toc332461410"/>
      <w:bookmarkStart w:id="388" w:name="_Toc332461654"/>
      <w:bookmarkStart w:id="389" w:name="_Toc332463439"/>
      <w:bookmarkStart w:id="390" w:name="_Toc332463687"/>
      <w:bookmarkStart w:id="391" w:name="_Toc332463935"/>
      <w:bookmarkStart w:id="392" w:name="_Toc332467968"/>
      <w:bookmarkStart w:id="393" w:name="_Toc332461167"/>
      <w:bookmarkStart w:id="394" w:name="_Toc332461413"/>
      <w:bookmarkStart w:id="395" w:name="_Toc332461657"/>
      <w:bookmarkStart w:id="396" w:name="_Toc332463442"/>
      <w:bookmarkStart w:id="397" w:name="_Toc332463690"/>
      <w:bookmarkStart w:id="398" w:name="_Toc332463938"/>
      <w:bookmarkStart w:id="399" w:name="_Toc332467971"/>
      <w:bookmarkStart w:id="400" w:name="_Toc332461168"/>
      <w:bookmarkStart w:id="401" w:name="_Toc332461414"/>
      <w:bookmarkStart w:id="402" w:name="_Toc332461658"/>
      <w:bookmarkStart w:id="403" w:name="_Toc332463443"/>
      <w:bookmarkStart w:id="404" w:name="_Toc332463691"/>
      <w:bookmarkStart w:id="405" w:name="_Toc332463939"/>
      <w:bookmarkStart w:id="406" w:name="_Toc332467972"/>
      <w:bookmarkStart w:id="407" w:name="_Toc332461169"/>
      <w:bookmarkStart w:id="408" w:name="_Toc332461415"/>
      <w:bookmarkStart w:id="409" w:name="_Toc332461659"/>
      <w:bookmarkStart w:id="410" w:name="_Toc332463444"/>
      <w:bookmarkStart w:id="411" w:name="_Toc332463692"/>
      <w:bookmarkStart w:id="412" w:name="_Toc332463940"/>
      <w:bookmarkStart w:id="413" w:name="_Toc332467973"/>
      <w:bookmarkStart w:id="414" w:name="_Toc332461170"/>
      <w:bookmarkStart w:id="415" w:name="_Toc332461416"/>
      <w:bookmarkStart w:id="416" w:name="_Toc332461660"/>
      <w:bookmarkStart w:id="417" w:name="_Toc332463445"/>
      <w:bookmarkStart w:id="418" w:name="_Toc332463693"/>
      <w:bookmarkStart w:id="419" w:name="_Toc332463941"/>
      <w:bookmarkStart w:id="420" w:name="_Toc332467974"/>
      <w:bookmarkStart w:id="421" w:name="_Toc332461175"/>
      <w:bookmarkStart w:id="422" w:name="_Toc332461421"/>
      <w:bookmarkStart w:id="423" w:name="_Toc332461665"/>
      <w:bookmarkStart w:id="424" w:name="_Toc332463450"/>
      <w:bookmarkStart w:id="425" w:name="_Toc332463698"/>
      <w:bookmarkStart w:id="426" w:name="_Toc332463946"/>
      <w:bookmarkStart w:id="427" w:name="_Toc332467979"/>
      <w:bookmarkStart w:id="428" w:name="_Toc332461176"/>
      <w:bookmarkStart w:id="429" w:name="_Toc332461422"/>
      <w:bookmarkStart w:id="430" w:name="_Toc332461666"/>
      <w:bookmarkStart w:id="431" w:name="_Toc332463451"/>
      <w:bookmarkStart w:id="432" w:name="_Toc332463699"/>
      <w:bookmarkStart w:id="433" w:name="_Toc332463947"/>
      <w:bookmarkStart w:id="434" w:name="_Toc332467980"/>
      <w:bookmarkStart w:id="435" w:name="_Toc332461181"/>
      <w:bookmarkStart w:id="436" w:name="_Toc332461427"/>
      <w:bookmarkStart w:id="437" w:name="_Toc332461671"/>
      <w:bookmarkStart w:id="438" w:name="_Toc332463456"/>
      <w:bookmarkStart w:id="439" w:name="_Toc332463704"/>
      <w:bookmarkStart w:id="440" w:name="_Toc332463952"/>
      <w:bookmarkStart w:id="441" w:name="_Toc332467985"/>
      <w:bookmarkStart w:id="442" w:name="_Toc332467993"/>
      <w:bookmarkStart w:id="443" w:name="_Toc332467994"/>
      <w:bookmarkStart w:id="444" w:name="_Toc332467996"/>
      <w:bookmarkStart w:id="445" w:name="_Toc332467997"/>
      <w:bookmarkStart w:id="446" w:name="_Toc332468000"/>
      <w:bookmarkStart w:id="447" w:name="_Toc332468003"/>
      <w:bookmarkStart w:id="448" w:name="_Toc332463469"/>
      <w:bookmarkStart w:id="449" w:name="_Toc332463717"/>
      <w:bookmarkStart w:id="450" w:name="_Toc332463965"/>
      <w:bookmarkStart w:id="451" w:name="_Toc332468004"/>
      <w:bookmarkStart w:id="452" w:name="_Toc332463482"/>
      <w:bookmarkStart w:id="453" w:name="_Toc332463730"/>
      <w:bookmarkStart w:id="454" w:name="_Toc332463978"/>
      <w:bookmarkStart w:id="455" w:name="_Toc332468022"/>
      <w:bookmarkStart w:id="456" w:name="_Toc333408606"/>
      <w:bookmarkStart w:id="457" w:name="_Toc381961075"/>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p>
    <w:p w:rsidR="00BE1861" w:rsidRDefault="00BE1861" w:rsidP="00B011CD">
      <w:pPr>
        <w:pStyle w:val="BRNormal"/>
        <w:sectPr w:rsidR="00BE1861" w:rsidSect="00B011CD">
          <w:type w:val="continuous"/>
          <w:pgSz w:w="11900" w:h="16840" w:code="9"/>
          <w:pgMar w:top="1817" w:right="1418" w:bottom="1418" w:left="1418" w:header="0" w:footer="543" w:gutter="0"/>
          <w:cols w:space="284"/>
          <w:noEndnote/>
          <w:docGrid w:linePitch="326"/>
        </w:sectPr>
      </w:pPr>
    </w:p>
    <w:p w:rsidR="00BE1861" w:rsidRDefault="00BE1861" w:rsidP="00B011CD">
      <w:pPr>
        <w:pStyle w:val="BRNormal"/>
      </w:pPr>
      <w:r>
        <w:lastRenderedPageBreak/>
        <w:br w:type="page"/>
      </w:r>
    </w:p>
    <w:p w:rsidR="00C51D60" w:rsidRPr="005F6513" w:rsidRDefault="00C51D60" w:rsidP="005F6513">
      <w:pPr>
        <w:pStyle w:val="Heading1"/>
        <w:numPr>
          <w:ilvl w:val="0"/>
          <w:numId w:val="42"/>
        </w:numPr>
      </w:pPr>
      <w:bookmarkStart w:id="458" w:name="_Toc389055207"/>
      <w:r w:rsidRPr="005F6513">
        <w:lastRenderedPageBreak/>
        <w:t>Introduction</w:t>
      </w:r>
      <w:bookmarkEnd w:id="457"/>
      <w:bookmarkEnd w:id="458"/>
    </w:p>
    <w:p w:rsidR="00C51D60" w:rsidRPr="005F6513" w:rsidRDefault="00C51D60" w:rsidP="005F6513">
      <w:pPr>
        <w:pStyle w:val="Heading2"/>
      </w:pPr>
      <w:bookmarkStart w:id="459" w:name="_Toc381961076"/>
      <w:bookmarkStart w:id="460" w:name="_Toc389055208"/>
      <w:r w:rsidRPr="005F6513">
        <w:t>Background</w:t>
      </w:r>
      <w:bookmarkEnd w:id="459"/>
      <w:bookmarkEnd w:id="460"/>
    </w:p>
    <w:p w:rsidR="00341214" w:rsidRPr="000558B2" w:rsidRDefault="007E11FC" w:rsidP="000558B2">
      <w:pPr>
        <w:pStyle w:val="BRNormal"/>
      </w:pPr>
      <w:r w:rsidRPr="000558B2">
        <w:t xml:space="preserve">This review is one of a number commissioned by the </w:t>
      </w:r>
      <w:r w:rsidR="002E6C1D">
        <w:t xml:space="preserve">Department of the Environment </w:t>
      </w:r>
      <w:r w:rsidRPr="000558B2">
        <w:t xml:space="preserve">on the advice of the </w:t>
      </w:r>
      <w:r w:rsidR="004B676F">
        <w:t>I</w:t>
      </w:r>
      <w:r w:rsidRPr="000558B2">
        <w:t>nterim Independent Expert Scientific Committee on Coal Seam Gas and Coal Mining</w:t>
      </w:r>
      <w:r w:rsidR="00152997" w:rsidRPr="000558B2">
        <w:t>. These reviews</w:t>
      </w:r>
      <w:r w:rsidRPr="000558B2">
        <w:t xml:space="preserve"> aim to capture knowledge on the water-related impacts </w:t>
      </w:r>
      <w:r w:rsidRPr="000558B2">
        <w:rPr>
          <w:rStyle w:val="BR-normal-CopyrightPageChar"/>
          <w:sz w:val="22"/>
          <w:szCs w:val="22"/>
        </w:rPr>
        <w:t>o</w:t>
      </w:r>
      <w:r w:rsidRPr="000558B2">
        <w:t>f coal seam gas extraction and large coal mining</w:t>
      </w:r>
      <w:r w:rsidR="00152997" w:rsidRPr="000558B2">
        <w:t xml:space="preserve">, </w:t>
      </w:r>
      <w:r w:rsidR="00954AFD" w:rsidRPr="000558B2">
        <w:t>but</w:t>
      </w:r>
      <w:r w:rsidR="00152997" w:rsidRPr="000558B2">
        <w:t xml:space="preserve"> do not a</w:t>
      </w:r>
      <w:r w:rsidR="00954AFD" w:rsidRPr="000558B2">
        <w:t>im</w:t>
      </w:r>
      <w:r w:rsidR="007B4A9F" w:rsidRPr="000558B2">
        <w:t xml:space="preserve"> to provide detailed </w:t>
      </w:r>
      <w:r w:rsidR="00954AFD" w:rsidRPr="000558B2">
        <w:t xml:space="preserve">analysis and </w:t>
      </w:r>
      <w:r w:rsidR="007B4A9F" w:rsidRPr="000558B2">
        <w:t xml:space="preserve">evaluation of </w:t>
      </w:r>
      <w:r w:rsidR="00152997" w:rsidRPr="000558B2">
        <w:t>m</w:t>
      </w:r>
      <w:r w:rsidR="007B4A9F" w:rsidRPr="000558B2">
        <w:t>ethods</w:t>
      </w:r>
      <w:r w:rsidR="00152997" w:rsidRPr="000558B2">
        <w:t xml:space="preserve"> </w:t>
      </w:r>
      <w:r w:rsidR="00954AFD" w:rsidRPr="000558B2">
        <w:t xml:space="preserve">for identifying and managing impacts, or </w:t>
      </w:r>
      <w:r w:rsidR="00341214" w:rsidRPr="000558B2">
        <w:t xml:space="preserve">to </w:t>
      </w:r>
      <w:r w:rsidR="00954AFD" w:rsidRPr="000558B2">
        <w:t>develop such methods</w:t>
      </w:r>
      <w:r w:rsidRPr="000558B2">
        <w:t>.</w:t>
      </w:r>
    </w:p>
    <w:p w:rsidR="007E11FC" w:rsidRPr="001A7237" w:rsidRDefault="007E11FC" w:rsidP="000558B2">
      <w:pPr>
        <w:pStyle w:val="BRNormal"/>
      </w:pPr>
      <w:r w:rsidRPr="001A7237">
        <w:t>The focus of this report is on aquifer connectivity, particular</w:t>
      </w:r>
      <w:r w:rsidR="00737A6B">
        <w:t>ly</w:t>
      </w:r>
      <w:r w:rsidRPr="001A7237">
        <w:t xml:space="preserve"> within the Great Artesian Basin</w:t>
      </w:r>
      <w:r w:rsidR="00737A6B">
        <w:t xml:space="preserve"> (GAB)</w:t>
      </w:r>
      <w:r w:rsidRPr="001A7237">
        <w:t>, and the Surat</w:t>
      </w:r>
      <w:r w:rsidR="00486FE8">
        <w:t>, Bowen and Galilee geological B</w:t>
      </w:r>
      <w:r w:rsidRPr="001A7237">
        <w:t>asins</w:t>
      </w:r>
      <w:r w:rsidR="002E6C1D">
        <w:t xml:space="preserve"> (Figure 1)</w:t>
      </w:r>
      <w:r w:rsidRPr="001A7237">
        <w:t>, including:</w:t>
      </w:r>
    </w:p>
    <w:p w:rsidR="007E11FC" w:rsidRPr="001A7237" w:rsidRDefault="00453DC8" w:rsidP="000558B2">
      <w:pPr>
        <w:pStyle w:val="Bulletpoint"/>
      </w:pPr>
      <w:r w:rsidRPr="001A7237">
        <w:t>types of connectivity, its implications and measurement</w:t>
      </w:r>
    </w:p>
    <w:p w:rsidR="00453DC8" w:rsidRPr="001A7237" w:rsidRDefault="00453DC8" w:rsidP="000558B2">
      <w:pPr>
        <w:pStyle w:val="Bulletpoint"/>
      </w:pPr>
      <w:r w:rsidRPr="001A7237">
        <w:t>groundwater flow models</w:t>
      </w:r>
      <w:r w:rsidR="007D6866" w:rsidRPr="001A7237">
        <w:t>, which may both rely on an understanding of aquifer connectivity, and predict the extent o</w:t>
      </w:r>
      <w:r w:rsidR="007E61A2">
        <w:t>f connectivity between aquifers</w:t>
      </w:r>
    </w:p>
    <w:p w:rsidR="00453DC8" w:rsidRPr="001A7237" w:rsidRDefault="00453DC8" w:rsidP="000558B2">
      <w:pPr>
        <w:pStyle w:val="Bulletpoint"/>
      </w:pPr>
      <w:r w:rsidRPr="001A7237">
        <w:t>actions that can alter connectivity</w:t>
      </w:r>
    </w:p>
    <w:p w:rsidR="007E11FC" w:rsidRPr="001A7237" w:rsidRDefault="001D3BCA" w:rsidP="000558B2">
      <w:pPr>
        <w:pStyle w:val="Bulletpoint"/>
      </w:pPr>
      <w:r w:rsidRPr="001A7237">
        <w:t xml:space="preserve">connectivity within </w:t>
      </w:r>
      <w:r w:rsidR="007E61A2">
        <w:t>the GAB, a large and high-</w:t>
      </w:r>
      <w:r w:rsidR="002460DF" w:rsidRPr="001A7237">
        <w:t xml:space="preserve">priority groundwater resource, and </w:t>
      </w:r>
      <w:r w:rsidR="007D6866" w:rsidRPr="001A7237">
        <w:t xml:space="preserve">within </w:t>
      </w:r>
      <w:r w:rsidR="002460DF" w:rsidRPr="001A7237">
        <w:t>the Surat</w:t>
      </w:r>
      <w:r w:rsidR="00486FE8">
        <w:t>, Bowen and Galilee geological B</w:t>
      </w:r>
      <w:r w:rsidR="002460DF" w:rsidRPr="001A7237">
        <w:t>asins</w:t>
      </w:r>
      <w:r w:rsidR="007E61A2">
        <w:t>,</w:t>
      </w:r>
      <w:r w:rsidR="002460DF" w:rsidRPr="001A7237">
        <w:t xml:space="preserve"> which are linked to the GAB and are highly prospective areas for coal seam gas development and/or coal mining</w:t>
      </w:r>
    </w:p>
    <w:p w:rsidR="007E11FC" w:rsidRPr="001A7237" w:rsidRDefault="007D6866" w:rsidP="000558B2">
      <w:pPr>
        <w:pStyle w:val="Bulletpoint"/>
      </w:pPr>
      <w:proofErr w:type="gramStart"/>
      <w:r w:rsidRPr="001A7237">
        <w:t>knowledge</w:t>
      </w:r>
      <w:proofErr w:type="gramEnd"/>
      <w:r w:rsidRPr="001A7237">
        <w:t xml:space="preserve"> gaps and recommendations</w:t>
      </w:r>
      <w:r w:rsidR="007E11FC" w:rsidRPr="001A7237">
        <w:t>.</w:t>
      </w:r>
    </w:p>
    <w:p w:rsidR="007E11FC" w:rsidRPr="001A7237" w:rsidRDefault="007E11FC" w:rsidP="000558B2">
      <w:pPr>
        <w:pStyle w:val="BRNormal"/>
      </w:pPr>
      <w:r w:rsidRPr="001A7237">
        <w:t>The report provides a summary and synthesis of the relevant and available literature and the expert opinions of the authors</w:t>
      </w:r>
      <w:r w:rsidR="00B9679A" w:rsidRPr="001A7237">
        <w:t>, and</w:t>
      </w:r>
      <w:r w:rsidRPr="001A7237">
        <w:t xml:space="preserve"> focuses on issues relevant to </w:t>
      </w:r>
      <w:r w:rsidR="00B9679A" w:rsidRPr="001A7237">
        <w:t>predicting the potential impacts o</w:t>
      </w:r>
      <w:r w:rsidR="00E23003" w:rsidRPr="001A7237">
        <w:t xml:space="preserve">n water resources </w:t>
      </w:r>
      <w:r w:rsidR="00B9679A" w:rsidRPr="001A7237">
        <w:t>f</w:t>
      </w:r>
      <w:r w:rsidR="00E23003" w:rsidRPr="001A7237">
        <w:t>rom</w:t>
      </w:r>
      <w:r w:rsidR="00B9679A" w:rsidRPr="001A7237">
        <w:t xml:space="preserve"> </w:t>
      </w:r>
      <w:r w:rsidRPr="001A7237">
        <w:t>coal s</w:t>
      </w:r>
      <w:r w:rsidR="00B9679A" w:rsidRPr="001A7237">
        <w:t xml:space="preserve">eam gas extraction </w:t>
      </w:r>
      <w:r w:rsidR="00E23003" w:rsidRPr="001A7237">
        <w:t xml:space="preserve">and coal mining </w:t>
      </w:r>
      <w:r w:rsidR="00B9679A" w:rsidRPr="001A7237">
        <w:t>in Australia.</w:t>
      </w:r>
    </w:p>
    <w:p w:rsidR="00E23003" w:rsidRDefault="00E23003" w:rsidP="005F6513">
      <w:pPr>
        <w:pStyle w:val="Heading2"/>
      </w:pPr>
      <w:bookmarkStart w:id="461" w:name="_Toc381961077"/>
      <w:bookmarkStart w:id="462" w:name="_Toc389055209"/>
      <w:r>
        <w:t xml:space="preserve">Definition and </w:t>
      </w:r>
      <w:r w:rsidR="00C3641C">
        <w:t>relevance</w:t>
      </w:r>
      <w:bookmarkEnd w:id="461"/>
      <w:bookmarkEnd w:id="462"/>
    </w:p>
    <w:p w:rsidR="009078BE" w:rsidRDefault="00E23003" w:rsidP="000558B2">
      <w:pPr>
        <w:pStyle w:val="BRNormal"/>
      </w:pPr>
      <w:r w:rsidRPr="001A7237">
        <w:t xml:space="preserve">The term </w:t>
      </w:r>
      <w:r w:rsidRPr="001A7237">
        <w:rPr>
          <w:i/>
        </w:rPr>
        <w:t>aquifer connectivity</w:t>
      </w:r>
      <w:r w:rsidRPr="001A7237">
        <w:t xml:space="preserve"> can be interpreted in different ways, and in its simplest form can be considered as the</w:t>
      </w:r>
      <w:r w:rsidR="009078BE">
        <w:t>:</w:t>
      </w:r>
    </w:p>
    <w:p w:rsidR="009078BE" w:rsidRDefault="00DC1B48" w:rsidP="009078BE">
      <w:pPr>
        <w:pStyle w:val="BRQuote"/>
      </w:pPr>
      <w:r>
        <w:t>‘</w:t>
      </w:r>
      <w:r w:rsidR="009078BE">
        <w:t>…</w:t>
      </w:r>
      <w:r w:rsidR="00E23003" w:rsidRPr="001A7237">
        <w:t>existence of a path for flow and transport from one location to another</w:t>
      </w:r>
      <w:r>
        <w:t>…’</w:t>
      </w:r>
    </w:p>
    <w:p w:rsidR="009078BE" w:rsidRPr="009078BE" w:rsidRDefault="00F976E1" w:rsidP="009078BE">
      <w:pPr>
        <w:pStyle w:val="BRQuote"/>
        <w:rPr>
          <w:i w:val="0"/>
        </w:rPr>
      </w:pPr>
      <w:r>
        <w:t>©</w:t>
      </w:r>
      <w:r>
        <w:rPr>
          <w:i w:val="0"/>
        </w:rPr>
        <w:t> </w:t>
      </w:r>
      <w:r w:rsidR="009078BE">
        <w:rPr>
          <w:i w:val="0"/>
        </w:rPr>
        <w:t xml:space="preserve">Copyright, </w:t>
      </w:r>
      <w:r w:rsidR="00E23003" w:rsidRPr="009078BE">
        <w:rPr>
          <w:i w:val="0"/>
        </w:rPr>
        <w:t>Ren</w:t>
      </w:r>
      <w:r w:rsidR="00471A93" w:rsidRPr="009078BE">
        <w:rPr>
          <w:i w:val="0"/>
        </w:rPr>
        <w:t>n</w:t>
      </w:r>
      <w:r w:rsidR="00E23003" w:rsidRPr="009078BE">
        <w:rPr>
          <w:i w:val="0"/>
        </w:rPr>
        <w:t xml:space="preserve">ard </w:t>
      </w:r>
      <w:r w:rsidR="001E4906" w:rsidRPr="009078BE">
        <w:rPr>
          <w:i w:val="0"/>
        </w:rPr>
        <w:t>&amp; Allard</w:t>
      </w:r>
      <w:r w:rsidR="00E23003" w:rsidRPr="009078BE">
        <w:rPr>
          <w:i w:val="0"/>
        </w:rPr>
        <w:t xml:space="preserve"> </w:t>
      </w:r>
      <w:r w:rsidR="00DC1B48">
        <w:rPr>
          <w:i w:val="0"/>
        </w:rPr>
        <w:t>(2011)</w:t>
      </w:r>
      <w:r w:rsidR="00E23003" w:rsidRPr="009078BE">
        <w:rPr>
          <w:i w:val="0"/>
        </w:rPr>
        <w:t xml:space="preserve"> </w:t>
      </w:r>
    </w:p>
    <w:p w:rsidR="00E23003" w:rsidRPr="001A7237" w:rsidRDefault="00E23003" w:rsidP="000558B2">
      <w:pPr>
        <w:pStyle w:val="BRNormal"/>
      </w:pPr>
      <w:r w:rsidRPr="001A7237">
        <w:t>For the purposes of this review, a more detailed definition has been formulated:</w:t>
      </w:r>
    </w:p>
    <w:p w:rsidR="00E23003" w:rsidRPr="001A7237" w:rsidRDefault="00E23003" w:rsidP="000558B2">
      <w:pPr>
        <w:pStyle w:val="BRNormal"/>
      </w:pPr>
      <w:r w:rsidRPr="001A7237">
        <w:t xml:space="preserve">Aquifer connectivity is a term that describes the </w:t>
      </w:r>
      <w:r w:rsidR="00C525B2" w:rsidRPr="001A7237">
        <w:t xml:space="preserve">groundwater </w:t>
      </w:r>
      <w:r w:rsidRPr="001A7237">
        <w:t xml:space="preserve">interaction between aquifers </w:t>
      </w:r>
      <w:r w:rsidR="00C525B2" w:rsidRPr="001A7237">
        <w:t xml:space="preserve">that are </w:t>
      </w:r>
      <w:r w:rsidRPr="001A7237">
        <w:t xml:space="preserve">separated by an aquitard (often termed inter-aquifer leakage), or between different parts of the same aquifer (intra-aquifer connectivity). </w:t>
      </w:r>
      <w:r w:rsidR="00B54EAA" w:rsidRPr="001A7237">
        <w:t xml:space="preserve">It is dependent upon the lithology of aquitards and aquifers, and their integrity and spatial continuity. Fractures, faults and open or inadequately-sealed boreholes </w:t>
      </w:r>
      <w:r w:rsidR="00BE7E0B" w:rsidRPr="001A7237">
        <w:t>can</w:t>
      </w:r>
      <w:r w:rsidR="00B54EAA" w:rsidRPr="001A7237">
        <w:t xml:space="preserve"> form preferential flow paths that </w:t>
      </w:r>
      <w:r w:rsidR="00BE7E0B" w:rsidRPr="001A7237">
        <w:t xml:space="preserve">also </w:t>
      </w:r>
      <w:r w:rsidR="00B54EAA" w:rsidRPr="001A7237">
        <w:t xml:space="preserve">affect connectivity. </w:t>
      </w:r>
      <w:r w:rsidRPr="001A7237">
        <w:t xml:space="preserve">The degree of connectivity and the rate of water and solute transfer </w:t>
      </w:r>
      <w:r w:rsidR="00C525B2" w:rsidRPr="001A7237">
        <w:t xml:space="preserve">between aquifers </w:t>
      </w:r>
      <w:r w:rsidRPr="001A7237">
        <w:t xml:space="preserve">are strongly influenced by local and regional hydraulic pressure and </w:t>
      </w:r>
      <w:r w:rsidR="00B54EAA" w:rsidRPr="001A7237">
        <w:t xml:space="preserve">dissolved mineral </w:t>
      </w:r>
      <w:r w:rsidRPr="001A7237">
        <w:t>concentration gradients. As aquifer systems are dynamic, these gradients are constantly changing with time, as groundwater is recharged or removed from the system.</w:t>
      </w:r>
    </w:p>
    <w:p w:rsidR="002E6C1D" w:rsidRDefault="002E6C1D" w:rsidP="000558B2">
      <w:pPr>
        <w:pStyle w:val="BRNormal"/>
      </w:pPr>
    </w:p>
    <w:p w:rsidR="002E6C1D" w:rsidRDefault="002E6C1D" w:rsidP="002E6C1D">
      <w:pPr>
        <w:pStyle w:val="Body"/>
      </w:pPr>
      <w:r>
        <w:rPr>
          <w:noProof/>
          <w:lang w:val="en-AU" w:eastAsia="en-AU"/>
        </w:rPr>
        <w:lastRenderedPageBreak/>
        <w:drawing>
          <wp:inline distT="0" distB="0" distL="0" distR="0">
            <wp:extent cx="5755640" cy="6767195"/>
            <wp:effectExtent l="1905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B_sed_basins_figure_v04.png"/>
                    <pic:cNvPicPr/>
                  </pic:nvPicPr>
                  <pic:blipFill>
                    <a:blip r:embed="rId23"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755640" cy="6767195"/>
                    </a:xfrm>
                    <a:prstGeom prst="rect">
                      <a:avLst/>
                    </a:prstGeom>
                  </pic:spPr>
                </pic:pic>
              </a:graphicData>
            </a:graphic>
          </wp:inline>
        </w:drawing>
      </w:r>
    </w:p>
    <w:p w:rsidR="002E6C1D" w:rsidRDefault="002E6C1D" w:rsidP="002E6C1D">
      <w:pPr>
        <w:pStyle w:val="BRNormal"/>
      </w:pPr>
      <w:r w:rsidRPr="00531164">
        <w:rPr>
          <w:sz w:val="20"/>
          <w:szCs w:val="20"/>
        </w:rPr>
        <w:t xml:space="preserve">Figure </w:t>
      </w:r>
      <w:r w:rsidR="00E23933" w:rsidRPr="00531164">
        <w:rPr>
          <w:sz w:val="20"/>
          <w:szCs w:val="20"/>
        </w:rPr>
        <w:fldChar w:fldCharType="begin"/>
      </w:r>
      <w:r w:rsidRPr="00531164">
        <w:rPr>
          <w:sz w:val="20"/>
          <w:szCs w:val="20"/>
        </w:rPr>
        <w:instrText xml:space="preserve"> SEQ Figure \* ARABIC </w:instrText>
      </w:r>
      <w:r w:rsidR="00E23933" w:rsidRPr="00531164">
        <w:rPr>
          <w:sz w:val="20"/>
          <w:szCs w:val="20"/>
        </w:rPr>
        <w:fldChar w:fldCharType="separate"/>
      </w:r>
      <w:r w:rsidRPr="00531164">
        <w:rPr>
          <w:sz w:val="20"/>
          <w:szCs w:val="20"/>
        </w:rPr>
        <w:t>1</w:t>
      </w:r>
      <w:r w:rsidR="00E23933" w:rsidRPr="00531164">
        <w:rPr>
          <w:sz w:val="20"/>
          <w:szCs w:val="20"/>
        </w:rPr>
        <w:fldChar w:fldCharType="end"/>
      </w:r>
      <w:r w:rsidRPr="00531164">
        <w:rPr>
          <w:sz w:val="20"/>
          <w:szCs w:val="20"/>
        </w:rPr>
        <w:t xml:space="preserve"> Location of the Great Artesian Basin, Surat Basin and underlying Bowen and Galilee Basins.</w:t>
      </w:r>
    </w:p>
    <w:p w:rsidR="002E6C1D" w:rsidRDefault="002E6C1D" w:rsidP="000558B2">
      <w:pPr>
        <w:pStyle w:val="BRNormal"/>
      </w:pPr>
    </w:p>
    <w:p w:rsidR="00C51D60" w:rsidRPr="001A7237" w:rsidRDefault="00C3641C" w:rsidP="000558B2">
      <w:pPr>
        <w:pStyle w:val="BRNormal"/>
      </w:pPr>
      <w:r w:rsidRPr="001A7237">
        <w:t>I</w:t>
      </w:r>
      <w:r w:rsidR="00782A86" w:rsidRPr="001A7237">
        <w:t>n an aquifer system under natural conditions, differences in hydraulic pressure will be present, both within aquifers a</w:t>
      </w:r>
      <w:r w:rsidRPr="001A7237">
        <w:t>nd</w:t>
      </w:r>
      <w:r w:rsidR="00782A86" w:rsidRPr="001A7237">
        <w:t xml:space="preserve"> between aquifers </w:t>
      </w:r>
      <w:r w:rsidRPr="001A7237">
        <w:t xml:space="preserve">that are </w:t>
      </w:r>
      <w:r w:rsidR="00782A86" w:rsidRPr="001A7237">
        <w:t xml:space="preserve">separated by aquitards. These pressure differences result in flow of water and solutes within and between aquifers. </w:t>
      </w:r>
      <w:r w:rsidR="00C51D60" w:rsidRPr="001A7237">
        <w:t xml:space="preserve">When groundwater is pumped from a well it is intuitive that water pressure in the aquifer being pumped will decrease, leading to a localised increase in the rate of flow of water and its dissolved constituents towards the well. However, prolonged groundwater pumping from </w:t>
      </w:r>
      <w:r w:rsidR="00C51D60" w:rsidRPr="001A7237">
        <w:lastRenderedPageBreak/>
        <w:t xml:space="preserve">multi-layered aquifer systems </w:t>
      </w:r>
      <w:r w:rsidR="00782A86" w:rsidRPr="001A7237">
        <w:t xml:space="preserve">will also affect </w:t>
      </w:r>
      <w:r w:rsidRPr="001A7237">
        <w:t xml:space="preserve">aquifers </w:t>
      </w:r>
      <w:r w:rsidR="00782A86" w:rsidRPr="001A7237">
        <w:t>other than the pumped aquifer. This can result in a</w:t>
      </w:r>
      <w:r w:rsidR="00C51D60" w:rsidRPr="001A7237">
        <w:t xml:space="preserve"> range of unforeseen impacts, including but not limited to the following:</w:t>
      </w:r>
    </w:p>
    <w:p w:rsidR="00C51D60" w:rsidRPr="009D2008" w:rsidRDefault="00C51D60" w:rsidP="009D2008">
      <w:pPr>
        <w:pStyle w:val="Bulletpoint"/>
      </w:pPr>
      <w:r w:rsidRPr="009D2008">
        <w:t>enhanced leakage of water from overlying and underlying aquifers and aquitards, resulting in the coincidental depletion of water in these re</w:t>
      </w:r>
      <w:r w:rsidR="001E78BD" w:rsidRPr="009D2008">
        <w:t>sources</w:t>
      </w:r>
    </w:p>
    <w:p w:rsidR="00C51D60" w:rsidRPr="009D2008" w:rsidRDefault="00C51D60" w:rsidP="009D2008">
      <w:pPr>
        <w:pStyle w:val="Bulletpoint"/>
      </w:pPr>
      <w:r w:rsidRPr="009D2008">
        <w:t>mobilisation of natural salts from overlying and underlying aquifers and aquitards, resulting in the coincidental deterioration of wate</w:t>
      </w:r>
      <w:r w:rsidR="001E78BD" w:rsidRPr="009D2008">
        <w:t>r quality in the pumped aquifer</w:t>
      </w:r>
    </w:p>
    <w:p w:rsidR="00C51D60" w:rsidRPr="009D2008" w:rsidRDefault="00C51D60" w:rsidP="009D2008">
      <w:pPr>
        <w:pStyle w:val="Bulletpoint"/>
      </w:pPr>
      <w:r w:rsidRPr="009D2008">
        <w:t>mobilisation of anthropogenic contaminants from overlying and underlying aquife</w:t>
      </w:r>
      <w:r w:rsidR="001E78BD" w:rsidRPr="009D2008">
        <w:t>rs and aquitards</w:t>
      </w:r>
    </w:p>
    <w:p w:rsidR="00C51D60" w:rsidRPr="001A7237" w:rsidRDefault="00C51D60" w:rsidP="009D2008">
      <w:pPr>
        <w:pStyle w:val="Bulletpoint"/>
      </w:pPr>
      <w:r w:rsidRPr="009D2008">
        <w:t xml:space="preserve">changes in the nature and fluxes </w:t>
      </w:r>
      <w:r w:rsidR="00DF3F06" w:rsidRPr="009D2008">
        <w:t>between surface water and groundwater</w:t>
      </w:r>
      <w:r w:rsidR="00B14743" w:rsidRPr="009D2008">
        <w:t xml:space="preserve"> </w:t>
      </w:r>
      <w:r w:rsidR="00DF3F06" w:rsidRPr="009D2008">
        <w:t xml:space="preserve">systems </w:t>
      </w:r>
      <w:r w:rsidRPr="009D2008">
        <w:t xml:space="preserve">near </w:t>
      </w:r>
      <w:r w:rsidR="00C3641C" w:rsidRPr="009D2008">
        <w:t xml:space="preserve">the </w:t>
      </w:r>
      <w:r w:rsidR="001E78BD" w:rsidRPr="009D2008">
        <w:t>ground</w:t>
      </w:r>
      <w:r w:rsidR="001E78BD">
        <w:t xml:space="preserve"> surface</w:t>
      </w:r>
    </w:p>
    <w:p w:rsidR="00C51D60" w:rsidRPr="001A7237" w:rsidRDefault="00C51D60" w:rsidP="000558B2">
      <w:pPr>
        <w:pStyle w:val="Bulletpoint"/>
      </w:pPr>
      <w:proofErr w:type="gramStart"/>
      <w:r w:rsidRPr="001A7237">
        <w:t>declining</w:t>
      </w:r>
      <w:proofErr w:type="gramEnd"/>
      <w:r w:rsidRPr="001A7237">
        <w:t xml:space="preserve"> water levels in shallow aquifers, leading to changes in the recharge and/or discharge rates.</w:t>
      </w:r>
    </w:p>
    <w:p w:rsidR="00C51D60" w:rsidRPr="001A7237" w:rsidRDefault="00C51D60" w:rsidP="000558B2">
      <w:pPr>
        <w:pStyle w:val="BRNormal"/>
      </w:pPr>
      <w:r w:rsidRPr="001A7237">
        <w:t>Thus any large-scale groundwater development, including that required for CSG production and dewatering of coal mine voids, needs to be managed with the best available information about aquifer connectivity.</w:t>
      </w:r>
    </w:p>
    <w:p w:rsidR="00C51D60" w:rsidRDefault="002E6C1D" w:rsidP="005F6513">
      <w:pPr>
        <w:pStyle w:val="Heading2"/>
      </w:pPr>
      <w:bookmarkStart w:id="463" w:name="_Toc381961078"/>
      <w:bookmarkStart w:id="464" w:name="_Toc389055210"/>
      <w:r>
        <w:t>Objectives and s</w:t>
      </w:r>
      <w:r w:rsidR="00C51D60">
        <w:t>cope</w:t>
      </w:r>
      <w:bookmarkEnd w:id="463"/>
      <w:bookmarkEnd w:id="464"/>
    </w:p>
    <w:p w:rsidR="00C51D60" w:rsidRPr="001A7237" w:rsidRDefault="00C51D60" w:rsidP="001E78BD">
      <w:pPr>
        <w:pStyle w:val="BRNormal"/>
      </w:pPr>
      <w:r w:rsidRPr="001A7237">
        <w:t xml:space="preserve">The primary objective of this review is to document the range of scientific methods that have been developed to measure and model connectivity in any hydrogeological setting, and the specific knowledge of aquifer connectivity for the </w:t>
      </w:r>
      <w:r w:rsidRPr="002E6C1D">
        <w:t>GAB, Surat</w:t>
      </w:r>
      <w:r w:rsidRPr="001A7237">
        <w:t xml:space="preserve"> Basin, Bowen Basin and Galilee Basin. The review captures </w:t>
      </w:r>
      <w:r w:rsidR="00CA48B9" w:rsidRPr="001A7237">
        <w:t>expert</w:t>
      </w:r>
      <w:r w:rsidRPr="001A7237">
        <w:t xml:space="preserve"> knowledge from each of the primary authors and their respective organisations, as well as </w:t>
      </w:r>
      <w:r w:rsidRPr="001E78BD">
        <w:t>published</w:t>
      </w:r>
      <w:r w:rsidRPr="001A7237">
        <w:t xml:space="preserve"> material from text books and international peer-reviewed journals. However, this review does not attempt to report every publication that has mentioned aquifer connectivity. It also does not utilise nor report every investigation and dataset that is publically available for each of the four specific basins.</w:t>
      </w:r>
      <w:r w:rsidR="007C5C79" w:rsidRPr="001A7237">
        <w:t xml:space="preserve"> The collection of industry and other data was out of scope for this project.</w:t>
      </w:r>
      <w:r w:rsidRPr="001A7237">
        <w:t xml:space="preserve"> Instead</w:t>
      </w:r>
      <w:r w:rsidR="001E78BD">
        <w:t>,</w:t>
      </w:r>
      <w:r w:rsidRPr="001A7237">
        <w:t xml:space="preserve"> the review is aimed at broad, regional-scale understandings with key examples to illustrate areas where particular data and, by inference, knowledge is either available or required in the foreseeable future.</w:t>
      </w:r>
      <w:r w:rsidR="00ED28E0" w:rsidRPr="001A7237">
        <w:t xml:space="preserve"> </w:t>
      </w:r>
      <w:r w:rsidRPr="001A7237">
        <w:t>The review is relevant for aquifer connectivity</w:t>
      </w:r>
      <w:r w:rsidR="007C5C79" w:rsidRPr="001A7237">
        <w:t xml:space="preserve"> </w:t>
      </w:r>
      <w:r w:rsidRPr="001A7237">
        <w:t>in the context of both CSG and coal mining. Because the principles of groundwater flow and solute transport are independent of geology and land use, this report purposely addresses connectivity in a general sense, unless specific examples from CSG development or coal mining are available.</w:t>
      </w:r>
    </w:p>
    <w:p w:rsidR="00512F44" w:rsidRPr="001A7237" w:rsidRDefault="00512F44" w:rsidP="000558B2">
      <w:pPr>
        <w:pStyle w:val="BRNormal"/>
      </w:pPr>
      <w:r w:rsidRPr="001A7237">
        <w:t>The summary information in this report could be useful to scientists and engineers familiarising themselves with the</w:t>
      </w:r>
      <w:r w:rsidR="001E78BD">
        <w:t xml:space="preserve"> four specific basins reviewed in this report</w:t>
      </w:r>
      <w:r w:rsidRPr="001A7237">
        <w:t>.</w:t>
      </w:r>
      <w:r w:rsidR="001E4906">
        <w:t xml:space="preserve"> </w:t>
      </w:r>
      <w:r w:rsidR="00476D93" w:rsidRPr="001A7237">
        <w:t>Th</w:t>
      </w:r>
      <w:r w:rsidR="00DF3F06" w:rsidRPr="001A7237">
        <w:t>e</w:t>
      </w:r>
      <w:r w:rsidR="00476D93" w:rsidRPr="001A7237">
        <w:t xml:space="preserve"> report could also </w:t>
      </w:r>
      <w:r w:rsidR="00DF3F06" w:rsidRPr="001A7237">
        <w:t xml:space="preserve">provide a reference on groundwater flow and aquifer connectivity </w:t>
      </w:r>
      <w:r w:rsidR="00476D93" w:rsidRPr="001A7237">
        <w:t>for informed, interested parties.</w:t>
      </w:r>
    </w:p>
    <w:p w:rsidR="00C51D60" w:rsidRDefault="00C51D60" w:rsidP="005F6513">
      <w:pPr>
        <w:pStyle w:val="Heading2"/>
      </w:pPr>
      <w:bookmarkStart w:id="465" w:name="_Toc381961079"/>
      <w:bookmarkStart w:id="466" w:name="_Toc389055211"/>
      <w:r>
        <w:t>Outline</w:t>
      </w:r>
      <w:bookmarkEnd w:id="465"/>
      <w:bookmarkEnd w:id="466"/>
    </w:p>
    <w:p w:rsidR="00C51D60" w:rsidRPr="001A7237" w:rsidRDefault="00C51D60" w:rsidP="000558B2">
      <w:pPr>
        <w:pStyle w:val="BRNormal"/>
      </w:pPr>
      <w:r w:rsidRPr="001A7237">
        <w:t xml:space="preserve">This report begins with a review of what is currently known about aquifer connectivity in terms of general hydrogeological and geotechnical principles (Chapter 2) and established methods for measuring and modelling fluid and solute transport within and between aquifers (Chapter 3). A particular concept introduced in these first chapters is that of </w:t>
      </w:r>
      <w:r w:rsidR="00CA48B9" w:rsidRPr="001A7237">
        <w:t>spatial and temporal</w:t>
      </w:r>
      <w:r w:rsidRPr="001A7237">
        <w:t xml:space="preserve"> scales for groundwater flow and transport through different geologic media; the significant lag times that multi-layered aquifer systems may require to realise and recover from changes in groundwater pumping are explored in some detail. </w:t>
      </w:r>
    </w:p>
    <w:p w:rsidR="00C51D60" w:rsidRPr="001A7237" w:rsidRDefault="00C51D60" w:rsidP="000558B2">
      <w:pPr>
        <w:pStyle w:val="BRNormal"/>
      </w:pPr>
      <w:r w:rsidRPr="001A7237">
        <w:lastRenderedPageBreak/>
        <w:t xml:space="preserve">A large proportion of historical research into aquifer connectivity – at least in the case of inter-aquifer leakage – has been undertaken in areas of relatively low groundwater development. Accordingly, the current scientific understanding is likely to be biased towards natural conditions. </w:t>
      </w:r>
      <w:r w:rsidR="001E78BD">
        <w:t>The</w:t>
      </w:r>
      <w:r w:rsidRPr="001A7237">
        <w:t xml:space="preserve"> level of understanding about connectivity in the four specific basins reviewed </w:t>
      </w:r>
      <w:r w:rsidR="001E78BD">
        <w:t>in</w:t>
      </w:r>
      <w:r w:rsidRPr="001A7237">
        <w:t xml:space="preserve"> this report (Chapters 5-8) can also be considered as representative of largely un</w:t>
      </w:r>
      <w:r w:rsidR="00CA48B9" w:rsidRPr="001A7237">
        <w:t>-</w:t>
      </w:r>
      <w:r w:rsidRPr="001A7237">
        <w:t xml:space="preserve">stressed </w:t>
      </w:r>
      <w:r w:rsidR="001E4906">
        <w:t>(i.e.</w:t>
      </w:r>
      <w:r w:rsidR="00CA48B9" w:rsidRPr="001A7237">
        <w:t xml:space="preserve"> natural) </w:t>
      </w:r>
      <w:r w:rsidRPr="001A7237">
        <w:t>systems.</w:t>
      </w:r>
    </w:p>
    <w:p w:rsidR="00C51D60" w:rsidRPr="001A7237" w:rsidRDefault="00C51D60" w:rsidP="000558B2">
      <w:pPr>
        <w:pStyle w:val="BRNormal"/>
      </w:pPr>
      <w:r w:rsidRPr="001A7237">
        <w:t>Chapter 4 explores how aquifer connectivity may change as a result of prolonged groundwater extraction. The most logical change is an increase in groundwater fluxes brought about by increased hydraulic gradients (see Chapter 2 for principles of groundwater flow). However, more subtle impacts may result through reactivation of existing faults and fractures, or even brittle deformation of otherwise competent aquitards following subsidence caused by depressurisation of aquifers.</w:t>
      </w:r>
    </w:p>
    <w:p w:rsidR="00C51D60" w:rsidRPr="001A7237" w:rsidRDefault="00C51D60" w:rsidP="00DC1B48">
      <w:pPr>
        <w:pStyle w:val="BRNormal"/>
      </w:pPr>
      <w:r w:rsidRPr="001A7237">
        <w:t xml:space="preserve">The final section of this report (Chapter 9) identifies the major knowledge gaps that present a risk to the future management of water resource impacts from CSG and coal mining. These gaps include uncertainties in </w:t>
      </w:r>
      <w:r w:rsidR="001E78BD">
        <w:t>the</w:t>
      </w:r>
      <w:r w:rsidRPr="001A7237">
        <w:t xml:space="preserve"> understanding of particular hydrogeological processes; limitations in the methods or tools to measure and predict the impacts of prolonged, large-scale groundwater pumping on adjacent water resources; </w:t>
      </w:r>
      <w:r w:rsidR="00DF3F06" w:rsidRPr="001A7237">
        <w:t xml:space="preserve">and </w:t>
      </w:r>
      <w:r w:rsidRPr="001A7237">
        <w:t>deficiencies in data availability for the four studied basins.</w:t>
      </w:r>
    </w:p>
    <w:p w:rsidR="00C3641C" w:rsidRPr="001A7237" w:rsidRDefault="00C3641C" w:rsidP="001C3374">
      <w:pPr>
        <w:rPr>
          <w:rFonts w:ascii="Calibri" w:hAnsi="Calibri" w:cs="Calibri"/>
        </w:rPr>
      </w:pPr>
      <w:r w:rsidRPr="001A7237">
        <w:br w:type="page"/>
      </w:r>
    </w:p>
    <w:p w:rsidR="00D93568" w:rsidRDefault="004D7683" w:rsidP="005F6513">
      <w:pPr>
        <w:pStyle w:val="Heading1"/>
      </w:pPr>
      <w:bookmarkStart w:id="467" w:name="_Toc381961080"/>
      <w:bookmarkStart w:id="468" w:name="_Toc389055212"/>
      <w:r w:rsidRPr="005F6513">
        <w:lastRenderedPageBreak/>
        <w:t>Aquifer</w:t>
      </w:r>
      <w:r w:rsidR="003031AC">
        <w:t xml:space="preserve"> c</w:t>
      </w:r>
      <w:r>
        <w:t>onnectivity</w:t>
      </w:r>
      <w:bookmarkEnd w:id="467"/>
      <w:bookmarkEnd w:id="468"/>
      <w:r w:rsidR="00374D28">
        <w:t xml:space="preserve"> </w:t>
      </w:r>
    </w:p>
    <w:p w:rsidR="00DA4153" w:rsidRPr="0010123B" w:rsidRDefault="00D2193D" w:rsidP="005F6513">
      <w:pPr>
        <w:pStyle w:val="Heading2"/>
      </w:pPr>
      <w:bookmarkStart w:id="469" w:name="_Toc381961081"/>
      <w:bookmarkStart w:id="470" w:name="_Toc389055213"/>
      <w:r w:rsidRPr="003031AC">
        <w:t>I</w:t>
      </w:r>
      <w:r w:rsidR="004D7683" w:rsidRPr="003031AC">
        <w:t>ntroduction</w:t>
      </w:r>
      <w:bookmarkEnd w:id="469"/>
      <w:bookmarkEnd w:id="470"/>
    </w:p>
    <w:p w:rsidR="00374D28" w:rsidRDefault="00374D28" w:rsidP="003031AC">
      <w:pPr>
        <w:pStyle w:val="BRNormal"/>
      </w:pPr>
      <w:r>
        <w:t>This chapter outlines the basic concepts of hydrogeology and the fundamental equations that describe groundwater flow and solute transport in the conte</w:t>
      </w:r>
      <w:r w:rsidR="00845528">
        <w:t>x</w:t>
      </w:r>
      <w:r>
        <w:t xml:space="preserve">t of aquifer connectivity. A suite of simple numerical groundwater models is also used to demonstrate the key physical processes, including the </w:t>
      </w:r>
      <w:r w:rsidR="003F43DE">
        <w:t>impacts</w:t>
      </w:r>
      <w:r>
        <w:t xml:space="preserve"> of different types of connections in inter-aquifer leakage. For further background information, the reader is referred to the Glossary</w:t>
      </w:r>
      <w:r w:rsidR="006B3817">
        <w:t xml:space="preserve"> of terms</w:t>
      </w:r>
      <w:r>
        <w:t xml:space="preserve"> contained herein, or the </w:t>
      </w:r>
      <w:r w:rsidR="001E4906">
        <w:t>many text books available (e.g.</w:t>
      </w:r>
      <w:r w:rsidR="001E4906" w:rsidRPr="001E4906">
        <w:t xml:space="preserve"> </w:t>
      </w:r>
      <w:r w:rsidR="001E4906">
        <w:t>Delleur 2007</w:t>
      </w:r>
      <w:r w:rsidR="00B468FC">
        <w:t>; Fetter</w:t>
      </w:r>
      <w:r w:rsidR="00B468FC">
        <w:rPr>
          <w:lang w:val="en-US"/>
        </w:rPr>
        <w:t xml:space="preserve"> </w:t>
      </w:r>
      <w:r w:rsidR="00B468FC" w:rsidRPr="00BB1772">
        <w:rPr>
          <w:lang w:val="en-US"/>
        </w:rPr>
        <w:t>2001</w:t>
      </w:r>
      <w:r w:rsidR="00B468FC">
        <w:rPr>
          <w:lang w:val="en-US"/>
        </w:rPr>
        <w:t xml:space="preserve">; </w:t>
      </w:r>
      <w:r w:rsidR="001E4906">
        <w:t>Freeze &amp; Cherry 1979</w:t>
      </w:r>
      <w:r>
        <w:t>).</w:t>
      </w:r>
    </w:p>
    <w:p w:rsidR="00AE6A83" w:rsidRDefault="00374D28" w:rsidP="003031AC">
      <w:pPr>
        <w:pStyle w:val="BRNormal"/>
      </w:pPr>
      <w:r>
        <w:t xml:space="preserve">Broadly speaking, </w:t>
      </w:r>
      <w:r w:rsidR="00AE6A83">
        <w:t>groundwater flow systems can be divided in</w:t>
      </w:r>
      <w:r w:rsidR="00472702">
        <w:t>to</w:t>
      </w:r>
      <w:r w:rsidR="00AE6A83">
        <w:t xml:space="preserve"> aquifers and aquitards. Aquifers are </w:t>
      </w:r>
      <w:r w:rsidR="00A03A49">
        <w:t xml:space="preserve">generally defined as </w:t>
      </w:r>
      <w:r w:rsidR="00AE6A83">
        <w:t xml:space="preserve">permeable </w:t>
      </w:r>
      <w:r w:rsidR="00A03A49">
        <w:t xml:space="preserve">geological </w:t>
      </w:r>
      <w:r w:rsidR="00AE6A83">
        <w:t>layers</w:t>
      </w:r>
      <w:r w:rsidR="00A03A49">
        <w:t xml:space="preserve"> that can transmit water </w:t>
      </w:r>
      <w:r w:rsidR="00047D64">
        <w:t xml:space="preserve">at a sufficient rate </w:t>
      </w:r>
      <w:r w:rsidR="00A03A49">
        <w:t>to sustain pumping from a well. In contrast</w:t>
      </w:r>
      <w:r w:rsidR="00AE6A83">
        <w:t>, aquitards</w:t>
      </w:r>
      <w:r w:rsidR="00A03A49">
        <w:t xml:space="preserve"> are low-permeability </w:t>
      </w:r>
      <w:r w:rsidR="00AE6A83">
        <w:t xml:space="preserve">layers </w:t>
      </w:r>
      <w:r w:rsidR="00A03A49">
        <w:t>that ret</w:t>
      </w:r>
      <w:r w:rsidR="00047D64">
        <w:t>a</w:t>
      </w:r>
      <w:r w:rsidR="00A03A49">
        <w:t>rd the flow of water, and thus cannot sustain pumping from a well</w:t>
      </w:r>
      <w:r w:rsidR="00AE6A83">
        <w:t xml:space="preserve">. </w:t>
      </w:r>
      <w:r w:rsidR="00681EBA">
        <w:t xml:space="preserve">Some literature also introduce the term aquiclude to represent geologic formations that preclude the flow of water, </w:t>
      </w:r>
      <w:r w:rsidR="00607782">
        <w:t xml:space="preserve">however </w:t>
      </w:r>
      <w:r w:rsidR="0030300D">
        <w:t>we have reframed from using this term</w:t>
      </w:r>
      <w:r w:rsidR="00607782">
        <w:t xml:space="preserve"> </w:t>
      </w:r>
      <w:r w:rsidR="00681EBA">
        <w:t>as there are no geological media that are completely impervious, albeit some are extremely tight.</w:t>
      </w:r>
      <w:r w:rsidR="00F170A7">
        <w:t xml:space="preserve"> This grouping of formations </w:t>
      </w:r>
      <w:r w:rsidR="00B3689C">
        <w:t xml:space="preserve">based on their hydraulic properties </w:t>
      </w:r>
      <w:r w:rsidR="00F170A7">
        <w:t>is</w:t>
      </w:r>
      <w:r w:rsidR="00B3689C">
        <w:t xml:space="preserve"> the hydrostratigraphy of a region. A hydrost</w:t>
      </w:r>
      <w:r w:rsidR="002D6A86">
        <w:t>ratigraphy will always be scale-</w:t>
      </w:r>
      <w:r w:rsidR="00B3689C">
        <w:t>dependent as it entails a grouping based on the relative difference in hydraulic conductivity between formations. For example, at a regional scale, the alluvial deposits of the Namoi River in New South Wales</w:t>
      </w:r>
      <w:r w:rsidR="002D6A86">
        <w:t xml:space="preserve"> (NSW)</w:t>
      </w:r>
      <w:r w:rsidR="00B3689C">
        <w:t xml:space="preserve"> can be considered an aquifer. At a detailed local scale however, the presence of clay layers and lenses might warrant a further subdivision in aquifers and aquitards.</w:t>
      </w:r>
      <w:r w:rsidR="005B776E">
        <w:t xml:space="preserve"> </w:t>
      </w:r>
      <w:r w:rsidR="00F170DC">
        <w:t xml:space="preserve">Similarly, a coal seam will not </w:t>
      </w:r>
      <w:r w:rsidR="002565B6">
        <w:t xml:space="preserve">generally be classified as an aquifer </w:t>
      </w:r>
      <w:r w:rsidR="00F170DC">
        <w:t>because of i</w:t>
      </w:r>
      <w:r w:rsidR="002D6A86">
        <w:t>ts low hydraulic conductivity. But at a local scale, c</w:t>
      </w:r>
      <w:r w:rsidR="00F170DC">
        <w:t>ompared to very low permeable interburden layers such as mud or claystone, a coal seam can be considered an aquifer.</w:t>
      </w:r>
    </w:p>
    <w:p w:rsidR="00AE6A83" w:rsidRDefault="008F79F9" w:rsidP="003031AC">
      <w:pPr>
        <w:pStyle w:val="BRNormal"/>
      </w:pPr>
      <w:r>
        <w:t xml:space="preserve">Contrary to </w:t>
      </w:r>
      <w:r w:rsidR="00500371">
        <w:t xml:space="preserve">the </w:t>
      </w:r>
      <w:r>
        <w:t xml:space="preserve">common perception that groundwater systems are simple layer-cake organisations of </w:t>
      </w:r>
      <w:r w:rsidR="00500371">
        <w:t xml:space="preserve">geologic </w:t>
      </w:r>
      <w:r>
        <w:t xml:space="preserve">strata, </w:t>
      </w:r>
      <w:r w:rsidR="00500371">
        <w:t xml:space="preserve">aquifers and </w:t>
      </w:r>
      <w:r w:rsidR="00AE6A83">
        <w:t xml:space="preserve">aquitards are seldom laterally continuous </w:t>
      </w:r>
      <w:r>
        <w:t xml:space="preserve">or structurally </w:t>
      </w:r>
      <w:r w:rsidR="00AE6A83">
        <w:t xml:space="preserve">undisturbed, as is illustrated in </w:t>
      </w:r>
      <w:r w:rsidR="00220B9F">
        <w:t>Figure 2</w:t>
      </w:r>
      <w:r w:rsidR="00AE6A83">
        <w:t>.</w:t>
      </w:r>
      <w:r w:rsidR="00500371" w:rsidDel="00500371">
        <w:t xml:space="preserve"> </w:t>
      </w:r>
      <w:r w:rsidR="00500371">
        <w:t xml:space="preserve">For example, aquitards </w:t>
      </w:r>
      <w:r w:rsidR="00AE6A83">
        <w:t>can pinch out or laterally transition in</w:t>
      </w:r>
      <w:r w:rsidR="00500371">
        <w:t>to</w:t>
      </w:r>
      <w:r w:rsidR="00AE6A83">
        <w:t xml:space="preserve"> sediments with different hydraulic conductivity. </w:t>
      </w:r>
      <w:r w:rsidR="00500371">
        <w:rPr>
          <w:lang w:val="en-US"/>
        </w:rPr>
        <w:t>Structural</w:t>
      </w:r>
      <w:r w:rsidR="00351EC6">
        <w:rPr>
          <w:lang w:val="en-US"/>
        </w:rPr>
        <w:t xml:space="preserve"> </w:t>
      </w:r>
      <w:r w:rsidR="00351EC6">
        <w:t>deformation</w:t>
      </w:r>
      <w:r w:rsidR="00AE6A83">
        <w:t xml:space="preserve">, uplift, erosion and deposition </w:t>
      </w:r>
      <w:r w:rsidR="00AF79C8">
        <w:t xml:space="preserve">can all </w:t>
      </w:r>
      <w:r w:rsidR="00AE6A83">
        <w:t xml:space="preserve">result in the </w:t>
      </w:r>
      <w:r w:rsidR="00AF79C8">
        <w:t xml:space="preserve">formation </w:t>
      </w:r>
      <w:r w:rsidR="00AE6A83">
        <w:t>of faults and fractures in both aquifers and aquitards.</w:t>
      </w:r>
      <w:r w:rsidR="00075A06">
        <w:t xml:space="preserve"> </w:t>
      </w:r>
      <w:r w:rsidR="00AE6A83">
        <w:t xml:space="preserve">The density and orientation of faults and fractures will </w:t>
      </w:r>
      <w:r w:rsidR="00075A06">
        <w:t xml:space="preserve">ultimately </w:t>
      </w:r>
      <w:r w:rsidR="00AE6A83">
        <w:t xml:space="preserve">affect the </w:t>
      </w:r>
      <w:r w:rsidR="00AF79C8">
        <w:t>permeability</w:t>
      </w:r>
      <w:r w:rsidR="00AE6A83">
        <w:t xml:space="preserve"> of a </w:t>
      </w:r>
      <w:r w:rsidR="00500371">
        <w:t xml:space="preserve">geological </w:t>
      </w:r>
      <w:r w:rsidR="00AE6A83">
        <w:t xml:space="preserve">layer, </w:t>
      </w:r>
      <w:r w:rsidR="000D7FF4">
        <w:t xml:space="preserve">and </w:t>
      </w:r>
      <w:r w:rsidR="00AE6A83">
        <w:t xml:space="preserve">fractures </w:t>
      </w:r>
      <w:r w:rsidR="000D7FF4">
        <w:t xml:space="preserve">that traverse </w:t>
      </w:r>
      <w:r w:rsidR="00AE6A83">
        <w:t>an entire aquitard will provide local</w:t>
      </w:r>
      <w:r w:rsidR="00500371">
        <w:t>ised,</w:t>
      </w:r>
      <w:r w:rsidR="00AE6A83">
        <w:t xml:space="preserve"> preferential flow paths </w:t>
      </w:r>
      <w:r w:rsidR="00500371">
        <w:t>connecting</w:t>
      </w:r>
      <w:r w:rsidR="00AE6A83">
        <w:t xml:space="preserve"> two </w:t>
      </w:r>
      <w:r w:rsidR="00500371">
        <w:t xml:space="preserve">or more </w:t>
      </w:r>
      <w:r w:rsidR="00AE6A83">
        <w:t xml:space="preserve">aquifers. </w:t>
      </w:r>
      <w:r w:rsidR="00AF79C8">
        <w:t xml:space="preserve">Groundwater wells that have been </w:t>
      </w:r>
      <w:r w:rsidR="00AE6A83">
        <w:t xml:space="preserve">screened over multiple aquifers or </w:t>
      </w:r>
      <w:r w:rsidR="00AF79C8">
        <w:t xml:space="preserve">completed </w:t>
      </w:r>
      <w:r w:rsidR="00AE6A83">
        <w:t>with faulty or inadequate casing can provide similar preferential flow paths.</w:t>
      </w:r>
    </w:p>
    <w:p w:rsidR="00351EC6" w:rsidRDefault="00351EC6" w:rsidP="003031AC">
      <w:pPr>
        <w:pStyle w:val="BRNormal"/>
      </w:pPr>
      <w:r>
        <w:t xml:space="preserve">Figure 2 </w:t>
      </w:r>
      <w:r w:rsidRPr="00351EC6">
        <w:t>also highlights the difference between the water table, the top of the saturated zone in an unconfined aquifer and the more generic term potentiometric surface, which is the surface expression of the level to which water would rise in a well screened in a specific aquifer. Potentiometric surface is mostly used for confined aquifers</w:t>
      </w:r>
      <w:r w:rsidR="00B10ABD">
        <w:t xml:space="preserve">, i.e. aquifers which are fully saturated and bounded at the top </w:t>
      </w:r>
      <w:r w:rsidR="005D6B34">
        <w:t xml:space="preserve">and bottom </w:t>
      </w:r>
      <w:r w:rsidR="00B10ABD">
        <w:t>by an aquitard</w:t>
      </w:r>
      <w:r w:rsidRPr="00351EC6">
        <w:t>.</w:t>
      </w:r>
      <w:r w:rsidR="00B10ABD">
        <w:t xml:space="preserve"> Unconfined aquifers on the other hand have no aquitard at the top and have a water table.</w:t>
      </w:r>
    </w:p>
    <w:p w:rsidR="00AE6A83" w:rsidRDefault="00472702" w:rsidP="005F6513">
      <w:pPr>
        <w:pStyle w:val="Heading2"/>
      </w:pPr>
      <w:bookmarkStart w:id="471" w:name="_Toc381961082"/>
      <w:bookmarkStart w:id="472" w:name="_Toc389055214"/>
      <w:r>
        <w:t xml:space="preserve">Types of </w:t>
      </w:r>
      <w:r w:rsidR="003031AC">
        <w:t>aquifer c</w:t>
      </w:r>
      <w:r w:rsidR="00AE6A83">
        <w:t>onnectivity</w:t>
      </w:r>
      <w:bookmarkEnd w:id="471"/>
      <w:bookmarkEnd w:id="472"/>
    </w:p>
    <w:p w:rsidR="008641B8" w:rsidRDefault="00AE6A83" w:rsidP="003031AC">
      <w:pPr>
        <w:pStyle w:val="BRNormal"/>
      </w:pPr>
      <w:r w:rsidRPr="00AE6A83">
        <w:t xml:space="preserve">In a regional groundwater flow system, the connectivity between aquifers is controlled by the bulk hydraulic conductivity of the aquitards. </w:t>
      </w:r>
      <w:r w:rsidR="00472702">
        <w:t xml:space="preserve">Where these aquitards are uniform, massive and </w:t>
      </w:r>
      <w:r w:rsidR="00472702">
        <w:lastRenderedPageBreak/>
        <w:t xml:space="preserve">laterally-extensive, </w:t>
      </w:r>
      <w:r w:rsidR="00C75A0B">
        <w:t>the</w:t>
      </w:r>
      <w:r w:rsidR="00472702">
        <w:t xml:space="preserve"> inter-aquifer leakage is diffuse. </w:t>
      </w:r>
      <w:r w:rsidRPr="00AE6A83">
        <w:t xml:space="preserve">However, geological windows, faults, fractures and open wells create preferential flow paths </w:t>
      </w:r>
      <w:r w:rsidR="00472702">
        <w:t>that can</w:t>
      </w:r>
      <w:r w:rsidR="00210D44">
        <w:t xml:space="preserve"> provide localis</w:t>
      </w:r>
      <w:r w:rsidRPr="00AE6A83">
        <w:t>ed but very conductive connections between aquifers.</w:t>
      </w:r>
      <w:r w:rsidR="00472BD6">
        <w:t xml:space="preserve"> This section introduces a number of concepts relevant to understanding flow through aquifers and aquitards. </w:t>
      </w:r>
    </w:p>
    <w:p w:rsidR="008A12A6" w:rsidRPr="00E554D8" w:rsidRDefault="004B5B7E" w:rsidP="001C3374">
      <w:pPr>
        <w:pStyle w:val="Body"/>
      </w:pPr>
      <w:r>
        <w:rPr>
          <w:noProof/>
          <w:lang w:val="en-AU" w:eastAsia="en-AU"/>
        </w:rPr>
        <w:drawing>
          <wp:inline distT="0" distB="0" distL="0" distR="0">
            <wp:extent cx="4679013" cy="6859996"/>
            <wp:effectExtent l="19050" t="0" r="7287"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ceptualConnectivity.png"/>
                    <pic:cNvPicPr/>
                  </pic:nvPicPr>
                  <pic:blipFill>
                    <a:blip r:embed="rId24" cstate="email"/>
                    <a:stretch>
                      <a:fillRect/>
                    </a:stretch>
                  </pic:blipFill>
                  <pic:spPr>
                    <a:xfrm>
                      <a:off x="0" y="0"/>
                      <a:ext cx="4679013" cy="6859996"/>
                    </a:xfrm>
                    <a:prstGeom prst="rect">
                      <a:avLst/>
                    </a:prstGeom>
                  </pic:spPr>
                </pic:pic>
              </a:graphicData>
            </a:graphic>
          </wp:inline>
        </w:drawing>
      </w:r>
    </w:p>
    <w:p w:rsidR="008A12A6" w:rsidRDefault="003031AC" w:rsidP="00531164">
      <w:pPr>
        <w:pStyle w:val="BR-normal-CopyrightPage"/>
      </w:pPr>
      <w:r w:rsidRPr="003031AC">
        <w:t xml:space="preserve">Figure </w:t>
      </w:r>
      <w:r w:rsidR="00E23933" w:rsidRPr="003031AC">
        <w:fldChar w:fldCharType="begin"/>
      </w:r>
      <w:r w:rsidRPr="003031AC">
        <w:instrText xml:space="preserve"> SEQ Figure \* ARABIC </w:instrText>
      </w:r>
      <w:r w:rsidR="00E23933" w:rsidRPr="003031AC">
        <w:fldChar w:fldCharType="separate"/>
      </w:r>
      <w:proofErr w:type="gramStart"/>
      <w:r w:rsidR="002E6C1D">
        <w:rPr>
          <w:noProof/>
        </w:rPr>
        <w:t>2</w:t>
      </w:r>
      <w:r w:rsidR="00E23933" w:rsidRPr="003031AC">
        <w:fldChar w:fldCharType="end"/>
      </w:r>
      <w:r w:rsidRPr="003031AC">
        <w:t xml:space="preserve"> </w:t>
      </w:r>
      <w:r w:rsidR="00C75A0B">
        <w:t>Schematic representation</w:t>
      </w:r>
      <w:proofErr w:type="gramEnd"/>
      <w:r w:rsidR="008A12A6" w:rsidRPr="002A6135">
        <w:t xml:space="preserve"> of </w:t>
      </w:r>
      <w:r w:rsidR="009078BE">
        <w:t xml:space="preserve">(a) </w:t>
      </w:r>
      <w:r w:rsidR="00BE366C">
        <w:t xml:space="preserve">aquifer types and terminology and </w:t>
      </w:r>
      <w:r w:rsidR="00C75A0B">
        <w:t>groundwater pressure and flow directions</w:t>
      </w:r>
      <w:r w:rsidR="00576AC9">
        <w:t>, under both (</w:t>
      </w:r>
      <w:r w:rsidR="00BE366C">
        <w:t>b</w:t>
      </w:r>
      <w:r w:rsidR="00576AC9">
        <w:t>) unstressed and (</w:t>
      </w:r>
      <w:r w:rsidR="00BE366C">
        <w:t>c</w:t>
      </w:r>
      <w:r w:rsidR="00576AC9">
        <w:t>) stressed conditions,</w:t>
      </w:r>
      <w:r w:rsidR="00C75A0B">
        <w:t xml:space="preserve"> in a hypothetical </w:t>
      </w:r>
      <w:r w:rsidR="008A12A6" w:rsidRPr="002A6135">
        <w:t>aquifer system</w:t>
      </w:r>
      <w:r w:rsidR="00C75A0B">
        <w:t>,</w:t>
      </w:r>
      <w:r w:rsidR="008A12A6" w:rsidRPr="002A6135">
        <w:t xml:space="preserve"> highlighting </w:t>
      </w:r>
      <w:r w:rsidR="00576AC9">
        <w:t>structural and stratigraphic</w:t>
      </w:r>
      <w:r w:rsidR="00C75A0B">
        <w:t xml:space="preserve"> </w:t>
      </w:r>
      <w:r w:rsidR="008A12A6" w:rsidRPr="002A6135">
        <w:t xml:space="preserve">features </w:t>
      </w:r>
      <w:r w:rsidR="00C75A0B">
        <w:t>that affect</w:t>
      </w:r>
      <w:r w:rsidR="00C75A0B" w:rsidRPr="002A6135">
        <w:t xml:space="preserve"> </w:t>
      </w:r>
      <w:r w:rsidR="008A12A6" w:rsidRPr="002A6135">
        <w:t>aquifer connectivity</w:t>
      </w:r>
      <w:r w:rsidR="001E4906">
        <w:t xml:space="preserve"> </w:t>
      </w:r>
      <w:r w:rsidR="00210D44">
        <w:t>(</w:t>
      </w:r>
      <w:r w:rsidR="00F976E1">
        <w:t>© </w:t>
      </w:r>
      <w:r w:rsidR="00B26625">
        <w:t>Copyright,</w:t>
      </w:r>
      <w:r w:rsidR="001E4906">
        <w:t xml:space="preserve"> NGWA 2014</w:t>
      </w:r>
      <w:r w:rsidR="00BE366C">
        <w:t>)</w:t>
      </w:r>
      <w:r>
        <w:t>.</w:t>
      </w:r>
    </w:p>
    <w:p w:rsidR="008D33E6" w:rsidRPr="005F6513" w:rsidRDefault="00472702" w:rsidP="005F6513">
      <w:pPr>
        <w:pStyle w:val="Heading3"/>
      </w:pPr>
      <w:bookmarkStart w:id="473" w:name="_Toc381961083"/>
      <w:r w:rsidRPr="005F6513">
        <w:rPr>
          <w:rStyle w:val="Heading3Char"/>
          <w:b/>
          <w:bCs/>
          <w:i/>
        </w:rPr>
        <w:lastRenderedPageBreak/>
        <w:t>Diffuse</w:t>
      </w:r>
      <w:r w:rsidRPr="005F6513">
        <w:rPr>
          <w:rStyle w:val="Heading3Char"/>
          <w:b/>
          <w:i/>
        </w:rPr>
        <w:t xml:space="preserve"> inter-aquifer leakage</w:t>
      </w:r>
      <w:bookmarkEnd w:id="473"/>
    </w:p>
    <w:p w:rsidR="00BE7153" w:rsidRDefault="00210D44" w:rsidP="003A09DF">
      <w:pPr>
        <w:pStyle w:val="BRNormal"/>
      </w:pPr>
      <w:r>
        <w:t>One dimensional g</w:t>
      </w:r>
      <w:r w:rsidR="00472702">
        <w:t xml:space="preserve">roundwater flow through </w:t>
      </w:r>
      <w:r w:rsidR="008D33E6">
        <w:t xml:space="preserve">porous </w:t>
      </w:r>
      <w:r w:rsidR="00472702">
        <w:t>media</w:t>
      </w:r>
      <w:r w:rsidR="008D33E6">
        <w:t xml:space="preserve"> </w:t>
      </w:r>
      <w:r w:rsidR="00610628">
        <w:t>is governed</w:t>
      </w:r>
      <w:r w:rsidR="008D33E6">
        <w:t xml:space="preserve"> </w:t>
      </w:r>
      <w:r w:rsidR="00610628">
        <w:t>by</w:t>
      </w:r>
      <w:r w:rsidR="008D33E6">
        <w:t xml:space="preserve"> Darcy’s Law</w:t>
      </w:r>
      <w:r w:rsidR="0067302C">
        <w:t>, expressed as</w:t>
      </w:r>
      <w:r w:rsidR="008D33E6">
        <w:t>:</w:t>
      </w:r>
    </w:p>
    <w:p w:rsidR="008D33E6" w:rsidRPr="00210D44" w:rsidRDefault="008B760E" w:rsidP="00DC1B48">
      <w:pPr>
        <w:pStyle w:val="BRNormal"/>
      </w:pPr>
      <m:oMathPara>
        <m:oMathParaPr>
          <m:jc m:val="center"/>
        </m:oMathParaPr>
        <m:oMath>
          <m:r>
            <w:rPr>
              <w:rFonts w:ascii="Cambria Math" w:hAnsi="Cambria Math"/>
            </w:rPr>
            <m:t>q</m:t>
          </m:r>
          <m:r>
            <m:rPr>
              <m:sty m:val="p"/>
            </m:rPr>
            <w:rPr>
              <w:rFonts w:ascii="Cambria Math" w:hAnsi="Cambria Math"/>
            </w:rPr>
            <m:t>=</m:t>
          </m:r>
          <m:f>
            <m:fPr>
              <m:ctrlPr>
                <w:rPr>
                  <w:rFonts w:ascii="Cambria Math" w:hAnsi="Cambria Math"/>
                </w:rPr>
              </m:ctrlPr>
            </m:fPr>
            <m:num>
              <m:r>
                <w:rPr>
                  <w:rFonts w:ascii="Cambria Math" w:hAnsi="Cambria Math"/>
                </w:rPr>
                <m:t>Q</m:t>
              </m:r>
            </m:num>
            <m:den>
              <m:r>
                <w:rPr>
                  <w:rFonts w:ascii="Cambria Math" w:hAnsi="Cambria Math"/>
                </w:rPr>
                <m:t>A</m:t>
              </m:r>
            </m:den>
          </m:f>
          <m:r>
            <m:rPr>
              <m:sty m:val="p"/>
            </m:rPr>
            <w:rPr>
              <w:rFonts w:ascii="Cambria Math" w:hAnsi="Cambria Math"/>
            </w:rPr>
            <m:t>=-</m:t>
          </m:r>
          <m:r>
            <w:rPr>
              <w:rFonts w:ascii="Cambria Math" w:hAnsi="Cambria Math"/>
            </w:rPr>
            <m:t>K</m:t>
          </m:r>
          <m:f>
            <m:fPr>
              <m:ctrlPr>
                <w:rPr>
                  <w:rFonts w:ascii="Cambria Math" w:hAnsi="Cambria Math"/>
                </w:rPr>
              </m:ctrlPr>
            </m:fPr>
            <m:num>
              <m:r>
                <w:rPr>
                  <w:rFonts w:ascii="Cambria Math" w:hAnsi="Cambria Math"/>
                </w:rPr>
                <m:t>dh</m:t>
              </m:r>
            </m:num>
            <m:den>
              <m:r>
                <w:rPr>
                  <w:rFonts w:ascii="Cambria Math" w:hAnsi="Cambria Math"/>
                </w:rPr>
                <m:t>dz</m:t>
              </m:r>
            </m:den>
          </m:f>
        </m:oMath>
      </m:oMathPara>
    </w:p>
    <w:p w:rsidR="008B760E" w:rsidRDefault="0067302C" w:rsidP="003A09DF">
      <w:pPr>
        <w:pStyle w:val="BRNormal"/>
      </w:pPr>
      <w:proofErr w:type="gramStart"/>
      <w:r>
        <w:t>where</w:t>
      </w:r>
      <w:proofErr w:type="gramEnd"/>
      <w:r w:rsidR="008B760E">
        <w:t xml:space="preserve"> the </w:t>
      </w:r>
      <w:r w:rsidR="00472702">
        <w:t>specific discharge of water</w:t>
      </w:r>
      <w:r w:rsidR="00C21593">
        <w:t xml:space="preserve"> </w:t>
      </w:r>
      <w:r w:rsidR="008D3AD6">
        <w:t>[</w:t>
      </w:r>
      <w:r w:rsidR="00EC7C18" w:rsidRPr="00EC7C18">
        <w:rPr>
          <w:i/>
        </w:rPr>
        <w:t>q</w:t>
      </w:r>
      <w:r w:rsidR="008B760E">
        <w:t xml:space="preserve"> </w:t>
      </w:r>
      <w:r w:rsidR="00C21593">
        <w:t>(m/d</w:t>
      </w:r>
      <w:r w:rsidR="00210D44">
        <w:t>ay)</w:t>
      </w:r>
      <w:r w:rsidR="008D3AD6">
        <w:t>]</w:t>
      </w:r>
      <w:r w:rsidR="00210D44">
        <w:t xml:space="preserve"> is the volumetric flow rate</w:t>
      </w:r>
      <w:r w:rsidR="00C21593">
        <w:t xml:space="preserve"> </w:t>
      </w:r>
      <w:r w:rsidR="008D3AD6">
        <w:t>[</w:t>
      </w:r>
      <w:r w:rsidR="00C21593" w:rsidRPr="00C21593">
        <w:rPr>
          <w:i/>
        </w:rPr>
        <w:t>Q</w:t>
      </w:r>
      <w:r w:rsidR="00C21593">
        <w:t xml:space="preserve"> (m</w:t>
      </w:r>
      <w:r w:rsidR="00C21593" w:rsidRPr="00C21593">
        <w:rPr>
          <w:vertAlign w:val="superscript"/>
        </w:rPr>
        <w:t>3</w:t>
      </w:r>
      <w:r w:rsidR="008D3AD6">
        <w:t>/day)] per cross-sectional area</w:t>
      </w:r>
      <w:r w:rsidR="00C21593">
        <w:t xml:space="preserve"> </w:t>
      </w:r>
      <w:r w:rsidR="008D3AD6">
        <w:t>[</w:t>
      </w:r>
      <w:r w:rsidR="00C21593" w:rsidRPr="00C21593">
        <w:rPr>
          <w:i/>
        </w:rPr>
        <w:t>A</w:t>
      </w:r>
      <w:r w:rsidR="00C21593">
        <w:t xml:space="preserve"> (m</w:t>
      </w:r>
      <w:r w:rsidR="00C21593" w:rsidRPr="00C21593">
        <w:rPr>
          <w:vertAlign w:val="superscript"/>
        </w:rPr>
        <w:t>2</w:t>
      </w:r>
      <w:r w:rsidR="00C21593">
        <w:t>)</w:t>
      </w:r>
      <w:r w:rsidR="008D3AD6">
        <w:t>]</w:t>
      </w:r>
      <w:r w:rsidR="00C21593">
        <w:t xml:space="preserve">, and </w:t>
      </w:r>
      <w:r w:rsidR="008B760E">
        <w:t xml:space="preserve">is </w:t>
      </w:r>
      <w:r w:rsidR="00472702">
        <w:t xml:space="preserve">equal </w:t>
      </w:r>
      <w:r w:rsidR="008B760E">
        <w:t xml:space="preserve">to the </w:t>
      </w:r>
      <w:r w:rsidR="00472702">
        <w:t xml:space="preserve">product of </w:t>
      </w:r>
      <w:r w:rsidR="008B760E">
        <w:t xml:space="preserve">hydraulic conductivity of the </w:t>
      </w:r>
      <w:r w:rsidR="00472702">
        <w:t>geologic media</w:t>
      </w:r>
      <w:r w:rsidR="008B760E">
        <w:t xml:space="preserve"> </w:t>
      </w:r>
      <w:r w:rsidR="008D3AD6">
        <w:t>[</w:t>
      </w:r>
      <w:r w:rsidR="008B760E" w:rsidRPr="008B760E">
        <w:rPr>
          <w:i/>
        </w:rPr>
        <w:t>K</w:t>
      </w:r>
      <w:r w:rsidR="008B760E">
        <w:t xml:space="preserve"> (m/d</w:t>
      </w:r>
      <w:r w:rsidR="00FF3D25">
        <w:t>ay</w:t>
      </w:r>
      <w:r w:rsidR="008B760E">
        <w:t>)</w:t>
      </w:r>
      <w:r w:rsidR="008D3AD6">
        <w:t>] and the hydraulic gradient</w:t>
      </w:r>
      <w:r w:rsidR="008B760E">
        <w:t xml:space="preserve"> </w:t>
      </w:r>
      <w:r w:rsidR="008D3AD6">
        <w:t>[</w:t>
      </w:r>
      <w:r w:rsidR="008B760E" w:rsidRPr="008B760E">
        <w:rPr>
          <w:i/>
        </w:rPr>
        <w:t>dh/dz</w:t>
      </w:r>
      <w:r w:rsidR="008D3AD6">
        <w:t>]</w:t>
      </w:r>
      <w:r w:rsidR="008B760E">
        <w:t xml:space="preserve">. The hydraulic gradient is </w:t>
      </w:r>
      <w:r w:rsidR="00472702">
        <w:t xml:space="preserve">defined by </w:t>
      </w:r>
      <w:r w:rsidR="008B760E">
        <w:t xml:space="preserve">the change in hydraulic </w:t>
      </w:r>
      <w:r w:rsidR="008D3AD6">
        <w:t>head</w:t>
      </w:r>
      <w:r w:rsidR="00610628">
        <w:t xml:space="preserve"> </w:t>
      </w:r>
      <w:r w:rsidR="008D3AD6">
        <w:t>[</w:t>
      </w:r>
      <w:r w:rsidR="00EC7C18" w:rsidRPr="00EC7C18">
        <w:rPr>
          <w:i/>
        </w:rPr>
        <w:t>h</w:t>
      </w:r>
      <w:r w:rsidR="00610628">
        <w:t xml:space="preserve"> (m)</w:t>
      </w:r>
      <w:r w:rsidR="008D3AD6">
        <w:t>]</w:t>
      </w:r>
      <w:r w:rsidR="00610628">
        <w:t xml:space="preserve"> over a distance </w:t>
      </w:r>
      <w:r w:rsidR="008D3AD6">
        <w:t>[</w:t>
      </w:r>
      <w:r w:rsidR="00610628" w:rsidRPr="00610628">
        <w:rPr>
          <w:i/>
        </w:rPr>
        <w:t>z</w:t>
      </w:r>
      <w:r w:rsidR="00610628">
        <w:t xml:space="preserve"> (m)</w:t>
      </w:r>
      <w:r w:rsidR="008D3AD6">
        <w:t>]</w:t>
      </w:r>
      <w:r w:rsidR="00610628">
        <w:t xml:space="preserve"> along the direction of flow.</w:t>
      </w:r>
      <w:r w:rsidR="00C21593">
        <w:t xml:space="preserve"> The negative sign in this equation </w:t>
      </w:r>
      <w:r w:rsidR="006D2803">
        <w:t>is used to illustrate</w:t>
      </w:r>
      <w:r w:rsidR="00F468F8">
        <w:t xml:space="preserve"> flow </w:t>
      </w:r>
      <w:r w:rsidR="006D2803">
        <w:t>is in the direction of decreasing gradient.</w:t>
      </w:r>
      <w:r w:rsidR="005B776E">
        <w:t xml:space="preserve"> To infer the direction of flow in an aquifer, head measurements at several locations are required. While the flow direction in special cases can coincide with the dip of a geological layer, layer geometry is not sufficient to determine the flow direction in an aquifer.</w:t>
      </w:r>
    </w:p>
    <w:p w:rsidR="00BA511F" w:rsidRDefault="00610628" w:rsidP="003A09DF">
      <w:pPr>
        <w:pStyle w:val="BRNormal"/>
      </w:pPr>
      <w:r>
        <w:t>The hydraulic conductivity controls the flow rate t</w:t>
      </w:r>
      <w:r w:rsidR="00472702">
        <w:t>h</w:t>
      </w:r>
      <w:r>
        <w:t>rough a material and depends both on the characteristics of the fluid, such as the density</w:t>
      </w:r>
      <w:r w:rsidR="00D94205">
        <w:t xml:space="preserve"> (</w:t>
      </w:r>
      <w:r w:rsidR="00D94205">
        <w:rPr>
          <w:rFonts w:ascii="Symbol" w:hAnsi="Symbol"/>
        </w:rPr>
        <w:t></w:t>
      </w:r>
      <w:r w:rsidR="00D94205">
        <w:t>)</w:t>
      </w:r>
      <w:r>
        <w:t xml:space="preserve"> and viscosity</w:t>
      </w:r>
      <w:r w:rsidR="00D94205">
        <w:t xml:space="preserve"> (</w:t>
      </w:r>
      <w:r w:rsidR="00D94205">
        <w:rPr>
          <w:rFonts w:ascii="Symbol" w:hAnsi="Symbol"/>
        </w:rPr>
        <w:t></w:t>
      </w:r>
      <w:r w:rsidR="00D94205">
        <w:t>)</w:t>
      </w:r>
      <w:r>
        <w:t>, and on the characteristics of the porous material, the intrinsic permeability (</w:t>
      </w:r>
      <w:r w:rsidRPr="00610628">
        <w:rPr>
          <w:i/>
        </w:rPr>
        <w:t>k</w:t>
      </w:r>
      <w:r>
        <w:t>)</w:t>
      </w:r>
      <w:r w:rsidR="001026AA">
        <w:t xml:space="preserve"> and acceleration due to gravity (</w:t>
      </w:r>
      <w:r w:rsidR="001026AA">
        <w:rPr>
          <w:i/>
        </w:rPr>
        <w:t>g</w:t>
      </w:r>
      <w:r w:rsidR="001026AA">
        <w:t>)</w:t>
      </w:r>
      <w:r w:rsidR="00BA511F">
        <w:t>:</w:t>
      </w:r>
    </w:p>
    <w:p w:rsidR="00BA511F" w:rsidRPr="00DC1B48" w:rsidRDefault="00BA511F" w:rsidP="00DC1B48">
      <w:pPr>
        <w:pStyle w:val="BRNormal"/>
      </w:pPr>
      <m:oMathPara>
        <m:oMathParaPr>
          <m:jc m:val="center"/>
        </m:oMathParaPr>
        <m:oMath>
          <m:r>
            <w:rPr>
              <w:rFonts w:ascii="Cambria Math" w:hAnsi="Cambria Math"/>
            </w:rPr>
            <m:t>K</m:t>
          </m:r>
          <m:r>
            <m:rPr>
              <m:sty m:val="p"/>
            </m:rPr>
            <w:rPr>
              <w:rFonts w:ascii="Cambria Math" w:hAnsi="Cambria Math"/>
            </w:rPr>
            <m:t>=</m:t>
          </m:r>
          <m:f>
            <m:fPr>
              <m:ctrlPr>
                <w:rPr>
                  <w:rFonts w:ascii="Cambria Math" w:hAnsi="Cambria Math"/>
                </w:rPr>
              </m:ctrlPr>
            </m:fPr>
            <m:num>
              <m:r>
                <w:rPr>
                  <w:rFonts w:ascii="Cambria Math" w:hAnsi="Cambria Math"/>
                </w:rPr>
                <m:t>kρg</m:t>
              </m:r>
            </m:num>
            <m:den>
              <m:r>
                <w:rPr>
                  <w:rFonts w:ascii="Cambria Math" w:hAnsi="Cambria Math"/>
                </w:rPr>
                <m:t>μ</m:t>
              </m:r>
            </m:den>
          </m:f>
        </m:oMath>
      </m:oMathPara>
    </w:p>
    <w:p w:rsidR="00610628" w:rsidRDefault="00610628" w:rsidP="003A09DF">
      <w:pPr>
        <w:pStyle w:val="BRNormal"/>
      </w:pPr>
      <w:r>
        <w:t xml:space="preserve">In hydrogeological studies, where </w:t>
      </w:r>
      <w:r w:rsidR="00BA511F">
        <w:t xml:space="preserve">the </w:t>
      </w:r>
      <w:r>
        <w:t xml:space="preserve">focus is on the flow of </w:t>
      </w:r>
      <w:r w:rsidR="00BA511F">
        <w:t>ground</w:t>
      </w:r>
      <w:r>
        <w:t xml:space="preserve">water, density and viscosity changes are </w:t>
      </w:r>
      <w:r w:rsidR="00F42674">
        <w:t>limited</w:t>
      </w:r>
      <w:r>
        <w:t xml:space="preserve"> and hydraulic conductivity</w:t>
      </w:r>
      <w:r w:rsidR="00F42674">
        <w:t xml:space="preserve"> is </w:t>
      </w:r>
      <w:r w:rsidR="00BA511F">
        <w:t xml:space="preserve">usually </w:t>
      </w:r>
      <w:r w:rsidR="00F42674">
        <w:t xml:space="preserve">considered to be </w:t>
      </w:r>
      <w:r w:rsidR="00BA511F">
        <w:t>independent of these variables</w:t>
      </w:r>
      <w:r w:rsidR="00F42674">
        <w:t>. In studies involving oil and gas, density and viscosity changes are of greater importance and intrinsic permeability is used.</w:t>
      </w:r>
      <w:r w:rsidR="007E48A8">
        <w:t xml:space="preserve"> The SI unit of intrinsic permeability is m</w:t>
      </w:r>
      <w:r w:rsidR="007E48A8" w:rsidRPr="00F56FE8">
        <w:rPr>
          <w:vertAlign w:val="superscript"/>
        </w:rPr>
        <w:t>2</w:t>
      </w:r>
      <w:r w:rsidR="007E48A8">
        <w:t xml:space="preserve">, but a commonly used unit is the millidarcy, </w:t>
      </w:r>
      <w:r w:rsidR="00F56FE8">
        <w:t>(</w:t>
      </w:r>
      <w:r w:rsidR="007E48A8">
        <w:t>m</w:t>
      </w:r>
      <w:r w:rsidR="00F56FE8">
        <w:t xml:space="preserve">D). 1 Darcy is approximately equal to </w:t>
      </w:r>
      <w:r w:rsidR="00823BA0" w:rsidRPr="00823BA0">
        <w:t>9.869233×10</w:t>
      </w:r>
      <w:r w:rsidR="00823BA0" w:rsidRPr="00823BA0">
        <w:rPr>
          <w:vertAlign w:val="superscript"/>
        </w:rPr>
        <w:t>−13</w:t>
      </w:r>
      <w:r w:rsidR="00823BA0" w:rsidRPr="00823BA0">
        <w:t xml:space="preserve"> </w:t>
      </w:r>
      <w:r w:rsidR="00F56FE8">
        <w:t>m</w:t>
      </w:r>
      <w:r w:rsidR="00F56FE8" w:rsidRPr="00F56FE8">
        <w:rPr>
          <w:vertAlign w:val="superscript"/>
        </w:rPr>
        <w:t>2</w:t>
      </w:r>
      <w:r w:rsidR="00F56FE8">
        <w:t>.</w:t>
      </w:r>
    </w:p>
    <w:p w:rsidR="006F5B76" w:rsidRPr="00542FE1" w:rsidRDefault="00172423" w:rsidP="003A09DF">
      <w:pPr>
        <w:pStyle w:val="BRNormal"/>
      </w:pPr>
      <w:r>
        <w:t xml:space="preserve">Owing to the direction of </w:t>
      </w:r>
      <w:r w:rsidR="00E757EE">
        <w:t xml:space="preserve">the </w:t>
      </w:r>
      <w:r>
        <w:t xml:space="preserve">principal hydraulic gradient, </w:t>
      </w:r>
      <w:r w:rsidR="006F5B76">
        <w:t xml:space="preserve">the </w:t>
      </w:r>
      <w:r w:rsidR="00BE7153">
        <w:t xml:space="preserve">regional </w:t>
      </w:r>
      <w:r w:rsidR="006F5B76">
        <w:t xml:space="preserve">flow of </w:t>
      </w:r>
      <w:r>
        <w:t xml:space="preserve">groundwater in natural, unstressed systems </w:t>
      </w:r>
      <w:r w:rsidR="006F5B76">
        <w:t xml:space="preserve">is mainly horizontal in aquifers and mainly vertical in aquitards. The flow rate across an aquitard is generally limited, although it can be very important locally as illustrated by springs in the GAB </w:t>
      </w:r>
      <w:r w:rsidR="00D94205">
        <w:t>(Love et al. 2012)</w:t>
      </w:r>
      <w:r w:rsidR="006F5B76">
        <w:t xml:space="preserve">. The </w:t>
      </w:r>
      <w:r w:rsidR="006F5B76" w:rsidRPr="00542FE1">
        <w:t>direction of flow, upwards or downwards will be determined by the local vertical hydraulic gradient (</w:t>
      </w:r>
      <w:r w:rsidR="00542FE1" w:rsidRPr="00542FE1">
        <w:t>Figure</w:t>
      </w:r>
      <w:r w:rsidR="00BE366C" w:rsidRPr="00542FE1">
        <w:t xml:space="preserve"> 2</w:t>
      </w:r>
      <w:r w:rsidR="00542FE1" w:rsidRPr="00542FE1">
        <w:t xml:space="preserve"> (</w:t>
      </w:r>
      <w:r w:rsidR="00CA48B9" w:rsidRPr="00542FE1">
        <w:rPr>
          <w:lang w:val="en-US"/>
        </w:rPr>
        <w:t>b</w:t>
      </w:r>
      <w:r w:rsidR="00542FE1" w:rsidRPr="00542FE1">
        <w:rPr>
          <w:lang w:val="en-US"/>
        </w:rPr>
        <w:t>)</w:t>
      </w:r>
      <w:r w:rsidR="006F5B76" w:rsidRPr="00542FE1">
        <w:t xml:space="preserve">). </w:t>
      </w:r>
    </w:p>
    <w:p w:rsidR="006F5B76" w:rsidRDefault="006F5B76" w:rsidP="003A09DF">
      <w:pPr>
        <w:pStyle w:val="BRNormal"/>
      </w:pPr>
      <w:r w:rsidRPr="00542FE1">
        <w:t>In a stressed system with considerable pumping, the hydraulic gradients and flow regime change drastically (</w:t>
      </w:r>
      <w:r w:rsidR="00BE366C" w:rsidRPr="00542FE1">
        <w:t>Fig</w:t>
      </w:r>
      <w:r w:rsidR="00542FE1" w:rsidRPr="00542FE1">
        <w:t xml:space="preserve">ure </w:t>
      </w:r>
      <w:r w:rsidR="00BE366C" w:rsidRPr="00542FE1">
        <w:t>2</w:t>
      </w:r>
      <w:r w:rsidR="00542FE1" w:rsidRPr="00542FE1">
        <w:t xml:space="preserve"> (</w:t>
      </w:r>
      <w:r w:rsidR="00BE366C" w:rsidRPr="00542FE1">
        <w:t>c</w:t>
      </w:r>
      <w:r w:rsidR="00542FE1" w:rsidRPr="00542FE1">
        <w:t>)</w:t>
      </w:r>
      <w:r w:rsidRPr="00542FE1">
        <w:t>), which in turn will result in changed flow magnitude and even flow direction. The contribution of local features, such as fractures, to flow and transport across an aquitard can change from limited under natural conditions to considerable</w:t>
      </w:r>
      <w:r>
        <w:t xml:space="preserve"> under stressed conditions.</w:t>
      </w:r>
    </w:p>
    <w:p w:rsidR="00F42674" w:rsidRPr="008B760E" w:rsidRDefault="00F42674" w:rsidP="003A09DF">
      <w:pPr>
        <w:pStyle w:val="BRNormal"/>
      </w:pPr>
      <w:r>
        <w:t>The intrinsic permeability, often just referred to as the permeability, depends on the porosity</w:t>
      </w:r>
      <w:r w:rsidR="00B150B8">
        <w:t xml:space="preserve"> [</w:t>
      </w:r>
      <w:r w:rsidRPr="00F42674">
        <w:rPr>
          <w:i/>
        </w:rPr>
        <w:t>n</w:t>
      </w:r>
      <w:r w:rsidR="00B150B8">
        <w:t>]</w:t>
      </w:r>
      <w:r>
        <w:t xml:space="preserve"> of the medium, </w:t>
      </w:r>
      <w:r w:rsidR="00B150B8">
        <w:t xml:space="preserve">i.e. </w:t>
      </w:r>
      <w:r>
        <w:t xml:space="preserve">the ratio of the volume of voids over the total volume. In unconsolidated materials, porosity tends to increase with grain size. The larger the grain size, the larger the voids between grains. Porosity is also affected by the sorting of the sediment. Poorly sorted sediment consists of mixtures of different grain sizes. Voids between large grains can be filled with smaller grains and the porosity will decrease. The permeability of the sediment is however not controlled by the </w:t>
      </w:r>
      <w:r w:rsidR="00494C56">
        <w:t>total porosity</w:t>
      </w:r>
      <w:r w:rsidR="00B150B8">
        <w:t>, but by the effective porosity [</w:t>
      </w:r>
      <w:r w:rsidR="00494C56" w:rsidRPr="00494C56">
        <w:rPr>
          <w:i/>
        </w:rPr>
        <w:t>n</w:t>
      </w:r>
      <w:r w:rsidR="00494C56" w:rsidRPr="00494C56">
        <w:rPr>
          <w:i/>
          <w:vertAlign w:val="subscript"/>
        </w:rPr>
        <w:t>e</w:t>
      </w:r>
      <w:r w:rsidR="00B150B8">
        <w:t>].</w:t>
      </w:r>
      <w:r w:rsidR="00494C56">
        <w:t xml:space="preserve"> This is the fraction of pores that are connected to each other and contribute to flow. In unconsolidated materials, the effective porosity is generally equal to the total porosity. In consolidated materials, many pores can be isolated from each other and notwithstanding a </w:t>
      </w:r>
      <w:r w:rsidR="00494C56">
        <w:lastRenderedPageBreak/>
        <w:t>high total porosity, effective porosity can be low. Materials with low or no total porosity</w:t>
      </w:r>
      <w:r w:rsidR="007E48A8">
        <w:t xml:space="preserve"> can become very permeable if a small number of highly connected fractures are present.</w:t>
      </w:r>
    </w:p>
    <w:p w:rsidR="008B760E" w:rsidRDefault="00F56FE8" w:rsidP="003A09DF">
      <w:pPr>
        <w:pStyle w:val="BRNormal"/>
      </w:pPr>
      <w:r>
        <w:t>Darcy’s Law describes flow in steady state. To describe how flow rates change over time, changes in storage need to be taken into account</w:t>
      </w:r>
      <w:r w:rsidR="00227755">
        <w:t xml:space="preserve"> through the storativity</w:t>
      </w:r>
      <w:r w:rsidR="008E306F">
        <w:t xml:space="preserve"> </w:t>
      </w:r>
      <w:r w:rsidR="00227755">
        <w:t>[</w:t>
      </w:r>
      <w:r w:rsidR="008E306F" w:rsidRPr="008E306F">
        <w:rPr>
          <w:i/>
        </w:rPr>
        <w:t>S</w:t>
      </w:r>
      <w:r w:rsidR="00227755">
        <w:t>]</w:t>
      </w:r>
      <w:r w:rsidR="008E306F">
        <w:t xml:space="preserve">. </w:t>
      </w:r>
      <w:r w:rsidR="00351EC6">
        <w:t>Storativity</w:t>
      </w:r>
      <w:r w:rsidR="008E306F">
        <w:t xml:space="preserve"> is </w:t>
      </w:r>
      <w:r w:rsidR="008E306F" w:rsidRPr="008E306F">
        <w:t>the volume of water per unit aquifer surface area taken into or released from storage per unit increase or decrease in head respectively. The specific storage is the storativity per unit thickness of the aquifer (1/m).</w:t>
      </w:r>
      <w:r w:rsidR="008E306F">
        <w:t xml:space="preserve"> </w:t>
      </w:r>
      <w:r w:rsidR="00674BE9">
        <w:t>When water is added to a confined aquifer, pressure increases</w:t>
      </w:r>
      <w:r w:rsidR="008E306F">
        <w:t xml:space="preserve"> </w:t>
      </w:r>
      <w:r w:rsidR="005F44C0">
        <w:t>are</w:t>
      </w:r>
      <w:r w:rsidR="00674BE9">
        <w:t xml:space="preserve"> accommodated by compressing water and the aquifer matrix. </w:t>
      </w:r>
      <w:r w:rsidR="008E306F">
        <w:t xml:space="preserve">In an unconfined aquifer, adding water will result in raising the water table, </w:t>
      </w:r>
      <w:r w:rsidR="005F44C0">
        <w:t>so that</w:t>
      </w:r>
      <w:r w:rsidR="008E306F">
        <w:t xml:space="preserve"> a larger portion of the aquifer </w:t>
      </w:r>
      <w:r w:rsidR="005F44C0">
        <w:t xml:space="preserve">is </w:t>
      </w:r>
      <w:r w:rsidR="008E306F">
        <w:t>saturated. Specific storage for unconfined aquifers is therefore considered to be equal to effective porosity and is often referred to as specific yield.</w:t>
      </w:r>
    </w:p>
    <w:p w:rsidR="002E6C1D" w:rsidRDefault="002E6C1D" w:rsidP="003A09DF">
      <w:pPr>
        <w:pStyle w:val="BRNormal"/>
      </w:pPr>
      <w:r>
        <w:t xml:space="preserve">Table 1 gives an overview, based on values from international literature, of the range of values for porosity, hydraulic conductivity and specific storage for a variety of common aquifer and aquitard materials. A more detailed summary of values can be found in Spitz and Moreno (1996). One of the most striking aspects of this table is the huge range of hydraulic conductivities. This property can vary over up to 12 orders of magnitude from dense crystalline rock to gravel. Variation in specific storage is less, but still spans at least 4 orders of magnitude. Hydraulic conductivity generally increases with increasing porosity. The main exception is clay. Due to the random ordering of the plate-like clay minerals, clay deposits have a large proportion of very </w:t>
      </w:r>
      <w:proofErr w:type="gramStart"/>
      <w:r>
        <w:t>small,</w:t>
      </w:r>
      <w:proofErr w:type="gramEnd"/>
      <w:r>
        <w:t xml:space="preserve"> isolated pores. These do not contribute to flow, hence the very low hydraulic conductivity.</w:t>
      </w:r>
    </w:p>
    <w:p w:rsidR="00A15B68" w:rsidRPr="00531164" w:rsidRDefault="003A09DF" w:rsidP="00DC1B48">
      <w:pPr>
        <w:pStyle w:val="Caption"/>
      </w:pPr>
      <w:bookmarkStart w:id="474" w:name="_Ref331165659"/>
      <w:r w:rsidRPr="00531164">
        <w:t xml:space="preserve">Table </w:t>
      </w:r>
      <w:r w:rsidR="00E23933" w:rsidRPr="00531164">
        <w:rPr>
          <w:noProof w:val="0"/>
        </w:rPr>
        <w:fldChar w:fldCharType="begin"/>
      </w:r>
      <w:r w:rsidRPr="00531164">
        <w:instrText xml:space="preserve"> SEQ Table \* ARABIC </w:instrText>
      </w:r>
      <w:r w:rsidR="00E23933" w:rsidRPr="00531164">
        <w:rPr>
          <w:noProof w:val="0"/>
        </w:rPr>
        <w:fldChar w:fldCharType="separate"/>
      </w:r>
      <w:r w:rsidR="00542FE1">
        <w:t>1</w:t>
      </w:r>
      <w:r w:rsidR="00E23933" w:rsidRPr="00531164">
        <w:fldChar w:fldCharType="end"/>
      </w:r>
      <w:bookmarkEnd w:id="474"/>
      <w:r w:rsidR="00A15B68" w:rsidRPr="00531164">
        <w:t xml:space="preserve"> Typical ranges for porosity, hydraulic conductivity and specific storage for different rock types</w:t>
      </w:r>
      <w:r w:rsidR="001E4906">
        <w:t xml:space="preserve"> (</w:t>
      </w:r>
      <w:r w:rsidR="00F976E1">
        <w:t>©</w:t>
      </w:r>
      <w:r w:rsidR="00B26625">
        <w:t xml:space="preserve"> Copyright,</w:t>
      </w:r>
      <w:r w:rsidR="001E4906">
        <w:t xml:space="preserve"> Leap</w:t>
      </w:r>
      <w:r w:rsidR="00B26625">
        <w:t xml:space="preserve"> 2007;</w:t>
      </w:r>
      <w:r w:rsidR="00A15B68" w:rsidRPr="00531164">
        <w:t xml:space="preserve"> based on data </w:t>
      </w:r>
      <w:r w:rsidR="00A15B68" w:rsidRPr="00BC7307">
        <w:t xml:space="preserve">in </w:t>
      </w:r>
      <w:r w:rsidR="001E4906" w:rsidRPr="00BC7307">
        <w:t xml:space="preserve">Fetter </w:t>
      </w:r>
      <w:r w:rsidR="00BC7307" w:rsidRPr="00BC7307">
        <w:t>2001</w:t>
      </w:r>
      <w:r w:rsidR="00227755">
        <w:t>,</w:t>
      </w:r>
      <w:r w:rsidR="001E4906" w:rsidRPr="00BC7307">
        <w:t xml:space="preserve"> </w:t>
      </w:r>
      <w:r w:rsidR="00A15B68" w:rsidRPr="00BC7307">
        <w:t>Domenico</w:t>
      </w:r>
      <w:r w:rsidR="00227755">
        <w:t xml:space="preserve"> &amp; Schwartz 1990,</w:t>
      </w:r>
      <w:r w:rsidR="00A15B68" w:rsidRPr="00531164">
        <w:t xml:space="preserve"> </w:t>
      </w:r>
      <w:r w:rsidR="001E4906" w:rsidRPr="00531164">
        <w:t>Narashimhan &amp; Goyal 1984</w:t>
      </w:r>
      <w:r w:rsidR="00227755">
        <w:t>, and</w:t>
      </w:r>
      <w:r w:rsidR="001E4906">
        <w:t xml:space="preserve"> </w:t>
      </w:r>
      <w:r w:rsidR="00A15B68" w:rsidRPr="00531164">
        <w:t>Freeze &amp; Cherry</w:t>
      </w:r>
      <w:r w:rsidR="001E4906">
        <w:t xml:space="preserve"> </w:t>
      </w:r>
      <w:r w:rsidR="00A15B68" w:rsidRPr="00531164">
        <w:t>1979)</w:t>
      </w:r>
      <w:r w:rsidRPr="00531164">
        <w:t>.</w:t>
      </w:r>
    </w:p>
    <w:tbl>
      <w:tblPr>
        <w:tblStyle w:val="TableGrid"/>
        <w:tblW w:w="9039"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92"/>
        <w:gridCol w:w="2693"/>
        <w:gridCol w:w="1701"/>
        <w:gridCol w:w="2268"/>
        <w:gridCol w:w="1985"/>
      </w:tblGrid>
      <w:tr w:rsidR="00594564" w:rsidRPr="00DC1B48" w:rsidTr="005F6513">
        <w:trPr>
          <w:tblHeader/>
        </w:trPr>
        <w:tc>
          <w:tcPr>
            <w:tcW w:w="3085" w:type="dxa"/>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rsidR="00594564" w:rsidRPr="00DC1B48" w:rsidRDefault="00594564" w:rsidP="00DC1B48">
            <w:pPr>
              <w:pStyle w:val="Tableheading"/>
            </w:pPr>
            <w:r w:rsidRPr="00DC1B48">
              <w:t>Lithology</w:t>
            </w:r>
          </w:p>
        </w:tc>
        <w:tc>
          <w:tcPr>
            <w:tcW w:w="1701" w:type="dxa"/>
            <w:tcBorders>
              <w:top w:val="single" w:sz="4" w:space="0" w:color="auto"/>
              <w:left w:val="single" w:sz="4" w:space="0" w:color="auto"/>
              <w:bottom w:val="single" w:sz="4" w:space="0" w:color="auto"/>
            </w:tcBorders>
            <w:shd w:val="clear" w:color="auto" w:fill="C6D9F1" w:themeFill="text2" w:themeFillTint="33"/>
          </w:tcPr>
          <w:p w:rsidR="00594564" w:rsidRPr="00DC1B48" w:rsidRDefault="00DC1B48" w:rsidP="00DC1B48">
            <w:pPr>
              <w:pStyle w:val="Tableheading"/>
            </w:pPr>
            <w:r w:rsidRPr="00DC1B48">
              <w:t>Total p</w:t>
            </w:r>
            <w:r w:rsidR="00594564" w:rsidRPr="00DC1B48">
              <w:t>orosity</w:t>
            </w:r>
          </w:p>
          <w:p w:rsidR="00594564" w:rsidRPr="00DC1B48" w:rsidRDefault="00594564" w:rsidP="00DC1B48">
            <w:pPr>
              <w:pStyle w:val="Tableheading"/>
            </w:pPr>
            <w:r w:rsidRPr="00DC1B48">
              <w:t>(</w:t>
            </w:r>
            <w:r w:rsidR="00227755" w:rsidRPr="00DC1B48">
              <w:t>%</w:t>
            </w:r>
            <w:r w:rsidRPr="00DC1B48">
              <w:t>)</w:t>
            </w:r>
          </w:p>
        </w:tc>
        <w:tc>
          <w:tcPr>
            <w:tcW w:w="2268" w:type="dxa"/>
            <w:tcBorders>
              <w:top w:val="single" w:sz="4" w:space="0" w:color="auto"/>
              <w:bottom w:val="single" w:sz="4" w:space="0" w:color="auto"/>
            </w:tcBorders>
            <w:shd w:val="clear" w:color="auto" w:fill="C6D9F1" w:themeFill="text2" w:themeFillTint="33"/>
          </w:tcPr>
          <w:p w:rsidR="00594564" w:rsidRPr="00DC1B48" w:rsidRDefault="00DC1B48" w:rsidP="00DC1B48">
            <w:pPr>
              <w:pStyle w:val="Tableheading"/>
            </w:pPr>
            <w:r w:rsidRPr="00DC1B48">
              <w:t>Hydraulic c</w:t>
            </w:r>
            <w:r w:rsidR="00594564" w:rsidRPr="00DC1B48">
              <w:t>onductivity</w:t>
            </w:r>
            <w:r w:rsidR="00227755" w:rsidRPr="00DC1B48">
              <w:t xml:space="preserve"> </w:t>
            </w:r>
            <w:r w:rsidR="00594564" w:rsidRPr="00DC1B48">
              <w:t>(m/d)</w:t>
            </w:r>
          </w:p>
        </w:tc>
        <w:tc>
          <w:tcPr>
            <w:tcW w:w="1985" w:type="dxa"/>
            <w:tcBorders>
              <w:top w:val="single" w:sz="4" w:space="0" w:color="auto"/>
              <w:bottom w:val="single" w:sz="4" w:space="0" w:color="auto"/>
              <w:right w:val="single" w:sz="4" w:space="0" w:color="auto"/>
            </w:tcBorders>
            <w:shd w:val="clear" w:color="auto" w:fill="C6D9F1" w:themeFill="text2" w:themeFillTint="33"/>
          </w:tcPr>
          <w:p w:rsidR="00594564" w:rsidRPr="00DC1B48" w:rsidRDefault="00DC1B48" w:rsidP="00DC1B48">
            <w:pPr>
              <w:pStyle w:val="Tableheading"/>
            </w:pPr>
            <w:r w:rsidRPr="00DC1B48">
              <w:t>Specific s</w:t>
            </w:r>
            <w:r w:rsidR="00594564" w:rsidRPr="00DC1B48">
              <w:t>torage</w:t>
            </w:r>
            <w:r w:rsidR="00544A2C" w:rsidRPr="00DC1B48">
              <w:t>*</w:t>
            </w:r>
          </w:p>
          <w:p w:rsidR="00594564" w:rsidRPr="00DC1B48" w:rsidRDefault="00594564" w:rsidP="00DC1B48">
            <w:pPr>
              <w:pStyle w:val="Tableheading"/>
            </w:pPr>
            <w:r w:rsidRPr="00DC1B48">
              <w:t>(1/m)</w:t>
            </w:r>
          </w:p>
        </w:tc>
      </w:tr>
      <w:tr w:rsidR="00544A2C" w:rsidRPr="003218CA" w:rsidTr="005F6513">
        <w:tc>
          <w:tcPr>
            <w:tcW w:w="3085" w:type="dxa"/>
            <w:gridSpan w:val="2"/>
            <w:tcBorders>
              <w:top w:val="single" w:sz="4" w:space="0" w:color="auto"/>
              <w:left w:val="single" w:sz="4" w:space="0" w:color="auto"/>
              <w:right w:val="single" w:sz="4" w:space="0" w:color="auto"/>
            </w:tcBorders>
          </w:tcPr>
          <w:p w:rsidR="00544A2C" w:rsidRPr="003218CA" w:rsidRDefault="00544A2C" w:rsidP="00CB2FBB">
            <w:pPr>
              <w:pStyle w:val="Tabletext"/>
            </w:pPr>
            <w:r w:rsidRPr="003218CA">
              <w:t>Unconsolidated</w:t>
            </w:r>
          </w:p>
        </w:tc>
        <w:tc>
          <w:tcPr>
            <w:tcW w:w="5954" w:type="dxa"/>
            <w:gridSpan w:val="3"/>
            <w:tcBorders>
              <w:top w:val="single" w:sz="4" w:space="0" w:color="auto"/>
              <w:right w:val="single" w:sz="4" w:space="0" w:color="auto"/>
            </w:tcBorders>
          </w:tcPr>
          <w:p w:rsidR="00544A2C" w:rsidRPr="003218CA" w:rsidRDefault="00544A2C" w:rsidP="00CB2FBB">
            <w:pPr>
              <w:pStyle w:val="Tabletext"/>
            </w:pPr>
          </w:p>
        </w:tc>
      </w:tr>
      <w:tr w:rsidR="00594564" w:rsidRPr="003218CA" w:rsidTr="005F6513">
        <w:tc>
          <w:tcPr>
            <w:tcW w:w="392" w:type="dxa"/>
            <w:tcBorders>
              <w:left w:val="single" w:sz="4" w:space="0" w:color="auto"/>
            </w:tcBorders>
          </w:tcPr>
          <w:p w:rsidR="00594564" w:rsidRPr="003218CA" w:rsidRDefault="00594564" w:rsidP="00CB2FBB">
            <w:pPr>
              <w:pStyle w:val="Tabletext"/>
            </w:pPr>
          </w:p>
        </w:tc>
        <w:tc>
          <w:tcPr>
            <w:tcW w:w="2693" w:type="dxa"/>
            <w:tcBorders>
              <w:bottom w:val="single" w:sz="4" w:space="0" w:color="808080" w:themeColor="background1" w:themeShade="80"/>
              <w:right w:val="single" w:sz="4" w:space="0" w:color="auto"/>
            </w:tcBorders>
          </w:tcPr>
          <w:p w:rsidR="00594564" w:rsidRPr="003218CA" w:rsidRDefault="00594564" w:rsidP="00CB2FBB">
            <w:pPr>
              <w:pStyle w:val="Tabletext"/>
            </w:pPr>
            <w:r w:rsidRPr="003218CA">
              <w:t>Gravel</w:t>
            </w:r>
          </w:p>
        </w:tc>
        <w:tc>
          <w:tcPr>
            <w:tcW w:w="1701" w:type="dxa"/>
            <w:tcBorders>
              <w:left w:val="single" w:sz="4" w:space="0" w:color="auto"/>
              <w:bottom w:val="single" w:sz="4" w:space="0" w:color="808080" w:themeColor="background1" w:themeShade="80"/>
            </w:tcBorders>
          </w:tcPr>
          <w:p w:rsidR="00594564" w:rsidRPr="003218CA" w:rsidRDefault="00594564" w:rsidP="00CB2FBB">
            <w:pPr>
              <w:pStyle w:val="Tabletext"/>
            </w:pPr>
            <w:r w:rsidRPr="003218CA">
              <w:t>25 – 40</w:t>
            </w:r>
          </w:p>
        </w:tc>
        <w:tc>
          <w:tcPr>
            <w:tcW w:w="2268" w:type="dxa"/>
            <w:tcBorders>
              <w:bottom w:val="single" w:sz="4" w:space="0" w:color="808080" w:themeColor="background1" w:themeShade="80"/>
            </w:tcBorders>
          </w:tcPr>
          <w:p w:rsidR="00594564" w:rsidRPr="003218CA" w:rsidRDefault="00594564" w:rsidP="00CB2FBB">
            <w:pPr>
              <w:pStyle w:val="Tabletext"/>
            </w:pPr>
            <w:r w:rsidRPr="003218CA">
              <w:t>10 – 10</w:t>
            </w:r>
            <w:r w:rsidRPr="003218CA">
              <w:rPr>
                <w:vertAlign w:val="superscript"/>
              </w:rPr>
              <w:t>3</w:t>
            </w:r>
          </w:p>
        </w:tc>
        <w:tc>
          <w:tcPr>
            <w:tcW w:w="1985" w:type="dxa"/>
            <w:tcBorders>
              <w:bottom w:val="single" w:sz="4" w:space="0" w:color="808080" w:themeColor="background1" w:themeShade="80"/>
              <w:right w:val="single" w:sz="4" w:space="0" w:color="auto"/>
            </w:tcBorders>
          </w:tcPr>
          <w:p w:rsidR="00594564" w:rsidRPr="003218CA" w:rsidRDefault="00594564" w:rsidP="00CB2FBB">
            <w:pPr>
              <w:pStyle w:val="Tabletext"/>
            </w:pPr>
            <w:r w:rsidRPr="003218CA">
              <w:t>10</w:t>
            </w:r>
            <w:r w:rsidRPr="003218CA">
              <w:rPr>
                <w:vertAlign w:val="superscript"/>
              </w:rPr>
              <w:t>-4</w:t>
            </w:r>
            <w:r w:rsidRPr="003218CA">
              <w:t xml:space="preserve"> – 10</w:t>
            </w:r>
            <w:r w:rsidRPr="003218CA">
              <w:rPr>
                <w:vertAlign w:val="superscript"/>
              </w:rPr>
              <w:t>-6</w:t>
            </w:r>
          </w:p>
        </w:tc>
      </w:tr>
      <w:tr w:rsidR="00594564" w:rsidRPr="003218CA" w:rsidTr="005F6513">
        <w:tc>
          <w:tcPr>
            <w:tcW w:w="392" w:type="dxa"/>
            <w:tcBorders>
              <w:left w:val="single" w:sz="4" w:space="0" w:color="auto"/>
            </w:tcBorders>
          </w:tcPr>
          <w:p w:rsidR="00594564" w:rsidRPr="003218CA" w:rsidRDefault="00594564" w:rsidP="00CB2FBB">
            <w:pPr>
              <w:pStyle w:val="Tabletext"/>
            </w:pPr>
          </w:p>
        </w:tc>
        <w:tc>
          <w:tcPr>
            <w:tcW w:w="2693" w:type="dxa"/>
            <w:tcBorders>
              <w:top w:val="single" w:sz="4" w:space="0" w:color="808080" w:themeColor="background1" w:themeShade="80"/>
              <w:bottom w:val="single" w:sz="4" w:space="0" w:color="808080" w:themeColor="background1" w:themeShade="80"/>
              <w:right w:val="single" w:sz="4" w:space="0" w:color="auto"/>
            </w:tcBorders>
          </w:tcPr>
          <w:p w:rsidR="00594564" w:rsidRPr="003218CA" w:rsidRDefault="00594564" w:rsidP="00CB2FBB">
            <w:pPr>
              <w:pStyle w:val="Tabletext"/>
            </w:pPr>
            <w:r w:rsidRPr="003218CA">
              <w:t>Sand</w:t>
            </w:r>
          </w:p>
        </w:tc>
        <w:tc>
          <w:tcPr>
            <w:tcW w:w="1701" w:type="dxa"/>
            <w:tcBorders>
              <w:top w:val="single" w:sz="4" w:space="0" w:color="808080" w:themeColor="background1" w:themeShade="80"/>
              <w:left w:val="single" w:sz="4" w:space="0" w:color="auto"/>
              <w:bottom w:val="single" w:sz="4" w:space="0" w:color="808080" w:themeColor="background1" w:themeShade="80"/>
            </w:tcBorders>
          </w:tcPr>
          <w:p w:rsidR="00594564" w:rsidRPr="003218CA" w:rsidRDefault="00594564" w:rsidP="00CB2FBB">
            <w:pPr>
              <w:pStyle w:val="Tabletext"/>
            </w:pPr>
            <w:r w:rsidRPr="003218CA">
              <w:t>25 – 50</w:t>
            </w:r>
          </w:p>
        </w:tc>
        <w:tc>
          <w:tcPr>
            <w:tcW w:w="2268" w:type="dxa"/>
            <w:tcBorders>
              <w:top w:val="single" w:sz="4" w:space="0" w:color="808080" w:themeColor="background1" w:themeShade="80"/>
              <w:bottom w:val="single" w:sz="4" w:space="0" w:color="808080" w:themeColor="background1" w:themeShade="80"/>
            </w:tcBorders>
          </w:tcPr>
          <w:p w:rsidR="00594564" w:rsidRPr="003218CA" w:rsidRDefault="00594564" w:rsidP="00CB2FBB">
            <w:pPr>
              <w:pStyle w:val="Tabletext"/>
            </w:pPr>
            <w:r w:rsidRPr="003218CA">
              <w:t>0.1 – 10</w:t>
            </w:r>
            <w:r w:rsidRPr="003218CA">
              <w:rPr>
                <w:vertAlign w:val="superscript"/>
              </w:rPr>
              <w:t>2</w:t>
            </w:r>
          </w:p>
        </w:tc>
        <w:tc>
          <w:tcPr>
            <w:tcW w:w="1985" w:type="dxa"/>
            <w:tcBorders>
              <w:top w:val="single" w:sz="4" w:space="0" w:color="808080" w:themeColor="background1" w:themeShade="80"/>
              <w:bottom w:val="single" w:sz="4" w:space="0" w:color="808080" w:themeColor="background1" w:themeShade="80"/>
              <w:right w:val="single" w:sz="4" w:space="0" w:color="auto"/>
            </w:tcBorders>
          </w:tcPr>
          <w:p w:rsidR="00594564" w:rsidRPr="003218CA" w:rsidRDefault="00594564" w:rsidP="00CB2FBB">
            <w:pPr>
              <w:pStyle w:val="Tabletext"/>
            </w:pPr>
            <w:r w:rsidRPr="003218CA">
              <w:t>10</w:t>
            </w:r>
            <w:r w:rsidRPr="003218CA">
              <w:rPr>
                <w:vertAlign w:val="superscript"/>
              </w:rPr>
              <w:t>-3</w:t>
            </w:r>
            <w:r w:rsidRPr="003218CA">
              <w:t xml:space="preserve"> – 10</w:t>
            </w:r>
            <w:r w:rsidRPr="003218CA">
              <w:rPr>
                <w:vertAlign w:val="superscript"/>
              </w:rPr>
              <w:t>-5</w:t>
            </w:r>
          </w:p>
        </w:tc>
      </w:tr>
      <w:tr w:rsidR="00594564" w:rsidRPr="003218CA" w:rsidTr="005F6513">
        <w:tc>
          <w:tcPr>
            <w:tcW w:w="392" w:type="dxa"/>
            <w:tcBorders>
              <w:left w:val="single" w:sz="4" w:space="0" w:color="auto"/>
            </w:tcBorders>
          </w:tcPr>
          <w:p w:rsidR="00594564" w:rsidRPr="003218CA" w:rsidRDefault="00594564" w:rsidP="00CB2FBB">
            <w:pPr>
              <w:pStyle w:val="Tabletext"/>
            </w:pPr>
          </w:p>
        </w:tc>
        <w:tc>
          <w:tcPr>
            <w:tcW w:w="2693" w:type="dxa"/>
            <w:tcBorders>
              <w:top w:val="single" w:sz="4" w:space="0" w:color="808080" w:themeColor="background1" w:themeShade="80"/>
              <w:bottom w:val="single" w:sz="4" w:space="0" w:color="808080" w:themeColor="background1" w:themeShade="80"/>
              <w:right w:val="single" w:sz="4" w:space="0" w:color="auto"/>
            </w:tcBorders>
          </w:tcPr>
          <w:p w:rsidR="00594564" w:rsidRPr="003218CA" w:rsidRDefault="00594564" w:rsidP="00CB2FBB">
            <w:pPr>
              <w:pStyle w:val="Tabletext"/>
            </w:pPr>
            <w:r w:rsidRPr="003218CA">
              <w:t>Silt</w:t>
            </w:r>
          </w:p>
        </w:tc>
        <w:tc>
          <w:tcPr>
            <w:tcW w:w="1701" w:type="dxa"/>
            <w:tcBorders>
              <w:top w:val="single" w:sz="4" w:space="0" w:color="808080" w:themeColor="background1" w:themeShade="80"/>
              <w:left w:val="single" w:sz="4" w:space="0" w:color="auto"/>
              <w:bottom w:val="single" w:sz="4" w:space="0" w:color="808080" w:themeColor="background1" w:themeShade="80"/>
            </w:tcBorders>
          </w:tcPr>
          <w:p w:rsidR="00594564" w:rsidRPr="003218CA" w:rsidRDefault="00594564" w:rsidP="00CB2FBB">
            <w:pPr>
              <w:pStyle w:val="Tabletext"/>
            </w:pPr>
            <w:r w:rsidRPr="003218CA">
              <w:t>35 – 50</w:t>
            </w:r>
          </w:p>
        </w:tc>
        <w:tc>
          <w:tcPr>
            <w:tcW w:w="2268" w:type="dxa"/>
            <w:tcBorders>
              <w:top w:val="single" w:sz="4" w:space="0" w:color="808080" w:themeColor="background1" w:themeShade="80"/>
              <w:bottom w:val="single" w:sz="4" w:space="0" w:color="808080" w:themeColor="background1" w:themeShade="80"/>
            </w:tcBorders>
          </w:tcPr>
          <w:p w:rsidR="00594564" w:rsidRPr="003218CA" w:rsidRDefault="00594564" w:rsidP="00CB2FBB">
            <w:pPr>
              <w:pStyle w:val="Tabletext"/>
            </w:pPr>
            <w:r w:rsidRPr="003218CA">
              <w:t>10</w:t>
            </w:r>
            <w:r w:rsidRPr="003218CA">
              <w:rPr>
                <w:vertAlign w:val="superscript"/>
              </w:rPr>
              <w:t>-4</w:t>
            </w:r>
            <w:r w:rsidRPr="003218CA">
              <w:t xml:space="preserve"> – 1</w:t>
            </w:r>
          </w:p>
        </w:tc>
        <w:tc>
          <w:tcPr>
            <w:tcW w:w="1985" w:type="dxa"/>
            <w:tcBorders>
              <w:top w:val="single" w:sz="4" w:space="0" w:color="808080" w:themeColor="background1" w:themeShade="80"/>
              <w:bottom w:val="single" w:sz="4" w:space="0" w:color="808080" w:themeColor="background1" w:themeShade="80"/>
              <w:right w:val="single" w:sz="4" w:space="0" w:color="auto"/>
            </w:tcBorders>
          </w:tcPr>
          <w:p w:rsidR="00594564" w:rsidRPr="003218CA" w:rsidRDefault="00594564" w:rsidP="00CB2FBB">
            <w:pPr>
              <w:pStyle w:val="Tabletext"/>
            </w:pPr>
            <w:r w:rsidRPr="003218CA">
              <w:t>No Data</w:t>
            </w:r>
          </w:p>
        </w:tc>
      </w:tr>
      <w:tr w:rsidR="00594564" w:rsidRPr="003218CA" w:rsidTr="005F6513">
        <w:tc>
          <w:tcPr>
            <w:tcW w:w="392" w:type="dxa"/>
            <w:tcBorders>
              <w:left w:val="single" w:sz="4" w:space="0" w:color="auto"/>
            </w:tcBorders>
          </w:tcPr>
          <w:p w:rsidR="00594564" w:rsidRPr="003218CA" w:rsidRDefault="00594564" w:rsidP="00CB2FBB">
            <w:pPr>
              <w:pStyle w:val="Tabletext"/>
            </w:pPr>
          </w:p>
        </w:tc>
        <w:tc>
          <w:tcPr>
            <w:tcW w:w="2693" w:type="dxa"/>
            <w:tcBorders>
              <w:top w:val="single" w:sz="4" w:space="0" w:color="808080" w:themeColor="background1" w:themeShade="80"/>
              <w:bottom w:val="single" w:sz="4" w:space="0" w:color="808080" w:themeColor="background1" w:themeShade="80"/>
              <w:right w:val="single" w:sz="4" w:space="0" w:color="auto"/>
            </w:tcBorders>
          </w:tcPr>
          <w:p w:rsidR="00594564" w:rsidRPr="003218CA" w:rsidRDefault="00594564" w:rsidP="00CB2FBB">
            <w:pPr>
              <w:pStyle w:val="Tabletext"/>
            </w:pPr>
            <w:r w:rsidRPr="003218CA">
              <w:t>Clay</w:t>
            </w:r>
          </w:p>
        </w:tc>
        <w:tc>
          <w:tcPr>
            <w:tcW w:w="1701" w:type="dxa"/>
            <w:tcBorders>
              <w:top w:val="single" w:sz="4" w:space="0" w:color="808080" w:themeColor="background1" w:themeShade="80"/>
              <w:left w:val="single" w:sz="4" w:space="0" w:color="auto"/>
              <w:bottom w:val="single" w:sz="4" w:space="0" w:color="808080" w:themeColor="background1" w:themeShade="80"/>
            </w:tcBorders>
          </w:tcPr>
          <w:p w:rsidR="00594564" w:rsidRPr="003218CA" w:rsidRDefault="00594564" w:rsidP="00CB2FBB">
            <w:pPr>
              <w:pStyle w:val="Tabletext"/>
            </w:pPr>
            <w:r w:rsidRPr="003218CA">
              <w:t>40 – 70</w:t>
            </w:r>
          </w:p>
        </w:tc>
        <w:tc>
          <w:tcPr>
            <w:tcW w:w="2268" w:type="dxa"/>
            <w:tcBorders>
              <w:top w:val="single" w:sz="4" w:space="0" w:color="808080" w:themeColor="background1" w:themeShade="80"/>
              <w:bottom w:val="single" w:sz="4" w:space="0" w:color="808080" w:themeColor="background1" w:themeShade="80"/>
            </w:tcBorders>
          </w:tcPr>
          <w:p w:rsidR="00594564" w:rsidRPr="003218CA" w:rsidRDefault="00594564" w:rsidP="00CB2FBB">
            <w:pPr>
              <w:pStyle w:val="Tabletext"/>
            </w:pPr>
            <w:r w:rsidRPr="003218CA">
              <w:t>10</w:t>
            </w:r>
            <w:r w:rsidRPr="003218CA">
              <w:rPr>
                <w:vertAlign w:val="superscript"/>
              </w:rPr>
              <w:t>-7</w:t>
            </w:r>
            <w:r w:rsidRPr="003218CA">
              <w:t xml:space="preserve"> – 10</w:t>
            </w:r>
            <w:r w:rsidRPr="003218CA">
              <w:rPr>
                <w:vertAlign w:val="superscript"/>
              </w:rPr>
              <w:t>-4</w:t>
            </w:r>
          </w:p>
        </w:tc>
        <w:tc>
          <w:tcPr>
            <w:tcW w:w="1985" w:type="dxa"/>
            <w:tcBorders>
              <w:top w:val="single" w:sz="4" w:space="0" w:color="808080" w:themeColor="background1" w:themeShade="80"/>
              <w:bottom w:val="single" w:sz="4" w:space="0" w:color="808080" w:themeColor="background1" w:themeShade="80"/>
              <w:right w:val="single" w:sz="4" w:space="0" w:color="auto"/>
            </w:tcBorders>
          </w:tcPr>
          <w:p w:rsidR="00594564" w:rsidRPr="003218CA" w:rsidRDefault="00594564" w:rsidP="00CB2FBB">
            <w:pPr>
              <w:pStyle w:val="Tabletext"/>
            </w:pPr>
            <w:r w:rsidRPr="003218CA">
              <w:t>10</w:t>
            </w:r>
            <w:r w:rsidRPr="003218CA">
              <w:rPr>
                <w:vertAlign w:val="superscript"/>
              </w:rPr>
              <w:t>-2</w:t>
            </w:r>
            <w:r w:rsidRPr="003218CA">
              <w:t xml:space="preserve"> – 10</w:t>
            </w:r>
            <w:r w:rsidRPr="003218CA">
              <w:rPr>
                <w:vertAlign w:val="superscript"/>
              </w:rPr>
              <w:t>-4</w:t>
            </w:r>
          </w:p>
        </w:tc>
      </w:tr>
      <w:tr w:rsidR="00594564" w:rsidRPr="003218CA" w:rsidTr="005F6513">
        <w:tc>
          <w:tcPr>
            <w:tcW w:w="392" w:type="dxa"/>
            <w:tcBorders>
              <w:left w:val="single" w:sz="4" w:space="0" w:color="auto"/>
              <w:bottom w:val="single" w:sz="4" w:space="0" w:color="808080" w:themeColor="background1" w:themeShade="80"/>
            </w:tcBorders>
          </w:tcPr>
          <w:p w:rsidR="00594564" w:rsidRPr="003218CA" w:rsidRDefault="00594564" w:rsidP="00CB2FBB">
            <w:pPr>
              <w:pStyle w:val="Tabletext"/>
            </w:pPr>
          </w:p>
        </w:tc>
        <w:tc>
          <w:tcPr>
            <w:tcW w:w="2693" w:type="dxa"/>
            <w:tcBorders>
              <w:top w:val="single" w:sz="4" w:space="0" w:color="808080" w:themeColor="background1" w:themeShade="80"/>
              <w:bottom w:val="single" w:sz="4" w:space="0" w:color="808080" w:themeColor="background1" w:themeShade="80"/>
              <w:right w:val="single" w:sz="4" w:space="0" w:color="auto"/>
            </w:tcBorders>
          </w:tcPr>
          <w:p w:rsidR="00594564" w:rsidRPr="003218CA" w:rsidRDefault="00594564" w:rsidP="00CB2FBB">
            <w:pPr>
              <w:pStyle w:val="Tabletext"/>
            </w:pPr>
            <w:r w:rsidRPr="003218CA">
              <w:t>Glacial Till</w:t>
            </w:r>
          </w:p>
        </w:tc>
        <w:tc>
          <w:tcPr>
            <w:tcW w:w="1701" w:type="dxa"/>
            <w:tcBorders>
              <w:top w:val="single" w:sz="4" w:space="0" w:color="808080" w:themeColor="background1" w:themeShade="80"/>
              <w:left w:val="single" w:sz="4" w:space="0" w:color="auto"/>
              <w:bottom w:val="single" w:sz="4" w:space="0" w:color="808080" w:themeColor="background1" w:themeShade="80"/>
            </w:tcBorders>
          </w:tcPr>
          <w:p w:rsidR="00594564" w:rsidRPr="003218CA" w:rsidRDefault="00594564" w:rsidP="00CB2FBB">
            <w:pPr>
              <w:pStyle w:val="Tabletext"/>
            </w:pPr>
            <w:r w:rsidRPr="003218CA">
              <w:t>10 – 20</w:t>
            </w:r>
          </w:p>
        </w:tc>
        <w:tc>
          <w:tcPr>
            <w:tcW w:w="2268" w:type="dxa"/>
            <w:tcBorders>
              <w:top w:val="single" w:sz="4" w:space="0" w:color="808080" w:themeColor="background1" w:themeShade="80"/>
              <w:bottom w:val="single" w:sz="4" w:space="0" w:color="808080" w:themeColor="background1" w:themeShade="80"/>
            </w:tcBorders>
          </w:tcPr>
          <w:p w:rsidR="00594564" w:rsidRPr="003218CA" w:rsidRDefault="00594564" w:rsidP="00CB2FBB">
            <w:pPr>
              <w:pStyle w:val="Tabletext"/>
            </w:pPr>
            <w:r w:rsidRPr="003218CA">
              <w:t>10</w:t>
            </w:r>
            <w:r w:rsidRPr="003218CA">
              <w:rPr>
                <w:vertAlign w:val="superscript"/>
              </w:rPr>
              <w:t>-7</w:t>
            </w:r>
            <w:r w:rsidRPr="003218CA">
              <w:t xml:space="preserve"> – 0.1</w:t>
            </w:r>
          </w:p>
        </w:tc>
        <w:tc>
          <w:tcPr>
            <w:tcW w:w="1985" w:type="dxa"/>
            <w:tcBorders>
              <w:top w:val="single" w:sz="4" w:space="0" w:color="808080" w:themeColor="background1" w:themeShade="80"/>
              <w:bottom w:val="single" w:sz="4" w:space="0" w:color="808080" w:themeColor="background1" w:themeShade="80"/>
              <w:right w:val="single" w:sz="4" w:space="0" w:color="auto"/>
            </w:tcBorders>
          </w:tcPr>
          <w:p w:rsidR="00594564" w:rsidRPr="003218CA" w:rsidRDefault="00594564" w:rsidP="00CB2FBB">
            <w:pPr>
              <w:pStyle w:val="Tabletext"/>
            </w:pPr>
            <w:r w:rsidRPr="003218CA">
              <w:t>10</w:t>
            </w:r>
            <w:r w:rsidRPr="003218CA">
              <w:rPr>
                <w:vertAlign w:val="superscript"/>
              </w:rPr>
              <w:t>-2</w:t>
            </w:r>
            <w:r w:rsidRPr="003218CA">
              <w:t xml:space="preserve"> – 10</w:t>
            </w:r>
            <w:r w:rsidRPr="003218CA">
              <w:rPr>
                <w:vertAlign w:val="superscript"/>
              </w:rPr>
              <w:t>-4</w:t>
            </w:r>
          </w:p>
        </w:tc>
      </w:tr>
      <w:tr w:rsidR="00544A2C" w:rsidRPr="003218CA" w:rsidTr="005F6513">
        <w:tc>
          <w:tcPr>
            <w:tcW w:w="3085" w:type="dxa"/>
            <w:gridSpan w:val="2"/>
            <w:tcBorders>
              <w:top w:val="single" w:sz="4" w:space="0" w:color="808080" w:themeColor="background1" w:themeShade="80"/>
              <w:left w:val="single" w:sz="4" w:space="0" w:color="auto"/>
              <w:right w:val="single" w:sz="4" w:space="0" w:color="auto"/>
            </w:tcBorders>
          </w:tcPr>
          <w:p w:rsidR="00544A2C" w:rsidRPr="003218CA" w:rsidRDefault="00544A2C" w:rsidP="00CB2FBB">
            <w:pPr>
              <w:pStyle w:val="Tabletext"/>
            </w:pPr>
            <w:r w:rsidRPr="003218CA">
              <w:t>Indurated</w:t>
            </w:r>
            <w:r w:rsidR="00B10ABD" w:rsidRPr="003218CA">
              <w:t xml:space="preserve"> (consolidated)</w:t>
            </w:r>
          </w:p>
        </w:tc>
        <w:tc>
          <w:tcPr>
            <w:tcW w:w="5954" w:type="dxa"/>
            <w:gridSpan w:val="3"/>
            <w:tcBorders>
              <w:top w:val="single" w:sz="4" w:space="0" w:color="808080" w:themeColor="background1" w:themeShade="80"/>
              <w:left w:val="single" w:sz="4" w:space="0" w:color="auto"/>
              <w:right w:val="single" w:sz="4" w:space="0" w:color="auto"/>
            </w:tcBorders>
          </w:tcPr>
          <w:p w:rsidR="00544A2C" w:rsidRPr="003218CA" w:rsidRDefault="00544A2C" w:rsidP="00CB2FBB">
            <w:pPr>
              <w:pStyle w:val="Tabletext"/>
            </w:pPr>
          </w:p>
        </w:tc>
      </w:tr>
      <w:tr w:rsidR="00594564" w:rsidRPr="003218CA" w:rsidTr="005F6513">
        <w:tc>
          <w:tcPr>
            <w:tcW w:w="392" w:type="dxa"/>
            <w:tcBorders>
              <w:left w:val="single" w:sz="4" w:space="0" w:color="auto"/>
            </w:tcBorders>
          </w:tcPr>
          <w:p w:rsidR="00594564" w:rsidRPr="003218CA" w:rsidRDefault="00594564" w:rsidP="00CB2FBB">
            <w:pPr>
              <w:pStyle w:val="Tabletext"/>
            </w:pPr>
          </w:p>
        </w:tc>
        <w:tc>
          <w:tcPr>
            <w:tcW w:w="2693" w:type="dxa"/>
            <w:tcBorders>
              <w:bottom w:val="single" w:sz="4" w:space="0" w:color="808080" w:themeColor="background1" w:themeShade="80"/>
              <w:right w:val="single" w:sz="4" w:space="0" w:color="auto"/>
            </w:tcBorders>
          </w:tcPr>
          <w:p w:rsidR="00594564" w:rsidRPr="003218CA" w:rsidRDefault="00594564" w:rsidP="00CB2FBB">
            <w:pPr>
              <w:pStyle w:val="Tabletext"/>
            </w:pPr>
            <w:r w:rsidRPr="003218CA">
              <w:t>Fractured Basalt</w:t>
            </w:r>
          </w:p>
        </w:tc>
        <w:tc>
          <w:tcPr>
            <w:tcW w:w="1701" w:type="dxa"/>
            <w:tcBorders>
              <w:left w:val="single" w:sz="4" w:space="0" w:color="auto"/>
              <w:bottom w:val="single" w:sz="4" w:space="0" w:color="808080" w:themeColor="background1" w:themeShade="80"/>
            </w:tcBorders>
          </w:tcPr>
          <w:p w:rsidR="00594564" w:rsidRPr="003218CA" w:rsidRDefault="0005748F" w:rsidP="00CB2FBB">
            <w:pPr>
              <w:pStyle w:val="Tabletext"/>
            </w:pPr>
            <w:r w:rsidRPr="003218CA">
              <w:t>5 – 50</w:t>
            </w:r>
          </w:p>
        </w:tc>
        <w:tc>
          <w:tcPr>
            <w:tcW w:w="2268" w:type="dxa"/>
            <w:tcBorders>
              <w:bottom w:val="single" w:sz="4" w:space="0" w:color="808080" w:themeColor="background1" w:themeShade="80"/>
            </w:tcBorders>
          </w:tcPr>
          <w:p w:rsidR="00594564" w:rsidRPr="003218CA" w:rsidRDefault="0005748F" w:rsidP="00CB2FBB">
            <w:pPr>
              <w:pStyle w:val="Tabletext"/>
            </w:pPr>
            <w:r w:rsidRPr="003218CA">
              <w:t>10</w:t>
            </w:r>
            <w:r w:rsidRPr="003218CA">
              <w:rPr>
                <w:vertAlign w:val="superscript"/>
              </w:rPr>
              <w:t>-2</w:t>
            </w:r>
            <w:r w:rsidRPr="003218CA">
              <w:t xml:space="preserve"> – 10</w:t>
            </w:r>
            <w:r w:rsidRPr="003218CA">
              <w:rPr>
                <w:vertAlign w:val="superscript"/>
              </w:rPr>
              <w:t>3</w:t>
            </w:r>
          </w:p>
        </w:tc>
        <w:tc>
          <w:tcPr>
            <w:tcW w:w="1985" w:type="dxa"/>
            <w:tcBorders>
              <w:bottom w:val="single" w:sz="4" w:space="0" w:color="808080" w:themeColor="background1" w:themeShade="80"/>
              <w:right w:val="single" w:sz="4" w:space="0" w:color="auto"/>
            </w:tcBorders>
          </w:tcPr>
          <w:p w:rsidR="0005748F" w:rsidRPr="003218CA" w:rsidRDefault="0005748F" w:rsidP="00CB2FBB">
            <w:pPr>
              <w:pStyle w:val="Tabletext"/>
            </w:pPr>
            <w:r w:rsidRPr="003218CA">
              <w:t>10</w:t>
            </w:r>
            <w:r w:rsidRPr="003218CA">
              <w:rPr>
                <w:vertAlign w:val="superscript"/>
              </w:rPr>
              <w:t>-4</w:t>
            </w:r>
            <w:r w:rsidRPr="003218CA">
              <w:t xml:space="preserve"> – 10</w:t>
            </w:r>
            <w:r w:rsidRPr="003218CA">
              <w:rPr>
                <w:vertAlign w:val="superscript"/>
              </w:rPr>
              <w:t>-5</w:t>
            </w:r>
          </w:p>
        </w:tc>
      </w:tr>
      <w:tr w:rsidR="0005748F" w:rsidRPr="003218CA" w:rsidTr="005F6513">
        <w:tc>
          <w:tcPr>
            <w:tcW w:w="392" w:type="dxa"/>
            <w:tcBorders>
              <w:left w:val="single" w:sz="4" w:space="0" w:color="auto"/>
            </w:tcBorders>
          </w:tcPr>
          <w:p w:rsidR="0005748F" w:rsidRPr="003218CA" w:rsidRDefault="0005748F" w:rsidP="00CB2FBB">
            <w:pPr>
              <w:pStyle w:val="Tabletext"/>
            </w:pPr>
          </w:p>
        </w:tc>
        <w:tc>
          <w:tcPr>
            <w:tcW w:w="2693" w:type="dxa"/>
            <w:tcBorders>
              <w:top w:val="single" w:sz="4" w:space="0" w:color="808080" w:themeColor="background1" w:themeShade="80"/>
              <w:bottom w:val="single" w:sz="4" w:space="0" w:color="808080" w:themeColor="background1" w:themeShade="80"/>
              <w:right w:val="single" w:sz="4" w:space="0" w:color="auto"/>
            </w:tcBorders>
          </w:tcPr>
          <w:p w:rsidR="0005748F" w:rsidRPr="003218CA" w:rsidRDefault="0005748F" w:rsidP="00CB2FBB">
            <w:pPr>
              <w:pStyle w:val="Tabletext"/>
            </w:pPr>
            <w:r w:rsidRPr="003218CA">
              <w:t>Karst Limestone</w:t>
            </w:r>
          </w:p>
        </w:tc>
        <w:tc>
          <w:tcPr>
            <w:tcW w:w="1701" w:type="dxa"/>
            <w:tcBorders>
              <w:top w:val="single" w:sz="4" w:space="0" w:color="808080" w:themeColor="background1" w:themeShade="80"/>
              <w:left w:val="single" w:sz="4" w:space="0" w:color="auto"/>
              <w:bottom w:val="single" w:sz="4" w:space="0" w:color="808080" w:themeColor="background1" w:themeShade="80"/>
            </w:tcBorders>
          </w:tcPr>
          <w:p w:rsidR="0005748F" w:rsidRPr="003218CA" w:rsidRDefault="0005748F" w:rsidP="00CB2FBB">
            <w:pPr>
              <w:pStyle w:val="Tabletext"/>
            </w:pPr>
            <w:r w:rsidRPr="003218CA">
              <w:t>5 – 50</w:t>
            </w:r>
          </w:p>
        </w:tc>
        <w:tc>
          <w:tcPr>
            <w:tcW w:w="2268" w:type="dxa"/>
            <w:tcBorders>
              <w:top w:val="single" w:sz="4" w:space="0" w:color="808080" w:themeColor="background1" w:themeShade="80"/>
              <w:bottom w:val="single" w:sz="4" w:space="0" w:color="808080" w:themeColor="background1" w:themeShade="80"/>
            </w:tcBorders>
          </w:tcPr>
          <w:p w:rsidR="0005748F" w:rsidRPr="003218CA" w:rsidRDefault="0005748F" w:rsidP="00CB2FBB">
            <w:pPr>
              <w:pStyle w:val="Tabletext"/>
            </w:pPr>
            <w:r w:rsidRPr="003218CA">
              <w:t>0.1 – 10</w:t>
            </w:r>
            <w:r w:rsidRPr="003218CA">
              <w:rPr>
                <w:vertAlign w:val="superscript"/>
              </w:rPr>
              <w:t>3</w:t>
            </w:r>
          </w:p>
        </w:tc>
        <w:tc>
          <w:tcPr>
            <w:tcW w:w="1985" w:type="dxa"/>
            <w:tcBorders>
              <w:top w:val="single" w:sz="4" w:space="0" w:color="808080" w:themeColor="background1" w:themeShade="80"/>
              <w:bottom w:val="single" w:sz="4" w:space="0" w:color="808080" w:themeColor="background1" w:themeShade="80"/>
              <w:right w:val="single" w:sz="4" w:space="0" w:color="auto"/>
            </w:tcBorders>
          </w:tcPr>
          <w:p w:rsidR="0005748F" w:rsidRPr="003218CA" w:rsidRDefault="0005748F" w:rsidP="00CB2FBB">
            <w:pPr>
              <w:pStyle w:val="Tabletext"/>
            </w:pPr>
            <w:r w:rsidRPr="003218CA">
              <w:t>No Data</w:t>
            </w:r>
          </w:p>
        </w:tc>
      </w:tr>
      <w:tr w:rsidR="0005748F" w:rsidRPr="003218CA" w:rsidTr="005F6513">
        <w:tc>
          <w:tcPr>
            <w:tcW w:w="392" w:type="dxa"/>
            <w:tcBorders>
              <w:left w:val="single" w:sz="4" w:space="0" w:color="auto"/>
            </w:tcBorders>
          </w:tcPr>
          <w:p w:rsidR="0005748F" w:rsidRPr="003218CA" w:rsidRDefault="0005748F" w:rsidP="00CB2FBB">
            <w:pPr>
              <w:pStyle w:val="Tabletext"/>
            </w:pPr>
          </w:p>
        </w:tc>
        <w:tc>
          <w:tcPr>
            <w:tcW w:w="2693" w:type="dxa"/>
            <w:tcBorders>
              <w:top w:val="single" w:sz="4" w:space="0" w:color="808080" w:themeColor="background1" w:themeShade="80"/>
              <w:bottom w:val="single" w:sz="4" w:space="0" w:color="808080" w:themeColor="background1" w:themeShade="80"/>
              <w:right w:val="single" w:sz="4" w:space="0" w:color="auto"/>
            </w:tcBorders>
          </w:tcPr>
          <w:p w:rsidR="0005748F" w:rsidRPr="003218CA" w:rsidRDefault="0005748F" w:rsidP="00CB2FBB">
            <w:pPr>
              <w:pStyle w:val="Tabletext"/>
            </w:pPr>
            <w:r w:rsidRPr="003218CA">
              <w:t>Sandstone</w:t>
            </w:r>
          </w:p>
        </w:tc>
        <w:tc>
          <w:tcPr>
            <w:tcW w:w="1701" w:type="dxa"/>
            <w:tcBorders>
              <w:top w:val="single" w:sz="4" w:space="0" w:color="808080" w:themeColor="background1" w:themeShade="80"/>
              <w:left w:val="single" w:sz="4" w:space="0" w:color="auto"/>
              <w:bottom w:val="single" w:sz="4" w:space="0" w:color="808080" w:themeColor="background1" w:themeShade="80"/>
            </w:tcBorders>
          </w:tcPr>
          <w:p w:rsidR="0005748F" w:rsidRPr="003218CA" w:rsidRDefault="0005748F" w:rsidP="00CB2FBB">
            <w:pPr>
              <w:pStyle w:val="Tabletext"/>
            </w:pPr>
            <w:r w:rsidRPr="003218CA">
              <w:t>5 – 30</w:t>
            </w:r>
          </w:p>
        </w:tc>
        <w:tc>
          <w:tcPr>
            <w:tcW w:w="2268" w:type="dxa"/>
            <w:tcBorders>
              <w:top w:val="single" w:sz="4" w:space="0" w:color="808080" w:themeColor="background1" w:themeShade="80"/>
              <w:bottom w:val="single" w:sz="4" w:space="0" w:color="808080" w:themeColor="background1" w:themeShade="80"/>
            </w:tcBorders>
          </w:tcPr>
          <w:p w:rsidR="0005748F" w:rsidRPr="003218CA" w:rsidRDefault="0005748F" w:rsidP="00CB2FBB">
            <w:pPr>
              <w:pStyle w:val="Tabletext"/>
            </w:pPr>
            <w:r w:rsidRPr="003218CA">
              <w:t>10</w:t>
            </w:r>
            <w:r w:rsidRPr="003218CA">
              <w:rPr>
                <w:vertAlign w:val="superscript"/>
              </w:rPr>
              <w:t>-5</w:t>
            </w:r>
            <w:r w:rsidRPr="003218CA">
              <w:t xml:space="preserve"> – 0.1</w:t>
            </w:r>
          </w:p>
        </w:tc>
        <w:tc>
          <w:tcPr>
            <w:tcW w:w="1985" w:type="dxa"/>
            <w:tcBorders>
              <w:top w:val="single" w:sz="4" w:space="0" w:color="808080" w:themeColor="background1" w:themeShade="80"/>
              <w:bottom w:val="single" w:sz="4" w:space="0" w:color="808080" w:themeColor="background1" w:themeShade="80"/>
              <w:right w:val="single" w:sz="4" w:space="0" w:color="auto"/>
            </w:tcBorders>
          </w:tcPr>
          <w:p w:rsidR="0005748F" w:rsidRPr="003218CA" w:rsidRDefault="0005748F" w:rsidP="00CB2FBB">
            <w:pPr>
              <w:pStyle w:val="Tabletext"/>
            </w:pPr>
            <w:r w:rsidRPr="003218CA">
              <w:t>10</w:t>
            </w:r>
            <w:r w:rsidRPr="003218CA">
              <w:rPr>
                <w:vertAlign w:val="superscript"/>
              </w:rPr>
              <w:t>-7</w:t>
            </w:r>
            <w:r w:rsidRPr="003218CA">
              <w:t xml:space="preserve"> – 10</w:t>
            </w:r>
            <w:r w:rsidRPr="003218CA">
              <w:rPr>
                <w:vertAlign w:val="superscript"/>
              </w:rPr>
              <w:t>-6</w:t>
            </w:r>
          </w:p>
        </w:tc>
      </w:tr>
      <w:tr w:rsidR="0005748F" w:rsidRPr="003218CA" w:rsidTr="005F6513">
        <w:tc>
          <w:tcPr>
            <w:tcW w:w="392" w:type="dxa"/>
            <w:tcBorders>
              <w:left w:val="single" w:sz="4" w:space="0" w:color="auto"/>
            </w:tcBorders>
          </w:tcPr>
          <w:p w:rsidR="0005748F" w:rsidRPr="003218CA" w:rsidRDefault="0005748F" w:rsidP="00CB2FBB">
            <w:pPr>
              <w:pStyle w:val="Tabletext"/>
            </w:pPr>
          </w:p>
        </w:tc>
        <w:tc>
          <w:tcPr>
            <w:tcW w:w="2693" w:type="dxa"/>
            <w:tcBorders>
              <w:top w:val="single" w:sz="4" w:space="0" w:color="808080" w:themeColor="background1" w:themeShade="80"/>
              <w:bottom w:val="single" w:sz="4" w:space="0" w:color="808080" w:themeColor="background1" w:themeShade="80"/>
              <w:right w:val="single" w:sz="4" w:space="0" w:color="auto"/>
            </w:tcBorders>
          </w:tcPr>
          <w:p w:rsidR="0005748F" w:rsidRPr="003218CA" w:rsidRDefault="0005748F" w:rsidP="00CB2FBB">
            <w:pPr>
              <w:pStyle w:val="Tabletext"/>
            </w:pPr>
            <w:r w:rsidRPr="003218CA">
              <w:t>Limestone, Dolomite</w:t>
            </w:r>
          </w:p>
        </w:tc>
        <w:tc>
          <w:tcPr>
            <w:tcW w:w="1701" w:type="dxa"/>
            <w:tcBorders>
              <w:top w:val="single" w:sz="4" w:space="0" w:color="808080" w:themeColor="background1" w:themeShade="80"/>
              <w:left w:val="single" w:sz="4" w:space="0" w:color="auto"/>
              <w:bottom w:val="single" w:sz="4" w:space="0" w:color="808080" w:themeColor="background1" w:themeShade="80"/>
            </w:tcBorders>
          </w:tcPr>
          <w:p w:rsidR="0005748F" w:rsidRPr="003218CA" w:rsidRDefault="0005748F" w:rsidP="00CB2FBB">
            <w:pPr>
              <w:pStyle w:val="Tabletext"/>
            </w:pPr>
            <w:r w:rsidRPr="003218CA">
              <w:t>0 – 20</w:t>
            </w:r>
          </w:p>
        </w:tc>
        <w:tc>
          <w:tcPr>
            <w:tcW w:w="2268" w:type="dxa"/>
            <w:tcBorders>
              <w:top w:val="single" w:sz="4" w:space="0" w:color="808080" w:themeColor="background1" w:themeShade="80"/>
              <w:bottom w:val="single" w:sz="4" w:space="0" w:color="808080" w:themeColor="background1" w:themeShade="80"/>
            </w:tcBorders>
          </w:tcPr>
          <w:p w:rsidR="0005748F" w:rsidRPr="003218CA" w:rsidRDefault="0005748F" w:rsidP="00CB2FBB">
            <w:pPr>
              <w:pStyle w:val="Tabletext"/>
            </w:pPr>
            <w:r w:rsidRPr="003218CA">
              <w:t>10</w:t>
            </w:r>
            <w:r w:rsidRPr="003218CA">
              <w:rPr>
                <w:vertAlign w:val="superscript"/>
              </w:rPr>
              <w:t>-4</w:t>
            </w:r>
            <w:r w:rsidRPr="003218CA">
              <w:t xml:space="preserve"> – 0.1</w:t>
            </w:r>
          </w:p>
        </w:tc>
        <w:tc>
          <w:tcPr>
            <w:tcW w:w="1985" w:type="dxa"/>
            <w:tcBorders>
              <w:top w:val="single" w:sz="4" w:space="0" w:color="808080" w:themeColor="background1" w:themeShade="80"/>
              <w:bottom w:val="single" w:sz="4" w:space="0" w:color="808080" w:themeColor="background1" w:themeShade="80"/>
              <w:right w:val="single" w:sz="4" w:space="0" w:color="auto"/>
            </w:tcBorders>
          </w:tcPr>
          <w:p w:rsidR="0005748F" w:rsidRPr="003218CA" w:rsidRDefault="0005748F" w:rsidP="00CB2FBB">
            <w:pPr>
              <w:pStyle w:val="Tabletext"/>
            </w:pPr>
            <w:r w:rsidRPr="003218CA">
              <w:t>&lt; 10</w:t>
            </w:r>
            <w:r w:rsidRPr="003218CA">
              <w:rPr>
                <w:vertAlign w:val="superscript"/>
              </w:rPr>
              <w:t>-6</w:t>
            </w:r>
          </w:p>
        </w:tc>
      </w:tr>
      <w:tr w:rsidR="0005748F" w:rsidRPr="003218CA" w:rsidTr="005F6513">
        <w:tc>
          <w:tcPr>
            <w:tcW w:w="392" w:type="dxa"/>
            <w:tcBorders>
              <w:left w:val="single" w:sz="4" w:space="0" w:color="auto"/>
            </w:tcBorders>
          </w:tcPr>
          <w:p w:rsidR="0005748F" w:rsidRPr="003218CA" w:rsidRDefault="0005748F" w:rsidP="00CB2FBB">
            <w:pPr>
              <w:pStyle w:val="Tabletext"/>
            </w:pPr>
          </w:p>
        </w:tc>
        <w:tc>
          <w:tcPr>
            <w:tcW w:w="2693" w:type="dxa"/>
            <w:tcBorders>
              <w:top w:val="single" w:sz="4" w:space="0" w:color="808080" w:themeColor="background1" w:themeShade="80"/>
              <w:bottom w:val="single" w:sz="4" w:space="0" w:color="808080" w:themeColor="background1" w:themeShade="80"/>
              <w:right w:val="single" w:sz="4" w:space="0" w:color="auto"/>
            </w:tcBorders>
          </w:tcPr>
          <w:p w:rsidR="0005748F" w:rsidRPr="003218CA" w:rsidRDefault="0005748F" w:rsidP="00CB2FBB">
            <w:pPr>
              <w:pStyle w:val="Tabletext"/>
            </w:pPr>
            <w:r w:rsidRPr="003218CA">
              <w:t>Shale</w:t>
            </w:r>
          </w:p>
        </w:tc>
        <w:tc>
          <w:tcPr>
            <w:tcW w:w="1701" w:type="dxa"/>
            <w:tcBorders>
              <w:top w:val="single" w:sz="4" w:space="0" w:color="808080" w:themeColor="background1" w:themeShade="80"/>
              <w:left w:val="single" w:sz="4" w:space="0" w:color="auto"/>
              <w:bottom w:val="single" w:sz="4" w:space="0" w:color="808080" w:themeColor="background1" w:themeShade="80"/>
            </w:tcBorders>
          </w:tcPr>
          <w:p w:rsidR="0005748F" w:rsidRPr="003218CA" w:rsidRDefault="0005748F" w:rsidP="00CB2FBB">
            <w:pPr>
              <w:pStyle w:val="Tabletext"/>
            </w:pPr>
            <w:r w:rsidRPr="003218CA">
              <w:t>0 – 10</w:t>
            </w:r>
          </w:p>
        </w:tc>
        <w:tc>
          <w:tcPr>
            <w:tcW w:w="2268" w:type="dxa"/>
            <w:tcBorders>
              <w:top w:val="single" w:sz="4" w:space="0" w:color="808080" w:themeColor="background1" w:themeShade="80"/>
              <w:bottom w:val="single" w:sz="4" w:space="0" w:color="808080" w:themeColor="background1" w:themeShade="80"/>
            </w:tcBorders>
          </w:tcPr>
          <w:p w:rsidR="0005748F" w:rsidRPr="003218CA" w:rsidRDefault="0005748F" w:rsidP="00CB2FBB">
            <w:pPr>
              <w:pStyle w:val="Tabletext"/>
            </w:pPr>
            <w:r w:rsidRPr="003218CA">
              <w:t>10</w:t>
            </w:r>
            <w:r w:rsidRPr="003218CA">
              <w:rPr>
                <w:vertAlign w:val="superscript"/>
              </w:rPr>
              <w:t>-8</w:t>
            </w:r>
            <w:r w:rsidRPr="003218CA">
              <w:t xml:space="preserve"> – 10</w:t>
            </w:r>
            <w:r w:rsidRPr="003218CA">
              <w:rPr>
                <w:vertAlign w:val="superscript"/>
              </w:rPr>
              <w:t>-4</w:t>
            </w:r>
          </w:p>
        </w:tc>
        <w:tc>
          <w:tcPr>
            <w:tcW w:w="1985" w:type="dxa"/>
            <w:tcBorders>
              <w:top w:val="single" w:sz="4" w:space="0" w:color="808080" w:themeColor="background1" w:themeShade="80"/>
              <w:bottom w:val="single" w:sz="4" w:space="0" w:color="808080" w:themeColor="background1" w:themeShade="80"/>
              <w:right w:val="single" w:sz="4" w:space="0" w:color="auto"/>
            </w:tcBorders>
          </w:tcPr>
          <w:p w:rsidR="0005748F" w:rsidRPr="003218CA" w:rsidRDefault="0005748F" w:rsidP="00CB2FBB">
            <w:pPr>
              <w:pStyle w:val="Tabletext"/>
            </w:pPr>
            <w:r w:rsidRPr="003218CA">
              <w:t>10</w:t>
            </w:r>
            <w:r w:rsidRPr="003218CA">
              <w:rPr>
                <w:vertAlign w:val="superscript"/>
              </w:rPr>
              <w:t>-3</w:t>
            </w:r>
            <w:r w:rsidRPr="003218CA">
              <w:t xml:space="preserve"> – 10</w:t>
            </w:r>
            <w:r w:rsidRPr="003218CA">
              <w:rPr>
                <w:vertAlign w:val="superscript"/>
              </w:rPr>
              <w:t>-4</w:t>
            </w:r>
          </w:p>
        </w:tc>
      </w:tr>
      <w:tr w:rsidR="0005748F" w:rsidRPr="003218CA" w:rsidTr="005F6513">
        <w:tc>
          <w:tcPr>
            <w:tcW w:w="392" w:type="dxa"/>
            <w:tcBorders>
              <w:left w:val="single" w:sz="4" w:space="0" w:color="auto"/>
            </w:tcBorders>
          </w:tcPr>
          <w:p w:rsidR="0005748F" w:rsidRPr="003218CA" w:rsidRDefault="0005748F" w:rsidP="00CB2FBB">
            <w:pPr>
              <w:pStyle w:val="Tabletext"/>
            </w:pPr>
          </w:p>
        </w:tc>
        <w:tc>
          <w:tcPr>
            <w:tcW w:w="2693" w:type="dxa"/>
            <w:tcBorders>
              <w:top w:val="single" w:sz="4" w:space="0" w:color="808080" w:themeColor="background1" w:themeShade="80"/>
              <w:bottom w:val="single" w:sz="4" w:space="0" w:color="808080" w:themeColor="background1" w:themeShade="80"/>
              <w:right w:val="single" w:sz="4" w:space="0" w:color="auto"/>
            </w:tcBorders>
          </w:tcPr>
          <w:p w:rsidR="0005748F" w:rsidRPr="003218CA" w:rsidRDefault="0005748F" w:rsidP="00CB2FBB">
            <w:pPr>
              <w:pStyle w:val="Tabletext"/>
            </w:pPr>
            <w:r w:rsidRPr="003218CA">
              <w:t>Fractured Crystalline Rock</w:t>
            </w:r>
          </w:p>
        </w:tc>
        <w:tc>
          <w:tcPr>
            <w:tcW w:w="1701" w:type="dxa"/>
            <w:tcBorders>
              <w:top w:val="single" w:sz="4" w:space="0" w:color="808080" w:themeColor="background1" w:themeShade="80"/>
              <w:left w:val="single" w:sz="4" w:space="0" w:color="auto"/>
              <w:bottom w:val="single" w:sz="4" w:space="0" w:color="808080" w:themeColor="background1" w:themeShade="80"/>
            </w:tcBorders>
          </w:tcPr>
          <w:p w:rsidR="0005748F" w:rsidRPr="003218CA" w:rsidRDefault="0005748F" w:rsidP="00CB2FBB">
            <w:pPr>
              <w:pStyle w:val="Tabletext"/>
            </w:pPr>
            <w:r w:rsidRPr="003218CA">
              <w:t>0 – 10</w:t>
            </w:r>
          </w:p>
        </w:tc>
        <w:tc>
          <w:tcPr>
            <w:tcW w:w="2268" w:type="dxa"/>
            <w:tcBorders>
              <w:top w:val="single" w:sz="4" w:space="0" w:color="808080" w:themeColor="background1" w:themeShade="80"/>
              <w:bottom w:val="single" w:sz="4" w:space="0" w:color="808080" w:themeColor="background1" w:themeShade="80"/>
            </w:tcBorders>
          </w:tcPr>
          <w:p w:rsidR="0005748F" w:rsidRPr="003218CA" w:rsidRDefault="0005748F" w:rsidP="00CB2FBB">
            <w:pPr>
              <w:pStyle w:val="Tabletext"/>
            </w:pPr>
            <w:r w:rsidRPr="003218CA">
              <w:t>10</w:t>
            </w:r>
            <w:r w:rsidRPr="003218CA">
              <w:rPr>
                <w:vertAlign w:val="superscript"/>
              </w:rPr>
              <w:t>-4</w:t>
            </w:r>
            <w:r w:rsidRPr="003218CA">
              <w:t xml:space="preserve"> – 10</w:t>
            </w:r>
          </w:p>
        </w:tc>
        <w:tc>
          <w:tcPr>
            <w:tcW w:w="1985" w:type="dxa"/>
            <w:tcBorders>
              <w:top w:val="single" w:sz="4" w:space="0" w:color="808080" w:themeColor="background1" w:themeShade="80"/>
              <w:bottom w:val="single" w:sz="4" w:space="0" w:color="808080" w:themeColor="background1" w:themeShade="80"/>
              <w:right w:val="single" w:sz="4" w:space="0" w:color="auto"/>
            </w:tcBorders>
          </w:tcPr>
          <w:p w:rsidR="0005748F" w:rsidRPr="003218CA" w:rsidRDefault="0005748F" w:rsidP="00CB2FBB">
            <w:pPr>
              <w:pStyle w:val="Tabletext"/>
            </w:pPr>
            <w:r w:rsidRPr="003218CA">
              <w:t>&lt; 10</w:t>
            </w:r>
            <w:r w:rsidRPr="003218CA">
              <w:rPr>
                <w:vertAlign w:val="superscript"/>
              </w:rPr>
              <w:t>-6</w:t>
            </w:r>
          </w:p>
        </w:tc>
      </w:tr>
      <w:tr w:rsidR="0005748F" w:rsidRPr="003218CA" w:rsidTr="005F6513">
        <w:tc>
          <w:tcPr>
            <w:tcW w:w="392" w:type="dxa"/>
            <w:tcBorders>
              <w:left w:val="single" w:sz="4" w:space="0" w:color="auto"/>
              <w:bottom w:val="single" w:sz="4" w:space="0" w:color="auto"/>
            </w:tcBorders>
          </w:tcPr>
          <w:p w:rsidR="0005748F" w:rsidRPr="003218CA" w:rsidRDefault="0005748F" w:rsidP="00CB2FBB">
            <w:pPr>
              <w:pStyle w:val="Tabletext"/>
            </w:pPr>
          </w:p>
        </w:tc>
        <w:tc>
          <w:tcPr>
            <w:tcW w:w="2693" w:type="dxa"/>
            <w:tcBorders>
              <w:top w:val="single" w:sz="4" w:space="0" w:color="808080" w:themeColor="background1" w:themeShade="80"/>
              <w:bottom w:val="single" w:sz="4" w:space="0" w:color="auto"/>
              <w:right w:val="single" w:sz="4" w:space="0" w:color="auto"/>
            </w:tcBorders>
          </w:tcPr>
          <w:p w:rsidR="0005748F" w:rsidRPr="003218CA" w:rsidRDefault="0005748F" w:rsidP="00CB2FBB">
            <w:pPr>
              <w:pStyle w:val="Tabletext"/>
            </w:pPr>
            <w:r w:rsidRPr="003218CA">
              <w:t>Dense Crystalline Rock</w:t>
            </w:r>
          </w:p>
        </w:tc>
        <w:tc>
          <w:tcPr>
            <w:tcW w:w="1701" w:type="dxa"/>
            <w:tcBorders>
              <w:top w:val="single" w:sz="4" w:space="0" w:color="808080" w:themeColor="background1" w:themeShade="80"/>
              <w:left w:val="single" w:sz="4" w:space="0" w:color="auto"/>
              <w:bottom w:val="single" w:sz="4" w:space="0" w:color="auto"/>
            </w:tcBorders>
          </w:tcPr>
          <w:p w:rsidR="0005748F" w:rsidRPr="003218CA" w:rsidRDefault="0005748F" w:rsidP="00CB2FBB">
            <w:pPr>
              <w:pStyle w:val="Tabletext"/>
            </w:pPr>
            <w:r w:rsidRPr="003218CA">
              <w:t>0 – 5</w:t>
            </w:r>
          </w:p>
        </w:tc>
        <w:tc>
          <w:tcPr>
            <w:tcW w:w="2268" w:type="dxa"/>
            <w:tcBorders>
              <w:top w:val="single" w:sz="4" w:space="0" w:color="808080" w:themeColor="background1" w:themeShade="80"/>
              <w:bottom w:val="single" w:sz="4" w:space="0" w:color="auto"/>
            </w:tcBorders>
          </w:tcPr>
          <w:p w:rsidR="0005748F" w:rsidRPr="003218CA" w:rsidRDefault="0005748F" w:rsidP="00CB2FBB">
            <w:pPr>
              <w:pStyle w:val="Tabletext"/>
            </w:pPr>
            <w:r w:rsidRPr="003218CA">
              <w:t>10</w:t>
            </w:r>
            <w:r w:rsidRPr="003218CA">
              <w:rPr>
                <w:vertAlign w:val="superscript"/>
              </w:rPr>
              <w:t>-9</w:t>
            </w:r>
            <w:r w:rsidRPr="003218CA">
              <w:t xml:space="preserve"> – 10</w:t>
            </w:r>
            <w:r w:rsidRPr="003218CA">
              <w:rPr>
                <w:vertAlign w:val="superscript"/>
              </w:rPr>
              <w:t>-5</w:t>
            </w:r>
          </w:p>
        </w:tc>
        <w:tc>
          <w:tcPr>
            <w:tcW w:w="1985" w:type="dxa"/>
            <w:tcBorders>
              <w:top w:val="single" w:sz="4" w:space="0" w:color="808080" w:themeColor="background1" w:themeShade="80"/>
              <w:bottom w:val="single" w:sz="4" w:space="0" w:color="auto"/>
              <w:right w:val="single" w:sz="4" w:space="0" w:color="auto"/>
            </w:tcBorders>
          </w:tcPr>
          <w:p w:rsidR="0005748F" w:rsidRPr="003218CA" w:rsidRDefault="0005748F" w:rsidP="00CB2FBB">
            <w:pPr>
              <w:pStyle w:val="Tabletext"/>
            </w:pPr>
            <w:r w:rsidRPr="003218CA">
              <w:t>10</w:t>
            </w:r>
            <w:r w:rsidRPr="003218CA">
              <w:rPr>
                <w:vertAlign w:val="superscript"/>
              </w:rPr>
              <w:t>-5</w:t>
            </w:r>
            <w:r w:rsidRPr="003218CA">
              <w:t xml:space="preserve"> – 10</w:t>
            </w:r>
            <w:r w:rsidRPr="003218CA">
              <w:rPr>
                <w:vertAlign w:val="superscript"/>
              </w:rPr>
              <w:t>-7</w:t>
            </w:r>
          </w:p>
        </w:tc>
      </w:tr>
    </w:tbl>
    <w:p w:rsidR="00F23986" w:rsidRDefault="00DC1B48" w:rsidP="004A3E10">
      <w:pPr>
        <w:pStyle w:val="Imagecaption"/>
        <w:pBdr>
          <w:top w:val="none" w:sz="0" w:space="0" w:color="auto"/>
        </w:pBdr>
        <w:spacing w:before="120"/>
      </w:pPr>
      <w:r w:rsidRPr="003218CA">
        <w:rPr>
          <w:vertAlign w:val="superscript"/>
        </w:rPr>
        <w:t>*</w:t>
      </w:r>
      <w:r w:rsidRPr="003218CA">
        <w:t xml:space="preserve"> </w:t>
      </w:r>
      <w:proofErr w:type="gramStart"/>
      <w:r w:rsidRPr="003218CA">
        <w:t>for</w:t>
      </w:r>
      <w:proofErr w:type="gramEnd"/>
      <w:r w:rsidRPr="003218CA">
        <w:t xml:space="preserve"> confined aquifer</w:t>
      </w:r>
    </w:p>
    <w:p w:rsidR="005F6513" w:rsidRDefault="005F6513" w:rsidP="00DC1B48">
      <w:pPr>
        <w:pStyle w:val="BRNormal"/>
      </w:pPr>
    </w:p>
    <w:p w:rsidR="00F34CB6" w:rsidRDefault="007A1D5C" w:rsidP="00DC1B48">
      <w:pPr>
        <w:pStyle w:val="BRNormal"/>
      </w:pPr>
      <w:r>
        <w:lastRenderedPageBreak/>
        <w:t>Crystalline rock has very low porosity, which leads to very low conductivity. Fractures however will increase permeability and hydraulic conductivity to the extent that aquifers in fractured crystalline rock become productive.</w:t>
      </w:r>
      <w:r w:rsidR="0032568D">
        <w:t xml:space="preserve"> The effect of fractures will depend on the fracture orientation and density.</w:t>
      </w:r>
    </w:p>
    <w:p w:rsidR="0032568D" w:rsidRDefault="0032568D" w:rsidP="001E4906">
      <w:pPr>
        <w:pStyle w:val="BRNormal"/>
      </w:pPr>
      <w:r>
        <w:t>Geological deposits are seldom homogeneous and their hydraulic properties will vary from one place to another</w:t>
      </w:r>
      <w:r w:rsidR="005F44C0">
        <w:t>;</w:t>
      </w:r>
      <w:r>
        <w:t xml:space="preserve"> this </w:t>
      </w:r>
      <w:r w:rsidR="005F44C0">
        <w:t xml:space="preserve">is known as </w:t>
      </w:r>
      <w:r>
        <w:t>heterogeneity</w:t>
      </w:r>
      <w:r w:rsidR="005F44C0">
        <w:t>. H</w:t>
      </w:r>
      <w:r>
        <w:t>ydraulic properties can be dependent on the direction</w:t>
      </w:r>
      <w:r w:rsidR="005F44C0">
        <w:t xml:space="preserve"> of measurement; if a geologic medium has hydraulic conductivity equal in </w:t>
      </w:r>
      <w:r w:rsidR="00D94205">
        <w:t>all directions</w:t>
      </w:r>
      <w:r w:rsidR="005F44C0">
        <w:t xml:space="preserve"> (that is, horizontal and vertical) then it is said to be isot</w:t>
      </w:r>
      <w:r w:rsidR="00267A5F">
        <w:t>r</w:t>
      </w:r>
      <w:r w:rsidR="005F44C0">
        <w:t>opic</w:t>
      </w:r>
      <w:r>
        <w:t xml:space="preserve">. </w:t>
      </w:r>
      <w:r w:rsidR="005F44C0">
        <w:t xml:space="preserve">In reality, vertical </w:t>
      </w:r>
      <w:r>
        <w:t xml:space="preserve">hydraulic conductivity is </w:t>
      </w:r>
      <w:r w:rsidR="005F44C0">
        <w:t>generally</w:t>
      </w:r>
      <w:r>
        <w:t xml:space="preserve"> </w:t>
      </w:r>
      <w:r w:rsidR="006C2B61">
        <w:t>lower</w:t>
      </w:r>
      <w:r>
        <w:t xml:space="preserve"> than </w:t>
      </w:r>
      <w:r w:rsidR="005F44C0">
        <w:t xml:space="preserve">horizontal </w:t>
      </w:r>
      <w:r>
        <w:t xml:space="preserve">hydraulic conductivity </w:t>
      </w:r>
      <w:r w:rsidR="005F44C0">
        <w:t>and media are anisotropic</w:t>
      </w:r>
      <w:r>
        <w:t>. This anisotropy is mainly due to internal layering of sediments and preferred orientation of grains. Oblong grains will generally be deposited with their long axis horizontal</w:t>
      </w:r>
      <w:r w:rsidR="00A14A2D">
        <w:t>, resulting in resistance to flow in the vertical direction.</w:t>
      </w:r>
      <w:r>
        <w:t xml:space="preserve"> Anisotropy can also be cause</w:t>
      </w:r>
      <w:r w:rsidR="00A14A2D">
        <w:t>d</w:t>
      </w:r>
      <w:r>
        <w:t xml:space="preserve"> </w:t>
      </w:r>
      <w:r w:rsidR="00A14A2D">
        <w:t>when</w:t>
      </w:r>
      <w:r>
        <w:t xml:space="preserve"> fracture networks </w:t>
      </w:r>
      <w:r w:rsidR="00A14A2D">
        <w:t>have</w:t>
      </w:r>
      <w:r>
        <w:t xml:space="preserve"> a dominant direction.</w:t>
      </w:r>
    </w:p>
    <w:p w:rsidR="00DB2DDA" w:rsidRDefault="005F44C0" w:rsidP="001E4906">
      <w:pPr>
        <w:pStyle w:val="BRNormal"/>
      </w:pPr>
      <w:r>
        <w:t>Groundwater f</w:t>
      </w:r>
      <w:r w:rsidRPr="00DB2DDA">
        <w:t xml:space="preserve">low </w:t>
      </w:r>
      <w:r w:rsidR="00DB2DDA" w:rsidRPr="00DB2DDA">
        <w:t xml:space="preserve">in aquifers is </w:t>
      </w:r>
      <w:r>
        <w:t>predominantly</w:t>
      </w:r>
      <w:r w:rsidRPr="00DB2DDA">
        <w:t xml:space="preserve"> </w:t>
      </w:r>
      <w:r w:rsidR="00DB2DDA" w:rsidRPr="00DB2DDA">
        <w:t xml:space="preserve">horizontal. At a contact with an aquitard with a much lower hydraulic conductivity, flow </w:t>
      </w:r>
      <w:r>
        <w:t xml:space="preserve">in the aquifer </w:t>
      </w:r>
      <w:r w:rsidR="00DB2DDA" w:rsidRPr="00DB2DDA">
        <w:t xml:space="preserve">will </w:t>
      </w:r>
      <w:r w:rsidR="006C2B61">
        <w:t>decrease</w:t>
      </w:r>
      <w:r w:rsidR="00DB2DDA" w:rsidRPr="00DB2DDA">
        <w:t xml:space="preserve"> and the direction of flow will become more vertical. This refraction of flowlines is proportional to the ratio of the high and low conductivity. It </w:t>
      </w:r>
      <w:r w:rsidR="006C2B61">
        <w:t>has been</w:t>
      </w:r>
      <w:r w:rsidR="00DB2DDA" w:rsidRPr="00DB2DDA">
        <w:t xml:space="preserve"> shown that a difference of </w:t>
      </w:r>
      <w:r w:rsidR="00FD1991">
        <w:t>four</w:t>
      </w:r>
      <w:r w:rsidR="00FD1991" w:rsidRPr="00DB2DDA">
        <w:t xml:space="preserve"> </w:t>
      </w:r>
      <w:r w:rsidR="00DB2DDA" w:rsidRPr="00DB2DDA">
        <w:t>orders of magnitude between aquifer and aquitard is sufficient to change flow from predominantly horizontal in the aquifer to predominantly vertical in the aquitard</w:t>
      </w:r>
      <w:r w:rsidR="001E4906">
        <w:t xml:space="preserve"> (Freeze and Cherry</w:t>
      </w:r>
      <w:r w:rsidR="002B2A12">
        <w:t xml:space="preserve"> 1979)</w:t>
      </w:r>
      <w:r w:rsidR="00DB2DDA" w:rsidRPr="00DB2DDA">
        <w:t>.</w:t>
      </w:r>
    </w:p>
    <w:p w:rsidR="00542FE1" w:rsidRDefault="00542FE1" w:rsidP="00542FE1">
      <w:pPr>
        <w:pStyle w:val="BRNormal"/>
      </w:pPr>
      <w:r>
        <w:t xml:space="preserve">Heterogeneity and anisotropy act on different scales. In a heterogeneous aquifer, measurements of a hydraulic property, such as porosity, on a small volume, such as a plug from a drill core, will vary greatly. By increasing the sample volume, the measurement will average the property over a </w:t>
      </w:r>
      <w:r w:rsidR="006C2B61">
        <w:t>larger volume and the variation</w:t>
      </w:r>
      <w:r>
        <w:t xml:space="preserve"> in measurement values will become less (Figure 3). This means that the value will become more representative for the entire aquifer. The smallest measurement volume </w:t>
      </w:r>
      <w:r w:rsidR="006C2B61">
        <w:t>that</w:t>
      </w:r>
      <w:r>
        <w:t xml:space="preserve"> will give an average, representative value for a property in a porous medium is defined as the Representative Elementary Volume (REV). It is the volume over which hydraulic properties can be defined as a mean value attributed to the centre of the volume. The size of the REV is not fixed and depends on the aquifer properties. The REV for porosity in </w:t>
      </w:r>
      <w:proofErr w:type="gramStart"/>
      <w:r>
        <w:t>a well</w:t>
      </w:r>
      <w:proofErr w:type="gramEnd"/>
      <w:r>
        <w:t xml:space="preserve">-sorted, homogeneous sand will be </w:t>
      </w:r>
      <w:r w:rsidR="006C2B61">
        <w:t xml:space="preserve">relatively </w:t>
      </w:r>
      <w:r>
        <w:t>small. To measure hydraulic conductivity in fractured sediment however, a large REV will be needed as at small measurement scales the presence of a single fracture will have an enormous effect on the measured conductivity.</w:t>
      </w:r>
    </w:p>
    <w:p w:rsidR="00542FE1" w:rsidRDefault="006C2B61" w:rsidP="00542FE1">
      <w:pPr>
        <w:pStyle w:val="BRNormal"/>
        <w:rPr>
          <w:smallCaps/>
        </w:rPr>
      </w:pPr>
      <w:r>
        <w:t>The mostly vertical</w:t>
      </w:r>
      <w:r w:rsidR="00542FE1">
        <w:t xml:space="preserve"> layering of sediments also needs to be taken into account when averaging hydraulic conductivity. The average hydraulic conductivity when flow is parallel to the layering is a layer thickness-weighted a</w:t>
      </w:r>
      <w:r>
        <w:t>rithmetic average. The overall hydraulic conductivity [K]</w:t>
      </w:r>
      <w:r w:rsidR="00542FE1">
        <w:t xml:space="preserve"> will thus</w:t>
      </w:r>
      <w:r>
        <w:t xml:space="preserve"> be strongly influenced by the hydraulic conductivity</w:t>
      </w:r>
      <w:r w:rsidR="00542FE1">
        <w:t xml:space="preserve"> of the thickest layers. Average hydraulic conductivity perpendicular to the flow direction is computed as a thickness weighted harmonic average. In this case the overall conductivity wi</w:t>
      </w:r>
      <w:r>
        <w:t>ll be determined by the lowest hydraulic conductivity</w:t>
      </w:r>
      <w:r w:rsidR="00542FE1">
        <w:t xml:space="preserve"> in the layered sequence. This implies that a thin layer of low conductivity, like a clay layer, in a thick sequence of higher conductivity material, such as sand, will have very limited effect on the overall horizontal hydraulic conductivity. In the vertical direction however, the thin clay layer will dominate the average hydraulic conductivity.</w:t>
      </w:r>
    </w:p>
    <w:p w:rsidR="00542FE1" w:rsidRDefault="00542FE1" w:rsidP="001E4906">
      <w:pPr>
        <w:pStyle w:val="BRNormal"/>
      </w:pPr>
    </w:p>
    <w:p w:rsidR="00F75694" w:rsidRDefault="00BA06E8" w:rsidP="001C3374">
      <w:pPr>
        <w:pStyle w:val="Body"/>
      </w:pPr>
      <w:r>
        <w:rPr>
          <w:noProof/>
          <w:lang w:val="en-AU" w:eastAsia="en-AU"/>
        </w:rPr>
        <w:lastRenderedPageBreak/>
        <w:drawing>
          <wp:inline distT="0" distB="0" distL="0" distR="0">
            <wp:extent cx="3843338" cy="2893219"/>
            <wp:effectExtent l="19050" t="0" r="4762" b="0"/>
            <wp:docPr id="8" name="Picture 7" descr="REVConcep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VConcept.jpg"/>
                    <pic:cNvPicPr/>
                  </pic:nvPicPr>
                  <pic:blipFill>
                    <a:blip r:embed="rId25" cstate="email"/>
                    <a:stretch>
                      <a:fillRect/>
                    </a:stretch>
                  </pic:blipFill>
                  <pic:spPr>
                    <a:xfrm>
                      <a:off x="0" y="0"/>
                      <a:ext cx="3843338" cy="2893219"/>
                    </a:xfrm>
                    <a:prstGeom prst="rect">
                      <a:avLst/>
                    </a:prstGeom>
                  </pic:spPr>
                </pic:pic>
              </a:graphicData>
            </a:graphic>
          </wp:inline>
        </w:drawing>
      </w:r>
    </w:p>
    <w:p w:rsidR="00F75694" w:rsidRDefault="00391A22" w:rsidP="00391A22">
      <w:pPr>
        <w:pStyle w:val="Caption"/>
      </w:pPr>
      <w:r w:rsidRPr="00391A22">
        <w:t xml:space="preserve">Figure </w:t>
      </w:r>
      <w:r w:rsidR="00E23933" w:rsidRPr="00391A22">
        <w:fldChar w:fldCharType="begin"/>
      </w:r>
      <w:r w:rsidRPr="00391A22">
        <w:instrText xml:space="preserve"> SEQ Figure \* ARABIC </w:instrText>
      </w:r>
      <w:r w:rsidR="00E23933" w:rsidRPr="00391A22">
        <w:fldChar w:fldCharType="separate"/>
      </w:r>
      <w:r>
        <w:t>3</w:t>
      </w:r>
      <w:r w:rsidR="00E23933" w:rsidRPr="00391A22">
        <w:fldChar w:fldCharType="end"/>
      </w:r>
      <w:r w:rsidR="00236E7A">
        <w:t xml:space="preserve"> Concept of Representative Elementary Volume (REV): with increasing scale of measurement the hydraulic property will reach a stable, average value representative of the aquifer (</w:t>
      </w:r>
      <w:r w:rsidR="00F976E1">
        <w:t>©</w:t>
      </w:r>
      <w:r w:rsidR="00B26625">
        <w:t xml:space="preserve"> Copyright,</w:t>
      </w:r>
      <w:r w:rsidR="00236E7A">
        <w:t xml:space="preserve"> Costanza-Robinson </w:t>
      </w:r>
      <w:r w:rsidR="00F75694" w:rsidRPr="00F75694">
        <w:t>et al.</w:t>
      </w:r>
      <w:r w:rsidR="00236E7A">
        <w:t xml:space="preserve"> 2011).</w:t>
      </w:r>
    </w:p>
    <w:p w:rsidR="00542FE1" w:rsidRPr="00542FE1" w:rsidRDefault="00542FE1" w:rsidP="00542FE1">
      <w:pPr>
        <w:rPr>
          <w:lang w:val="en-AU" w:eastAsia="en-AU"/>
        </w:rPr>
      </w:pPr>
    </w:p>
    <w:p w:rsidR="00E554D8" w:rsidRDefault="005F44C0" w:rsidP="005F6513">
      <w:pPr>
        <w:pStyle w:val="Heading3"/>
      </w:pPr>
      <w:bookmarkStart w:id="475" w:name="_Toc381961084"/>
      <w:r>
        <w:t>P</w:t>
      </w:r>
      <w:r w:rsidR="00E554D8">
        <w:t>referential flow paths</w:t>
      </w:r>
      <w:bookmarkEnd w:id="475"/>
    </w:p>
    <w:p w:rsidR="00E17E0C" w:rsidRDefault="00E17E0C" w:rsidP="00C90F83">
      <w:pPr>
        <w:pStyle w:val="BRNormal"/>
      </w:pPr>
      <w:r>
        <w:t>Within and across lithological units, pr</w:t>
      </w:r>
      <w:r w:rsidR="006C2B61">
        <w:t>eferential flow paths can exist</w:t>
      </w:r>
      <w:r>
        <w:t xml:space="preserve"> through fractures and faults or </w:t>
      </w:r>
      <w:r w:rsidR="006C2B61">
        <w:t>man-made features such as wells and boreholes.</w:t>
      </w:r>
    </w:p>
    <w:p w:rsidR="00BC0B25" w:rsidRDefault="00E554D8" w:rsidP="00C90F83">
      <w:pPr>
        <w:pStyle w:val="BRNormal"/>
        <w:rPr>
          <w:lang w:val="en-US"/>
        </w:rPr>
      </w:pPr>
      <w:r>
        <w:t>In the presence of faults and fractures, describing groundwater flow with average values through a representative elementary</w:t>
      </w:r>
      <w:r w:rsidR="006C2B61">
        <w:t xml:space="preserve"> volume</w:t>
      </w:r>
      <w:r>
        <w:t xml:space="preserve"> is generally not valid. </w:t>
      </w:r>
      <w:r w:rsidR="006C2B61">
        <w:t>For the REV concept to be valid –</w:t>
      </w:r>
      <w:r w:rsidR="00B10ABD">
        <w:t xml:space="preserve"> </w:t>
      </w:r>
      <w:r w:rsidR="006C2B61">
        <w:t xml:space="preserve">that is, </w:t>
      </w:r>
      <w:r w:rsidR="00B10ABD">
        <w:t>to represent hydraulic properties of a fractured aquifer with a s</w:t>
      </w:r>
      <w:r w:rsidR="006C2B61">
        <w:t>ingle representative mean value -</w:t>
      </w:r>
      <w:r>
        <w:t xml:space="preserve"> the fracture network needs to be very dense or the REV needs to be very large.</w:t>
      </w:r>
      <w:r w:rsidR="00BC0B25">
        <w:t xml:space="preserve"> </w:t>
      </w:r>
      <w:r w:rsidR="00BC0B25">
        <w:rPr>
          <w:lang w:val="en-US"/>
        </w:rPr>
        <w:t>T</w:t>
      </w:r>
      <w:r w:rsidR="00BC0B25" w:rsidRPr="00BC0B25">
        <w:rPr>
          <w:lang w:val="en-US"/>
        </w:rPr>
        <w:t>o describe flow through discrete fractures</w:t>
      </w:r>
      <w:r w:rsidR="00BC0B25">
        <w:rPr>
          <w:lang w:val="en-US"/>
        </w:rPr>
        <w:t xml:space="preserve"> at local scales, Darcy’s Law can therefore no longer be used as it requires a continuous matrix.</w:t>
      </w:r>
    </w:p>
    <w:p w:rsidR="00BC0B25" w:rsidRDefault="00BC0B25" w:rsidP="00C90F83">
      <w:pPr>
        <w:pStyle w:val="BRNormal"/>
      </w:pPr>
      <w:r>
        <w:t xml:space="preserve">Flow in discrete fractures </w:t>
      </w:r>
      <w:r w:rsidR="00823BA0">
        <w:t>can be estimated</w:t>
      </w:r>
      <w:r>
        <w:t xml:space="preserve"> using the cubic law:</w:t>
      </w:r>
    </w:p>
    <w:p w:rsidR="00E554D8" w:rsidRPr="006C2B61" w:rsidRDefault="00BC0B25" w:rsidP="00DC1B48">
      <w:pPr>
        <w:pStyle w:val="BRNormal"/>
      </w:pPr>
      <m:oMathPara>
        <m:oMathParaPr>
          <m:jc m:val="center"/>
        </m:oMathParaPr>
        <m:oMath>
          <m:r>
            <w:rPr>
              <w:rFonts w:ascii="Cambria Math" w:hAnsi="Cambria Math"/>
            </w:rPr>
            <m:t>Q</m:t>
          </m:r>
          <m:r>
            <m:rPr>
              <m:sty m:val="p"/>
            </m:rPr>
            <w:rPr>
              <w:rFonts w:ascii="Cambria Math" w:hAnsi="Cambria Math"/>
            </w:rPr>
            <m:t>=</m:t>
          </m:r>
          <m:r>
            <w:rPr>
              <w:rFonts w:ascii="Cambria Math" w:hAnsi="Cambria Math"/>
            </w:rPr>
            <m:t>C</m:t>
          </m:r>
          <m:sSup>
            <m:sSupPr>
              <m:ctrlPr>
                <w:rPr>
                  <w:rFonts w:ascii="Cambria Math" w:hAnsi="Cambria Math"/>
                </w:rPr>
              </m:ctrlPr>
            </m:sSupPr>
            <m:e>
              <m:d>
                <m:dPr>
                  <m:ctrlPr>
                    <w:rPr>
                      <w:rFonts w:ascii="Cambria Math" w:hAnsi="Cambria Math"/>
                    </w:rPr>
                  </m:ctrlPr>
                </m:dPr>
                <m:e>
                  <m:r>
                    <m:rPr>
                      <m:sty m:val="p"/>
                    </m:rPr>
                    <w:rPr>
                      <w:rFonts w:ascii="Cambria Math" w:hAnsi="Cambria Math"/>
                    </w:rPr>
                    <m:t>2</m:t>
                  </m:r>
                  <m:r>
                    <w:rPr>
                      <w:rFonts w:ascii="Cambria Math" w:hAnsi="Cambria Math"/>
                    </w:rPr>
                    <m:t>b</m:t>
                  </m:r>
                </m:e>
              </m:d>
            </m:e>
            <m:sup>
              <m:r>
                <m:rPr>
                  <m:sty m:val="p"/>
                </m:rPr>
                <w:rPr>
                  <w:rFonts w:ascii="Cambria Math" w:hAnsi="Cambria Math"/>
                </w:rPr>
                <m:t>3</m:t>
              </m:r>
            </m:sup>
          </m:sSup>
          <m:r>
            <w:rPr>
              <w:rFonts w:ascii="Cambria Math" w:hAnsi="Cambria Math"/>
            </w:rPr>
            <m:t>Δh</m:t>
          </m:r>
        </m:oMath>
      </m:oMathPara>
    </w:p>
    <w:p w:rsidR="00980C5B" w:rsidRPr="00980C5B" w:rsidRDefault="00BC0B25" w:rsidP="00C90F83">
      <w:pPr>
        <w:pStyle w:val="BRNormal"/>
      </w:pPr>
      <w:proofErr w:type="gramStart"/>
      <w:r>
        <w:t>where</w:t>
      </w:r>
      <w:proofErr w:type="gramEnd"/>
      <w:r>
        <w:t xml:space="preserve"> </w:t>
      </w:r>
      <w:r w:rsidRPr="004A6CB1">
        <w:rPr>
          <w:i/>
        </w:rPr>
        <w:t>C</w:t>
      </w:r>
      <w:r>
        <w:t xml:space="preserve"> is a constant related to the properties of the fluid and the geometry of the fracture while </w:t>
      </w:r>
      <w:r w:rsidRPr="004A6CB1">
        <w:rPr>
          <w:i/>
        </w:rPr>
        <w:t>b</w:t>
      </w:r>
      <w:r>
        <w:t xml:space="preserve"> is the aperture of the fracture.</w:t>
      </w:r>
      <w:r w:rsidR="00542FE1">
        <w:t xml:space="preserve"> Figure 4</w:t>
      </w:r>
      <w:r w:rsidR="004A6CB1">
        <w:t xml:space="preserve"> shows for a range of hydraulic conductivities, the thickness of porous medium that would be equivalent to a single fracture of given aperture. </w:t>
      </w:r>
      <w:r w:rsidR="00980C5B">
        <w:t xml:space="preserve">It illustrates that, under the same gradient, the flow through a single fracture with </w:t>
      </w:r>
      <w:r w:rsidR="00695B43">
        <w:t xml:space="preserve">an </w:t>
      </w:r>
      <w:r w:rsidR="00980C5B">
        <w:t>aperture of 1 mm is equal to the flow through a</w:t>
      </w:r>
      <w:r w:rsidR="00695B43">
        <w:t xml:space="preserve"> porous medium</w:t>
      </w:r>
      <w:r w:rsidR="00980C5B">
        <w:t xml:space="preserve"> 10 m thick layer </w:t>
      </w:r>
      <w:r w:rsidR="00695B43">
        <w:t xml:space="preserve">with a hydraulic conductivity of </w:t>
      </w:r>
      <w:r w:rsidR="00980C5B">
        <w:t>10</w:t>
      </w:r>
      <w:r w:rsidR="00980C5B">
        <w:rPr>
          <w:vertAlign w:val="superscript"/>
        </w:rPr>
        <w:t>-4</w:t>
      </w:r>
      <w:r w:rsidR="00980C5B">
        <w:t xml:space="preserve"> m/s.</w:t>
      </w:r>
    </w:p>
    <w:p w:rsidR="004A6CB1" w:rsidRDefault="00690F4C" w:rsidP="00C90F83">
      <w:pPr>
        <w:pStyle w:val="BRNormal"/>
      </w:pPr>
      <w:r>
        <w:t>The aperture of a fracture is controlled by the local stress-field. To allow for an open fracture, the pressure exerted by the overlying layers of sediment need to be compensated by the pressure of water in the aperture. Chapter 4 provide</w:t>
      </w:r>
      <w:r w:rsidR="00695B43">
        <w:t>s</w:t>
      </w:r>
      <w:r>
        <w:t xml:space="preserve"> more detail on the different components of the stress field at depth and how groundwater pumping will affect the stress field.</w:t>
      </w:r>
    </w:p>
    <w:p w:rsidR="00DE0EC8" w:rsidRDefault="00DE0EC8" w:rsidP="00C90F83">
      <w:pPr>
        <w:pStyle w:val="BRNormal"/>
      </w:pPr>
      <w:r>
        <w:lastRenderedPageBreak/>
        <w:t>Preferential flow paths are not limited to naturally occurring faults and fractures. Groundwater wells and mineral exploration boreholes can also permit rapid cross-formation flow if they are poorly constructed at the time of installa</w:t>
      </w:r>
      <w:r w:rsidR="0080294C">
        <w:t>tion or not backfilled properly</w:t>
      </w:r>
      <w:r>
        <w:t xml:space="preserve">. Even wells </w:t>
      </w:r>
      <w:r w:rsidR="00E17E0C">
        <w:t xml:space="preserve">with adequate casing and backfilling </w:t>
      </w:r>
      <w:r>
        <w:t>may fail after a long time due to corrosion of the casing materials or chemical alteration of the grout.</w:t>
      </w:r>
      <w:r w:rsidR="00E17E0C">
        <w:t xml:space="preserve"> </w:t>
      </w:r>
      <w:r w:rsidR="001C3E82">
        <w:t>Bore integrity, and w</w:t>
      </w:r>
      <w:r w:rsidR="00E17E0C">
        <w:t xml:space="preserve">hether a </w:t>
      </w:r>
      <w:r w:rsidR="001C3E82">
        <w:t>bore</w:t>
      </w:r>
      <w:r w:rsidR="00E17E0C">
        <w:t xml:space="preserve"> will fail</w:t>
      </w:r>
      <w:r w:rsidR="001C3E82">
        <w:t xml:space="preserve"> within its design life</w:t>
      </w:r>
      <w:r w:rsidR="00E17E0C">
        <w:t xml:space="preserve">, will depend on </w:t>
      </w:r>
      <w:r w:rsidR="000F5575" w:rsidRPr="000F5575">
        <w:t xml:space="preserve">bore design, construction materials, and cementing </w:t>
      </w:r>
      <w:r w:rsidR="000F5575">
        <w:t xml:space="preserve">of the annulus around the casing </w:t>
      </w:r>
      <w:r w:rsidR="000F5575" w:rsidRPr="000F5575">
        <w:t>(</w:t>
      </w:r>
      <w:r w:rsidR="00C90F83">
        <w:t>DEEDI</w:t>
      </w:r>
      <w:r w:rsidR="00C90F83" w:rsidRPr="000F5575">
        <w:t xml:space="preserve"> 201</w:t>
      </w:r>
      <w:r w:rsidR="00C90F83">
        <w:t>3; Dunnivant et al.</w:t>
      </w:r>
      <w:r w:rsidR="000F5575" w:rsidRPr="000F5575">
        <w:t xml:space="preserve"> 1997)</w:t>
      </w:r>
      <w:r w:rsidR="000F5575">
        <w:t xml:space="preserve">, as well as </w:t>
      </w:r>
      <w:r w:rsidR="00E17E0C">
        <w:t xml:space="preserve">groundwater chemistry and </w:t>
      </w:r>
      <w:r w:rsidR="000F5575">
        <w:t xml:space="preserve">the </w:t>
      </w:r>
      <w:r w:rsidR="00E17E0C">
        <w:t>flow rate in the well.</w:t>
      </w:r>
    </w:p>
    <w:p w:rsidR="004A6CB1" w:rsidRDefault="004A6CB1" w:rsidP="001C3374">
      <w:pPr>
        <w:pStyle w:val="Body"/>
      </w:pPr>
      <w:r>
        <w:rPr>
          <w:noProof/>
          <w:lang w:val="en-AU" w:eastAsia="en-AU"/>
        </w:rPr>
        <w:drawing>
          <wp:inline distT="0" distB="0" distL="0" distR="0">
            <wp:extent cx="4564380" cy="3314065"/>
            <wp:effectExtent l="19050" t="0" r="7620" b="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email"/>
                    <a:srcRect/>
                    <a:stretch>
                      <a:fillRect/>
                    </a:stretch>
                  </pic:blipFill>
                  <pic:spPr bwMode="auto">
                    <a:xfrm>
                      <a:off x="0" y="0"/>
                      <a:ext cx="4564380" cy="3314065"/>
                    </a:xfrm>
                    <a:prstGeom prst="rect">
                      <a:avLst/>
                    </a:prstGeom>
                    <a:noFill/>
                    <a:ln w="9525">
                      <a:noFill/>
                      <a:miter lim="800000"/>
                      <a:headEnd/>
                      <a:tailEnd/>
                    </a:ln>
                  </pic:spPr>
                </pic:pic>
              </a:graphicData>
            </a:graphic>
          </wp:inline>
        </w:drawing>
      </w:r>
    </w:p>
    <w:p w:rsidR="00C90F83" w:rsidRDefault="00C90F83" w:rsidP="00C90F83">
      <w:pPr>
        <w:pStyle w:val="Caption"/>
      </w:pPr>
      <w:bookmarkStart w:id="476" w:name="_Ref331162916"/>
      <w:bookmarkStart w:id="477" w:name="_Ref331162906"/>
      <w:r w:rsidRPr="00391A22">
        <w:t xml:space="preserve">Figure </w:t>
      </w:r>
      <w:r w:rsidR="00E23933" w:rsidRPr="00391A22">
        <w:fldChar w:fldCharType="begin"/>
      </w:r>
      <w:r w:rsidRPr="00391A22">
        <w:instrText xml:space="preserve"> SEQ Figure \* ARABIC </w:instrText>
      </w:r>
      <w:r w:rsidR="00E23933" w:rsidRPr="00391A22">
        <w:fldChar w:fldCharType="separate"/>
      </w:r>
      <w:r w:rsidR="008F43B9">
        <w:t>4</w:t>
      </w:r>
      <w:r w:rsidR="00E23933" w:rsidRPr="00391A22">
        <w:fldChar w:fldCharType="end"/>
      </w:r>
      <w:r w:rsidRPr="00391A22">
        <w:t xml:space="preserve"> </w:t>
      </w:r>
      <w:bookmarkEnd w:id="476"/>
      <w:r w:rsidR="004A6CB1">
        <w:t>Comparison of aperture of a single fracture to equivalent thickness of porous media (</w:t>
      </w:r>
      <w:r w:rsidR="00F976E1">
        <w:t>©</w:t>
      </w:r>
      <w:r w:rsidR="00B26625">
        <w:t> Copyright,</w:t>
      </w:r>
      <w:r w:rsidR="004A6CB1">
        <w:t xml:space="preserve"> </w:t>
      </w:r>
      <w:r>
        <w:t>de Marsily</w:t>
      </w:r>
      <w:r w:rsidR="00160868">
        <w:t xml:space="preserve"> 1986</w:t>
      </w:r>
      <w:r w:rsidR="00B26625">
        <w:t>;</w:t>
      </w:r>
      <w:r w:rsidR="00160868">
        <w:t xml:space="preserve"> in Novakowski </w:t>
      </w:r>
      <w:r>
        <w:t>&amp;</w:t>
      </w:r>
      <w:r w:rsidR="00160868">
        <w:t xml:space="preserve"> Sudicky</w:t>
      </w:r>
      <w:r w:rsidR="004A6CB1">
        <w:t xml:space="preserve"> 2007)</w:t>
      </w:r>
      <w:bookmarkEnd w:id="477"/>
      <w:r>
        <w:t>.</w:t>
      </w:r>
    </w:p>
    <w:p w:rsidR="002C36E7" w:rsidRDefault="002C36E7" w:rsidP="00C90F83">
      <w:pPr>
        <w:pStyle w:val="Caption"/>
        <w:rPr>
          <w:rFonts w:ascii="Calibri-Bold" w:hAnsi="Calibri-Bold" w:cs="Calibri-Bold"/>
          <w:b/>
          <w:color w:val="00AEEF"/>
          <w:sz w:val="30"/>
          <w:szCs w:val="30"/>
        </w:rPr>
      </w:pPr>
    </w:p>
    <w:p w:rsidR="00FF2FFD" w:rsidRDefault="00C90F83" w:rsidP="005F6513">
      <w:pPr>
        <w:pStyle w:val="Heading2"/>
      </w:pPr>
      <w:bookmarkStart w:id="478" w:name="_Toc381961085"/>
      <w:bookmarkStart w:id="479" w:name="_Toc389055215"/>
      <w:r>
        <w:t>Groundwater f</w:t>
      </w:r>
      <w:r w:rsidR="00FF2FFD">
        <w:t>low</w:t>
      </w:r>
      <w:bookmarkEnd w:id="478"/>
      <w:bookmarkEnd w:id="479"/>
    </w:p>
    <w:p w:rsidR="00115ACF" w:rsidRDefault="0080294C" w:rsidP="00C90F83">
      <w:pPr>
        <w:pStyle w:val="BRNormal"/>
      </w:pPr>
      <w:r>
        <w:t>T</w:t>
      </w:r>
      <w:r w:rsidR="00FF2FFD">
        <w:t xml:space="preserve">he previous section describes the </w:t>
      </w:r>
      <w:r w:rsidR="00EE0085">
        <w:t>types of aquifer connectivity and the theoretical aspects of</w:t>
      </w:r>
      <w:r>
        <w:t xml:space="preserve"> flow through an aquifer system.</w:t>
      </w:r>
      <w:r w:rsidR="00EE0085">
        <w:t xml:space="preserve"> </w:t>
      </w:r>
      <w:r>
        <w:t>T</w:t>
      </w:r>
      <w:r w:rsidR="00EE0085">
        <w:t xml:space="preserve">his section will illustrate the importance of the different kinds of connectivity through a </w:t>
      </w:r>
      <w:r w:rsidR="00845528">
        <w:t xml:space="preserve">simple </w:t>
      </w:r>
      <w:r w:rsidR="00EE0085">
        <w:t xml:space="preserve">numerical </w:t>
      </w:r>
      <w:r w:rsidR="00845528">
        <w:t xml:space="preserve">modelling </w:t>
      </w:r>
      <w:r w:rsidR="00EE0085">
        <w:t>example.</w:t>
      </w:r>
      <w:r w:rsidR="008B6149">
        <w:t xml:space="preserve"> </w:t>
      </w:r>
      <w:r w:rsidR="00115ACF">
        <w:t xml:space="preserve">Consider a multi-layered groundwater system consisting of three aquifers (layers 1, 3 and 5) and </w:t>
      </w:r>
      <w:r w:rsidR="008B6149">
        <w:t>two</w:t>
      </w:r>
      <w:r w:rsidR="00695B43">
        <w:t xml:space="preserve"> aquitards (layers 2 and 4) </w:t>
      </w:r>
      <w:r w:rsidR="00115ACF">
        <w:t xml:space="preserve">with </w:t>
      </w:r>
      <w:r w:rsidR="008B6149">
        <w:t xml:space="preserve">the </w:t>
      </w:r>
      <w:r w:rsidR="00115ACF">
        <w:t>properties listed in</w:t>
      </w:r>
      <w:r w:rsidR="00B33448">
        <w:t xml:space="preserve"> Table 2</w:t>
      </w:r>
      <w:r w:rsidR="00695B43">
        <w:t>.</w:t>
      </w:r>
      <w:r w:rsidR="00115ACF">
        <w:t xml:space="preserve"> Initial </w:t>
      </w:r>
      <w:r w:rsidR="00C23078">
        <w:t>hydraulic heads</w:t>
      </w:r>
      <w:r w:rsidR="00115ACF">
        <w:t xml:space="preserve"> in all aquifers and aquitards </w:t>
      </w:r>
      <w:r w:rsidR="00EB2048">
        <w:t>are assumed</w:t>
      </w:r>
      <w:r w:rsidR="00115ACF">
        <w:t xml:space="preserve"> to </w:t>
      </w:r>
      <w:r w:rsidR="00EB2048">
        <w:t xml:space="preserve">be </w:t>
      </w:r>
      <w:r w:rsidR="00C23078">
        <w:t>equal at</w:t>
      </w:r>
      <w:r w:rsidR="00EB2048">
        <w:t xml:space="preserve"> a nominal </w:t>
      </w:r>
      <w:r w:rsidR="00115ACF">
        <w:t xml:space="preserve">ground surface </w:t>
      </w:r>
      <w:r w:rsidR="004362AF">
        <w:t>of</w:t>
      </w:r>
      <w:r w:rsidR="00115ACF">
        <w:t xml:space="preserve"> 500</w:t>
      </w:r>
      <w:r w:rsidR="00695B43">
        <w:t> </w:t>
      </w:r>
      <w:r w:rsidR="00115ACF">
        <w:t>m</w:t>
      </w:r>
      <w:r w:rsidR="00EB2048">
        <w:t xml:space="preserve"> elevation</w:t>
      </w:r>
      <w:r w:rsidR="00695B43">
        <w:t xml:space="preserve"> (i.e.</w:t>
      </w:r>
      <w:r w:rsidR="00C23078">
        <w:t xml:space="preserve"> there is no vertical flow of water prior to pumping)</w:t>
      </w:r>
      <w:r w:rsidR="00115ACF">
        <w:t xml:space="preserve">. </w:t>
      </w:r>
      <w:r w:rsidR="00EB2048">
        <w:t>Groundw</w:t>
      </w:r>
      <w:r w:rsidR="00115ACF">
        <w:t xml:space="preserve">ater is </w:t>
      </w:r>
      <w:r w:rsidR="00C23078">
        <w:t xml:space="preserve">then </w:t>
      </w:r>
      <w:r w:rsidR="00115ACF">
        <w:t xml:space="preserve">pumped from </w:t>
      </w:r>
      <w:r w:rsidR="00EB2048">
        <w:t xml:space="preserve">the lowest </w:t>
      </w:r>
      <w:r w:rsidR="00115ACF">
        <w:t xml:space="preserve">aquifer </w:t>
      </w:r>
      <w:r w:rsidR="00EB2048">
        <w:t>(layer 5)</w:t>
      </w:r>
      <w:r w:rsidR="00115ACF">
        <w:t xml:space="preserve"> to lower </w:t>
      </w:r>
      <w:r w:rsidR="00C27167">
        <w:t xml:space="preserve">the </w:t>
      </w:r>
      <w:r w:rsidR="00A52C3B">
        <w:t xml:space="preserve">hydraulic </w:t>
      </w:r>
      <w:r w:rsidR="00115ACF">
        <w:t>head to just above the top of th</w:t>
      </w:r>
      <w:r w:rsidR="00C27167">
        <w:t>at</w:t>
      </w:r>
      <w:r w:rsidR="00115ACF">
        <w:t xml:space="preserve"> aquifer at 205 m</w:t>
      </w:r>
      <w:r w:rsidR="00C27167">
        <w:t xml:space="preserve"> elevation</w:t>
      </w:r>
      <w:r w:rsidR="00115ACF">
        <w:t>.</w:t>
      </w:r>
      <w:r w:rsidR="0069724C">
        <w:t xml:space="preserve"> </w:t>
      </w:r>
    </w:p>
    <w:p w:rsidR="00115ACF" w:rsidRDefault="00A52C3B" w:rsidP="00C90F83">
      <w:pPr>
        <w:pStyle w:val="BRNormal"/>
      </w:pPr>
      <w:r w:rsidRPr="00EE0085">
        <w:t>This example will be used to illustrate the different aspects of groundwater flow and transport induced through pumping in a multi-layered system and how and to what extent flow and transport are influenced by different types of connectivity</w:t>
      </w:r>
      <w:r>
        <w:t xml:space="preserve">, including (a) a continuous aquitard, (b) a fractured aquitard, and (c) a </w:t>
      </w:r>
      <w:r w:rsidR="00DF364C">
        <w:t>fully-penetrating</w:t>
      </w:r>
      <w:r w:rsidR="00931CD8">
        <w:t xml:space="preserve"> open</w:t>
      </w:r>
      <w:r w:rsidR="00542FE1">
        <w:t xml:space="preserve"> well (Figure 5</w:t>
      </w:r>
      <w:r>
        <w:t>)</w:t>
      </w:r>
      <w:r w:rsidRPr="00EE0085">
        <w:t>.</w:t>
      </w:r>
      <w:r>
        <w:t xml:space="preserve"> The simulations are carried out with the analytic element method implemented in the TTIM software by </w:t>
      </w:r>
      <w:r w:rsidR="005B08CC">
        <w:t>Bakker</w:t>
      </w:r>
      <w:r>
        <w:t xml:space="preserve"> (2010).</w:t>
      </w:r>
      <w:r w:rsidR="00695B43" w:rsidRPr="00695B43">
        <w:t xml:space="preserve"> </w:t>
      </w:r>
      <w:r w:rsidR="00695B43">
        <w:t>The main results are summarised in Table 3.</w:t>
      </w:r>
    </w:p>
    <w:p w:rsidR="00695B43" w:rsidRDefault="00695B43" w:rsidP="00695B43">
      <w:pPr>
        <w:pStyle w:val="Caption"/>
      </w:pPr>
      <w:bookmarkStart w:id="480" w:name="_Toc381961086"/>
      <w:r w:rsidRPr="008F43B9">
        <w:lastRenderedPageBreak/>
        <w:t xml:space="preserve">Table </w:t>
      </w:r>
      <w:r w:rsidR="00E23933" w:rsidRPr="008F43B9">
        <w:fldChar w:fldCharType="begin"/>
      </w:r>
      <w:r w:rsidRPr="008F43B9">
        <w:instrText xml:space="preserve"> SEQ Table \* ARABIC </w:instrText>
      </w:r>
      <w:r w:rsidR="00E23933" w:rsidRPr="008F43B9">
        <w:fldChar w:fldCharType="separate"/>
      </w:r>
      <w:r>
        <w:t>2</w:t>
      </w:r>
      <w:r w:rsidR="00E23933" w:rsidRPr="008F43B9">
        <w:fldChar w:fldCharType="end"/>
      </w:r>
      <w:r w:rsidRPr="002B0D94">
        <w:t xml:space="preserve"> Hydraulic properties used </w:t>
      </w:r>
      <w:r>
        <w:t>for</w:t>
      </w:r>
      <w:r w:rsidRPr="002B0D94">
        <w:t xml:space="preserve"> the simulation of drawdown in </w:t>
      </w:r>
      <w:r>
        <w:t xml:space="preserve">the </w:t>
      </w:r>
      <w:r w:rsidRPr="002B0D94">
        <w:t>multi-layered aquifer</w:t>
      </w:r>
      <w:r>
        <w:t>.</w:t>
      </w:r>
    </w:p>
    <w:tbl>
      <w:tblPr>
        <w:tblW w:w="924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546"/>
        <w:gridCol w:w="1539"/>
        <w:gridCol w:w="1539"/>
        <w:gridCol w:w="1539"/>
        <w:gridCol w:w="1539"/>
        <w:gridCol w:w="1540"/>
      </w:tblGrid>
      <w:tr w:rsidR="00695B43" w:rsidRPr="00DC1B48" w:rsidTr="00DC1B48">
        <w:trPr>
          <w:tblHeader/>
        </w:trPr>
        <w:tc>
          <w:tcPr>
            <w:tcW w:w="1546" w:type="dxa"/>
            <w:shd w:val="clear" w:color="auto" w:fill="C6D9F1" w:themeFill="text2" w:themeFillTint="33"/>
          </w:tcPr>
          <w:p w:rsidR="00695B43" w:rsidRPr="00DC1B48" w:rsidRDefault="00695B43" w:rsidP="00DC1B48">
            <w:pPr>
              <w:pStyle w:val="Tableheading"/>
            </w:pPr>
            <w:r w:rsidRPr="00DC1B48">
              <w:t>Name</w:t>
            </w:r>
          </w:p>
        </w:tc>
        <w:tc>
          <w:tcPr>
            <w:tcW w:w="1539" w:type="dxa"/>
            <w:shd w:val="clear" w:color="auto" w:fill="C6D9F1" w:themeFill="text2" w:themeFillTint="33"/>
          </w:tcPr>
          <w:p w:rsidR="00695B43" w:rsidRPr="00DC1B48" w:rsidRDefault="00695B43" w:rsidP="00DC1B48">
            <w:pPr>
              <w:pStyle w:val="Tableheading"/>
            </w:pPr>
            <w:r w:rsidRPr="00DC1B48">
              <w:t>Elevation Top</w:t>
            </w:r>
          </w:p>
          <w:p w:rsidR="00695B43" w:rsidRPr="00DC1B48" w:rsidRDefault="00695B43" w:rsidP="00DC1B48">
            <w:pPr>
              <w:pStyle w:val="Tableheading"/>
            </w:pPr>
            <w:r w:rsidRPr="00DC1B48">
              <w:t>(m)</w:t>
            </w:r>
          </w:p>
        </w:tc>
        <w:tc>
          <w:tcPr>
            <w:tcW w:w="1539" w:type="dxa"/>
            <w:shd w:val="clear" w:color="auto" w:fill="C6D9F1" w:themeFill="text2" w:themeFillTint="33"/>
          </w:tcPr>
          <w:p w:rsidR="00695B43" w:rsidRPr="00DC1B48" w:rsidRDefault="00695B43" w:rsidP="00DC1B48">
            <w:pPr>
              <w:pStyle w:val="Tableheading"/>
            </w:pPr>
            <w:r w:rsidRPr="00DC1B48">
              <w:t>Elevation Base (m)</w:t>
            </w:r>
          </w:p>
        </w:tc>
        <w:tc>
          <w:tcPr>
            <w:tcW w:w="1539" w:type="dxa"/>
            <w:shd w:val="clear" w:color="auto" w:fill="C6D9F1" w:themeFill="text2" w:themeFillTint="33"/>
          </w:tcPr>
          <w:p w:rsidR="00695B43" w:rsidRPr="00DC1B48" w:rsidRDefault="00695B43" w:rsidP="00DC1B48">
            <w:pPr>
              <w:pStyle w:val="Tableheading"/>
            </w:pPr>
            <w:r w:rsidRPr="00DC1B48">
              <w:t>K</w:t>
            </w:r>
          </w:p>
          <w:p w:rsidR="00695B43" w:rsidRPr="00DC1B48" w:rsidRDefault="00695B43" w:rsidP="00DC1B48">
            <w:pPr>
              <w:pStyle w:val="Tableheading"/>
            </w:pPr>
            <w:r w:rsidRPr="00DC1B48">
              <w:t>(m/d)</w:t>
            </w:r>
          </w:p>
        </w:tc>
        <w:tc>
          <w:tcPr>
            <w:tcW w:w="1539" w:type="dxa"/>
            <w:shd w:val="clear" w:color="auto" w:fill="C6D9F1" w:themeFill="text2" w:themeFillTint="33"/>
          </w:tcPr>
          <w:p w:rsidR="00695B43" w:rsidRPr="00DC1B48" w:rsidRDefault="00695B43" w:rsidP="00DC1B48">
            <w:pPr>
              <w:pStyle w:val="Tableheading"/>
            </w:pPr>
            <w:r w:rsidRPr="00DC1B48">
              <w:t>Kv/Kh</w:t>
            </w:r>
          </w:p>
          <w:p w:rsidR="00695B43" w:rsidRPr="00DC1B48" w:rsidRDefault="00695B43" w:rsidP="00DC1B48">
            <w:pPr>
              <w:pStyle w:val="Tableheading"/>
            </w:pPr>
            <w:r w:rsidRPr="00DC1B48">
              <w:t>(-)</w:t>
            </w:r>
          </w:p>
        </w:tc>
        <w:tc>
          <w:tcPr>
            <w:tcW w:w="1540" w:type="dxa"/>
            <w:shd w:val="clear" w:color="auto" w:fill="C6D9F1" w:themeFill="text2" w:themeFillTint="33"/>
          </w:tcPr>
          <w:p w:rsidR="00695B43" w:rsidRPr="00DC1B48" w:rsidRDefault="00695B43" w:rsidP="00DC1B48">
            <w:pPr>
              <w:pStyle w:val="Tableheading"/>
            </w:pPr>
            <w:r w:rsidRPr="00DC1B48">
              <w:t>Ss</w:t>
            </w:r>
          </w:p>
          <w:p w:rsidR="00695B43" w:rsidRPr="00DC1B48" w:rsidRDefault="00695B43" w:rsidP="00DC1B48">
            <w:pPr>
              <w:pStyle w:val="Tableheading"/>
            </w:pPr>
            <w:r w:rsidRPr="00DC1B48">
              <w:t>(1/m)</w:t>
            </w:r>
          </w:p>
        </w:tc>
      </w:tr>
      <w:tr w:rsidR="00695B43" w:rsidRPr="00DC1B48" w:rsidTr="00DC1B48">
        <w:tc>
          <w:tcPr>
            <w:tcW w:w="1546" w:type="dxa"/>
            <w:shd w:val="clear" w:color="auto" w:fill="auto"/>
          </w:tcPr>
          <w:p w:rsidR="00695B43" w:rsidRPr="00DC1B48" w:rsidRDefault="00695B43" w:rsidP="00CB2FBB">
            <w:pPr>
              <w:pStyle w:val="Tabletext"/>
            </w:pPr>
            <w:r w:rsidRPr="00DC1B48">
              <w:t>Layer 1</w:t>
            </w:r>
          </w:p>
        </w:tc>
        <w:tc>
          <w:tcPr>
            <w:tcW w:w="1539" w:type="dxa"/>
            <w:shd w:val="clear" w:color="auto" w:fill="auto"/>
          </w:tcPr>
          <w:p w:rsidR="00695B43" w:rsidRPr="00DC1B48" w:rsidRDefault="00695B43" w:rsidP="00CB2FBB">
            <w:pPr>
              <w:pStyle w:val="Tabletext"/>
            </w:pPr>
            <w:r w:rsidRPr="00DC1B48">
              <w:t>500</w:t>
            </w:r>
          </w:p>
        </w:tc>
        <w:tc>
          <w:tcPr>
            <w:tcW w:w="1539" w:type="dxa"/>
            <w:shd w:val="clear" w:color="auto" w:fill="auto"/>
          </w:tcPr>
          <w:p w:rsidR="00695B43" w:rsidRPr="00DC1B48" w:rsidRDefault="00695B43" w:rsidP="00CB2FBB">
            <w:pPr>
              <w:pStyle w:val="Tabletext"/>
            </w:pPr>
            <w:r w:rsidRPr="00DC1B48">
              <w:t>400</w:t>
            </w:r>
          </w:p>
        </w:tc>
        <w:tc>
          <w:tcPr>
            <w:tcW w:w="1539" w:type="dxa"/>
            <w:shd w:val="clear" w:color="auto" w:fill="auto"/>
          </w:tcPr>
          <w:p w:rsidR="00695B43" w:rsidRPr="00DC1B48" w:rsidRDefault="00695B43" w:rsidP="00CB2FBB">
            <w:pPr>
              <w:pStyle w:val="Tabletext"/>
            </w:pPr>
            <w:r w:rsidRPr="00DC1B48">
              <w:t>5</w:t>
            </w:r>
          </w:p>
        </w:tc>
        <w:tc>
          <w:tcPr>
            <w:tcW w:w="1539" w:type="dxa"/>
            <w:shd w:val="clear" w:color="auto" w:fill="auto"/>
          </w:tcPr>
          <w:p w:rsidR="00695B43" w:rsidRPr="00DC1B48" w:rsidRDefault="00695B43" w:rsidP="00CB2FBB">
            <w:pPr>
              <w:pStyle w:val="Tabletext"/>
            </w:pPr>
            <w:r w:rsidRPr="00DC1B48">
              <w:t>0.1</w:t>
            </w:r>
          </w:p>
        </w:tc>
        <w:tc>
          <w:tcPr>
            <w:tcW w:w="1540" w:type="dxa"/>
            <w:shd w:val="clear" w:color="auto" w:fill="auto"/>
          </w:tcPr>
          <w:p w:rsidR="00695B43" w:rsidRPr="00DC1B48" w:rsidRDefault="00695B43" w:rsidP="00CB2FBB">
            <w:pPr>
              <w:pStyle w:val="Tabletext"/>
            </w:pPr>
            <w:r w:rsidRPr="00DC1B48">
              <w:t>0.05*</w:t>
            </w:r>
          </w:p>
        </w:tc>
      </w:tr>
      <w:tr w:rsidR="00695B43" w:rsidRPr="00DC1B48" w:rsidTr="00DC1B48">
        <w:tc>
          <w:tcPr>
            <w:tcW w:w="1546" w:type="dxa"/>
            <w:shd w:val="clear" w:color="auto" w:fill="auto"/>
          </w:tcPr>
          <w:p w:rsidR="00695B43" w:rsidRPr="00DC1B48" w:rsidRDefault="00695B43" w:rsidP="00CB2FBB">
            <w:pPr>
              <w:pStyle w:val="Tabletext"/>
            </w:pPr>
            <w:r w:rsidRPr="00DC1B48">
              <w:t>Layer 2</w:t>
            </w:r>
          </w:p>
        </w:tc>
        <w:tc>
          <w:tcPr>
            <w:tcW w:w="1539" w:type="dxa"/>
            <w:shd w:val="clear" w:color="auto" w:fill="auto"/>
          </w:tcPr>
          <w:p w:rsidR="00695B43" w:rsidRPr="00DC1B48" w:rsidRDefault="00695B43" w:rsidP="00CB2FBB">
            <w:pPr>
              <w:pStyle w:val="Tabletext"/>
            </w:pPr>
            <w:r w:rsidRPr="00DC1B48">
              <w:t>400</w:t>
            </w:r>
          </w:p>
        </w:tc>
        <w:tc>
          <w:tcPr>
            <w:tcW w:w="1539" w:type="dxa"/>
            <w:shd w:val="clear" w:color="auto" w:fill="auto"/>
          </w:tcPr>
          <w:p w:rsidR="00695B43" w:rsidRPr="00DC1B48" w:rsidRDefault="00695B43" w:rsidP="00CB2FBB">
            <w:pPr>
              <w:pStyle w:val="Tabletext"/>
            </w:pPr>
            <w:r w:rsidRPr="00DC1B48">
              <w:t>350</w:t>
            </w:r>
          </w:p>
        </w:tc>
        <w:tc>
          <w:tcPr>
            <w:tcW w:w="1539" w:type="dxa"/>
            <w:shd w:val="clear" w:color="auto" w:fill="auto"/>
          </w:tcPr>
          <w:p w:rsidR="00695B43" w:rsidRPr="00DC1B48" w:rsidRDefault="00695B43" w:rsidP="00CB2FBB">
            <w:pPr>
              <w:pStyle w:val="Tabletext"/>
            </w:pPr>
            <w:r w:rsidRPr="00DC1B48">
              <w:t>5x10-4</w:t>
            </w:r>
          </w:p>
        </w:tc>
        <w:tc>
          <w:tcPr>
            <w:tcW w:w="1539" w:type="dxa"/>
            <w:shd w:val="clear" w:color="auto" w:fill="auto"/>
          </w:tcPr>
          <w:p w:rsidR="00695B43" w:rsidRPr="00DC1B48" w:rsidRDefault="00695B43" w:rsidP="00CB2FBB">
            <w:pPr>
              <w:pStyle w:val="Tabletext"/>
            </w:pPr>
            <w:r w:rsidRPr="00DC1B48">
              <w:t>0.1</w:t>
            </w:r>
          </w:p>
        </w:tc>
        <w:tc>
          <w:tcPr>
            <w:tcW w:w="1540" w:type="dxa"/>
            <w:shd w:val="clear" w:color="auto" w:fill="auto"/>
          </w:tcPr>
          <w:p w:rsidR="00695B43" w:rsidRPr="00DC1B48" w:rsidRDefault="00695B43" w:rsidP="00CB2FBB">
            <w:pPr>
              <w:pStyle w:val="Tabletext"/>
            </w:pPr>
            <w:r w:rsidRPr="00DC1B48">
              <w:t>10-6</w:t>
            </w:r>
          </w:p>
        </w:tc>
      </w:tr>
      <w:tr w:rsidR="00695B43" w:rsidRPr="00DC1B48" w:rsidTr="00DC1B48">
        <w:tc>
          <w:tcPr>
            <w:tcW w:w="1546" w:type="dxa"/>
            <w:shd w:val="clear" w:color="auto" w:fill="auto"/>
          </w:tcPr>
          <w:p w:rsidR="00695B43" w:rsidRPr="00DC1B48" w:rsidRDefault="00695B43" w:rsidP="00CB2FBB">
            <w:pPr>
              <w:pStyle w:val="Tabletext"/>
            </w:pPr>
            <w:r w:rsidRPr="00DC1B48">
              <w:t>Layer 3</w:t>
            </w:r>
          </w:p>
        </w:tc>
        <w:tc>
          <w:tcPr>
            <w:tcW w:w="1539" w:type="dxa"/>
            <w:shd w:val="clear" w:color="auto" w:fill="auto"/>
          </w:tcPr>
          <w:p w:rsidR="00695B43" w:rsidRPr="00DC1B48" w:rsidRDefault="00695B43" w:rsidP="00CB2FBB">
            <w:pPr>
              <w:pStyle w:val="Tabletext"/>
            </w:pPr>
            <w:r w:rsidRPr="00DC1B48">
              <w:t>350</w:t>
            </w:r>
          </w:p>
        </w:tc>
        <w:tc>
          <w:tcPr>
            <w:tcW w:w="1539" w:type="dxa"/>
            <w:shd w:val="clear" w:color="auto" w:fill="auto"/>
          </w:tcPr>
          <w:p w:rsidR="00695B43" w:rsidRPr="00DC1B48" w:rsidRDefault="00695B43" w:rsidP="00CB2FBB">
            <w:pPr>
              <w:pStyle w:val="Tabletext"/>
            </w:pPr>
            <w:r w:rsidRPr="00DC1B48">
              <w:t>250</w:t>
            </w:r>
          </w:p>
        </w:tc>
        <w:tc>
          <w:tcPr>
            <w:tcW w:w="1539" w:type="dxa"/>
            <w:shd w:val="clear" w:color="auto" w:fill="auto"/>
          </w:tcPr>
          <w:p w:rsidR="00695B43" w:rsidRPr="00DC1B48" w:rsidRDefault="00695B43" w:rsidP="00CB2FBB">
            <w:pPr>
              <w:pStyle w:val="Tabletext"/>
            </w:pPr>
            <w:r w:rsidRPr="00DC1B48">
              <w:t>5</w:t>
            </w:r>
          </w:p>
        </w:tc>
        <w:tc>
          <w:tcPr>
            <w:tcW w:w="1539" w:type="dxa"/>
            <w:shd w:val="clear" w:color="auto" w:fill="auto"/>
          </w:tcPr>
          <w:p w:rsidR="00695B43" w:rsidRPr="00DC1B48" w:rsidRDefault="00695B43" w:rsidP="00CB2FBB">
            <w:pPr>
              <w:pStyle w:val="Tabletext"/>
            </w:pPr>
            <w:r w:rsidRPr="00DC1B48">
              <w:t>0.1</w:t>
            </w:r>
          </w:p>
        </w:tc>
        <w:tc>
          <w:tcPr>
            <w:tcW w:w="1540" w:type="dxa"/>
            <w:shd w:val="clear" w:color="auto" w:fill="auto"/>
          </w:tcPr>
          <w:p w:rsidR="00695B43" w:rsidRPr="00DC1B48" w:rsidRDefault="00695B43" w:rsidP="00CB2FBB">
            <w:pPr>
              <w:pStyle w:val="Tabletext"/>
            </w:pPr>
            <w:r w:rsidRPr="00DC1B48">
              <w:t>10-4</w:t>
            </w:r>
          </w:p>
        </w:tc>
      </w:tr>
      <w:tr w:rsidR="00695B43" w:rsidRPr="00DC1B48" w:rsidTr="00DC1B48">
        <w:tc>
          <w:tcPr>
            <w:tcW w:w="1546" w:type="dxa"/>
            <w:shd w:val="clear" w:color="auto" w:fill="auto"/>
          </w:tcPr>
          <w:p w:rsidR="00695B43" w:rsidRPr="00DC1B48" w:rsidRDefault="00695B43" w:rsidP="00CB2FBB">
            <w:pPr>
              <w:pStyle w:val="Tabletext"/>
            </w:pPr>
            <w:r w:rsidRPr="00DC1B48">
              <w:t>Layer 4</w:t>
            </w:r>
          </w:p>
        </w:tc>
        <w:tc>
          <w:tcPr>
            <w:tcW w:w="1539" w:type="dxa"/>
            <w:shd w:val="clear" w:color="auto" w:fill="auto"/>
          </w:tcPr>
          <w:p w:rsidR="00695B43" w:rsidRPr="00DC1B48" w:rsidRDefault="00695B43" w:rsidP="00CB2FBB">
            <w:pPr>
              <w:pStyle w:val="Tabletext"/>
            </w:pPr>
            <w:r w:rsidRPr="00DC1B48">
              <w:t>250</w:t>
            </w:r>
          </w:p>
        </w:tc>
        <w:tc>
          <w:tcPr>
            <w:tcW w:w="1539" w:type="dxa"/>
            <w:shd w:val="clear" w:color="auto" w:fill="auto"/>
          </w:tcPr>
          <w:p w:rsidR="00695B43" w:rsidRPr="00DC1B48" w:rsidRDefault="00695B43" w:rsidP="00CB2FBB">
            <w:pPr>
              <w:pStyle w:val="Tabletext"/>
            </w:pPr>
            <w:r w:rsidRPr="00DC1B48">
              <w:t>200</w:t>
            </w:r>
          </w:p>
        </w:tc>
        <w:tc>
          <w:tcPr>
            <w:tcW w:w="1539" w:type="dxa"/>
            <w:shd w:val="clear" w:color="auto" w:fill="auto"/>
          </w:tcPr>
          <w:p w:rsidR="00695B43" w:rsidRPr="00DC1B48" w:rsidRDefault="00695B43" w:rsidP="00CB2FBB">
            <w:pPr>
              <w:pStyle w:val="Tabletext"/>
            </w:pPr>
            <w:r w:rsidRPr="00DC1B48">
              <w:t>5x10-4</w:t>
            </w:r>
          </w:p>
        </w:tc>
        <w:tc>
          <w:tcPr>
            <w:tcW w:w="1539" w:type="dxa"/>
            <w:shd w:val="clear" w:color="auto" w:fill="auto"/>
          </w:tcPr>
          <w:p w:rsidR="00695B43" w:rsidRPr="00DC1B48" w:rsidRDefault="00695B43" w:rsidP="00CB2FBB">
            <w:pPr>
              <w:pStyle w:val="Tabletext"/>
            </w:pPr>
            <w:r w:rsidRPr="00DC1B48">
              <w:t>0.1</w:t>
            </w:r>
          </w:p>
        </w:tc>
        <w:tc>
          <w:tcPr>
            <w:tcW w:w="1540" w:type="dxa"/>
            <w:shd w:val="clear" w:color="auto" w:fill="auto"/>
          </w:tcPr>
          <w:p w:rsidR="00695B43" w:rsidRPr="00DC1B48" w:rsidRDefault="00695B43" w:rsidP="00CB2FBB">
            <w:pPr>
              <w:pStyle w:val="Tabletext"/>
            </w:pPr>
            <w:r w:rsidRPr="00DC1B48">
              <w:t>10-6</w:t>
            </w:r>
          </w:p>
        </w:tc>
      </w:tr>
      <w:tr w:rsidR="00695B43" w:rsidRPr="00DC1B48" w:rsidTr="00DC1B48">
        <w:tc>
          <w:tcPr>
            <w:tcW w:w="1546" w:type="dxa"/>
            <w:shd w:val="clear" w:color="auto" w:fill="auto"/>
          </w:tcPr>
          <w:p w:rsidR="00695B43" w:rsidRPr="00DC1B48" w:rsidRDefault="00695B43" w:rsidP="00CB2FBB">
            <w:pPr>
              <w:pStyle w:val="Tabletext"/>
            </w:pPr>
            <w:r w:rsidRPr="00DC1B48">
              <w:t>Layer 5</w:t>
            </w:r>
          </w:p>
        </w:tc>
        <w:tc>
          <w:tcPr>
            <w:tcW w:w="1539" w:type="dxa"/>
            <w:shd w:val="clear" w:color="auto" w:fill="auto"/>
          </w:tcPr>
          <w:p w:rsidR="00695B43" w:rsidRPr="00DC1B48" w:rsidRDefault="00695B43" w:rsidP="00CB2FBB">
            <w:pPr>
              <w:pStyle w:val="Tabletext"/>
            </w:pPr>
            <w:r w:rsidRPr="00DC1B48">
              <w:t>200</w:t>
            </w:r>
          </w:p>
        </w:tc>
        <w:tc>
          <w:tcPr>
            <w:tcW w:w="1539" w:type="dxa"/>
            <w:shd w:val="clear" w:color="auto" w:fill="auto"/>
          </w:tcPr>
          <w:p w:rsidR="00695B43" w:rsidRPr="00DC1B48" w:rsidRDefault="00695B43" w:rsidP="00CB2FBB">
            <w:pPr>
              <w:pStyle w:val="Tabletext"/>
            </w:pPr>
            <w:r w:rsidRPr="00DC1B48">
              <w:t>100</w:t>
            </w:r>
          </w:p>
        </w:tc>
        <w:tc>
          <w:tcPr>
            <w:tcW w:w="1539" w:type="dxa"/>
            <w:shd w:val="clear" w:color="auto" w:fill="auto"/>
          </w:tcPr>
          <w:p w:rsidR="00695B43" w:rsidRPr="00DC1B48" w:rsidRDefault="00695B43" w:rsidP="00CB2FBB">
            <w:pPr>
              <w:pStyle w:val="Tabletext"/>
            </w:pPr>
            <w:r w:rsidRPr="00DC1B48">
              <w:t>5</w:t>
            </w:r>
          </w:p>
        </w:tc>
        <w:tc>
          <w:tcPr>
            <w:tcW w:w="1539" w:type="dxa"/>
            <w:shd w:val="clear" w:color="auto" w:fill="auto"/>
          </w:tcPr>
          <w:p w:rsidR="00695B43" w:rsidRPr="00DC1B48" w:rsidRDefault="00695B43" w:rsidP="00CB2FBB">
            <w:pPr>
              <w:pStyle w:val="Tabletext"/>
            </w:pPr>
            <w:r w:rsidRPr="00DC1B48">
              <w:t>0.1</w:t>
            </w:r>
          </w:p>
        </w:tc>
        <w:tc>
          <w:tcPr>
            <w:tcW w:w="1540" w:type="dxa"/>
            <w:shd w:val="clear" w:color="auto" w:fill="auto"/>
          </w:tcPr>
          <w:p w:rsidR="00695B43" w:rsidRPr="00DC1B48" w:rsidRDefault="00695B43" w:rsidP="00CB2FBB">
            <w:pPr>
              <w:pStyle w:val="Tabletext"/>
            </w:pPr>
            <w:r w:rsidRPr="00DC1B48">
              <w:t>10-4</w:t>
            </w:r>
          </w:p>
        </w:tc>
      </w:tr>
    </w:tbl>
    <w:p w:rsidR="00695B43" w:rsidRPr="008F43B9" w:rsidRDefault="00695B43" w:rsidP="00695B43">
      <w:pPr>
        <w:pStyle w:val="Body"/>
        <w:rPr>
          <w:rFonts w:ascii="Arial" w:hAnsi="Arial" w:cs="Arial"/>
          <w:sz w:val="20"/>
          <w:szCs w:val="20"/>
        </w:rPr>
      </w:pPr>
      <w:r w:rsidRPr="008F43B9">
        <w:rPr>
          <w:rFonts w:ascii="Arial" w:hAnsi="Arial" w:cs="Arial"/>
          <w:sz w:val="20"/>
          <w:szCs w:val="20"/>
        </w:rPr>
        <w:t>* Phreatic aquifer, specific yield</w:t>
      </w:r>
    </w:p>
    <w:p w:rsidR="00695B43" w:rsidRDefault="00695B43" w:rsidP="00695B43">
      <w:pPr>
        <w:pStyle w:val="BR-normal-CopyrightPage"/>
      </w:pPr>
    </w:p>
    <w:p w:rsidR="00695B43" w:rsidRDefault="00695B43" w:rsidP="00695B43">
      <w:pPr>
        <w:pStyle w:val="Caption"/>
      </w:pPr>
      <w:r w:rsidRPr="008F43B9">
        <w:t xml:space="preserve">Table </w:t>
      </w:r>
      <w:r w:rsidR="00E23933" w:rsidRPr="008F43B9">
        <w:fldChar w:fldCharType="begin"/>
      </w:r>
      <w:r w:rsidRPr="008F43B9">
        <w:instrText xml:space="preserve"> SEQ Table \* ARABIC </w:instrText>
      </w:r>
      <w:r w:rsidR="00E23933" w:rsidRPr="008F43B9">
        <w:fldChar w:fldCharType="separate"/>
      </w:r>
      <w:r>
        <w:t>3</w:t>
      </w:r>
      <w:r w:rsidR="00E23933" w:rsidRPr="008F43B9">
        <w:fldChar w:fldCharType="end"/>
      </w:r>
      <w:r>
        <w:t xml:space="preserve"> Results of the simulation of drawdo</w:t>
      </w:r>
      <w:r w:rsidR="00127D88">
        <w:t>wn in the multi-layered aquifer</w:t>
      </w:r>
      <w:r>
        <w:t>.</w:t>
      </w:r>
    </w:p>
    <w:tbl>
      <w:tblPr>
        <w:tblStyle w:val="LightShading1"/>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546"/>
        <w:gridCol w:w="1823"/>
        <w:gridCol w:w="1842"/>
        <w:gridCol w:w="1560"/>
        <w:gridCol w:w="1701"/>
      </w:tblGrid>
      <w:tr w:rsidR="00695B43" w:rsidRPr="00DC1B48" w:rsidTr="00DC1B48">
        <w:trPr>
          <w:cnfStyle w:val="100000000000"/>
          <w:tblHeader/>
        </w:trPr>
        <w:tc>
          <w:tcPr>
            <w:cnfStyle w:val="001000000000"/>
            <w:tcW w:w="1546" w:type="dxa"/>
            <w:vMerge w:val="restart"/>
            <w:tcBorders>
              <w:top w:val="none" w:sz="0" w:space="0" w:color="auto"/>
              <w:left w:val="none" w:sz="0" w:space="0" w:color="auto"/>
              <w:bottom w:val="none" w:sz="0" w:space="0" w:color="auto"/>
              <w:right w:val="none" w:sz="0" w:space="0" w:color="auto"/>
            </w:tcBorders>
            <w:shd w:val="clear" w:color="auto" w:fill="C6D9F1" w:themeFill="text2" w:themeFillTint="33"/>
          </w:tcPr>
          <w:p w:rsidR="00695B43" w:rsidRPr="00DC1B48" w:rsidRDefault="00695B43" w:rsidP="00DC1B48">
            <w:pPr>
              <w:pStyle w:val="Tableheading"/>
            </w:pPr>
            <w:r w:rsidRPr="00DC1B48">
              <w:t>Case</w:t>
            </w:r>
          </w:p>
        </w:tc>
        <w:tc>
          <w:tcPr>
            <w:tcW w:w="1823" w:type="dxa"/>
            <w:vMerge w:val="restart"/>
            <w:tcBorders>
              <w:top w:val="none" w:sz="0" w:space="0" w:color="auto"/>
              <w:left w:val="none" w:sz="0" w:space="0" w:color="auto"/>
              <w:bottom w:val="none" w:sz="0" w:space="0" w:color="auto"/>
              <w:right w:val="none" w:sz="0" w:space="0" w:color="auto"/>
            </w:tcBorders>
            <w:shd w:val="clear" w:color="auto" w:fill="C6D9F1" w:themeFill="text2" w:themeFillTint="33"/>
          </w:tcPr>
          <w:p w:rsidR="00695B43" w:rsidRPr="00DC1B48" w:rsidRDefault="00695B43" w:rsidP="00DC1B48">
            <w:pPr>
              <w:pStyle w:val="Tableheading"/>
              <w:cnfStyle w:val="100000000000"/>
            </w:pPr>
            <w:r w:rsidRPr="00DC1B48">
              <w:t>Pumping Rate (ML/yr)</w:t>
            </w:r>
          </w:p>
        </w:tc>
        <w:tc>
          <w:tcPr>
            <w:tcW w:w="5103" w:type="dxa"/>
            <w:gridSpan w:val="3"/>
            <w:tcBorders>
              <w:top w:val="none" w:sz="0" w:space="0" w:color="auto"/>
              <w:left w:val="none" w:sz="0" w:space="0" w:color="auto"/>
              <w:bottom w:val="none" w:sz="0" w:space="0" w:color="auto"/>
              <w:right w:val="none" w:sz="0" w:space="0" w:color="auto"/>
            </w:tcBorders>
            <w:shd w:val="clear" w:color="auto" w:fill="C6D9F1" w:themeFill="text2" w:themeFillTint="33"/>
          </w:tcPr>
          <w:p w:rsidR="00695B43" w:rsidRPr="00DC1B48" w:rsidRDefault="00695B43" w:rsidP="00DC1B48">
            <w:pPr>
              <w:pStyle w:val="Tableheading"/>
              <w:cnfStyle w:val="100000000000"/>
            </w:pPr>
            <w:r w:rsidRPr="00DC1B48">
              <w:t>Drawdown after 30 yr (m), 100m from pumping well</w:t>
            </w:r>
          </w:p>
        </w:tc>
      </w:tr>
      <w:tr w:rsidR="00695B43" w:rsidRPr="00470AD4" w:rsidTr="00DC1B48">
        <w:trPr>
          <w:cnfStyle w:val="100000000000"/>
          <w:tblHeader/>
        </w:trPr>
        <w:tc>
          <w:tcPr>
            <w:cnfStyle w:val="001000000000"/>
            <w:tcW w:w="1546" w:type="dxa"/>
            <w:vMerge/>
            <w:tcBorders>
              <w:top w:val="none" w:sz="0" w:space="0" w:color="auto"/>
              <w:left w:val="none" w:sz="0" w:space="0" w:color="auto"/>
              <w:bottom w:val="none" w:sz="0" w:space="0" w:color="auto"/>
              <w:right w:val="none" w:sz="0" w:space="0" w:color="auto"/>
            </w:tcBorders>
            <w:shd w:val="clear" w:color="auto" w:fill="C6D9F1" w:themeFill="text2" w:themeFillTint="33"/>
          </w:tcPr>
          <w:p w:rsidR="00695B43" w:rsidRPr="00470AD4" w:rsidRDefault="00695B43" w:rsidP="00470AD4">
            <w:pPr>
              <w:pStyle w:val="Tableheading"/>
            </w:pPr>
          </w:p>
        </w:tc>
        <w:tc>
          <w:tcPr>
            <w:tcW w:w="1823" w:type="dxa"/>
            <w:vMerge/>
            <w:tcBorders>
              <w:top w:val="none" w:sz="0" w:space="0" w:color="auto"/>
              <w:left w:val="none" w:sz="0" w:space="0" w:color="auto"/>
              <w:bottom w:val="none" w:sz="0" w:space="0" w:color="auto"/>
              <w:right w:val="none" w:sz="0" w:space="0" w:color="auto"/>
            </w:tcBorders>
            <w:shd w:val="clear" w:color="auto" w:fill="C6D9F1" w:themeFill="text2" w:themeFillTint="33"/>
          </w:tcPr>
          <w:p w:rsidR="00695B43" w:rsidRPr="00470AD4" w:rsidRDefault="00695B43" w:rsidP="00470AD4">
            <w:pPr>
              <w:pStyle w:val="Tableheading"/>
              <w:cnfStyle w:val="100000000000"/>
            </w:pPr>
          </w:p>
        </w:tc>
        <w:tc>
          <w:tcPr>
            <w:tcW w:w="1842" w:type="dxa"/>
            <w:tcBorders>
              <w:top w:val="none" w:sz="0" w:space="0" w:color="auto"/>
              <w:left w:val="none" w:sz="0" w:space="0" w:color="auto"/>
              <w:bottom w:val="none" w:sz="0" w:space="0" w:color="auto"/>
              <w:right w:val="none" w:sz="0" w:space="0" w:color="auto"/>
            </w:tcBorders>
            <w:shd w:val="clear" w:color="auto" w:fill="C6D9F1" w:themeFill="text2" w:themeFillTint="33"/>
          </w:tcPr>
          <w:p w:rsidR="00695B43" w:rsidRPr="00DC1B48" w:rsidRDefault="00695B43" w:rsidP="00DC1B48">
            <w:pPr>
              <w:pStyle w:val="Tableheading"/>
              <w:cnfStyle w:val="100000000000"/>
            </w:pPr>
            <w:r w:rsidRPr="00DC1B48">
              <w:t>L1</w:t>
            </w:r>
          </w:p>
        </w:tc>
        <w:tc>
          <w:tcPr>
            <w:tcW w:w="1560" w:type="dxa"/>
            <w:tcBorders>
              <w:top w:val="none" w:sz="0" w:space="0" w:color="auto"/>
              <w:left w:val="none" w:sz="0" w:space="0" w:color="auto"/>
              <w:bottom w:val="none" w:sz="0" w:space="0" w:color="auto"/>
              <w:right w:val="none" w:sz="0" w:space="0" w:color="auto"/>
            </w:tcBorders>
            <w:shd w:val="clear" w:color="auto" w:fill="C6D9F1" w:themeFill="text2" w:themeFillTint="33"/>
          </w:tcPr>
          <w:p w:rsidR="00695B43" w:rsidRPr="00DC1B48" w:rsidRDefault="00695B43" w:rsidP="00DC1B48">
            <w:pPr>
              <w:pStyle w:val="Tableheading"/>
              <w:cnfStyle w:val="100000000000"/>
            </w:pPr>
            <w:r w:rsidRPr="00DC1B48">
              <w:t>L3</w:t>
            </w:r>
          </w:p>
        </w:tc>
        <w:tc>
          <w:tcPr>
            <w:tcW w:w="1701" w:type="dxa"/>
            <w:tcBorders>
              <w:top w:val="none" w:sz="0" w:space="0" w:color="auto"/>
              <w:left w:val="none" w:sz="0" w:space="0" w:color="auto"/>
              <w:bottom w:val="none" w:sz="0" w:space="0" w:color="auto"/>
              <w:right w:val="none" w:sz="0" w:space="0" w:color="auto"/>
            </w:tcBorders>
            <w:shd w:val="clear" w:color="auto" w:fill="C6D9F1" w:themeFill="text2" w:themeFillTint="33"/>
          </w:tcPr>
          <w:p w:rsidR="00695B43" w:rsidRPr="00DC1B48" w:rsidRDefault="00695B43" w:rsidP="00DC1B48">
            <w:pPr>
              <w:pStyle w:val="Tableheading"/>
              <w:cnfStyle w:val="100000000000"/>
            </w:pPr>
            <w:r w:rsidRPr="00DC1B48">
              <w:t>L5</w:t>
            </w:r>
          </w:p>
        </w:tc>
      </w:tr>
      <w:tr w:rsidR="00695B43" w:rsidRPr="00DC1B48" w:rsidTr="00DC1B48">
        <w:trPr>
          <w:cnfStyle w:val="000000100000"/>
        </w:trPr>
        <w:tc>
          <w:tcPr>
            <w:cnfStyle w:val="001000000000"/>
            <w:tcW w:w="1546" w:type="dxa"/>
            <w:tcBorders>
              <w:left w:val="none" w:sz="0" w:space="0" w:color="auto"/>
              <w:right w:val="none" w:sz="0" w:space="0" w:color="auto"/>
            </w:tcBorders>
            <w:shd w:val="clear" w:color="auto" w:fill="auto"/>
          </w:tcPr>
          <w:p w:rsidR="00695B43" w:rsidRPr="00B45E8E" w:rsidRDefault="00695B43" w:rsidP="00CB2FBB">
            <w:pPr>
              <w:pStyle w:val="Tabletext"/>
              <w:rPr>
                <w:b w:val="0"/>
              </w:rPr>
            </w:pPr>
            <w:r w:rsidRPr="00B45E8E">
              <w:rPr>
                <w:b w:val="0"/>
              </w:rPr>
              <w:t>Base Case</w:t>
            </w:r>
          </w:p>
        </w:tc>
        <w:tc>
          <w:tcPr>
            <w:tcW w:w="1823" w:type="dxa"/>
            <w:tcBorders>
              <w:left w:val="none" w:sz="0" w:space="0" w:color="auto"/>
              <w:right w:val="none" w:sz="0" w:space="0" w:color="auto"/>
            </w:tcBorders>
            <w:shd w:val="clear" w:color="auto" w:fill="auto"/>
          </w:tcPr>
          <w:p w:rsidR="00695B43" w:rsidRPr="00DC1B48" w:rsidRDefault="00695B43" w:rsidP="00CB2FBB">
            <w:pPr>
              <w:pStyle w:val="Tabletext"/>
              <w:cnfStyle w:val="000000100000"/>
            </w:pPr>
            <w:r w:rsidRPr="00DC1B48">
              <w:t>0.22</w:t>
            </w:r>
          </w:p>
        </w:tc>
        <w:tc>
          <w:tcPr>
            <w:tcW w:w="1842" w:type="dxa"/>
            <w:tcBorders>
              <w:left w:val="none" w:sz="0" w:space="0" w:color="auto"/>
              <w:right w:val="none" w:sz="0" w:space="0" w:color="auto"/>
            </w:tcBorders>
            <w:shd w:val="clear" w:color="auto" w:fill="auto"/>
          </w:tcPr>
          <w:p w:rsidR="00695B43" w:rsidRPr="00DC1B48" w:rsidRDefault="00695B43" w:rsidP="00CB2FBB">
            <w:pPr>
              <w:pStyle w:val="Tabletext"/>
              <w:cnfStyle w:val="000000100000"/>
            </w:pPr>
            <w:r w:rsidRPr="00DC1B48">
              <w:t>0.6</w:t>
            </w:r>
          </w:p>
        </w:tc>
        <w:tc>
          <w:tcPr>
            <w:tcW w:w="1560" w:type="dxa"/>
            <w:tcBorders>
              <w:left w:val="none" w:sz="0" w:space="0" w:color="auto"/>
              <w:right w:val="none" w:sz="0" w:space="0" w:color="auto"/>
            </w:tcBorders>
            <w:shd w:val="clear" w:color="auto" w:fill="auto"/>
          </w:tcPr>
          <w:p w:rsidR="00695B43" w:rsidRPr="00DC1B48" w:rsidRDefault="00695B43" w:rsidP="00CB2FBB">
            <w:pPr>
              <w:pStyle w:val="Tabletext"/>
              <w:cnfStyle w:val="000000100000"/>
            </w:pPr>
            <w:r w:rsidRPr="00DC1B48">
              <w:t>7.4</w:t>
            </w:r>
          </w:p>
        </w:tc>
        <w:tc>
          <w:tcPr>
            <w:tcW w:w="1701" w:type="dxa"/>
            <w:tcBorders>
              <w:left w:val="none" w:sz="0" w:space="0" w:color="auto"/>
              <w:right w:val="none" w:sz="0" w:space="0" w:color="auto"/>
            </w:tcBorders>
            <w:shd w:val="clear" w:color="auto" w:fill="auto"/>
          </w:tcPr>
          <w:p w:rsidR="00695B43" w:rsidRPr="00DC1B48" w:rsidRDefault="00695B43" w:rsidP="00CB2FBB">
            <w:pPr>
              <w:pStyle w:val="Tabletext"/>
              <w:cnfStyle w:val="000000100000"/>
            </w:pPr>
            <w:r w:rsidRPr="00DC1B48">
              <w:t>141.3</w:t>
            </w:r>
          </w:p>
        </w:tc>
      </w:tr>
      <w:tr w:rsidR="00695B43" w:rsidRPr="00DC1B48" w:rsidTr="00DC1B48">
        <w:tc>
          <w:tcPr>
            <w:cnfStyle w:val="001000000000"/>
            <w:tcW w:w="1546" w:type="dxa"/>
            <w:shd w:val="clear" w:color="auto" w:fill="auto"/>
          </w:tcPr>
          <w:p w:rsidR="00695B43" w:rsidRPr="00B45E8E" w:rsidRDefault="00695B43" w:rsidP="00CB2FBB">
            <w:pPr>
              <w:pStyle w:val="Tabletext"/>
              <w:rPr>
                <w:b w:val="0"/>
              </w:rPr>
            </w:pPr>
            <w:r w:rsidRPr="00B45E8E">
              <w:rPr>
                <w:b w:val="0"/>
              </w:rPr>
              <w:t>Fracture</w:t>
            </w:r>
          </w:p>
        </w:tc>
        <w:tc>
          <w:tcPr>
            <w:tcW w:w="1823" w:type="dxa"/>
            <w:shd w:val="clear" w:color="auto" w:fill="auto"/>
          </w:tcPr>
          <w:p w:rsidR="00695B43" w:rsidRPr="00DC1B48" w:rsidRDefault="00695B43" w:rsidP="00CB2FBB">
            <w:pPr>
              <w:pStyle w:val="Tabletext"/>
              <w:cnfStyle w:val="000000000000"/>
            </w:pPr>
            <w:r w:rsidRPr="00DC1B48">
              <w:t>0.24</w:t>
            </w:r>
          </w:p>
        </w:tc>
        <w:tc>
          <w:tcPr>
            <w:tcW w:w="1842" w:type="dxa"/>
            <w:shd w:val="clear" w:color="auto" w:fill="auto"/>
          </w:tcPr>
          <w:p w:rsidR="00695B43" w:rsidRPr="00DC1B48" w:rsidRDefault="00695B43" w:rsidP="00CB2FBB">
            <w:pPr>
              <w:pStyle w:val="Tabletext"/>
              <w:cnfStyle w:val="000000000000"/>
            </w:pPr>
            <w:r w:rsidRPr="00DC1B48">
              <w:t>1.6</w:t>
            </w:r>
          </w:p>
        </w:tc>
        <w:tc>
          <w:tcPr>
            <w:tcW w:w="1560" w:type="dxa"/>
            <w:shd w:val="clear" w:color="auto" w:fill="auto"/>
          </w:tcPr>
          <w:p w:rsidR="00695B43" w:rsidRPr="00DC1B48" w:rsidRDefault="00695B43" w:rsidP="00CB2FBB">
            <w:pPr>
              <w:pStyle w:val="Tabletext"/>
              <w:cnfStyle w:val="000000000000"/>
            </w:pPr>
            <w:r w:rsidRPr="00DC1B48">
              <w:t>38.2</w:t>
            </w:r>
          </w:p>
        </w:tc>
        <w:tc>
          <w:tcPr>
            <w:tcW w:w="1701" w:type="dxa"/>
            <w:shd w:val="clear" w:color="auto" w:fill="auto"/>
          </w:tcPr>
          <w:p w:rsidR="00695B43" w:rsidRPr="00DC1B48" w:rsidRDefault="00695B43" w:rsidP="00CB2FBB">
            <w:pPr>
              <w:pStyle w:val="Tabletext"/>
              <w:cnfStyle w:val="000000000000"/>
            </w:pPr>
            <w:r w:rsidRPr="00DC1B48">
              <w:t>124.6</w:t>
            </w:r>
          </w:p>
        </w:tc>
      </w:tr>
      <w:tr w:rsidR="00695B43" w:rsidRPr="00DC1B48" w:rsidTr="00DC1B48">
        <w:trPr>
          <w:cnfStyle w:val="000000100000"/>
        </w:trPr>
        <w:tc>
          <w:tcPr>
            <w:cnfStyle w:val="001000000000"/>
            <w:tcW w:w="1546" w:type="dxa"/>
            <w:tcBorders>
              <w:left w:val="none" w:sz="0" w:space="0" w:color="auto"/>
              <w:right w:val="none" w:sz="0" w:space="0" w:color="auto"/>
            </w:tcBorders>
            <w:shd w:val="clear" w:color="auto" w:fill="auto"/>
          </w:tcPr>
          <w:p w:rsidR="00695B43" w:rsidRPr="00B45E8E" w:rsidRDefault="00695B43" w:rsidP="00CB2FBB">
            <w:pPr>
              <w:pStyle w:val="Tabletext"/>
              <w:rPr>
                <w:b w:val="0"/>
              </w:rPr>
            </w:pPr>
            <w:r w:rsidRPr="00B45E8E">
              <w:rPr>
                <w:b w:val="0"/>
              </w:rPr>
              <w:t>Open Well</w:t>
            </w:r>
          </w:p>
        </w:tc>
        <w:tc>
          <w:tcPr>
            <w:tcW w:w="1823" w:type="dxa"/>
            <w:tcBorders>
              <w:left w:val="none" w:sz="0" w:space="0" w:color="auto"/>
              <w:right w:val="none" w:sz="0" w:space="0" w:color="auto"/>
            </w:tcBorders>
            <w:shd w:val="clear" w:color="auto" w:fill="auto"/>
          </w:tcPr>
          <w:p w:rsidR="00695B43" w:rsidRPr="00DC1B48" w:rsidRDefault="00695B43" w:rsidP="00CB2FBB">
            <w:pPr>
              <w:pStyle w:val="Tabletext"/>
              <w:cnfStyle w:val="000000100000"/>
            </w:pPr>
            <w:r w:rsidRPr="00DC1B48">
              <w:t>0.27</w:t>
            </w:r>
          </w:p>
        </w:tc>
        <w:tc>
          <w:tcPr>
            <w:tcW w:w="1842" w:type="dxa"/>
            <w:tcBorders>
              <w:left w:val="none" w:sz="0" w:space="0" w:color="auto"/>
              <w:right w:val="none" w:sz="0" w:space="0" w:color="auto"/>
            </w:tcBorders>
            <w:shd w:val="clear" w:color="auto" w:fill="auto"/>
          </w:tcPr>
          <w:p w:rsidR="00695B43" w:rsidRPr="00DC1B48" w:rsidRDefault="00695B43" w:rsidP="00CB2FBB">
            <w:pPr>
              <w:pStyle w:val="Tabletext"/>
              <w:cnfStyle w:val="000000100000"/>
            </w:pPr>
            <w:r w:rsidRPr="00DC1B48">
              <w:t>31.2</w:t>
            </w:r>
          </w:p>
        </w:tc>
        <w:tc>
          <w:tcPr>
            <w:tcW w:w="1560" w:type="dxa"/>
            <w:tcBorders>
              <w:left w:val="none" w:sz="0" w:space="0" w:color="auto"/>
              <w:right w:val="none" w:sz="0" w:space="0" w:color="auto"/>
            </w:tcBorders>
            <w:shd w:val="clear" w:color="auto" w:fill="auto"/>
          </w:tcPr>
          <w:p w:rsidR="00695B43" w:rsidRPr="00DC1B48" w:rsidRDefault="00695B43" w:rsidP="00CB2FBB">
            <w:pPr>
              <w:pStyle w:val="Tabletext"/>
              <w:cnfStyle w:val="000000100000"/>
            </w:pPr>
            <w:r w:rsidRPr="00DC1B48">
              <w:t>34.9</w:t>
            </w:r>
          </w:p>
        </w:tc>
        <w:tc>
          <w:tcPr>
            <w:tcW w:w="1701" w:type="dxa"/>
            <w:tcBorders>
              <w:left w:val="none" w:sz="0" w:space="0" w:color="auto"/>
              <w:right w:val="none" w:sz="0" w:space="0" w:color="auto"/>
            </w:tcBorders>
            <w:shd w:val="clear" w:color="auto" w:fill="auto"/>
          </w:tcPr>
          <w:p w:rsidR="00695B43" w:rsidRPr="00DC1B48" w:rsidRDefault="00695B43" w:rsidP="00CB2FBB">
            <w:pPr>
              <w:pStyle w:val="Tabletext"/>
              <w:cnfStyle w:val="000000100000"/>
            </w:pPr>
            <w:r w:rsidRPr="00DC1B48">
              <w:t>109.6</w:t>
            </w:r>
          </w:p>
        </w:tc>
      </w:tr>
    </w:tbl>
    <w:p w:rsidR="00695B43" w:rsidRDefault="00695B43" w:rsidP="00695B43">
      <w:pPr>
        <w:pStyle w:val="Body"/>
      </w:pPr>
    </w:p>
    <w:p w:rsidR="00590832" w:rsidRDefault="00590832" w:rsidP="005F6513">
      <w:pPr>
        <w:pStyle w:val="Heading3"/>
      </w:pPr>
      <w:r>
        <w:t>Continuous aquitard</w:t>
      </w:r>
      <w:bookmarkEnd w:id="480"/>
    </w:p>
    <w:p w:rsidR="00590832" w:rsidRDefault="00590832" w:rsidP="008F43B9">
      <w:pPr>
        <w:pStyle w:val="BRNormal"/>
      </w:pPr>
      <w:r>
        <w:t xml:space="preserve">In the </w:t>
      </w:r>
      <w:r w:rsidR="00BB6CA4">
        <w:t>’</w:t>
      </w:r>
      <w:r>
        <w:t>base case</w:t>
      </w:r>
      <w:r w:rsidR="00BB6CA4">
        <w:t>’</w:t>
      </w:r>
      <w:r>
        <w:t xml:space="preserve"> of laterally-continuous, undisturbed aquitards (leftmo</w:t>
      </w:r>
      <w:r w:rsidR="00542FE1">
        <w:t>st column of graphs in Figure 5</w:t>
      </w:r>
      <w:r>
        <w:t>)</w:t>
      </w:r>
      <w:r w:rsidR="00695B43">
        <w:t>,</w:t>
      </w:r>
      <w:r>
        <w:t xml:space="preserve"> simulated drawdown in the aquifer layers (1, 3 and 5) at a distanc</w:t>
      </w:r>
      <w:r w:rsidR="00695B43">
        <w:t>e of 100m from the pumping well after 30 years</w:t>
      </w:r>
      <w:r>
        <w:t xml:space="preserve"> is 0.6 m, 7.4 m and 141.3 m</w:t>
      </w:r>
      <w:r w:rsidR="00695B43">
        <w:t>, respectively</w:t>
      </w:r>
      <w:r w:rsidR="0069724C">
        <w:t xml:space="preserve"> (Table 3)</w:t>
      </w:r>
      <w:r>
        <w:t xml:space="preserve">. These results demonstrate that simulated drawdown in the </w:t>
      </w:r>
      <w:r w:rsidR="00E17BAF">
        <w:t>shallowest</w:t>
      </w:r>
      <w:r>
        <w:t xml:space="preserve"> aquifer is very small compared to that in the two deeper aquifers. It</w:t>
      </w:r>
      <w:r w:rsidR="00695B43">
        <w:t xml:space="preserve"> is worth noting however, that</w:t>
      </w:r>
      <w:r>
        <w:t xml:space="preserve"> even a moderate change in water level of 0.6 m in a shallow unconfined aquifer can be enough to change the direction and/or flux of s</w:t>
      </w:r>
      <w:r w:rsidR="00695B43">
        <w:t>urface-groundwater interactions</w:t>
      </w:r>
      <w:r>
        <w:t xml:space="preserve"> </w:t>
      </w:r>
      <w:r w:rsidR="00695B43">
        <w:t>(</w:t>
      </w:r>
      <w:r>
        <w:t>for example, changing gaining streams into losing streams</w:t>
      </w:r>
      <w:r w:rsidR="00695B43">
        <w:t>)</w:t>
      </w:r>
      <w:r>
        <w:t>. For comparison, a f</w:t>
      </w:r>
      <w:r w:rsidR="00695B43">
        <w:t>all in groundwater level by 0.6 </w:t>
      </w:r>
      <w:r>
        <w:t>m in an unconfined aquifer with a specific yiel</w:t>
      </w:r>
      <w:r w:rsidR="00695B43">
        <w:t>d of 0.10</w:t>
      </w:r>
      <w:r>
        <w:t xml:space="preserve"> would </w:t>
      </w:r>
      <w:r w:rsidR="00695B43">
        <w:t xml:space="preserve">be </w:t>
      </w:r>
      <w:r>
        <w:t>equivalent t</w:t>
      </w:r>
      <w:r w:rsidR="00695B43">
        <w:t>o a reduction in recharge of 60 </w:t>
      </w:r>
      <w:r>
        <w:t>mm/year.</w:t>
      </w:r>
    </w:p>
    <w:p w:rsidR="00695B43" w:rsidRDefault="00695B43" w:rsidP="00695B43">
      <w:pPr>
        <w:pStyle w:val="BRNormal"/>
      </w:pPr>
      <w:r>
        <w:t xml:space="preserve">It takes several years for the drawdown in the </w:t>
      </w:r>
      <w:r w:rsidR="00E17BAF">
        <w:t>deepest</w:t>
      </w:r>
      <w:r>
        <w:t xml:space="preserve"> aquifer (layer 5) to stabilise, however a steady state drawdown in the middle aquifer (layer 3) is not attained in the 30 year simulation period. This puts into perspective the limited value of short-term aquifer pumping tests to estimate the long-term effects of pumping.</w:t>
      </w:r>
    </w:p>
    <w:p w:rsidR="00695B43" w:rsidRDefault="00695B43" w:rsidP="00695B43">
      <w:pPr>
        <w:pStyle w:val="BRNormal"/>
      </w:pPr>
      <w:r>
        <w:t>The steady-state pumping rate from the lowest aquifer is 0.22 </w:t>
      </w:r>
      <w:r w:rsidR="00E17BAF">
        <w:t>ML/year, of which only about eight per cent</w:t>
      </w:r>
      <w:r>
        <w:t xml:space="preserve"> is replenished via leakage through the lower aquitard (layer 4), which implies the majority of flow to the pumping well is horizontal through the aquifer. The flow across the upper aquitard (layer 2) is very small, about one-twentieth of the flow across the lower aquitard.</w:t>
      </w:r>
    </w:p>
    <w:p w:rsidR="00695B43" w:rsidRDefault="00695B43" w:rsidP="008F43B9">
      <w:pPr>
        <w:pStyle w:val="BRNormal"/>
      </w:pPr>
    </w:p>
    <w:p w:rsidR="00187733" w:rsidRDefault="00187733" w:rsidP="001C3374">
      <w:pPr>
        <w:pStyle w:val="Body"/>
      </w:pPr>
    </w:p>
    <w:p w:rsidR="00EE0085" w:rsidRDefault="00EE0085" w:rsidP="001C3374">
      <w:pPr>
        <w:pStyle w:val="Body"/>
      </w:pPr>
      <w:r>
        <w:rPr>
          <w:noProof/>
          <w:lang w:val="en-AU" w:eastAsia="en-AU"/>
        </w:rPr>
        <w:lastRenderedPageBreak/>
        <w:drawing>
          <wp:inline distT="0" distB="0" distL="0" distR="0">
            <wp:extent cx="5732450" cy="3408032"/>
            <wp:effectExtent l="19050" t="0" r="1600" b="0"/>
            <wp:docPr id="5" name="Picture 4" descr="DrawDownMultiLayeredAquif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rawDownMultiLayeredAquifer.png"/>
                    <pic:cNvPicPr/>
                  </pic:nvPicPr>
                  <pic:blipFill>
                    <a:blip r:embed="rId27" cstate="email"/>
                    <a:stretch>
                      <a:fillRect/>
                    </a:stretch>
                  </pic:blipFill>
                  <pic:spPr>
                    <a:xfrm>
                      <a:off x="0" y="0"/>
                      <a:ext cx="5732450" cy="3408032"/>
                    </a:xfrm>
                    <a:prstGeom prst="rect">
                      <a:avLst/>
                    </a:prstGeom>
                  </pic:spPr>
                </pic:pic>
              </a:graphicData>
            </a:graphic>
          </wp:inline>
        </w:drawing>
      </w:r>
    </w:p>
    <w:p w:rsidR="00D93568" w:rsidRDefault="008F43B9" w:rsidP="008F43B9">
      <w:pPr>
        <w:pStyle w:val="Caption"/>
      </w:pPr>
      <w:bookmarkStart w:id="481" w:name="_Ref331164966"/>
      <w:bookmarkStart w:id="482" w:name="_Ref331165820"/>
      <w:r w:rsidRPr="00391A22">
        <w:t xml:space="preserve">Figure </w:t>
      </w:r>
      <w:r w:rsidR="00E23933" w:rsidRPr="00391A22">
        <w:fldChar w:fldCharType="begin"/>
      </w:r>
      <w:r w:rsidRPr="00391A22">
        <w:instrText xml:space="preserve"> SEQ Figure \* ARABIC </w:instrText>
      </w:r>
      <w:r w:rsidR="00E23933" w:rsidRPr="00391A22">
        <w:fldChar w:fldCharType="separate"/>
      </w:r>
      <w:r>
        <w:t>5</w:t>
      </w:r>
      <w:r w:rsidR="00E23933" w:rsidRPr="00391A22">
        <w:fldChar w:fldCharType="end"/>
      </w:r>
      <w:bookmarkEnd w:id="481"/>
      <w:r w:rsidR="00EE0085">
        <w:t xml:space="preserve"> </w:t>
      </w:r>
      <w:r w:rsidR="00115ACF">
        <w:t xml:space="preserve">Simulated groundwater </w:t>
      </w:r>
      <w:r w:rsidR="005958AB">
        <w:t>response</w:t>
      </w:r>
      <w:r w:rsidR="00115ACF" w:rsidRPr="00C97250">
        <w:t xml:space="preserve"> </w:t>
      </w:r>
      <w:r w:rsidR="00115ACF">
        <w:t xml:space="preserve">in a multi-layered groundwater system caused by </w:t>
      </w:r>
      <w:r w:rsidR="00EE0085">
        <w:t xml:space="preserve">pumping </w:t>
      </w:r>
      <w:r w:rsidR="00115ACF">
        <w:t xml:space="preserve">from </w:t>
      </w:r>
      <w:r w:rsidR="00EE0085">
        <w:t xml:space="preserve">the </w:t>
      </w:r>
      <w:r w:rsidR="00E17BAF">
        <w:t>deepest</w:t>
      </w:r>
      <w:r w:rsidR="00EE0085">
        <w:t xml:space="preserve"> aquifer</w:t>
      </w:r>
      <w:r w:rsidR="005958AB">
        <w:t xml:space="preserve"> (layer 5)</w:t>
      </w:r>
      <w:r w:rsidR="00115ACF">
        <w:t>. T</w:t>
      </w:r>
      <w:bookmarkEnd w:id="482"/>
      <w:r w:rsidR="00115ACF" w:rsidRPr="00115ACF">
        <w:t xml:space="preserve">he leftmost column of graphs </w:t>
      </w:r>
      <w:r w:rsidR="00115ACF">
        <w:t>are for</w:t>
      </w:r>
      <w:r w:rsidR="00115ACF" w:rsidRPr="00115ACF">
        <w:t xml:space="preserve"> a</w:t>
      </w:r>
      <w:r w:rsidR="009078BE">
        <w:t xml:space="preserve"> ‘base case’</w:t>
      </w:r>
      <w:r w:rsidR="00115ACF" w:rsidRPr="00115ACF">
        <w:t xml:space="preserve"> undisturbed aquifer system with </w:t>
      </w:r>
      <w:r w:rsidR="00115ACF">
        <w:t>laterally-</w:t>
      </w:r>
      <w:r w:rsidR="00115ACF" w:rsidRPr="00115ACF">
        <w:t xml:space="preserve">continuous aquitards. </w:t>
      </w:r>
      <w:r w:rsidR="00115ACF">
        <w:t>T</w:t>
      </w:r>
      <w:r w:rsidR="00115ACF" w:rsidRPr="00115ACF">
        <w:t xml:space="preserve">he middle column </w:t>
      </w:r>
      <w:r w:rsidR="005958AB">
        <w:t xml:space="preserve">represents the base case with </w:t>
      </w:r>
      <w:r w:rsidR="00115ACF" w:rsidRPr="00115ACF">
        <w:t xml:space="preserve">a </w:t>
      </w:r>
      <w:r w:rsidR="005958AB">
        <w:t xml:space="preserve">single </w:t>
      </w:r>
      <w:r w:rsidR="00115ACF" w:rsidRPr="00115ACF">
        <w:t xml:space="preserve">fracture in </w:t>
      </w:r>
      <w:r w:rsidR="005958AB">
        <w:t xml:space="preserve">the first </w:t>
      </w:r>
      <w:r w:rsidR="00115ACF" w:rsidRPr="00115ACF">
        <w:t xml:space="preserve">aquitard </w:t>
      </w:r>
      <w:r w:rsidR="005958AB">
        <w:t xml:space="preserve">(layer </w:t>
      </w:r>
      <w:r w:rsidR="00115ACF" w:rsidRPr="00115ACF">
        <w:t>2</w:t>
      </w:r>
      <w:r w:rsidR="005958AB">
        <w:t>)</w:t>
      </w:r>
      <w:r w:rsidR="00115ACF" w:rsidRPr="00115ACF">
        <w:t xml:space="preserve"> </w:t>
      </w:r>
      <w:r w:rsidR="005958AB">
        <w:t xml:space="preserve">located </w:t>
      </w:r>
      <w:r w:rsidR="00115ACF" w:rsidRPr="00115ACF">
        <w:t>50</w:t>
      </w:r>
      <w:r w:rsidR="005958AB">
        <w:t> </w:t>
      </w:r>
      <w:r w:rsidR="00115ACF" w:rsidRPr="00115ACF">
        <w:t xml:space="preserve">m from the pumping well. </w:t>
      </w:r>
      <w:r w:rsidR="005958AB">
        <w:t>T</w:t>
      </w:r>
      <w:r w:rsidR="00115ACF" w:rsidRPr="00115ACF">
        <w:t xml:space="preserve">he </w:t>
      </w:r>
      <w:r w:rsidR="005958AB">
        <w:t xml:space="preserve">rightmost </w:t>
      </w:r>
      <w:r w:rsidR="00115ACF" w:rsidRPr="00115ACF">
        <w:t xml:space="preserve">column </w:t>
      </w:r>
      <w:r w:rsidR="005958AB">
        <w:t>represents</w:t>
      </w:r>
      <w:r w:rsidR="00115ACF" w:rsidRPr="00115ACF">
        <w:t xml:space="preserve"> </w:t>
      </w:r>
      <w:r w:rsidR="005958AB">
        <w:t xml:space="preserve">the base case with </w:t>
      </w:r>
      <w:r w:rsidR="00115ACF" w:rsidRPr="00115ACF">
        <w:t>a</w:t>
      </w:r>
      <w:r w:rsidR="00B76920">
        <w:t xml:space="preserve"> fully-penetrating</w:t>
      </w:r>
      <w:r w:rsidR="00115ACF" w:rsidRPr="00115ACF">
        <w:t xml:space="preserve"> open </w:t>
      </w:r>
      <w:r w:rsidR="005958AB">
        <w:t>well located</w:t>
      </w:r>
      <w:r w:rsidR="00115ACF" w:rsidRPr="00115ACF">
        <w:t xml:space="preserve"> 50 m from the pumping well. </w:t>
      </w:r>
      <w:r w:rsidR="00B76920">
        <w:t>The first</w:t>
      </w:r>
      <w:r w:rsidR="005E25D6">
        <w:t xml:space="preserve"> row of graphs shows the drawdown in hydraulic head for each aquifer </w:t>
      </w:r>
      <w:r w:rsidR="006C5BC2">
        <w:t xml:space="preserve">layer </w:t>
      </w:r>
      <w:r w:rsidR="005E25D6">
        <w:t xml:space="preserve">as a function of distance from the pumping well, evaluated after 30 years of pumping. </w:t>
      </w:r>
      <w:r w:rsidR="00115ACF" w:rsidRPr="00115ACF">
        <w:t xml:space="preserve">The second row shows the evolution of drawdown in </w:t>
      </w:r>
      <w:r w:rsidR="006C5BC2">
        <w:t>each</w:t>
      </w:r>
      <w:r w:rsidR="00115ACF" w:rsidRPr="00115ACF">
        <w:t xml:space="preserve"> aquifer through time, evaluated at 25</w:t>
      </w:r>
      <w:r w:rsidR="006C5BC2">
        <w:t> </w:t>
      </w:r>
      <w:r w:rsidR="00115ACF" w:rsidRPr="00115ACF">
        <w:t xml:space="preserve">m from the pumping well. The third row shows the </w:t>
      </w:r>
      <w:r w:rsidR="003E6686">
        <w:t>change in pumping</w:t>
      </w:r>
      <w:r w:rsidR="00115ACF" w:rsidRPr="00115ACF">
        <w:t xml:space="preserve"> rate </w:t>
      </w:r>
      <w:r w:rsidR="003E6686">
        <w:t>required over</w:t>
      </w:r>
      <w:r w:rsidR="00115ACF" w:rsidRPr="00115ACF">
        <w:t xml:space="preserve"> time to maintain the </w:t>
      </w:r>
      <w:r w:rsidR="003E6686">
        <w:t>hydraulic</w:t>
      </w:r>
      <w:r w:rsidR="00115ACF" w:rsidRPr="00115ACF">
        <w:t xml:space="preserve"> head in </w:t>
      </w:r>
      <w:r w:rsidR="00C27167">
        <w:t xml:space="preserve">the lowest </w:t>
      </w:r>
      <w:r w:rsidR="00115ACF" w:rsidRPr="00115ACF">
        <w:t>aquifer at 205</w:t>
      </w:r>
      <w:r w:rsidR="00C27167">
        <w:t> </w:t>
      </w:r>
      <w:r w:rsidR="00115ACF" w:rsidRPr="00115ACF">
        <w:t>m.</w:t>
      </w:r>
    </w:p>
    <w:p w:rsidR="00542FE1" w:rsidRDefault="00542FE1" w:rsidP="008F43B9">
      <w:pPr>
        <w:pStyle w:val="BRNormal"/>
      </w:pPr>
    </w:p>
    <w:p w:rsidR="00E17BAF" w:rsidRDefault="00E17BAF" w:rsidP="005F6513">
      <w:pPr>
        <w:pStyle w:val="Heading3"/>
      </w:pPr>
      <w:bookmarkStart w:id="483" w:name="_Toc381961087"/>
      <w:r>
        <w:t>Fractured aquitard</w:t>
      </w:r>
      <w:bookmarkEnd w:id="483"/>
    </w:p>
    <w:p w:rsidR="00E17BAF" w:rsidRDefault="00E17BAF" w:rsidP="00E17BAF">
      <w:pPr>
        <w:pStyle w:val="BRNormal"/>
      </w:pPr>
      <w:r>
        <w:t xml:space="preserve">The middle column of graphs in Figure 5 represents the results of a simulation with a 1000 m long fracture in the lower aquitard, at a distance of 25 m from the pumping well. The fracture runs perpendicular to the cross-section shown. The aperture of the fracture is 0.1 mm, which corresponds to an equivalent transmissivity </w:t>
      </w:r>
      <w:proofErr w:type="gramStart"/>
      <w:r>
        <w:t>of about 0.4 m</w:t>
      </w:r>
      <w:r w:rsidRPr="000A6B5C">
        <w:rPr>
          <w:vertAlign w:val="superscript"/>
        </w:rPr>
        <w:t>2</w:t>
      </w:r>
      <w:r>
        <w:t>/day</w:t>
      </w:r>
      <w:proofErr w:type="gramEnd"/>
      <w:r>
        <w:t>.</w:t>
      </w:r>
    </w:p>
    <w:p w:rsidR="00B7644F" w:rsidRDefault="00300F65" w:rsidP="008F43B9">
      <w:pPr>
        <w:pStyle w:val="BRNormal"/>
      </w:pPr>
      <w:r>
        <w:t>Compared to the base case, simulated</w:t>
      </w:r>
      <w:r w:rsidR="000A6B5C">
        <w:t xml:space="preserve"> drawdown </w:t>
      </w:r>
      <w:r>
        <w:t xml:space="preserve">at a distance of </w:t>
      </w:r>
      <w:r w:rsidR="000A6B5C">
        <w:t>100</w:t>
      </w:r>
      <w:r w:rsidR="00E17BAF">
        <w:t> </w:t>
      </w:r>
      <w:r w:rsidR="000A6B5C">
        <w:t>m from the pumping well</w:t>
      </w:r>
      <w:r w:rsidRPr="00300F65">
        <w:t xml:space="preserve"> </w:t>
      </w:r>
      <w:r w:rsidR="00E17BAF">
        <w:t>after 30 years</w:t>
      </w:r>
      <w:r w:rsidR="000A6B5C">
        <w:t xml:space="preserve"> </w:t>
      </w:r>
      <w:r w:rsidR="00E17BAF">
        <w:t>is 16.7 </w:t>
      </w:r>
      <w:r>
        <w:t xml:space="preserve">m </w:t>
      </w:r>
      <w:r w:rsidR="00F931D3">
        <w:t>lower</w:t>
      </w:r>
      <w:r w:rsidR="000A6B5C">
        <w:t xml:space="preserve"> </w:t>
      </w:r>
      <w:r>
        <w:t xml:space="preserve">for </w:t>
      </w:r>
      <w:r w:rsidR="00147C15">
        <w:t xml:space="preserve">the </w:t>
      </w:r>
      <w:r w:rsidR="00E17BAF">
        <w:t>deepest</w:t>
      </w:r>
      <w:r>
        <w:t xml:space="preserve"> </w:t>
      </w:r>
      <w:r w:rsidR="000A6B5C">
        <w:t xml:space="preserve">aquifer </w:t>
      </w:r>
      <w:r>
        <w:t xml:space="preserve">(layer 5) </w:t>
      </w:r>
      <w:r w:rsidR="000A6B5C">
        <w:t xml:space="preserve">and </w:t>
      </w:r>
      <w:r w:rsidR="00B7644F">
        <w:t>30.8</w:t>
      </w:r>
      <w:r w:rsidR="00E17BAF">
        <w:t> </w:t>
      </w:r>
      <w:r>
        <w:t xml:space="preserve">m and </w:t>
      </w:r>
      <w:r w:rsidR="00B7644F">
        <w:t>1.0</w:t>
      </w:r>
      <w:r w:rsidR="00E17BAF">
        <w:t> </w:t>
      </w:r>
      <w:r>
        <w:t>m greater</w:t>
      </w:r>
      <w:r w:rsidR="00147C15">
        <w:t xml:space="preserve"> for the middle aquifer (layer 3) and </w:t>
      </w:r>
      <w:r w:rsidR="00E17BAF">
        <w:t>shallowest</w:t>
      </w:r>
      <w:r w:rsidR="00147C15">
        <w:t xml:space="preserve"> aquifer (layer 1)</w:t>
      </w:r>
      <w:r w:rsidR="00E17BAF">
        <w:t>,</w:t>
      </w:r>
      <w:r w:rsidR="00147C15">
        <w:t xml:space="preserve"> </w:t>
      </w:r>
      <w:r w:rsidR="00ED37F1">
        <w:t>respectively</w:t>
      </w:r>
      <w:r w:rsidR="00147C15">
        <w:t xml:space="preserve">. </w:t>
      </w:r>
    </w:p>
    <w:p w:rsidR="00E1411D" w:rsidRPr="00E1411D" w:rsidRDefault="000A6B5C" w:rsidP="008F43B9">
      <w:pPr>
        <w:pStyle w:val="BRNormal"/>
      </w:pPr>
      <w:r>
        <w:t xml:space="preserve">Despite the reduction in drawdown in </w:t>
      </w:r>
      <w:r w:rsidR="00B7644F">
        <w:t xml:space="preserve">the </w:t>
      </w:r>
      <w:r w:rsidR="00E17BAF">
        <w:t>deepest</w:t>
      </w:r>
      <w:r w:rsidR="00B7644F">
        <w:t xml:space="preserve"> </w:t>
      </w:r>
      <w:r>
        <w:t>aquifer, pumpin</w:t>
      </w:r>
      <w:r w:rsidR="00CF78C5">
        <w:t>g rates need to increase by 11 per cent</w:t>
      </w:r>
      <w:r>
        <w:t xml:space="preserve"> to </w:t>
      </w:r>
      <w:r w:rsidR="00B7644F">
        <w:t xml:space="preserve">overcome the enhanced vertical leakage and </w:t>
      </w:r>
      <w:r>
        <w:t xml:space="preserve">maintain a </w:t>
      </w:r>
      <w:r w:rsidR="00B7644F">
        <w:t xml:space="preserve">hydraulic </w:t>
      </w:r>
      <w:r>
        <w:t>head of 205</w:t>
      </w:r>
      <w:r w:rsidR="00F931D3">
        <w:t> </w:t>
      </w:r>
      <w:r>
        <w:t xml:space="preserve">m at the pumping well. The considerable increase in drawdown in </w:t>
      </w:r>
      <w:r w:rsidR="00191B0C">
        <w:t xml:space="preserve">the middle </w:t>
      </w:r>
      <w:r>
        <w:t xml:space="preserve">aquifer </w:t>
      </w:r>
      <w:r w:rsidR="00191B0C">
        <w:t>leads to</w:t>
      </w:r>
      <w:r>
        <w:t xml:space="preserve"> </w:t>
      </w:r>
      <w:r w:rsidR="00191B0C">
        <w:t xml:space="preserve">greater </w:t>
      </w:r>
      <w:r>
        <w:t xml:space="preserve">flow across </w:t>
      </w:r>
      <w:r w:rsidR="00191B0C">
        <w:t xml:space="preserve">the upper </w:t>
      </w:r>
      <w:r>
        <w:t xml:space="preserve">aquitard </w:t>
      </w:r>
      <w:r w:rsidR="00191B0C">
        <w:t xml:space="preserve">(layer 2) </w:t>
      </w:r>
      <w:r>
        <w:t>and thus increase</w:t>
      </w:r>
      <w:r w:rsidR="003D257F">
        <w:t>d</w:t>
      </w:r>
      <w:r>
        <w:t xml:space="preserve"> drawdown in the </w:t>
      </w:r>
      <w:r w:rsidR="00E17BAF">
        <w:t>shallowest</w:t>
      </w:r>
      <w:r w:rsidR="00191B0C">
        <w:t xml:space="preserve"> </w:t>
      </w:r>
      <w:r>
        <w:t>aquifer.</w:t>
      </w:r>
      <w:r w:rsidR="00E1411D">
        <w:t xml:space="preserve"> </w:t>
      </w:r>
      <w:r w:rsidR="00E1411D" w:rsidRPr="00E1411D">
        <w:t>The dashed line in the pumping rate plot represents the flow rate throug</w:t>
      </w:r>
      <w:r w:rsidR="00F931D3">
        <w:t>h the fracture, which is about five</w:t>
      </w:r>
      <w:r w:rsidR="00E1411D" w:rsidRPr="00E1411D">
        <w:t xml:space="preserve"> times larger than the flow through the </w:t>
      </w:r>
      <w:r w:rsidR="00537AB5">
        <w:t xml:space="preserve">same </w:t>
      </w:r>
      <w:r w:rsidR="00E1411D" w:rsidRPr="00E1411D">
        <w:t xml:space="preserve">aquitard. Compared to the </w:t>
      </w:r>
      <w:r w:rsidR="00537AB5">
        <w:t>base case</w:t>
      </w:r>
      <w:r w:rsidR="00E1411D" w:rsidRPr="00E1411D">
        <w:t xml:space="preserve">, flow across </w:t>
      </w:r>
      <w:r w:rsidR="00537AB5">
        <w:t xml:space="preserve">the </w:t>
      </w:r>
      <w:r w:rsidR="00F931D3">
        <w:t>deeper</w:t>
      </w:r>
      <w:r w:rsidR="00537AB5">
        <w:t xml:space="preserve"> </w:t>
      </w:r>
      <w:r w:rsidR="00E1411D" w:rsidRPr="00E1411D">
        <w:t xml:space="preserve">aquitard </w:t>
      </w:r>
      <w:r w:rsidR="00537AB5">
        <w:t>is lower</w:t>
      </w:r>
      <w:r w:rsidR="00537AB5" w:rsidRPr="00E1411D">
        <w:t xml:space="preserve"> </w:t>
      </w:r>
      <w:r w:rsidR="00537AB5">
        <w:t>because</w:t>
      </w:r>
      <w:r w:rsidR="00537AB5" w:rsidRPr="00E1411D">
        <w:t xml:space="preserve"> </w:t>
      </w:r>
      <w:r w:rsidR="00E1411D" w:rsidRPr="00E1411D">
        <w:t xml:space="preserve">the </w:t>
      </w:r>
      <w:r w:rsidR="00537AB5">
        <w:t xml:space="preserve">vertical </w:t>
      </w:r>
      <w:r w:rsidR="00E1411D" w:rsidRPr="00E1411D">
        <w:t>hydraulic gradient is less.</w:t>
      </w:r>
    </w:p>
    <w:p w:rsidR="000A6B5C" w:rsidRDefault="002925CC" w:rsidP="005F6513">
      <w:pPr>
        <w:pStyle w:val="Heading3"/>
      </w:pPr>
      <w:bookmarkStart w:id="484" w:name="_Toc381961088"/>
      <w:r>
        <w:lastRenderedPageBreak/>
        <w:t>Fully-penetrating open</w:t>
      </w:r>
      <w:r w:rsidR="00E1411D">
        <w:t xml:space="preserve"> well</w:t>
      </w:r>
      <w:bookmarkEnd w:id="484"/>
    </w:p>
    <w:p w:rsidR="008343C4" w:rsidRDefault="00E1411D" w:rsidP="008F43B9">
      <w:pPr>
        <w:pStyle w:val="BRNormal"/>
      </w:pPr>
      <w:r>
        <w:t xml:space="preserve">The rightmost column of </w:t>
      </w:r>
      <w:r w:rsidR="006D38EA">
        <w:t xml:space="preserve">graphs </w:t>
      </w:r>
      <w:r>
        <w:t xml:space="preserve">in Figure </w:t>
      </w:r>
      <w:r w:rsidR="00542FE1">
        <w:t>5</w:t>
      </w:r>
      <w:r w:rsidR="002C36E7">
        <w:t xml:space="preserve"> </w:t>
      </w:r>
      <w:r>
        <w:t xml:space="preserve">shows the results of a simulation with </w:t>
      </w:r>
      <w:r w:rsidR="00A01A5F">
        <w:t xml:space="preserve">a full-penetrating </w:t>
      </w:r>
      <w:r>
        <w:t xml:space="preserve">open well </w:t>
      </w:r>
      <w:r w:rsidR="00F931D3">
        <w:t xml:space="preserve">with a </w:t>
      </w:r>
      <w:r>
        <w:t xml:space="preserve">radius </w:t>
      </w:r>
      <w:r w:rsidR="00F931D3">
        <w:t xml:space="preserve">of </w:t>
      </w:r>
      <w:r w:rsidR="005B08CC">
        <w:t>75</w:t>
      </w:r>
      <w:r w:rsidR="00C86366">
        <w:t> mm</w:t>
      </w:r>
      <w:r>
        <w:t xml:space="preserve">. As the well is screened over the entire aquifer system, </w:t>
      </w:r>
      <w:r w:rsidR="00F931D3">
        <w:t xml:space="preserve">the </w:t>
      </w:r>
      <w:r>
        <w:t>simulated head is equal in all aquifers and aquitards.</w:t>
      </w:r>
    </w:p>
    <w:p w:rsidR="009E79AD" w:rsidRDefault="00264F1A" w:rsidP="008F43B9">
      <w:pPr>
        <w:pStyle w:val="BRNormal"/>
      </w:pPr>
      <w:r>
        <w:t>Compared to the base case, simulated drawdown at a distance</w:t>
      </w:r>
      <w:r w:rsidR="00F931D3">
        <w:t xml:space="preserve"> of 100 m from the pumping well</w:t>
      </w:r>
      <w:r w:rsidRPr="00300F65">
        <w:t xml:space="preserve"> </w:t>
      </w:r>
      <w:r>
        <w:t xml:space="preserve">after 30 years is 35.9 m </w:t>
      </w:r>
      <w:r w:rsidR="00F931D3">
        <w:t>lower</w:t>
      </w:r>
      <w:r>
        <w:t xml:space="preserve"> for the </w:t>
      </w:r>
      <w:r w:rsidR="00E17BAF">
        <w:t>deepest</w:t>
      </w:r>
      <w:r w:rsidR="00F931D3">
        <w:t xml:space="preserve"> aquifer (layer 5) but 31.2 m and 34.6 </w:t>
      </w:r>
      <w:r>
        <w:t xml:space="preserve">m greater for the middle aquifer (layer 3) and </w:t>
      </w:r>
      <w:r w:rsidR="00E17BAF">
        <w:t>shallowest</w:t>
      </w:r>
      <w:r>
        <w:t xml:space="preserve"> aquifer (layer 1) respectively. </w:t>
      </w:r>
      <w:r w:rsidR="00E1411D">
        <w:t xml:space="preserve">The most striking feature in this simulation is the enormous increase in drawdown in </w:t>
      </w:r>
      <w:r>
        <w:t xml:space="preserve">the </w:t>
      </w:r>
      <w:r w:rsidR="00E17BAF">
        <w:t>shallowest</w:t>
      </w:r>
      <w:r>
        <w:t xml:space="preserve"> </w:t>
      </w:r>
      <w:r w:rsidR="00E1411D">
        <w:t xml:space="preserve">aquifer compared to the </w:t>
      </w:r>
      <w:r>
        <w:t>base case and fractured aquitard simulations</w:t>
      </w:r>
      <w:r w:rsidR="00E1411D">
        <w:t xml:space="preserve">. </w:t>
      </w:r>
    </w:p>
    <w:p w:rsidR="00D93568" w:rsidRDefault="00E1411D" w:rsidP="008F43B9">
      <w:pPr>
        <w:pStyle w:val="BRNormal"/>
      </w:pPr>
      <w:r>
        <w:t xml:space="preserve">Drawdown in </w:t>
      </w:r>
      <w:r w:rsidR="009E79AD">
        <w:t xml:space="preserve">the </w:t>
      </w:r>
      <w:r w:rsidR="00E17BAF">
        <w:t>deepest</w:t>
      </w:r>
      <w:r w:rsidR="009E79AD">
        <w:t xml:space="preserve"> </w:t>
      </w:r>
      <w:r>
        <w:t xml:space="preserve">aquifer </w:t>
      </w:r>
      <w:r w:rsidR="009E79AD">
        <w:t>is less than simulated for the base case and fractured aquitard</w:t>
      </w:r>
      <w:r>
        <w:t xml:space="preserve">, </w:t>
      </w:r>
      <w:r w:rsidR="009E79AD">
        <w:t>however pumpin</w:t>
      </w:r>
      <w:r w:rsidR="00CF78C5">
        <w:t xml:space="preserve">g rates </w:t>
      </w:r>
      <w:proofErr w:type="gramStart"/>
      <w:r w:rsidR="00CF78C5">
        <w:t>need</w:t>
      </w:r>
      <w:proofErr w:type="gramEnd"/>
      <w:r w:rsidR="00CF78C5">
        <w:t xml:space="preserve"> to increase by 23 per cent</w:t>
      </w:r>
      <w:r w:rsidR="009E79AD">
        <w:t xml:space="preserve"> to overcome the enhanced vertical leakage and maintain a hydraulic head of 205 m at the pumping well. </w:t>
      </w:r>
      <w:r>
        <w:t xml:space="preserve">The flow </w:t>
      </w:r>
      <w:r w:rsidR="00E07540">
        <w:t xml:space="preserve">rate derived from the upper and middle aquifer </w:t>
      </w:r>
      <w:r>
        <w:t>through the well is very similar at approximately 1</w:t>
      </w:r>
      <w:r w:rsidR="00CF78C5">
        <w:t>7 per cent</w:t>
      </w:r>
      <w:r>
        <w:t xml:space="preserve"> of the total pumped rate. While in the </w:t>
      </w:r>
      <w:r w:rsidR="00E07540">
        <w:t xml:space="preserve">base </w:t>
      </w:r>
      <w:r>
        <w:t xml:space="preserve">case the majority of </w:t>
      </w:r>
      <w:r w:rsidR="00E07540">
        <w:t xml:space="preserve">pumped water </w:t>
      </w:r>
      <w:r>
        <w:t xml:space="preserve">comes from horizontal flow, the open well </w:t>
      </w:r>
      <w:r w:rsidR="00E07540">
        <w:t xml:space="preserve">causes </w:t>
      </w:r>
      <w:r>
        <w:t xml:space="preserve">a very large proportion </w:t>
      </w:r>
      <w:r w:rsidR="00E07540">
        <w:t xml:space="preserve">of the pumped water </w:t>
      </w:r>
      <w:r w:rsidR="00F81CD3">
        <w:t xml:space="preserve">to be </w:t>
      </w:r>
      <w:r>
        <w:t xml:space="preserve">drawn from the overlying aquifers. The more pronounced </w:t>
      </w:r>
      <w:r w:rsidR="00D94205">
        <w:t>drawdown</w:t>
      </w:r>
      <w:r>
        <w:t xml:space="preserve"> result</w:t>
      </w:r>
      <w:r w:rsidR="00BB6CA4">
        <w:t>s</w:t>
      </w:r>
      <w:r>
        <w:t xml:space="preserve"> in lower vertical gradients and thus lower flows across the aquitards.</w:t>
      </w:r>
    </w:p>
    <w:p w:rsidR="000E2789" w:rsidRDefault="000E2789" w:rsidP="005F6513">
      <w:pPr>
        <w:pStyle w:val="Heading2"/>
      </w:pPr>
      <w:bookmarkStart w:id="485" w:name="_Toc381961089"/>
      <w:bookmarkStart w:id="486" w:name="_Toc389055216"/>
      <w:r>
        <w:t>Transport of solutes</w:t>
      </w:r>
      <w:bookmarkEnd w:id="485"/>
      <w:bookmarkEnd w:id="486"/>
    </w:p>
    <w:p w:rsidR="00373A28" w:rsidRDefault="00F931D3" w:rsidP="008F43B9">
      <w:pPr>
        <w:pStyle w:val="BRNormal"/>
      </w:pPr>
      <w:r>
        <w:t>G</w:t>
      </w:r>
      <w:r w:rsidR="00373A28">
        <w:t>roundwater transport</w:t>
      </w:r>
      <w:r w:rsidR="003667FB">
        <w:t>s</w:t>
      </w:r>
      <w:r w:rsidR="00373A28">
        <w:t xml:space="preserve"> solutes along flow path</w:t>
      </w:r>
      <w:r>
        <w:t>s</w:t>
      </w:r>
      <w:r w:rsidR="003667FB">
        <w:t xml:space="preserve"> via a process known as</w:t>
      </w:r>
      <w:r w:rsidR="00373A28">
        <w:t xml:space="preserve"> advection. The concentration of a solute can thus be predic</w:t>
      </w:r>
      <w:r>
        <w:t>ted by the groundwater velocity</w:t>
      </w:r>
      <w:r w:rsidR="00373A28">
        <w:t xml:space="preserve"> </w:t>
      </w:r>
      <w:r>
        <w:t>[</w:t>
      </w:r>
      <w:r w:rsidR="00373A28" w:rsidRPr="00373A28">
        <w:rPr>
          <w:i/>
        </w:rPr>
        <w:t>v</w:t>
      </w:r>
      <w:r>
        <w:t>]</w:t>
      </w:r>
      <w:r w:rsidR="00373A28">
        <w:t>, which is the flow per unit cross-sectional area divided by the effective porosity</w:t>
      </w:r>
      <w:r w:rsidR="00065B40">
        <w:t xml:space="preserve"> [</w:t>
      </w:r>
      <w:r w:rsidR="00065B40" w:rsidRPr="00065B40">
        <w:rPr>
          <w:i/>
        </w:rPr>
        <w:t>n</w:t>
      </w:r>
      <w:r w:rsidR="00065B40" w:rsidRPr="00065B40">
        <w:rPr>
          <w:i/>
          <w:vertAlign w:val="subscript"/>
        </w:rPr>
        <w:t>e</w:t>
      </w:r>
      <w:r w:rsidR="00065B40">
        <w:t>]</w:t>
      </w:r>
      <w:r w:rsidR="00373A28">
        <w:t>:</w:t>
      </w:r>
    </w:p>
    <w:p w:rsidR="00373A28" w:rsidRPr="008F43B9" w:rsidRDefault="00993A43" w:rsidP="00DC1B48">
      <w:pPr>
        <w:pStyle w:val="BRNormal"/>
      </w:pPr>
      <m:oMathPara>
        <m:oMathParaPr>
          <m:jc m:val="center"/>
        </m:oMathParaPr>
        <m:oMath>
          <m:r>
            <w:rPr>
              <w:rFonts w:ascii="Cambria Math" w:hAnsi="Cambria Math"/>
            </w:rPr>
            <m:t>v</m:t>
          </m:r>
          <m:r>
            <m:rPr>
              <m:sty m:val="p"/>
            </m:rPr>
            <w:rPr>
              <w:rFonts w:ascii="Cambria Math" w:hAnsi="Cambria Math"/>
            </w:rPr>
            <m:t>=</m:t>
          </m:r>
          <m:f>
            <m:fPr>
              <m:ctrlPr>
                <w:rPr>
                  <w:rFonts w:ascii="Cambria Math" w:hAnsi="Cambria Math"/>
                </w:rPr>
              </m:ctrlPr>
            </m:fPr>
            <m:num>
              <m:r>
                <m:rPr>
                  <m:sty m:val="p"/>
                </m:rPr>
                <w:rPr>
                  <w:rFonts w:ascii="Cambria Math" w:hAnsi="Cambria Math"/>
                </w:rPr>
                <m:t>1</m:t>
              </m:r>
            </m:num>
            <m:den>
              <m:sSub>
                <m:sSubPr>
                  <m:ctrlPr>
                    <w:rPr>
                      <w:rFonts w:ascii="Cambria Math" w:hAnsi="Cambria Math"/>
                    </w:rPr>
                  </m:ctrlPr>
                </m:sSubPr>
                <m:e>
                  <m:r>
                    <w:rPr>
                      <w:rFonts w:ascii="Cambria Math" w:hAnsi="Cambria Math"/>
                    </w:rPr>
                    <m:t>n</m:t>
                  </m:r>
                </m:e>
                <m:sub>
                  <m:r>
                    <w:rPr>
                      <w:rFonts w:ascii="Cambria Math" w:hAnsi="Cambria Math"/>
                    </w:rPr>
                    <m:t>e</m:t>
                  </m:r>
                </m:sub>
              </m:sSub>
            </m:den>
          </m:f>
          <m:r>
            <w:rPr>
              <w:rFonts w:ascii="Cambria Math" w:hAnsi="Cambria Math"/>
            </w:rPr>
            <m:t>K</m:t>
          </m:r>
          <m:f>
            <m:fPr>
              <m:ctrlPr>
                <w:rPr>
                  <w:rFonts w:ascii="Cambria Math" w:hAnsi="Cambria Math"/>
                </w:rPr>
              </m:ctrlPr>
            </m:fPr>
            <m:num>
              <m:r>
                <w:rPr>
                  <w:rFonts w:ascii="Cambria Math" w:hAnsi="Cambria Math"/>
                </w:rPr>
                <m:t>dh</m:t>
              </m:r>
            </m:num>
            <m:den>
              <m:r>
                <w:rPr>
                  <w:rFonts w:ascii="Cambria Math" w:hAnsi="Cambria Math"/>
                </w:rPr>
                <m:t>dz</m:t>
              </m:r>
            </m:den>
          </m:f>
        </m:oMath>
      </m:oMathPara>
    </w:p>
    <w:p w:rsidR="006A69CB" w:rsidRDefault="00373A28" w:rsidP="008F43B9">
      <w:pPr>
        <w:pStyle w:val="BRNormal"/>
      </w:pPr>
      <w:r>
        <w:t xml:space="preserve">At the microscopic scale, </w:t>
      </w:r>
      <w:r w:rsidR="006A69CB">
        <w:t>water</w:t>
      </w:r>
      <w:r w:rsidR="006A69CB" w:rsidRPr="006A69CB">
        <w:rPr>
          <w:lang w:val="en-US"/>
        </w:rPr>
        <w:t xml:space="preserve"> with high solute concentrations will mix wit</w:t>
      </w:r>
      <w:r w:rsidR="006A69CB">
        <w:rPr>
          <w:lang w:val="en-US"/>
        </w:rPr>
        <w:t xml:space="preserve">h water with low </w:t>
      </w:r>
      <w:r w:rsidR="00065B40">
        <w:rPr>
          <w:lang w:val="en-US"/>
        </w:rPr>
        <w:t xml:space="preserve">solute </w:t>
      </w:r>
      <w:r w:rsidR="006A69CB">
        <w:rPr>
          <w:lang w:val="en-US"/>
        </w:rPr>
        <w:t xml:space="preserve">concentrations as </w:t>
      </w:r>
      <w:r>
        <w:t xml:space="preserve">flow velocities in </w:t>
      </w:r>
      <w:r w:rsidR="006A69CB">
        <w:t>a porous medium</w:t>
      </w:r>
      <w:r>
        <w:t xml:space="preserve"> </w:t>
      </w:r>
      <w:r w:rsidR="00C5500D">
        <w:t xml:space="preserve">vary </w:t>
      </w:r>
      <w:r w:rsidR="006A69CB">
        <w:t xml:space="preserve">due to the size of the pores and the flow paths </w:t>
      </w:r>
      <w:r w:rsidR="00C5500D">
        <w:t>around individual</w:t>
      </w:r>
      <w:r w:rsidR="006A69CB">
        <w:t xml:space="preserve"> grains.</w:t>
      </w:r>
      <w:r w:rsidR="00EC3093">
        <w:t xml:space="preserve"> This leads to a reduction of concentration at </w:t>
      </w:r>
      <w:r w:rsidR="00C5500D">
        <w:t xml:space="preserve">the </w:t>
      </w:r>
      <w:r w:rsidR="00EC3093">
        <w:t xml:space="preserve">macroscopic scale and is called dispersion. </w:t>
      </w:r>
      <w:proofErr w:type="gramStart"/>
      <w:r w:rsidR="006A69CB">
        <w:t xml:space="preserve">Dispersion acts both in a longitudinal direction, </w:t>
      </w:r>
      <w:r w:rsidR="006A69CB" w:rsidRPr="006A69CB">
        <w:rPr>
          <w:lang w:val="en-US"/>
        </w:rPr>
        <w:t>along the flow path</w:t>
      </w:r>
      <w:r w:rsidR="006A69CB">
        <w:rPr>
          <w:lang w:val="en-US"/>
        </w:rPr>
        <w:t>,</w:t>
      </w:r>
      <w:r w:rsidR="006A69CB">
        <w:t xml:space="preserve"> and in a transverse direction, perpendicular to the flow path.</w:t>
      </w:r>
      <w:proofErr w:type="gramEnd"/>
    </w:p>
    <w:p w:rsidR="00687506" w:rsidRDefault="006A69CB" w:rsidP="008F43B9">
      <w:pPr>
        <w:pStyle w:val="BRNormal"/>
      </w:pPr>
      <w:r>
        <w:t>A similar reduction in concentration and spread of solutes is caused by molecular diffusion</w:t>
      </w:r>
      <w:r w:rsidR="00EC3093">
        <w:t>, the movement of solutes from high concentration to low concentration.</w:t>
      </w:r>
      <w:r>
        <w:t xml:space="preserve"> Although this process acts even in water that is not flowing, in groundwater transport it is indistinguishable from mechanical dispersion. Both processes are therefore </w:t>
      </w:r>
      <w:r w:rsidR="00B32F53">
        <w:t xml:space="preserve">usually </w:t>
      </w:r>
      <w:r>
        <w:t>grouped as hydrodynamic dispersion</w:t>
      </w:r>
      <w:r w:rsidR="00B32F53">
        <w:t>,</w:t>
      </w:r>
      <w:r w:rsidR="00687506">
        <w:t xml:space="preserve"> with </w:t>
      </w:r>
      <w:r w:rsidR="00687506" w:rsidRPr="00687506">
        <w:rPr>
          <w:lang w:val="en-US"/>
        </w:rPr>
        <w:t>the coefficient of longitudinal hydrodynamic dispersion</w:t>
      </w:r>
      <w:r w:rsidR="00C5500D">
        <w:t xml:space="preserve"> (</w:t>
      </w:r>
      <w:r w:rsidR="00C5500D" w:rsidRPr="00687506">
        <w:rPr>
          <w:i/>
          <w:lang w:val="en-US"/>
        </w:rPr>
        <w:t>D</w:t>
      </w:r>
      <w:r w:rsidR="00C5500D" w:rsidRPr="00687506">
        <w:rPr>
          <w:i/>
          <w:vertAlign w:val="subscript"/>
          <w:lang w:val="en-US"/>
        </w:rPr>
        <w:t>L</w:t>
      </w:r>
      <w:r w:rsidR="00C5500D">
        <w:t>)</w:t>
      </w:r>
      <w:r w:rsidR="00B32F53">
        <w:t xml:space="preserve"> given by</w:t>
      </w:r>
      <w:r w:rsidR="00C5500D">
        <w:t xml:space="preserve">: </w:t>
      </w:r>
    </w:p>
    <w:p w:rsidR="00687506" w:rsidRPr="008F43B9" w:rsidRDefault="00E23933" w:rsidP="00DC1B48">
      <w:pPr>
        <w:pStyle w:val="BRNormal"/>
      </w:pPr>
      <m:oMathPara>
        <m:oMathParaPr>
          <m:jc m:val="center"/>
        </m:oMathParaPr>
        <m:oMath>
          <m:sSub>
            <m:sSubPr>
              <m:ctrlPr>
                <w:rPr>
                  <w:rFonts w:ascii="Cambria Math" w:hAnsi="Cambria Math"/>
                </w:rPr>
              </m:ctrlPr>
            </m:sSubPr>
            <m:e>
              <m:r>
                <w:rPr>
                  <w:rFonts w:ascii="Cambria Math" w:hAnsi="Cambria Math"/>
                </w:rPr>
                <m:t>D</m:t>
              </m:r>
            </m:e>
            <m:sub>
              <m:r>
                <w:rPr>
                  <w:rFonts w:ascii="Cambria Math" w:hAnsi="Cambria Math"/>
                </w:rPr>
                <m:t>L</m:t>
              </m:r>
            </m:sub>
          </m:sSub>
          <m:r>
            <m:rPr>
              <m:sty m:val="p"/>
            </m:rPr>
            <w:rPr>
              <w:rFonts w:ascii="Cambria Math" w:hAnsi="Cambria Math"/>
            </w:rPr>
            <m:t>=</m:t>
          </m:r>
          <m:sSub>
            <m:sSubPr>
              <m:ctrlPr>
                <w:rPr>
                  <w:rFonts w:ascii="Cambria Math" w:hAnsi="Cambria Math"/>
                </w:rPr>
              </m:ctrlPr>
            </m:sSubPr>
            <m:e>
              <m:r>
                <w:rPr>
                  <w:rFonts w:ascii="Cambria Math" w:hAnsi="Cambria Math"/>
                </w:rPr>
                <m:t>a</m:t>
              </m:r>
            </m:e>
            <m:sub>
              <m:r>
                <w:rPr>
                  <w:rFonts w:ascii="Cambria Math" w:hAnsi="Cambria Math"/>
                </w:rPr>
                <m:t>L</m:t>
              </m:r>
            </m:sub>
          </m:sSub>
          <m:sSub>
            <m:sSubPr>
              <m:ctrlPr>
                <w:rPr>
                  <w:rFonts w:ascii="Cambria Math" w:hAnsi="Cambria Math"/>
                </w:rPr>
              </m:ctrlPr>
            </m:sSubPr>
            <m:e>
              <m:r>
                <w:rPr>
                  <w:rFonts w:ascii="Cambria Math" w:hAnsi="Cambria Math"/>
                </w:rPr>
                <m:t>v</m:t>
              </m:r>
            </m:e>
            <m:sub>
              <m:r>
                <w:rPr>
                  <w:rFonts w:ascii="Cambria Math" w:hAnsi="Cambria Math"/>
                </w:rPr>
                <m:t>z</m:t>
              </m:r>
            </m:sub>
          </m:sSub>
          <m:r>
            <m:rPr>
              <m:sty m:val="p"/>
            </m:rPr>
            <w:rPr>
              <w:rFonts w:ascii="Cambria Math" w:hAnsi="Cambria Math"/>
            </w:rPr>
            <m:t>+</m:t>
          </m:r>
          <m:sSup>
            <m:sSupPr>
              <m:ctrlPr>
                <w:rPr>
                  <w:rFonts w:ascii="Cambria Math" w:hAnsi="Cambria Math"/>
                </w:rPr>
              </m:ctrlPr>
            </m:sSupPr>
            <m:e>
              <m:r>
                <w:rPr>
                  <w:rFonts w:ascii="Cambria Math" w:hAnsi="Cambria Math"/>
                </w:rPr>
                <m:t>D</m:t>
              </m:r>
            </m:e>
            <m:sup>
              <m:r>
                <m:rPr>
                  <m:sty m:val="p"/>
                </m:rPr>
                <w:rPr>
                  <w:rFonts w:ascii="Cambria Math" w:hAnsi="Cambria Math"/>
                </w:rPr>
                <m:t>*</m:t>
              </m:r>
            </m:sup>
          </m:sSup>
        </m:oMath>
      </m:oMathPara>
    </w:p>
    <w:p w:rsidR="00E31DD0" w:rsidRDefault="00687506" w:rsidP="008F43B9">
      <w:pPr>
        <w:pStyle w:val="BRNormal"/>
      </w:pPr>
      <w:proofErr w:type="gramStart"/>
      <w:r>
        <w:t>where</w:t>
      </w:r>
      <w:proofErr w:type="gramEnd"/>
      <w:r>
        <w:t xml:space="preserve"> </w:t>
      </w:r>
      <w:r w:rsidRPr="00E31DD0">
        <w:rPr>
          <w:i/>
        </w:rPr>
        <w:t>a</w:t>
      </w:r>
      <w:r w:rsidRPr="00E31DD0">
        <w:rPr>
          <w:i/>
          <w:vertAlign w:val="subscript"/>
        </w:rPr>
        <w:t>L</w:t>
      </w:r>
      <w:r>
        <w:t xml:space="preserve"> is the dynamic dispersivity and </w:t>
      </w:r>
      <w:r w:rsidRPr="00E31DD0">
        <w:rPr>
          <w:i/>
        </w:rPr>
        <w:t>D*</w:t>
      </w:r>
      <w:r>
        <w:t xml:space="preserve"> the effective molecular diffusion coefficient.</w:t>
      </w:r>
      <w:r w:rsidR="00E31DD0">
        <w:t xml:space="preserve"> For small advective flow velocities, hydrodynamic dispersion will be dominated by dynamic dispersivity. In porous media with very low </w:t>
      </w:r>
      <w:r w:rsidR="00B32F53">
        <w:t xml:space="preserve">advective </w:t>
      </w:r>
      <w:r w:rsidR="00E31DD0">
        <w:t>flow velocities</w:t>
      </w:r>
      <w:r w:rsidR="00B32F53">
        <w:t>,</w:t>
      </w:r>
      <w:r w:rsidR="00E31DD0">
        <w:t xml:space="preserve"> such as aquitards, hydrodynamic dispersion is dominated by molecular diffusion.</w:t>
      </w:r>
    </w:p>
    <w:p w:rsidR="00687506" w:rsidRDefault="00E31DD0" w:rsidP="008F43B9">
      <w:pPr>
        <w:pStyle w:val="BRNormal"/>
      </w:pPr>
      <w:r w:rsidRPr="00E31DD0">
        <w:t xml:space="preserve">The value of </w:t>
      </w:r>
      <w:r w:rsidRPr="00E31DD0">
        <w:rPr>
          <w:i/>
        </w:rPr>
        <w:t>D</w:t>
      </w:r>
      <w:r w:rsidRPr="00E31DD0">
        <w:rPr>
          <w:i/>
          <w:vertAlign w:val="subscript"/>
        </w:rPr>
        <w:t>L</w:t>
      </w:r>
      <w:r w:rsidRPr="00E31DD0">
        <w:t xml:space="preserve"> is scale-dependent. The larger the scale on which dispersion is measured, the more likely it is for the flow field to be more variable due to heterogeneity in the hydraulic properties. In their review of measured dispersivity values, Gelhar et al. </w:t>
      </w:r>
      <w:r w:rsidR="0032023C">
        <w:t>(</w:t>
      </w:r>
      <w:r w:rsidRPr="00E31DD0">
        <w:t>1992</w:t>
      </w:r>
      <w:r w:rsidR="0032023C">
        <w:t>)</w:t>
      </w:r>
      <w:r w:rsidR="00E461B1">
        <w:t xml:space="preserve"> </w:t>
      </w:r>
      <w:r w:rsidRPr="00E31DD0">
        <w:t>show</w:t>
      </w:r>
      <w:r w:rsidR="00686BB7">
        <w:t>ed</w:t>
      </w:r>
      <w:r w:rsidRPr="00E31DD0">
        <w:t xml:space="preserve"> that dispersivity indeed increases with scale, but that dispersivity can span </w:t>
      </w:r>
      <w:r w:rsidR="009C5F8A">
        <w:t>three</w:t>
      </w:r>
      <w:r w:rsidR="009C5F8A" w:rsidRPr="00E31DD0">
        <w:t xml:space="preserve"> </w:t>
      </w:r>
      <w:r w:rsidRPr="00E31DD0">
        <w:t>orders of magnitude for the same scale of measurement. Transverse dispersivity is generally at least an order of magnitude smaller than longitudinal dispersivity.</w:t>
      </w:r>
    </w:p>
    <w:p w:rsidR="00373A28" w:rsidRDefault="00993A43" w:rsidP="008F43B9">
      <w:pPr>
        <w:pStyle w:val="BRNormal"/>
      </w:pPr>
      <w:r>
        <w:lastRenderedPageBreak/>
        <w:t xml:space="preserve">The variation </w:t>
      </w:r>
      <w:r w:rsidR="001821EB">
        <w:t>of a solute concentration (</w:t>
      </w:r>
      <w:r w:rsidR="001821EB" w:rsidRPr="00993A43">
        <w:rPr>
          <w:i/>
        </w:rPr>
        <w:t>C</w:t>
      </w:r>
      <w:r w:rsidR="001821EB">
        <w:t xml:space="preserve">) with </w:t>
      </w:r>
      <w:r>
        <w:t>time (</w:t>
      </w:r>
      <w:r w:rsidRPr="00993A43">
        <w:rPr>
          <w:i/>
        </w:rPr>
        <w:t>t</w:t>
      </w:r>
      <w:r>
        <w:t xml:space="preserve">) and </w:t>
      </w:r>
      <w:r w:rsidR="009C5F8A">
        <w:t xml:space="preserve">distance </w:t>
      </w:r>
      <w:r>
        <w:t>(</w:t>
      </w:r>
      <w:r w:rsidR="00C700E7">
        <w:rPr>
          <w:i/>
        </w:rPr>
        <w:t>z</w:t>
      </w:r>
      <w:r>
        <w:t>) can be described</w:t>
      </w:r>
      <w:r w:rsidR="00BC716B">
        <w:t xml:space="preserve">, in this case </w:t>
      </w:r>
      <w:r w:rsidR="00C700E7">
        <w:t>in one dimension,</w:t>
      </w:r>
      <w:r>
        <w:t xml:space="preserve"> with following differential equation:</w:t>
      </w:r>
    </w:p>
    <w:p w:rsidR="00993A43" w:rsidRPr="008F43B9" w:rsidRDefault="00E23933" w:rsidP="00DC1B48">
      <w:pPr>
        <w:pStyle w:val="BRNormal"/>
      </w:pPr>
      <m:oMathPara>
        <m:oMathParaPr>
          <m:jc m:val="center"/>
        </m:oMathParaPr>
        <m:oMath>
          <m:sSub>
            <m:sSubPr>
              <m:ctrlPr>
                <w:rPr>
                  <w:rFonts w:ascii="Cambria Math" w:hAnsi="Cambria Math"/>
                </w:rPr>
              </m:ctrlPr>
            </m:sSubPr>
            <m:e>
              <m:f>
                <m:fPr>
                  <m:ctrlPr>
                    <w:rPr>
                      <w:rFonts w:ascii="Cambria Math" w:hAnsi="Cambria Math"/>
                    </w:rPr>
                  </m:ctrlPr>
                </m:fPr>
                <m:num>
                  <m:r>
                    <w:rPr>
                      <w:rFonts w:ascii="Cambria Math" w:hAnsi="Cambria Math"/>
                    </w:rPr>
                    <m:t>∂C</m:t>
                  </m:r>
                </m:num>
                <m:den>
                  <m:r>
                    <w:rPr>
                      <w:rFonts w:ascii="Cambria Math" w:hAnsi="Cambria Math"/>
                    </w:rPr>
                    <m:t>∂t</m:t>
                  </m:r>
                  <m:r>
                    <m:rPr>
                      <m:sty m:val="p"/>
                    </m:rPr>
                    <w:rPr>
                      <w:rFonts w:ascii="Cambria Math" w:hAnsi="Cambria Math"/>
                    </w:rPr>
                    <m:t xml:space="preserve"> </m:t>
                  </m:r>
                </m:den>
              </m:f>
              <m:r>
                <m:rPr>
                  <m:sty m:val="p"/>
                </m:rPr>
                <w:rPr>
                  <w:rFonts w:ascii="Cambria Math" w:hAnsi="Cambria Math"/>
                </w:rPr>
                <m:t>=-</m:t>
              </m:r>
              <m:sSub>
                <m:sSubPr>
                  <m:ctrlPr>
                    <w:rPr>
                      <w:rFonts w:ascii="Cambria Math" w:hAnsi="Cambria Math"/>
                    </w:rPr>
                  </m:ctrlPr>
                </m:sSubPr>
                <m:e>
                  <m:r>
                    <w:rPr>
                      <w:rFonts w:ascii="Cambria Math" w:hAnsi="Cambria Math"/>
                    </w:rPr>
                    <m:t>v</m:t>
                  </m:r>
                </m:e>
                <m:sub>
                  <m:r>
                    <w:rPr>
                      <w:rFonts w:ascii="Cambria Math" w:hAnsi="Cambria Math"/>
                    </w:rPr>
                    <m:t>z</m:t>
                  </m:r>
                </m:sub>
              </m:sSub>
              <m:f>
                <m:fPr>
                  <m:ctrlPr>
                    <w:rPr>
                      <w:rFonts w:ascii="Cambria Math" w:hAnsi="Cambria Math"/>
                    </w:rPr>
                  </m:ctrlPr>
                </m:fPr>
                <m:num>
                  <m:r>
                    <w:rPr>
                      <w:rFonts w:ascii="Cambria Math" w:hAnsi="Cambria Math"/>
                    </w:rPr>
                    <m:t>∂C</m:t>
                  </m:r>
                </m:num>
                <m:den>
                  <m:r>
                    <w:rPr>
                      <w:rFonts w:ascii="Cambria Math" w:hAnsi="Cambria Math"/>
                    </w:rPr>
                    <m:t>∂z</m:t>
                  </m:r>
                  <m:r>
                    <m:rPr>
                      <m:sty m:val="p"/>
                    </m:rPr>
                    <w:rPr>
                      <w:rFonts w:ascii="Cambria Math" w:hAnsi="Cambria Math"/>
                    </w:rPr>
                    <m:t xml:space="preserve"> </m:t>
                  </m:r>
                </m:den>
              </m:f>
              <m:r>
                <m:rPr>
                  <m:sty m:val="p"/>
                </m:rPr>
                <w:rPr>
                  <w:rFonts w:ascii="Cambria Math" w:hAnsi="Cambria Math"/>
                </w:rPr>
                <m:t>+</m:t>
              </m:r>
              <m:r>
                <w:rPr>
                  <w:rFonts w:ascii="Cambria Math" w:hAnsi="Cambria Math"/>
                </w:rPr>
                <m:t>D</m:t>
              </m:r>
            </m:e>
            <m:sub>
              <m:r>
                <w:rPr>
                  <w:rFonts w:ascii="Cambria Math" w:hAnsi="Cambria Math"/>
                </w:rPr>
                <m:t>L</m:t>
              </m:r>
            </m:sub>
          </m:sSub>
          <m:f>
            <m:fPr>
              <m:ctrlPr>
                <w:rPr>
                  <w:rFonts w:ascii="Cambria Math" w:hAnsi="Cambria Math"/>
                </w:rPr>
              </m:ctrlPr>
            </m:fPr>
            <m:num>
              <m:sSup>
                <m:sSupPr>
                  <m:ctrlPr>
                    <w:rPr>
                      <w:rFonts w:ascii="Cambria Math" w:hAnsi="Cambria Math"/>
                    </w:rPr>
                  </m:ctrlPr>
                </m:sSupPr>
                <m:e>
                  <m:r>
                    <w:rPr>
                      <w:rFonts w:ascii="Cambria Math" w:hAnsi="Cambria Math"/>
                    </w:rPr>
                    <m:t>∂</m:t>
                  </m:r>
                </m:e>
                <m:sup>
                  <m:r>
                    <m:rPr>
                      <m:sty m:val="p"/>
                    </m:rPr>
                    <w:rPr>
                      <w:rFonts w:ascii="Cambria Math" w:hAnsi="Cambria Math"/>
                    </w:rPr>
                    <m:t>2</m:t>
                  </m:r>
                </m:sup>
              </m:sSup>
              <m:r>
                <w:rPr>
                  <w:rFonts w:ascii="Cambria Math" w:hAnsi="Cambria Math"/>
                </w:rPr>
                <m:t>C</m:t>
              </m:r>
            </m:num>
            <m:den>
              <m:r>
                <w:rPr>
                  <w:rFonts w:ascii="Cambria Math" w:hAnsi="Cambria Math"/>
                </w:rPr>
                <m:t>∂</m:t>
              </m:r>
              <m:sSup>
                <m:sSupPr>
                  <m:ctrlPr>
                    <w:rPr>
                      <w:rFonts w:ascii="Cambria Math" w:hAnsi="Cambria Math"/>
                    </w:rPr>
                  </m:ctrlPr>
                </m:sSupPr>
                <m:e>
                  <m:r>
                    <w:rPr>
                      <w:rFonts w:ascii="Cambria Math" w:hAnsi="Cambria Math"/>
                    </w:rPr>
                    <m:t>z</m:t>
                  </m:r>
                </m:e>
                <m:sup>
                  <m:r>
                    <m:rPr>
                      <m:sty m:val="p"/>
                    </m:rPr>
                    <w:rPr>
                      <w:rFonts w:ascii="Cambria Math" w:hAnsi="Cambria Math"/>
                    </w:rPr>
                    <m:t>2</m:t>
                  </m:r>
                </m:sup>
              </m:sSup>
            </m:den>
          </m:f>
        </m:oMath>
      </m:oMathPara>
    </w:p>
    <w:p w:rsidR="00993A43" w:rsidRDefault="009C5F8A" w:rsidP="008F43B9">
      <w:pPr>
        <w:pStyle w:val="BRNormal"/>
      </w:pPr>
      <w:proofErr w:type="gramStart"/>
      <w:r>
        <w:t>where</w:t>
      </w:r>
      <w:proofErr w:type="gramEnd"/>
      <w:r>
        <w:t xml:space="preserve"> the first term of the right hand side represents change in concentration due to advection, and the second term represents </w:t>
      </w:r>
      <w:r w:rsidR="006043F8">
        <w:t>change in concentration due to hydrodynamic dispersion.</w:t>
      </w:r>
      <w:r w:rsidR="001821EB">
        <w:t xml:space="preserve"> </w:t>
      </w:r>
      <w:r w:rsidR="00E31DD0">
        <w:t>The Peclet number (</w:t>
      </w:r>
      <w:r w:rsidR="00E31DD0" w:rsidRPr="00E31DD0">
        <w:rPr>
          <w:i/>
        </w:rPr>
        <w:t>Pe</w:t>
      </w:r>
      <w:r w:rsidR="00E31DD0">
        <w:t xml:space="preserve">) is defined as the ratio of the coefficients of the advective and the dispersive term, multiplied </w:t>
      </w:r>
      <w:r w:rsidR="001821EB">
        <w:t xml:space="preserve">by </w:t>
      </w:r>
      <w:r w:rsidR="00E31DD0">
        <w:t>a length (</w:t>
      </w:r>
      <w:r w:rsidR="00E31DD0" w:rsidRPr="00E31DD0">
        <w:rPr>
          <w:i/>
        </w:rPr>
        <w:t>L</w:t>
      </w:r>
      <w:r w:rsidR="00E31DD0">
        <w:t>) characteristic for the problem at hand</w:t>
      </w:r>
      <w:r w:rsidR="001821EB">
        <w:t xml:space="preserve">: </w:t>
      </w:r>
    </w:p>
    <w:p w:rsidR="00E31DD0" w:rsidRPr="008F43B9" w:rsidRDefault="00E31DD0" w:rsidP="00DC1B48">
      <w:pPr>
        <w:pStyle w:val="BRNormal"/>
      </w:pPr>
      <m:oMathPara>
        <m:oMathParaPr>
          <m:jc m:val="center"/>
        </m:oMathParaPr>
        <m:oMath>
          <m:r>
            <w:rPr>
              <w:rFonts w:ascii="Cambria Math" w:hAnsi="Cambria Math"/>
            </w:rPr>
            <m:t>Pe</m:t>
          </m:r>
          <m:r>
            <m:rPr>
              <m:sty m:val="p"/>
            </m:rP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v</m:t>
                  </m:r>
                </m:e>
                <m:sub>
                  <m:r>
                    <w:rPr>
                      <w:rFonts w:ascii="Cambria Math" w:hAnsi="Cambria Math"/>
                    </w:rPr>
                    <m:t>z</m:t>
                  </m:r>
                </m:sub>
              </m:sSub>
            </m:num>
            <m:den>
              <m:sSub>
                <m:sSubPr>
                  <m:ctrlPr>
                    <w:rPr>
                      <w:rFonts w:ascii="Cambria Math" w:hAnsi="Cambria Math"/>
                    </w:rPr>
                  </m:ctrlPr>
                </m:sSubPr>
                <m:e>
                  <m:r>
                    <w:rPr>
                      <w:rFonts w:ascii="Cambria Math" w:hAnsi="Cambria Math"/>
                    </w:rPr>
                    <m:t>D</m:t>
                  </m:r>
                </m:e>
                <m:sub>
                  <m:r>
                    <w:rPr>
                      <w:rFonts w:ascii="Cambria Math" w:hAnsi="Cambria Math"/>
                    </w:rPr>
                    <m:t>L</m:t>
                  </m:r>
                </m:sub>
              </m:sSub>
            </m:den>
          </m:f>
          <m:r>
            <w:rPr>
              <w:rFonts w:ascii="Cambria Math" w:hAnsi="Cambria Math"/>
            </w:rPr>
            <m:t>L</m:t>
          </m:r>
        </m:oMath>
      </m:oMathPara>
    </w:p>
    <w:p w:rsidR="00993A43" w:rsidRPr="00993A43" w:rsidRDefault="001821EB" w:rsidP="008F43B9">
      <w:pPr>
        <w:pStyle w:val="BRNormal"/>
      </w:pPr>
      <w:r>
        <w:t xml:space="preserve">When the </w:t>
      </w:r>
      <w:r w:rsidR="00D229F2">
        <w:t xml:space="preserve">Peclet number </w:t>
      </w:r>
      <w:r>
        <w:t xml:space="preserve">is less </w:t>
      </w:r>
      <w:r w:rsidR="00D229F2">
        <w:t xml:space="preserve">than one, diffusion is the dominant </w:t>
      </w:r>
      <w:r>
        <w:t>solute transport mechanism</w:t>
      </w:r>
      <w:r w:rsidR="00D229F2">
        <w:t xml:space="preserve">. Huysmans and Dassargues (2005) do show however, for a number of variants of the Peclet number, that advection can still have an important influence on transport through low-permeable materials, even if the Peclet number is much </w:t>
      </w:r>
      <w:r w:rsidR="00E461B1">
        <w:t>smaller than one</w:t>
      </w:r>
      <w:r w:rsidR="00D229F2">
        <w:t>.</w:t>
      </w:r>
    </w:p>
    <w:p w:rsidR="001821EB" w:rsidRDefault="00D229F2" w:rsidP="008F43B9">
      <w:pPr>
        <w:pStyle w:val="BRNormal"/>
      </w:pPr>
      <w:r>
        <w:t xml:space="preserve">Two other processes are important to describe </w:t>
      </w:r>
      <w:r w:rsidR="001821EB">
        <w:t xml:space="preserve">the </w:t>
      </w:r>
      <w:r>
        <w:t>transport of solutes; retardation and degradation. Retard</w:t>
      </w:r>
      <w:r w:rsidR="006271FD">
        <w:t xml:space="preserve">ation is a general term for processes that cause the solute front to move slower than the advective flow velocity. This can be caused by sorption, when </w:t>
      </w:r>
      <w:r w:rsidR="001821EB">
        <w:t xml:space="preserve">ions or charged </w:t>
      </w:r>
      <w:r w:rsidR="006271FD">
        <w:t xml:space="preserve">molecules </w:t>
      </w:r>
      <w:r w:rsidR="001821EB">
        <w:t xml:space="preserve">become bound </w:t>
      </w:r>
      <w:r w:rsidR="006271FD">
        <w:t xml:space="preserve">to the </w:t>
      </w:r>
      <w:r w:rsidR="001821EB">
        <w:t xml:space="preserve">surface of </w:t>
      </w:r>
      <w:r w:rsidR="006271FD">
        <w:t xml:space="preserve">aquifer or aquitard </w:t>
      </w:r>
      <w:r w:rsidR="001821EB">
        <w:t>minerals</w:t>
      </w:r>
      <w:r w:rsidR="006271FD">
        <w:t xml:space="preserve">, or </w:t>
      </w:r>
      <w:r w:rsidR="001821EB">
        <w:t xml:space="preserve">reversible chemical reaction, or </w:t>
      </w:r>
      <w:r w:rsidR="006271FD">
        <w:t>diffusion of solutes into pores that do not contribute to flow</w:t>
      </w:r>
      <w:r w:rsidR="00823BA0">
        <w:t xml:space="preserve"> (adsorption)</w:t>
      </w:r>
      <w:r w:rsidR="006271FD">
        <w:t>. After the solute front has passed, solutes are desorbed or diffuse back into the pores that contribute to flow. The total</w:t>
      </w:r>
      <w:r w:rsidR="008F43B9">
        <w:t xml:space="preserve"> mass of solutes stays constant;</w:t>
      </w:r>
      <w:r w:rsidR="006271FD">
        <w:t xml:space="preserve"> </w:t>
      </w:r>
      <w:r w:rsidR="001821EB">
        <w:t>however</w:t>
      </w:r>
      <w:r w:rsidR="008F43B9">
        <w:t>,</w:t>
      </w:r>
      <w:r w:rsidR="001821EB">
        <w:t xml:space="preserve"> </w:t>
      </w:r>
      <w:r w:rsidR="006271FD">
        <w:t xml:space="preserve">the distribution of the solute in time and space is more spread out. </w:t>
      </w:r>
    </w:p>
    <w:p w:rsidR="00747C59" w:rsidRDefault="006271FD" w:rsidP="003A0D3E">
      <w:pPr>
        <w:pStyle w:val="BRNormal"/>
      </w:pPr>
      <w:r>
        <w:t xml:space="preserve">Degradation on the other hand decreases the solute mass through </w:t>
      </w:r>
      <w:r w:rsidR="001821EB">
        <w:t xml:space="preserve">irreversible </w:t>
      </w:r>
      <w:r>
        <w:t xml:space="preserve">chemical reactions. In the case of contaminant transport, degradation reactions can </w:t>
      </w:r>
      <w:r w:rsidR="00011E2B">
        <w:t xml:space="preserve">have a </w:t>
      </w:r>
      <w:r>
        <w:t xml:space="preserve">positive </w:t>
      </w:r>
      <w:r w:rsidR="002C36E7">
        <w:t xml:space="preserve">effect </w:t>
      </w:r>
      <w:r>
        <w:t>as they reduce the concentration</w:t>
      </w:r>
      <w:r w:rsidR="00011E2B">
        <w:t xml:space="preserve"> of</w:t>
      </w:r>
      <w:r w:rsidR="00011E2B" w:rsidRPr="00011E2B">
        <w:t xml:space="preserve"> </w:t>
      </w:r>
      <w:r w:rsidR="00011E2B">
        <w:t>contaminant</w:t>
      </w:r>
      <w:r>
        <w:t xml:space="preserve">. </w:t>
      </w:r>
      <w:r w:rsidR="00504032">
        <w:t>H</w:t>
      </w:r>
      <w:r>
        <w:t>owever</w:t>
      </w:r>
      <w:r w:rsidR="00504032">
        <w:t>, it is also</w:t>
      </w:r>
      <w:r>
        <w:t xml:space="preserve"> possible that the products of the chemical degradation reactions are more toxic than </w:t>
      </w:r>
      <w:r w:rsidR="00747C59">
        <w:t xml:space="preserve">the original contaminant, which would lead to </w:t>
      </w:r>
      <w:r w:rsidR="00747C59" w:rsidRPr="00747C59">
        <w:t>exacerbation</w:t>
      </w:r>
      <w:r w:rsidR="00747C59">
        <w:t xml:space="preserve"> of the </w:t>
      </w:r>
      <w:r w:rsidR="00504032">
        <w:t>problem</w:t>
      </w:r>
      <w:r w:rsidR="00747C59">
        <w:t>.</w:t>
      </w:r>
    </w:p>
    <w:p w:rsidR="00993A43" w:rsidRPr="00993A43" w:rsidRDefault="00747C59" w:rsidP="003A0D3E">
      <w:pPr>
        <w:pStyle w:val="BRNormal"/>
      </w:pPr>
      <w:r>
        <w:t xml:space="preserve">In the </w:t>
      </w:r>
      <w:r w:rsidR="000923D1">
        <w:t xml:space="preserve">following </w:t>
      </w:r>
      <w:r>
        <w:t>section</w:t>
      </w:r>
      <w:r w:rsidR="000923D1">
        <w:t>s</w:t>
      </w:r>
      <w:r>
        <w:t xml:space="preserve"> we </w:t>
      </w:r>
      <w:r w:rsidR="000923D1">
        <w:t xml:space="preserve">revisit the simple, multi-layered aquifer model used previously to demonstrate the impacts of different types of connectivity on groundwater flow, and </w:t>
      </w:r>
      <w:r>
        <w:t xml:space="preserve">focus on </w:t>
      </w:r>
      <w:r w:rsidR="000923D1">
        <w:t xml:space="preserve">solute </w:t>
      </w:r>
      <w:r>
        <w:t xml:space="preserve">transport by advection and dispersion/diffusion through porous and fractured </w:t>
      </w:r>
      <w:r w:rsidR="00DB1454">
        <w:t>aquitards</w:t>
      </w:r>
      <w:r>
        <w:t xml:space="preserve">. </w:t>
      </w:r>
    </w:p>
    <w:p w:rsidR="00373A28" w:rsidRPr="00747C59" w:rsidRDefault="00747C59" w:rsidP="005F6513">
      <w:pPr>
        <w:pStyle w:val="Heading3"/>
      </w:pPr>
      <w:bookmarkStart w:id="487" w:name="_Toc381961090"/>
      <w:r>
        <w:t>Continuous aquitard</w:t>
      </w:r>
      <w:bookmarkEnd w:id="487"/>
    </w:p>
    <w:p w:rsidR="000E2789" w:rsidRDefault="000D0DF0" w:rsidP="003A0D3E">
      <w:pPr>
        <w:pStyle w:val="BRNormal"/>
      </w:pPr>
      <w:r>
        <w:t xml:space="preserve">Due to the low hydraulic conductivity of aquitards, advective </w:t>
      </w:r>
      <w:r w:rsidR="00747C59">
        <w:t xml:space="preserve">flow velocities in </w:t>
      </w:r>
      <w:r>
        <w:t>these formations are</w:t>
      </w:r>
      <w:r w:rsidR="00747C59">
        <w:t xml:space="preserve"> generally very low and </w:t>
      </w:r>
      <w:r>
        <w:t xml:space="preserve">solute </w:t>
      </w:r>
      <w:r w:rsidR="00747C59">
        <w:t xml:space="preserve">transport is </w:t>
      </w:r>
      <w:r>
        <w:t>thus</w:t>
      </w:r>
      <w:r w:rsidR="00862D43">
        <w:t xml:space="preserve"> diffusion dominated. </w:t>
      </w:r>
      <w:r w:rsidR="006E6148">
        <w:t xml:space="preserve">Using </w:t>
      </w:r>
      <w:r w:rsidR="00862D43">
        <w:t xml:space="preserve">the flow field </w:t>
      </w:r>
      <w:r w:rsidR="006E6148">
        <w:t xml:space="preserve">derived </w:t>
      </w:r>
      <w:r w:rsidR="00862D43">
        <w:t xml:space="preserve">from the </w:t>
      </w:r>
      <w:r w:rsidR="006E6148">
        <w:t xml:space="preserve">base case </w:t>
      </w:r>
      <w:r w:rsidR="00862D43">
        <w:t xml:space="preserve">simulation </w:t>
      </w:r>
      <w:r w:rsidR="006E6148">
        <w:t xml:space="preserve">of </w:t>
      </w:r>
      <w:r w:rsidR="00862D43">
        <w:t xml:space="preserve">a </w:t>
      </w:r>
      <w:r w:rsidR="006E6148">
        <w:t>laterally-</w:t>
      </w:r>
      <w:r w:rsidR="00862D43">
        <w:t>continuous aquitard (left</w:t>
      </w:r>
      <w:r w:rsidR="006E6148">
        <w:t>most</w:t>
      </w:r>
      <w:r w:rsidR="00862D43">
        <w:t xml:space="preserve"> column </w:t>
      </w:r>
      <w:r w:rsidR="00FF6601">
        <w:t xml:space="preserve">of graphs </w:t>
      </w:r>
      <w:r w:rsidR="00862D43">
        <w:t>in Fig</w:t>
      </w:r>
      <w:r w:rsidR="00542FE1">
        <w:t>ure 5</w:t>
      </w:r>
      <w:r w:rsidR="00862D43">
        <w:t xml:space="preserve">), </w:t>
      </w:r>
      <w:r w:rsidR="00466261">
        <w:t xml:space="preserve">we have simulated </w:t>
      </w:r>
      <w:r w:rsidR="00862D43">
        <w:t xml:space="preserve">a concentration profile </w:t>
      </w:r>
      <w:r w:rsidR="00466261">
        <w:t xml:space="preserve">through the lower </w:t>
      </w:r>
      <w:r w:rsidR="00862D43">
        <w:t>aquitard</w:t>
      </w:r>
      <w:r w:rsidR="00466261">
        <w:t>,</w:t>
      </w:r>
      <w:r w:rsidR="00862D43">
        <w:t xml:space="preserve"> and </w:t>
      </w:r>
      <w:r w:rsidR="00156D62">
        <w:t xml:space="preserve">a </w:t>
      </w:r>
      <w:r w:rsidR="00466261">
        <w:t xml:space="preserve">concentration </w:t>
      </w:r>
      <w:r w:rsidR="00862D43">
        <w:t xml:space="preserve">breakthrough curve </w:t>
      </w:r>
      <w:r w:rsidR="00466261">
        <w:t xml:space="preserve">for the </w:t>
      </w:r>
      <w:r w:rsidR="00E17BAF">
        <w:t>deepest</w:t>
      </w:r>
      <w:r w:rsidR="00466261">
        <w:t xml:space="preserve"> </w:t>
      </w:r>
      <w:r w:rsidR="00862D43">
        <w:t xml:space="preserve">aquifer </w:t>
      </w:r>
      <w:r w:rsidR="00466261">
        <w:t xml:space="preserve">(Figure </w:t>
      </w:r>
      <w:r w:rsidR="00B33448">
        <w:t>6</w:t>
      </w:r>
      <w:r w:rsidR="00466261">
        <w:t>)</w:t>
      </w:r>
      <w:r w:rsidR="00862D43">
        <w:t xml:space="preserve">. The simulation assumes there is a constant </w:t>
      </w:r>
      <w:r w:rsidR="00D416C6">
        <w:t xml:space="preserve">solute </w:t>
      </w:r>
      <w:r w:rsidR="0077719D">
        <w:t>concentration of one</w:t>
      </w:r>
      <w:r w:rsidR="00862D43">
        <w:t xml:space="preserve"> </w:t>
      </w:r>
      <w:r w:rsidR="00D416C6">
        <w:t>(unspecified units)</w:t>
      </w:r>
      <w:r w:rsidR="00862D43">
        <w:t xml:space="preserve"> in </w:t>
      </w:r>
      <w:r w:rsidR="00D416C6">
        <w:t xml:space="preserve">the middle </w:t>
      </w:r>
      <w:r w:rsidR="00862D43">
        <w:t xml:space="preserve">aquifer </w:t>
      </w:r>
      <w:r w:rsidR="00D416C6">
        <w:t xml:space="preserve">(layer 3), </w:t>
      </w:r>
      <w:r w:rsidR="00862D43">
        <w:t xml:space="preserve">and </w:t>
      </w:r>
      <w:r w:rsidR="00D416C6">
        <w:t>an</w:t>
      </w:r>
      <w:r w:rsidR="00862D43">
        <w:t xml:space="preserve"> initial </w:t>
      </w:r>
      <w:r w:rsidR="00D416C6">
        <w:t xml:space="preserve">solute </w:t>
      </w:r>
      <w:r w:rsidR="0077719D">
        <w:t>concentration of zero</w:t>
      </w:r>
      <w:r w:rsidR="00862D43">
        <w:t xml:space="preserve"> </w:t>
      </w:r>
      <w:r w:rsidR="00D416C6">
        <w:t>(unspecified units)</w:t>
      </w:r>
      <w:r w:rsidR="00862D43">
        <w:t xml:space="preserve"> in </w:t>
      </w:r>
      <w:r w:rsidR="00574A8A">
        <w:t xml:space="preserve">both </w:t>
      </w:r>
      <w:r w:rsidR="00D416C6">
        <w:t xml:space="preserve">the lower </w:t>
      </w:r>
      <w:r w:rsidR="00862D43">
        <w:t xml:space="preserve">aquitard </w:t>
      </w:r>
      <w:r w:rsidR="00D416C6">
        <w:t xml:space="preserve">(layer 4) </w:t>
      </w:r>
      <w:r w:rsidR="00862D43">
        <w:t xml:space="preserve">and </w:t>
      </w:r>
      <w:r w:rsidR="00E17BAF">
        <w:t>deepest</w:t>
      </w:r>
      <w:r w:rsidR="00D416C6">
        <w:t xml:space="preserve"> </w:t>
      </w:r>
      <w:r w:rsidR="00862D43">
        <w:t xml:space="preserve">aquifer </w:t>
      </w:r>
      <w:r w:rsidR="00D416C6">
        <w:t>(layer 5)</w:t>
      </w:r>
      <w:r w:rsidR="00862D43">
        <w:t xml:space="preserve">. Only advection </w:t>
      </w:r>
      <w:r w:rsidR="00C54918">
        <w:t>(</w:t>
      </w:r>
      <w:r w:rsidR="00C54918" w:rsidRPr="00862D43">
        <w:t>n</w:t>
      </w:r>
      <w:r w:rsidR="00C54918" w:rsidRPr="00862D43">
        <w:rPr>
          <w:vertAlign w:val="subscript"/>
        </w:rPr>
        <w:t>e</w:t>
      </w:r>
      <w:r w:rsidR="009746F5">
        <w:rPr>
          <w:vertAlign w:val="subscript"/>
        </w:rPr>
        <w:t xml:space="preserve"> </w:t>
      </w:r>
      <w:r w:rsidR="00C54918" w:rsidRPr="00862D43">
        <w:t>=</w:t>
      </w:r>
      <w:r w:rsidR="009746F5">
        <w:t xml:space="preserve"> </w:t>
      </w:r>
      <w:r w:rsidR="00C54918" w:rsidRPr="00862D43">
        <w:t>0.02</w:t>
      </w:r>
      <w:r w:rsidR="00C54918">
        <w:t xml:space="preserve">) </w:t>
      </w:r>
      <w:r w:rsidR="00862D43">
        <w:t xml:space="preserve">and hydrodynamic dispersion </w:t>
      </w:r>
      <w:r w:rsidR="00C54918">
        <w:t>(</w:t>
      </w:r>
      <w:r w:rsidR="00C54918" w:rsidRPr="00862D43">
        <w:rPr>
          <w:rFonts w:ascii="Symbol" w:hAnsi="Symbol"/>
          <w:smallCaps/>
        </w:rPr>
        <w:t></w:t>
      </w:r>
      <w:r w:rsidR="00C54918" w:rsidRPr="00862D43">
        <w:rPr>
          <w:vertAlign w:val="subscript"/>
        </w:rPr>
        <w:t>L</w:t>
      </w:r>
      <w:r w:rsidR="00C54918">
        <w:rPr>
          <w:vertAlign w:val="subscript"/>
        </w:rPr>
        <w:t xml:space="preserve"> </w:t>
      </w:r>
      <w:r w:rsidR="00C54918">
        <w:t xml:space="preserve">= </w:t>
      </w:r>
      <w:r w:rsidR="00C54918" w:rsidRPr="00862D43">
        <w:t>5</w:t>
      </w:r>
      <w:r w:rsidR="00C54918">
        <w:t> </w:t>
      </w:r>
      <w:r w:rsidR="00C54918" w:rsidRPr="00862D43">
        <w:t>m, D</w:t>
      </w:r>
      <w:r w:rsidR="00C54918" w:rsidRPr="00862D43">
        <w:rPr>
          <w:vertAlign w:val="subscript"/>
        </w:rPr>
        <w:t>L</w:t>
      </w:r>
      <w:r w:rsidR="00C54918">
        <w:t xml:space="preserve"> = </w:t>
      </w:r>
      <w:r w:rsidR="00C54918" w:rsidRPr="00862D43">
        <w:t>2x10</w:t>
      </w:r>
      <w:r w:rsidR="00EC7C18" w:rsidRPr="00EC7C18">
        <w:rPr>
          <w:vertAlign w:val="superscript"/>
        </w:rPr>
        <w:t>-6</w:t>
      </w:r>
      <w:r w:rsidR="00C54918" w:rsidRPr="00862D43">
        <w:t xml:space="preserve"> m</w:t>
      </w:r>
      <w:r w:rsidR="00C54918" w:rsidRPr="00862D43">
        <w:rPr>
          <w:vertAlign w:val="superscript"/>
        </w:rPr>
        <w:t>2</w:t>
      </w:r>
      <w:r w:rsidR="00C54918">
        <w:t xml:space="preserve">/day) </w:t>
      </w:r>
      <w:r w:rsidR="00862D43">
        <w:t>are simulated, without degradation or retardation.</w:t>
      </w:r>
    </w:p>
    <w:p w:rsidR="00862D43" w:rsidRDefault="00862D43" w:rsidP="003A0D3E">
      <w:pPr>
        <w:pStyle w:val="BRNormal"/>
      </w:pPr>
      <w:r>
        <w:t>The simulation illustrates the long timeframes for solute transport in low-permeability</w:t>
      </w:r>
      <w:r w:rsidR="000E1083">
        <w:t xml:space="preserve"> aquitards</w:t>
      </w:r>
      <w:r>
        <w:t xml:space="preserve">. The first </w:t>
      </w:r>
      <w:r w:rsidR="000E1083">
        <w:t xml:space="preserve">appearance </w:t>
      </w:r>
      <w:r>
        <w:t xml:space="preserve">of the solute in </w:t>
      </w:r>
      <w:r w:rsidR="000E1083">
        <w:t xml:space="preserve">the </w:t>
      </w:r>
      <w:r w:rsidR="00E17BAF">
        <w:t>deepest</w:t>
      </w:r>
      <w:r w:rsidR="000E1083">
        <w:t xml:space="preserve"> </w:t>
      </w:r>
      <w:r>
        <w:t xml:space="preserve">aquifer </w:t>
      </w:r>
      <w:r w:rsidR="000E1083">
        <w:t>occurs</w:t>
      </w:r>
      <w:r>
        <w:t xml:space="preserve"> after </w:t>
      </w:r>
      <w:r w:rsidR="000E1083">
        <w:t xml:space="preserve">only </w:t>
      </w:r>
      <w:r>
        <w:t>about 2.5 years</w:t>
      </w:r>
      <w:r w:rsidR="000E1083">
        <w:t xml:space="preserve"> (Figure </w:t>
      </w:r>
      <w:r w:rsidR="00B33448">
        <w:t>6 (</w:t>
      </w:r>
      <w:r w:rsidR="002C36E7">
        <w:t>B</w:t>
      </w:r>
      <w:r w:rsidR="00B33448">
        <w:t>)</w:t>
      </w:r>
      <w:r w:rsidR="000E1083">
        <w:t xml:space="preserve">) however </w:t>
      </w:r>
      <w:r>
        <w:t xml:space="preserve">it takes </w:t>
      </w:r>
      <w:r w:rsidR="000E1083">
        <w:t xml:space="preserve">more than </w:t>
      </w:r>
      <w:r>
        <w:t xml:space="preserve">20 years for the concentration to become </w:t>
      </w:r>
      <w:r>
        <w:lastRenderedPageBreak/>
        <w:t xml:space="preserve">equal to </w:t>
      </w:r>
      <w:r w:rsidR="000E1083">
        <w:t>that in the overlying aquifer</w:t>
      </w:r>
      <w:r>
        <w:t xml:space="preserve">. </w:t>
      </w:r>
      <w:r w:rsidR="00D31768">
        <w:t xml:space="preserve">This is very slow compared to the </w:t>
      </w:r>
      <w:r>
        <w:t>propagation of pressure changes, and thus drawdown</w:t>
      </w:r>
      <w:r w:rsidR="00D31768">
        <w:t>; a</w:t>
      </w:r>
      <w:r>
        <w:t xml:space="preserve">fter 2.5 years, almost half of the </w:t>
      </w:r>
      <w:r w:rsidR="00D31768">
        <w:t xml:space="preserve">total </w:t>
      </w:r>
      <w:r>
        <w:t xml:space="preserve">drawdown in </w:t>
      </w:r>
      <w:r w:rsidR="00D31768">
        <w:t xml:space="preserve">the middle </w:t>
      </w:r>
      <w:r>
        <w:t xml:space="preserve">aquifer </w:t>
      </w:r>
      <w:r w:rsidR="00D31768">
        <w:t>has occurred</w:t>
      </w:r>
      <w:r>
        <w:t xml:space="preserve"> (Fig</w:t>
      </w:r>
      <w:r w:rsidR="00D31768">
        <w:t xml:space="preserve">ure </w:t>
      </w:r>
      <w:r w:rsidR="00542FE1">
        <w:t>5</w:t>
      </w:r>
      <w:r>
        <w:t>).</w:t>
      </w:r>
    </w:p>
    <w:p w:rsidR="00D93568" w:rsidRDefault="00862D43" w:rsidP="003A0D3E">
      <w:pPr>
        <w:pStyle w:val="BRNormal"/>
        <w:rPr>
          <w:rFonts w:ascii="Calibri-Bold" w:hAnsi="Calibri-Bold" w:cs="Calibri-Bold"/>
          <w:b/>
          <w:bCs/>
          <w:color w:val="486886"/>
        </w:rPr>
      </w:pPr>
      <w:r>
        <w:t>A</w:t>
      </w:r>
      <w:r w:rsidR="000E2789">
        <w:t xml:space="preserve">quitards can </w:t>
      </w:r>
      <w:r>
        <w:t>also</w:t>
      </w:r>
      <w:r w:rsidR="003765BF">
        <w:t xml:space="preserve"> affect </w:t>
      </w:r>
      <w:r w:rsidR="00775180">
        <w:t xml:space="preserve">the </w:t>
      </w:r>
      <w:r w:rsidR="003765BF">
        <w:t xml:space="preserve">transport </w:t>
      </w:r>
      <w:r w:rsidR="00775180">
        <w:t xml:space="preserve">of solutes </w:t>
      </w:r>
      <w:r w:rsidR="003765BF">
        <w:t xml:space="preserve">in aquifers through </w:t>
      </w:r>
      <w:r w:rsidR="004C342C">
        <w:t xml:space="preserve">diffusive exchange and/or </w:t>
      </w:r>
      <w:r w:rsidR="003765BF">
        <w:t xml:space="preserve">retardation. </w:t>
      </w:r>
      <w:r w:rsidR="004C342C">
        <w:t xml:space="preserve">Such exchange can occur in either direction depending on the direction of concentration gradient: solutes may diffuse from an aquifer into an aquitard, and possibly be retarded by sorption, </w:t>
      </w:r>
      <w:r w:rsidR="003E35D3">
        <w:t xml:space="preserve">or they may diffuse from an aquitard into the aquifer – for example, providing a long-term source of salinity </w:t>
      </w:r>
      <w:r w:rsidR="00E63114">
        <w:t xml:space="preserve">or contaminants </w:t>
      </w:r>
      <w:r w:rsidR="003E35D3">
        <w:t xml:space="preserve">to </w:t>
      </w:r>
      <w:r w:rsidR="0006333A">
        <w:t xml:space="preserve">potable </w:t>
      </w:r>
      <w:r w:rsidR="003E35D3">
        <w:t>groundwater (</w:t>
      </w:r>
      <w:r w:rsidR="003A0D3E">
        <w:t>Timms et al.</w:t>
      </w:r>
      <w:r w:rsidR="0027567C">
        <w:t xml:space="preserve"> 2000</w:t>
      </w:r>
      <w:r w:rsidR="00793EED">
        <w:t>)</w:t>
      </w:r>
      <w:r w:rsidR="003E35D3">
        <w:t xml:space="preserve">. </w:t>
      </w:r>
    </w:p>
    <w:p w:rsidR="000E2789" w:rsidRDefault="004E0715" w:rsidP="005F6513">
      <w:pPr>
        <w:pStyle w:val="Heading3"/>
      </w:pPr>
      <w:bookmarkStart w:id="488" w:name="_Toc381961091"/>
      <w:r>
        <w:t>F</w:t>
      </w:r>
      <w:r w:rsidR="000E2789">
        <w:t>racture</w:t>
      </w:r>
      <w:r>
        <w:t>d aquitard</w:t>
      </w:r>
      <w:bookmarkEnd w:id="488"/>
    </w:p>
    <w:p w:rsidR="000E2789" w:rsidRDefault="004E0715" w:rsidP="003A0D3E">
      <w:pPr>
        <w:pStyle w:val="BRNormal"/>
      </w:pPr>
      <w:r>
        <w:t xml:space="preserve">Solute transport </w:t>
      </w:r>
      <w:r w:rsidR="003765BF">
        <w:t xml:space="preserve">processes are the same </w:t>
      </w:r>
      <w:r w:rsidR="0077719D">
        <w:t>in fractures as in porous media;</w:t>
      </w:r>
      <w:r w:rsidR="003765BF">
        <w:t xml:space="preserve"> </w:t>
      </w:r>
      <w:r>
        <w:t>however</w:t>
      </w:r>
      <w:r w:rsidR="0077719D">
        <w:t>,</w:t>
      </w:r>
      <w:r>
        <w:t xml:space="preserve"> </w:t>
      </w:r>
      <w:r w:rsidR="000E2789">
        <w:t xml:space="preserve">advective velocity </w:t>
      </w:r>
      <w:r>
        <w:t xml:space="preserve">in a fracture </w:t>
      </w:r>
      <w:r w:rsidR="003765BF">
        <w:t xml:space="preserve">is </w:t>
      </w:r>
      <w:r w:rsidR="000E2789">
        <w:t xml:space="preserve">proportional to </w:t>
      </w:r>
      <w:r>
        <w:t xml:space="preserve">the square of its </w:t>
      </w:r>
      <w:r w:rsidR="000E2789">
        <w:t>aperture</w:t>
      </w:r>
      <w:r>
        <w:t>,</w:t>
      </w:r>
      <w:r w:rsidR="000E2789">
        <w:t xml:space="preserve"> </w:t>
      </w:r>
      <w:r>
        <w:t xml:space="preserve">in addition to the hydraulic </w:t>
      </w:r>
      <w:r w:rsidR="000E2789">
        <w:t>gradient:</w:t>
      </w:r>
    </w:p>
    <w:p w:rsidR="003765BF" w:rsidRPr="003A0D3E" w:rsidRDefault="003765BF" w:rsidP="00DC1B48">
      <w:pPr>
        <w:pStyle w:val="BRNormal"/>
      </w:pPr>
      <m:oMathPara>
        <m:oMathParaPr>
          <m:jc m:val="center"/>
        </m:oMathParaPr>
        <m:oMath>
          <m:r>
            <w:rPr>
              <w:rFonts w:ascii="Cambria Math" w:hAnsi="Cambria Math"/>
            </w:rPr>
            <m:t>v</m:t>
          </m:r>
          <m:r>
            <m:rPr>
              <m:sty m:val="p"/>
            </m:rPr>
            <w:rPr>
              <w:rFonts w:ascii="Cambria Math" w:hAnsi="Cambria Math"/>
            </w:rPr>
            <m:t>=</m:t>
          </m:r>
          <m:f>
            <m:fPr>
              <m:ctrlPr>
                <w:rPr>
                  <w:rFonts w:ascii="Cambria Math" w:hAnsi="Cambria Math"/>
                </w:rPr>
              </m:ctrlPr>
            </m:fPr>
            <m:num>
              <m:r>
                <w:rPr>
                  <w:rFonts w:ascii="Cambria Math" w:hAnsi="Cambria Math"/>
                </w:rPr>
                <m:t>ρg</m:t>
              </m:r>
            </m:num>
            <m:den>
              <m:r>
                <m:rPr>
                  <m:sty m:val="p"/>
                </m:rPr>
                <w:rPr>
                  <w:rFonts w:ascii="Cambria Math" w:hAnsi="Cambria Math"/>
                </w:rPr>
                <m:t>12</m:t>
              </m:r>
              <m:r>
                <w:rPr>
                  <w:rFonts w:ascii="Cambria Math" w:hAnsi="Cambria Math"/>
                </w:rPr>
                <m:t>μ</m:t>
              </m:r>
            </m:den>
          </m:f>
          <m:sSup>
            <m:sSupPr>
              <m:ctrlPr>
                <w:rPr>
                  <w:rFonts w:ascii="Cambria Math" w:hAnsi="Cambria Math"/>
                  <w:vertAlign w:val="superscript"/>
                </w:rPr>
              </m:ctrlPr>
            </m:sSupPr>
            <m:e>
              <m:d>
                <m:dPr>
                  <m:ctrlPr>
                    <w:rPr>
                      <w:rFonts w:ascii="Cambria Math" w:hAnsi="Cambria Math"/>
                    </w:rPr>
                  </m:ctrlPr>
                </m:dPr>
                <m:e>
                  <m:r>
                    <m:rPr>
                      <m:sty m:val="p"/>
                    </m:rPr>
                    <w:rPr>
                      <w:rFonts w:ascii="Cambria Math" w:hAnsi="Cambria Math"/>
                    </w:rPr>
                    <m:t>2</m:t>
                  </m:r>
                  <m:r>
                    <w:rPr>
                      <w:rFonts w:ascii="Cambria Math" w:hAnsi="Cambria Math"/>
                    </w:rPr>
                    <m:t>b</m:t>
                  </m:r>
                </m:e>
              </m:d>
            </m:e>
            <m:sup>
              <m:r>
                <m:rPr>
                  <m:sty m:val="p"/>
                </m:rPr>
                <w:rPr>
                  <w:rFonts w:ascii="Cambria Math" w:hAnsi="Cambria Math"/>
                  <w:vertAlign w:val="superscript"/>
                </w:rPr>
                <m:t>2</m:t>
              </m:r>
            </m:sup>
          </m:sSup>
          <m:f>
            <m:fPr>
              <m:ctrlPr>
                <w:rPr>
                  <w:rFonts w:ascii="Cambria Math" w:hAnsi="Cambria Math"/>
                </w:rPr>
              </m:ctrlPr>
            </m:fPr>
            <m:num>
              <m:r>
                <w:rPr>
                  <w:rFonts w:ascii="Cambria Math" w:hAnsi="Cambria Math"/>
                </w:rPr>
                <m:t>dh</m:t>
              </m:r>
            </m:num>
            <m:den>
              <m:r>
                <w:rPr>
                  <w:rFonts w:ascii="Cambria Math" w:hAnsi="Cambria Math"/>
                </w:rPr>
                <m:t>dz</m:t>
              </m:r>
            </m:den>
          </m:f>
        </m:oMath>
      </m:oMathPara>
    </w:p>
    <w:p w:rsidR="000E2789" w:rsidRDefault="00B02EA5" w:rsidP="003A0D3E">
      <w:pPr>
        <w:pStyle w:val="BRNormal"/>
      </w:pPr>
      <w:r>
        <w:t>Using the geometry and hydraulic head results from the fractured aquitard simulation (middle</w:t>
      </w:r>
      <w:r w:rsidR="00542FE1">
        <w:t xml:space="preserve"> column of Figure 5</w:t>
      </w:r>
      <w:r>
        <w:t>) the advective</w:t>
      </w:r>
      <w:r w:rsidR="003765BF">
        <w:t xml:space="preserve"> flow velocity </w:t>
      </w:r>
      <w:r>
        <w:t xml:space="preserve">in the fracture would be </w:t>
      </w:r>
      <w:r w:rsidR="003765BF">
        <w:t>more than 5000</w:t>
      </w:r>
      <w:r w:rsidR="0077719D">
        <w:t> </w:t>
      </w:r>
      <w:r w:rsidR="003765BF">
        <w:t>m/d</w:t>
      </w:r>
      <w:r>
        <w:t>ay</w:t>
      </w:r>
      <w:r w:rsidR="003765BF">
        <w:t xml:space="preserve"> </w:t>
      </w:r>
      <w:r>
        <w:t>if the</w:t>
      </w:r>
      <w:r w:rsidR="003765BF">
        <w:t xml:space="preserve"> aperture </w:t>
      </w:r>
      <w:r>
        <w:t xml:space="preserve">was </w:t>
      </w:r>
      <w:r w:rsidR="003765BF">
        <w:t>0.1 mm</w:t>
      </w:r>
      <w:r>
        <w:t>. Even if the aperture wa</w:t>
      </w:r>
      <w:r w:rsidR="00DC1B48">
        <w:t>s one-tenth of this value (i.e.</w:t>
      </w:r>
      <w:r>
        <w:t xml:space="preserve"> 0.01 mm)</w:t>
      </w:r>
      <w:r w:rsidR="003765BF">
        <w:t xml:space="preserve"> </w:t>
      </w:r>
      <w:r>
        <w:t>the</w:t>
      </w:r>
      <w:r w:rsidR="003765BF">
        <w:t xml:space="preserve"> flow velocity </w:t>
      </w:r>
      <w:r>
        <w:t xml:space="preserve">would be </w:t>
      </w:r>
      <w:r w:rsidR="003765BF">
        <w:t>73 m/d</w:t>
      </w:r>
      <w:r>
        <w:t>ay. These simple examples demonstrate how the presence of fractures can lead to</w:t>
      </w:r>
      <w:r w:rsidR="00682C36">
        <w:t xml:space="preserve"> very rapid </w:t>
      </w:r>
      <w:r>
        <w:t xml:space="preserve">solute </w:t>
      </w:r>
      <w:r w:rsidR="00682C36">
        <w:t xml:space="preserve">transport </w:t>
      </w:r>
      <w:r>
        <w:t>within and between aquifers</w:t>
      </w:r>
      <w:r w:rsidR="00682C36">
        <w:t xml:space="preserve">. </w:t>
      </w:r>
      <w:r w:rsidR="00623596">
        <w:t xml:space="preserve">However, in practice solute transport through </w:t>
      </w:r>
      <w:r w:rsidR="00682C36">
        <w:t xml:space="preserve">fractured aquitards </w:t>
      </w:r>
      <w:r w:rsidR="00623596">
        <w:t>can</w:t>
      </w:r>
      <w:r w:rsidR="00682C36">
        <w:t xml:space="preserve"> be severely retarded </w:t>
      </w:r>
      <w:r w:rsidR="00C43532">
        <w:t xml:space="preserve">relative </w:t>
      </w:r>
      <w:r w:rsidR="00682C36">
        <w:t>t</w:t>
      </w:r>
      <w:r w:rsidR="003A0D3E">
        <w:t>o advective flow (Cherry et al.</w:t>
      </w:r>
      <w:r w:rsidR="00682C36">
        <w:t xml:space="preserve"> 2004). </w:t>
      </w:r>
      <w:r w:rsidR="00C43532">
        <w:t>This is due to a combination of the</w:t>
      </w:r>
      <w:r w:rsidR="007C7A5E">
        <w:t xml:space="preserve"> high</w:t>
      </w:r>
      <w:r w:rsidR="00682C36">
        <w:t xml:space="preserve"> reactive area of the fracture wall</w:t>
      </w:r>
      <w:r w:rsidR="00C43532">
        <w:t xml:space="preserve"> (on which sorption can occur) and the process of matrix diffusion, whereby solutes diffuse out of the fracture into the surrounding matrix due to concentration gradients</w:t>
      </w:r>
      <w:r w:rsidR="00682C36">
        <w:t>.</w:t>
      </w:r>
    </w:p>
    <w:p w:rsidR="00C57F85" w:rsidRDefault="00D93568" w:rsidP="001C3374">
      <w:r>
        <w:rPr>
          <w:noProof/>
          <w:lang w:val="en-AU" w:eastAsia="en-AU"/>
        </w:rPr>
        <w:drawing>
          <wp:inline distT="0" distB="0" distL="0" distR="0">
            <wp:extent cx="5738941" cy="3070746"/>
            <wp:effectExtent l="0" t="0" r="0" b="0"/>
            <wp:docPr id="11" name="Picture 5" descr="TransportCS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portCSG.png"/>
                    <pic:cNvPicPr/>
                  </pic:nvPicPr>
                  <pic:blipFill>
                    <a:blip r:embed="rId28" cstate="email"/>
                    <a:stretch>
                      <a:fillRect/>
                    </a:stretch>
                  </pic:blipFill>
                  <pic:spPr>
                    <a:xfrm>
                      <a:off x="0" y="0"/>
                      <a:ext cx="5735129" cy="3068706"/>
                    </a:xfrm>
                    <a:prstGeom prst="rect">
                      <a:avLst/>
                    </a:prstGeom>
                  </pic:spPr>
                </pic:pic>
              </a:graphicData>
            </a:graphic>
          </wp:inline>
        </w:drawing>
      </w:r>
    </w:p>
    <w:p w:rsidR="00C57F85" w:rsidRDefault="003A0D3E" w:rsidP="003A0D3E">
      <w:pPr>
        <w:pStyle w:val="Caption"/>
      </w:pPr>
      <w:r w:rsidRPr="003A0D3E">
        <w:t xml:space="preserve">Figure </w:t>
      </w:r>
      <w:r w:rsidR="00E23933" w:rsidRPr="003A0D3E">
        <w:fldChar w:fldCharType="begin"/>
      </w:r>
      <w:r w:rsidRPr="003A0D3E">
        <w:instrText xml:space="preserve"> SEQ Figure \* ARABIC </w:instrText>
      </w:r>
      <w:r w:rsidR="00E23933" w:rsidRPr="003A0D3E">
        <w:fldChar w:fldCharType="separate"/>
      </w:r>
      <w:r w:rsidR="00B33448">
        <w:t>6</w:t>
      </w:r>
      <w:r w:rsidR="00E23933" w:rsidRPr="003A0D3E">
        <w:fldChar w:fldCharType="end"/>
      </w:r>
      <w:r w:rsidRPr="003A0D3E">
        <w:t xml:space="preserve"> </w:t>
      </w:r>
      <w:r w:rsidR="000945CF">
        <w:t>Simulated c</w:t>
      </w:r>
      <w:r w:rsidR="00C57F85" w:rsidRPr="008B5601">
        <w:t>oncentration</w:t>
      </w:r>
      <w:r w:rsidR="00A821A6">
        <w:t>s during pumping</w:t>
      </w:r>
      <w:r w:rsidR="00C57F85" w:rsidRPr="008B5601">
        <w:t xml:space="preserve"> </w:t>
      </w:r>
      <w:r w:rsidR="00A821A6">
        <w:t>from the</w:t>
      </w:r>
      <w:r w:rsidR="00A821A6" w:rsidRPr="008B5601">
        <w:t xml:space="preserve"> multi-layered </w:t>
      </w:r>
      <w:r w:rsidR="00A821A6">
        <w:t xml:space="preserve">aquifer </w:t>
      </w:r>
      <w:r w:rsidR="00A821A6" w:rsidRPr="008B5601">
        <w:t xml:space="preserve">system with </w:t>
      </w:r>
      <w:r w:rsidR="008C6965">
        <w:t xml:space="preserve">a </w:t>
      </w:r>
      <w:r w:rsidR="00A821A6" w:rsidRPr="008B5601">
        <w:t>continuous aquitard</w:t>
      </w:r>
      <w:r w:rsidR="00A821A6">
        <w:t>. (A)</w:t>
      </w:r>
      <w:r w:rsidR="00A821A6" w:rsidRPr="008B5601">
        <w:t xml:space="preserve"> </w:t>
      </w:r>
      <w:r w:rsidR="00A821A6">
        <w:t xml:space="preserve">vertical concentration </w:t>
      </w:r>
      <w:r w:rsidR="00C57F85" w:rsidRPr="008B5601">
        <w:t xml:space="preserve">profile across </w:t>
      </w:r>
      <w:r w:rsidR="002A7337">
        <w:t xml:space="preserve">the lower </w:t>
      </w:r>
      <w:r w:rsidR="00C57F85" w:rsidRPr="008B5601">
        <w:t>aquitard</w:t>
      </w:r>
      <w:r w:rsidR="00A821A6">
        <w:t xml:space="preserve">, </w:t>
      </w:r>
      <w:r w:rsidR="00C57F85" w:rsidRPr="008B5601">
        <w:t xml:space="preserve">and </w:t>
      </w:r>
      <w:r w:rsidR="00A821A6">
        <w:t xml:space="preserve">(B) </w:t>
      </w:r>
      <w:r w:rsidR="002A7337">
        <w:t xml:space="preserve">concentration </w:t>
      </w:r>
      <w:r w:rsidR="00C57F85" w:rsidRPr="008B5601">
        <w:t xml:space="preserve">breakthrough in </w:t>
      </w:r>
      <w:r w:rsidR="00A821A6">
        <w:t>the</w:t>
      </w:r>
      <w:r w:rsidR="001519A5">
        <w:t xml:space="preserve"> </w:t>
      </w:r>
      <w:r w:rsidR="00E17BAF">
        <w:t>deepest</w:t>
      </w:r>
      <w:r w:rsidR="001519A5">
        <w:t xml:space="preserve"> </w:t>
      </w:r>
      <w:r w:rsidR="00C57F85" w:rsidRPr="008B5601">
        <w:t>aquifer</w:t>
      </w:r>
      <w:r w:rsidR="001519A5">
        <w:t>.</w:t>
      </w:r>
    </w:p>
    <w:p w:rsidR="000E2789" w:rsidRDefault="000E2789" w:rsidP="005F6513">
      <w:pPr>
        <w:pStyle w:val="Heading2"/>
      </w:pPr>
      <w:bookmarkStart w:id="489" w:name="_Toc381961092"/>
      <w:bookmarkStart w:id="490" w:name="_Toc389055217"/>
      <w:r>
        <w:lastRenderedPageBreak/>
        <w:t>Conclusions</w:t>
      </w:r>
      <w:bookmarkEnd w:id="489"/>
      <w:bookmarkEnd w:id="490"/>
    </w:p>
    <w:p w:rsidR="000E2789" w:rsidRDefault="000E2789" w:rsidP="003A0D3E">
      <w:pPr>
        <w:pStyle w:val="BRNormal"/>
      </w:pPr>
      <w:r>
        <w:t xml:space="preserve">The connectivity of aquifers </w:t>
      </w:r>
      <w:r w:rsidR="003A0F75">
        <w:t>is</w:t>
      </w:r>
      <w:r>
        <w:t xml:space="preserve"> depend</w:t>
      </w:r>
      <w:r w:rsidR="003A0F75">
        <w:t>ent up</w:t>
      </w:r>
      <w:r>
        <w:t xml:space="preserve">on the lithology of the aquitards, their integrity and spatial continuity. Fractures, faults and open or </w:t>
      </w:r>
      <w:r w:rsidR="003A0F75">
        <w:t>inadequately-</w:t>
      </w:r>
      <w:r>
        <w:t xml:space="preserve">sealed boreholes </w:t>
      </w:r>
      <w:r w:rsidR="008C6965">
        <w:t>may</w:t>
      </w:r>
      <w:r>
        <w:t xml:space="preserve"> form preferential flow paths between aquifers.</w:t>
      </w:r>
    </w:p>
    <w:p w:rsidR="00682C36" w:rsidRDefault="000E2789" w:rsidP="003A0D3E">
      <w:pPr>
        <w:pStyle w:val="BRNormal"/>
      </w:pPr>
      <w:r>
        <w:t xml:space="preserve">Stressing of aquifers through pumping will alter the magnitude and potentially the direction of hydraulic gradients and will induce </w:t>
      </w:r>
      <w:r w:rsidR="003A0F75">
        <w:t xml:space="preserve">greater </w:t>
      </w:r>
      <w:r>
        <w:t xml:space="preserve">flow across aquitards. Flow through preferential flow paths can contribute considerably to the propagation of drawdown in aquifers overlying pumped aquifers. While transport of solutes through continuous aquitards </w:t>
      </w:r>
      <w:r w:rsidR="003A0F75">
        <w:t>is generally</w:t>
      </w:r>
      <w:r>
        <w:t xml:space="preserve"> slow </w:t>
      </w:r>
      <w:r w:rsidR="003A0F75">
        <w:t>(</w:t>
      </w:r>
      <w:r>
        <w:t>as it is dominated by diffusion</w:t>
      </w:r>
      <w:r w:rsidR="003A0F75">
        <w:t>)</w:t>
      </w:r>
      <w:r w:rsidR="003D3675">
        <w:t>,</w:t>
      </w:r>
      <w:r w:rsidR="003A0F75">
        <w:t xml:space="preserve"> </w:t>
      </w:r>
      <w:r w:rsidR="00190CDF">
        <w:t xml:space="preserve">the presence and characteristics of </w:t>
      </w:r>
      <w:r>
        <w:t>preferential flow paths</w:t>
      </w:r>
      <w:r w:rsidR="003A0F75">
        <w:t xml:space="preserve"> </w:t>
      </w:r>
      <w:r>
        <w:t xml:space="preserve">will be a major factor in </w:t>
      </w:r>
      <w:r w:rsidR="00190CDF">
        <w:t xml:space="preserve">determining </w:t>
      </w:r>
      <w:r w:rsidR="00782A86">
        <w:t>inter-aquifer</w:t>
      </w:r>
      <w:r>
        <w:t xml:space="preserve"> transport of solutes</w:t>
      </w:r>
      <w:r w:rsidR="00682C36">
        <w:t xml:space="preserve">, although retardation </w:t>
      </w:r>
      <w:r w:rsidR="00190CDF">
        <w:t>may help to slow this</w:t>
      </w:r>
      <w:r w:rsidR="00682C36">
        <w:t xml:space="preserve"> transport</w:t>
      </w:r>
      <w:r>
        <w:t>.</w:t>
      </w:r>
    </w:p>
    <w:p w:rsidR="009F330D" w:rsidRDefault="009F330D" w:rsidP="001C3374">
      <w:pPr>
        <w:rPr>
          <w:rFonts w:ascii="Calibri-Bold" w:hAnsi="Calibri-Bold" w:cs="Calibri-Bold"/>
          <w:color w:val="00AEEF"/>
          <w:sz w:val="48"/>
          <w:szCs w:val="48"/>
        </w:rPr>
      </w:pPr>
      <w:r>
        <w:br w:type="page"/>
      </w:r>
    </w:p>
    <w:p w:rsidR="00DD07AF" w:rsidRDefault="00DD07AF" w:rsidP="005F6513">
      <w:pPr>
        <w:pStyle w:val="Heading1"/>
      </w:pPr>
      <w:bookmarkStart w:id="491" w:name="_Toc381961093"/>
      <w:bookmarkStart w:id="492" w:name="_Toc389055218"/>
      <w:bookmarkStart w:id="493" w:name="_Toc330283960"/>
      <w:r w:rsidRPr="00FC6AAF">
        <w:lastRenderedPageBreak/>
        <w:t>Measurement and modelling of aquifer connectivity</w:t>
      </w:r>
      <w:bookmarkEnd w:id="491"/>
      <w:bookmarkEnd w:id="492"/>
    </w:p>
    <w:p w:rsidR="00DD07AF" w:rsidRDefault="00DD07AF" w:rsidP="005F6513">
      <w:pPr>
        <w:pStyle w:val="Heading2"/>
      </w:pPr>
      <w:bookmarkStart w:id="494" w:name="_Toc381961094"/>
      <w:bookmarkStart w:id="495" w:name="_Toc389055219"/>
      <w:bookmarkEnd w:id="493"/>
      <w:r>
        <w:t>Introduction</w:t>
      </w:r>
      <w:bookmarkEnd w:id="494"/>
      <w:bookmarkEnd w:id="495"/>
    </w:p>
    <w:p w:rsidR="00DD07AF" w:rsidRDefault="00DD07AF" w:rsidP="003A0D3E">
      <w:pPr>
        <w:pStyle w:val="BRNormal"/>
      </w:pPr>
      <w:r>
        <w:t>There is no single method by which aquifer connectivity can be measured or modelled.  Rather, the hydraulic c</w:t>
      </w:r>
      <w:r w:rsidR="008C6965">
        <w:t>haracteris</w:t>
      </w:r>
      <w:r>
        <w:t xml:space="preserve">ation of the subsurface </w:t>
      </w:r>
      <w:r w:rsidR="00B57559">
        <w:t xml:space="preserve">is done through </w:t>
      </w:r>
      <w:r>
        <w:t>measurement of properties on various time and spatial scales, from core samples in the laboratory to large scale field</w:t>
      </w:r>
      <w:r w:rsidR="003A0D3E">
        <w:t xml:space="preserve"> tests. </w:t>
      </w:r>
      <w:r>
        <w:t xml:space="preserve">Together these tests provide valuable and necessary information for the construction of models which may be used as predictive tools or for hypothesis testing.  </w:t>
      </w:r>
      <w:r w:rsidR="00823BA0">
        <w:t xml:space="preserve">Additional measurements will reduce uncertainty in the predictions, but will never be able to eliminate the uncertainty. A </w:t>
      </w:r>
      <w:r>
        <w:t>multi-facetted approach to data collection and modelling allows those involved to build an understanding of the groundwater system of interest, target specific questions or objectives and guide the decision making process.</w:t>
      </w:r>
    </w:p>
    <w:p w:rsidR="003A0D3E" w:rsidRDefault="00DD07AF" w:rsidP="003A0D3E">
      <w:pPr>
        <w:pStyle w:val="BRNormal"/>
      </w:pPr>
      <w:r>
        <w:t>In a 2010 state-</w:t>
      </w:r>
      <w:r w:rsidR="00374C76">
        <w:t xml:space="preserve">of-the-science report entitled </w:t>
      </w:r>
      <w:r w:rsidRPr="00374C76">
        <w:rPr>
          <w:i/>
        </w:rPr>
        <w:t>Management and Effects of Coalbed Methane Produced Wat</w:t>
      </w:r>
      <w:r w:rsidR="00374C76" w:rsidRPr="00374C76">
        <w:rPr>
          <w:i/>
        </w:rPr>
        <w:t>er in the Western United States</w:t>
      </w:r>
      <w:r w:rsidR="003A0D3E">
        <w:t xml:space="preserve"> (NRC 2010)</w:t>
      </w:r>
      <w:r>
        <w:t xml:space="preserve">, the National Research Council (NRC) identified the </w:t>
      </w:r>
      <w:r w:rsidR="009D2008">
        <w:t>measurement</w:t>
      </w:r>
      <w:r>
        <w:t xml:space="preserve"> of surface water and groundwater connectivity as a m</w:t>
      </w:r>
      <w:r w:rsidR="003A0D3E">
        <w:t xml:space="preserve">ajor data gap and uncertainty. </w:t>
      </w:r>
      <w:r>
        <w:t>Geochemical, geological, geophysical, hydrological and other data are identified as key components in the necessary scientific evaluation and prediction of subsurface and subsurface-surface connectivity</w:t>
      </w:r>
      <w:r w:rsidR="009D2008">
        <w:t xml:space="preserve"> (NRC 2010)</w:t>
      </w:r>
      <w:r w:rsidR="003A0D3E">
        <w:t xml:space="preserve">. </w:t>
      </w:r>
      <w:r>
        <w:t>Riese et al.</w:t>
      </w:r>
      <w:r w:rsidR="009D2008">
        <w:t xml:space="preserve"> (2005)</w:t>
      </w:r>
      <w:r>
        <w:t xml:space="preserve"> was identified by the NRC</w:t>
      </w:r>
      <w:r w:rsidR="009D2008">
        <w:t xml:space="preserve"> (2010)</w:t>
      </w:r>
      <w:r>
        <w:t xml:space="preserve"> as the only study to date that sufficiently addresses connectivity with this sort of comprehensi</w:t>
      </w:r>
      <w:r w:rsidR="003A0D3E">
        <w:t xml:space="preserve">ve dataset and interpretation. </w:t>
      </w:r>
      <w:r>
        <w:t>The NRC</w:t>
      </w:r>
      <w:r w:rsidR="009D2008">
        <w:t xml:space="preserve"> (2010)</w:t>
      </w:r>
      <w:r>
        <w:t xml:space="preserve"> state that what is lacking in current practice is the testing of numerical hydrologic simulation outputs with real data (such as using age tracers to eval</w:t>
      </w:r>
      <w:r w:rsidR="003A0D3E">
        <w:t xml:space="preserve">uate travel time predictions). </w:t>
      </w:r>
      <w:r>
        <w:t xml:space="preserve">They conclude that: </w:t>
      </w:r>
    </w:p>
    <w:p w:rsidR="00DC1B48" w:rsidRDefault="00DC1B48" w:rsidP="003A0D3E">
      <w:pPr>
        <w:pStyle w:val="BRQuote"/>
      </w:pPr>
      <w:r>
        <w:t>‘…</w:t>
      </w:r>
      <w:r w:rsidR="00DD07AF" w:rsidRPr="003A0D3E">
        <w:t>the ability to place more reliance in the future on outputs of models that more closely resemble natural complexities of the hydraulic conditions of [coalbed methane] basins necessitates demonstrating better convergence between existing model results and data collect</w:t>
      </w:r>
      <w:r>
        <w:t>ed and analysed from the basins.’</w:t>
      </w:r>
    </w:p>
    <w:p w:rsidR="00DD07AF" w:rsidRPr="009D2008" w:rsidRDefault="00F976E1" w:rsidP="003A0D3E">
      <w:pPr>
        <w:pStyle w:val="BRQuote"/>
        <w:rPr>
          <w:i w:val="0"/>
        </w:rPr>
      </w:pPr>
      <w:r>
        <w:rPr>
          <w:i w:val="0"/>
        </w:rPr>
        <w:t>©</w:t>
      </w:r>
      <w:r w:rsidR="009D2008">
        <w:rPr>
          <w:i w:val="0"/>
        </w:rPr>
        <w:t xml:space="preserve"> Copyright, </w:t>
      </w:r>
      <w:r w:rsidR="003A0D3E" w:rsidRPr="009D2008">
        <w:rPr>
          <w:i w:val="0"/>
        </w:rPr>
        <w:t xml:space="preserve">NRC </w:t>
      </w:r>
      <w:r w:rsidR="00DC1B48">
        <w:rPr>
          <w:i w:val="0"/>
        </w:rPr>
        <w:t>(</w:t>
      </w:r>
      <w:r w:rsidR="003A0D3E" w:rsidRPr="009D2008">
        <w:rPr>
          <w:i w:val="0"/>
        </w:rPr>
        <w:t>2010)</w:t>
      </w:r>
    </w:p>
    <w:p w:rsidR="00DD07AF" w:rsidRDefault="00DD07AF" w:rsidP="003A0D3E">
      <w:pPr>
        <w:pStyle w:val="BRNormal"/>
      </w:pPr>
      <w:r>
        <w:t>The first half of this chapter will be a review of the techniques used for measuring aquifer connectivity and the second half will cover the modelling process.</w:t>
      </w:r>
    </w:p>
    <w:p w:rsidR="00DD07AF" w:rsidRDefault="00DD07AF" w:rsidP="005F6513">
      <w:pPr>
        <w:pStyle w:val="Heading2"/>
      </w:pPr>
      <w:bookmarkStart w:id="496" w:name="_Toc381961095"/>
      <w:bookmarkStart w:id="497" w:name="_Toc389055220"/>
      <w:r>
        <w:t>Measurement</w:t>
      </w:r>
      <w:bookmarkEnd w:id="496"/>
      <w:bookmarkEnd w:id="497"/>
    </w:p>
    <w:p w:rsidR="00DD07AF" w:rsidRDefault="00DD07AF" w:rsidP="005F6513">
      <w:pPr>
        <w:pStyle w:val="Heading3"/>
      </w:pPr>
      <w:bookmarkStart w:id="498" w:name="_Toc381961096"/>
      <w:r>
        <w:t>Aims of measurement</w:t>
      </w:r>
      <w:bookmarkEnd w:id="498"/>
      <w:r>
        <w:t xml:space="preserve"> </w:t>
      </w:r>
    </w:p>
    <w:p w:rsidR="00DD07AF" w:rsidRDefault="00DD07AF" w:rsidP="003A0D3E">
      <w:pPr>
        <w:pStyle w:val="BRNormal"/>
      </w:pPr>
      <w:r>
        <w:t xml:space="preserve">Before any hydrogeological investigation is undertaken, it is necessary for the parties involved (i.e. consultants, scientists, stakeholders, clients) to carefully define the problem being studied, set the objectives and determine the best type of information needed to </w:t>
      </w:r>
      <w:r w:rsidR="003A0D3E">
        <w:t>obtain the desired end product.</w:t>
      </w:r>
      <w:r>
        <w:t xml:space="preserve"> Every investigation is site specific and the methods used should therefore be tailored accordingly.  </w:t>
      </w:r>
    </w:p>
    <w:p w:rsidR="00DD07AF" w:rsidRDefault="00DD07AF" w:rsidP="003A0D3E">
      <w:pPr>
        <w:pStyle w:val="BRNormal"/>
      </w:pPr>
      <w:r>
        <w:t>These decisions may be guided by the value of information (VOI) approach to reducing uncert</w:t>
      </w:r>
      <w:r w:rsidR="003A0D3E">
        <w:t>ainty in engineering solutions.</w:t>
      </w:r>
      <w:r>
        <w:t xml:space="preserve"> In hydrogeology, for example, all predictions, such as groundwater flow rates, impact of pumping and injection, and solute transport are associated with uncertainties that arise from un</w:t>
      </w:r>
      <w:r w:rsidR="003A0D3E">
        <w:t xml:space="preserve">certain subsurface conditions. </w:t>
      </w:r>
      <w:r>
        <w:t xml:space="preserve">The VOI approach is </w:t>
      </w:r>
      <w:r>
        <w:lastRenderedPageBreak/>
        <w:t>based on the expected decline in prediction uncertainty that may result from additional information and the associated increase in the value of a decision</w:t>
      </w:r>
      <w:r w:rsidR="003A0D3E">
        <w:t xml:space="preserve"> (Small 2004). </w:t>
      </w:r>
      <w:r>
        <w:t>The acceptable level of uncertainty associated with a project should be made in the plann</w:t>
      </w:r>
      <w:r w:rsidR="009D2008">
        <w:t>ing stages of an investigation.</w:t>
      </w:r>
      <w:r>
        <w:t xml:space="preserve"> This will lead to a choice of measurements</w:t>
      </w:r>
      <w:r w:rsidR="009D2008">
        <w:t xml:space="preserve"> that</w:t>
      </w:r>
      <w:r>
        <w:t xml:space="preserve"> be</w:t>
      </w:r>
      <w:r w:rsidR="00DC79D2">
        <w:t>st suit the project objectives.</w:t>
      </w:r>
      <w:r>
        <w:t xml:space="preserve"> It will define the regional extent of the investigation, the resolution of the data and frequency of sampling.  </w:t>
      </w:r>
    </w:p>
    <w:p w:rsidR="00B57559" w:rsidRDefault="00B57559" w:rsidP="00DC79D2">
      <w:pPr>
        <w:pStyle w:val="BRNormal"/>
      </w:pPr>
      <w:r>
        <w:t>This also implies that hydraulic properties measured or inferred in previous projects and studies with different objectives need to be examined carefully to make sure that the values are representative and useable in the current study.</w:t>
      </w:r>
      <w:r w:rsidR="006B4625">
        <w:t xml:space="preserve"> </w:t>
      </w:r>
      <w:r w:rsidR="00823BA0">
        <w:t xml:space="preserve">Furthermore, </w:t>
      </w:r>
      <w:r w:rsidR="00FB47F0">
        <w:t xml:space="preserve">noting </w:t>
      </w:r>
      <w:r w:rsidR="00823BA0">
        <w:t>the uncertainty associated with measurements, more robust interpretations and predictions will be possible when combining different types of measurements.</w:t>
      </w:r>
    </w:p>
    <w:p w:rsidR="00DD07AF" w:rsidRDefault="00DD07AF" w:rsidP="00DC79D2">
      <w:pPr>
        <w:pStyle w:val="BRNormal"/>
      </w:pPr>
      <w:r>
        <w:t>The following sections will describe the methods available for the measurement</w:t>
      </w:r>
      <w:r w:rsidR="00DC79D2">
        <w:t xml:space="preserve"> of hydrogeological parameters.</w:t>
      </w:r>
      <w:r>
        <w:t xml:space="preserve"> Each section will address the scale associated with measurement type, and discuss how they can be used in interpreting aquifer connectivity.</w:t>
      </w:r>
    </w:p>
    <w:p w:rsidR="00DD07AF" w:rsidRDefault="009D2008" w:rsidP="005F6513">
      <w:pPr>
        <w:pStyle w:val="Heading3"/>
      </w:pPr>
      <w:bookmarkStart w:id="499" w:name="_Toc381961097"/>
      <w:r>
        <w:t>Hydraulic m</w:t>
      </w:r>
      <w:r w:rsidR="00DD07AF">
        <w:t>ethods</w:t>
      </w:r>
      <w:bookmarkEnd w:id="499"/>
    </w:p>
    <w:p w:rsidR="009D2008" w:rsidRDefault="00DD07AF" w:rsidP="00DC79D2">
      <w:pPr>
        <w:pStyle w:val="BRNormal"/>
      </w:pPr>
      <w:r>
        <w:t>Hydraulic methods are those which are conducted in the field and record changes to hydraulic head as a result of natural or artificial stresses applied to a groundwater system.  From the data collected in the field, mathematical methods may be used to estimate hydrogeological parameters, including hydraulic conductivity, storativity and le</w:t>
      </w:r>
      <w:r w:rsidR="00DC79D2">
        <w:t xml:space="preserve">akage from adjacent aquitards. </w:t>
      </w:r>
      <w:r>
        <w:t>The quantification of these parameters, which cannot be me</w:t>
      </w:r>
      <w:r w:rsidR="009D2008">
        <w:t>asured directly, is an estimate</w:t>
      </w:r>
      <w:r>
        <w:t xml:space="preserve"> whose accuracy depends on the methods used and the interpretation</w:t>
      </w:r>
      <w:r w:rsidR="00DC79D2">
        <w:t xml:space="preserve"> (Kresic 2007). </w:t>
      </w:r>
      <w:r>
        <w:t xml:space="preserve">There are three main field methods which can be used: </w:t>
      </w:r>
    </w:p>
    <w:p w:rsidR="009D2008" w:rsidRDefault="00DD07AF" w:rsidP="007D6DBF">
      <w:pPr>
        <w:pStyle w:val="BRdotpoints"/>
      </w:pPr>
      <w:r>
        <w:t>single well tests, where a stress is applied to and respon</w:t>
      </w:r>
      <w:r w:rsidR="009D2008">
        <w:t>se is recorded in the same well</w:t>
      </w:r>
    </w:p>
    <w:p w:rsidR="009D2008" w:rsidRDefault="00DD07AF" w:rsidP="007D6DBF">
      <w:pPr>
        <w:pStyle w:val="BRdotpoints"/>
      </w:pPr>
      <w:r>
        <w:t>multiple well tests, where a stress is applied to one well and the response is recorded at</w:t>
      </w:r>
      <w:r w:rsidR="009D2008">
        <w:t xml:space="preserve"> one or more observation wells</w:t>
      </w:r>
    </w:p>
    <w:p w:rsidR="009D2008" w:rsidRDefault="00DD07AF" w:rsidP="007D6DBF">
      <w:pPr>
        <w:pStyle w:val="BRdotpoints"/>
      </w:pPr>
      <w:proofErr w:type="gramStart"/>
      <w:r>
        <w:t>passive</w:t>
      </w:r>
      <w:proofErr w:type="gramEnd"/>
      <w:r>
        <w:t xml:space="preserve"> tests</w:t>
      </w:r>
      <w:r w:rsidR="007D6DBF">
        <w:t>,</w:t>
      </w:r>
      <w:r>
        <w:t xml:space="preserve"> where the response to natural stresses (e.g. barometric pressure, earth tides, seasonal water level fluctuations) can be recorded at multiple wells.</w:t>
      </w:r>
      <w:r w:rsidR="00DC79D2">
        <w:t xml:space="preserve"> </w:t>
      </w:r>
    </w:p>
    <w:p w:rsidR="00DD07AF" w:rsidRDefault="008031B1" w:rsidP="007D6DBF">
      <w:pPr>
        <w:pStyle w:val="BRNormal"/>
      </w:pPr>
      <w:r>
        <w:t>For the purposes of this review</w:t>
      </w:r>
      <w:r w:rsidR="007D6DBF">
        <w:t>, the term ‘</w:t>
      </w:r>
      <w:r>
        <w:t>borehole</w:t>
      </w:r>
      <w:r w:rsidR="007D6DBF">
        <w:t>’</w:t>
      </w:r>
      <w:r>
        <w:t xml:space="preserve"> refers to the drilled hole and </w:t>
      </w:r>
      <w:r w:rsidR="007D6DBF">
        <w:t>the term ‘well’</w:t>
      </w:r>
      <w:r>
        <w:t xml:space="preserve"> refer</w:t>
      </w:r>
      <w:r w:rsidR="007D6DBF">
        <w:t>s</w:t>
      </w:r>
      <w:r>
        <w:t xml:space="preserve"> to completed boreholes (e.g. casing, screen).</w:t>
      </w:r>
    </w:p>
    <w:p w:rsidR="007D6DBF" w:rsidRDefault="00DD07AF" w:rsidP="00DC79D2">
      <w:pPr>
        <w:pStyle w:val="BRNormal"/>
      </w:pPr>
      <w:r>
        <w:t>The simplest type of single well tests is the slug test, where an instantaneous change in hydrau</w:t>
      </w:r>
      <w:r w:rsidR="00DC79D2">
        <w:t xml:space="preserve">lic head is applied to a well. </w:t>
      </w:r>
      <w:r>
        <w:t>Th</w:t>
      </w:r>
      <w:r w:rsidR="007D6DBF">
        <w:t>ere are two types of slug tests:</w:t>
      </w:r>
      <w:r>
        <w:t xml:space="preserve"> </w:t>
      </w:r>
    </w:p>
    <w:p w:rsidR="007D6DBF" w:rsidRDefault="00DD07AF" w:rsidP="007D6DBF">
      <w:pPr>
        <w:pStyle w:val="BRdotpoints"/>
      </w:pPr>
      <w:r>
        <w:t>‘rising head’</w:t>
      </w:r>
      <w:r w:rsidR="007D6DBF">
        <w:t>,</w:t>
      </w:r>
      <w:r>
        <w:t xml:space="preserve"> where a volume of water is removed from the well and</w:t>
      </w:r>
      <w:r w:rsidR="007D6DBF">
        <w:t xml:space="preserve"> the head recovery is recorded</w:t>
      </w:r>
    </w:p>
    <w:p w:rsidR="007D6DBF" w:rsidRDefault="00DD07AF" w:rsidP="007D6DBF">
      <w:pPr>
        <w:pStyle w:val="BRdotpoints"/>
      </w:pPr>
      <w:r>
        <w:t>‘</w:t>
      </w:r>
      <w:proofErr w:type="gramStart"/>
      <w:r>
        <w:t>falling</w:t>
      </w:r>
      <w:proofErr w:type="gramEnd"/>
      <w:r>
        <w:t xml:space="preserve"> head’</w:t>
      </w:r>
      <w:r w:rsidR="007D6DBF">
        <w:t>,</w:t>
      </w:r>
      <w:r>
        <w:t xml:space="preserve"> where a volume of water is added to the well and the head decline back to normal is recorded.  </w:t>
      </w:r>
    </w:p>
    <w:p w:rsidR="00DD07AF" w:rsidRDefault="00DD07AF" w:rsidP="007D6DBF">
      <w:pPr>
        <w:pStyle w:val="BRNormal"/>
      </w:pPr>
      <w:r>
        <w:t>It is also common to achieve the change in hydrauli</w:t>
      </w:r>
      <w:r w:rsidR="007D6DBF">
        <w:t xml:space="preserve">c head by using a physical slug – </w:t>
      </w:r>
      <w:r>
        <w:t>a solid cylinder that can be lowered into the well</w:t>
      </w:r>
      <w:r w:rsidR="007D6DBF">
        <w:t>,</w:t>
      </w:r>
      <w:r>
        <w:t xml:space="preserve"> which causes a r</w:t>
      </w:r>
      <w:r w:rsidR="00DC79D2">
        <w:t xml:space="preserve">apid change in hydraulic head. </w:t>
      </w:r>
      <w:r w:rsidR="007D6DBF">
        <w:t>Air-pressuris</w:t>
      </w:r>
      <w:r>
        <w:t xml:space="preserve">ation of a </w:t>
      </w:r>
      <w:r w:rsidR="00EA3EEF">
        <w:t>well</w:t>
      </w:r>
      <w:r>
        <w:t xml:space="preserve"> can also be used to perform a slug test, where the increased pressure causes the water level to fall and when the pressure is released, the rising water level is recoded</w:t>
      </w:r>
      <w:r w:rsidR="00DC79D2">
        <w:t xml:space="preserve"> (Kresic 2007).</w:t>
      </w:r>
      <w:r>
        <w:t xml:space="preserve"> Each of these methods is associated with difficulties in making the change instantaneous</w:t>
      </w:r>
      <w:r w:rsidR="00DC79D2">
        <w:t xml:space="preserve"> and recording sufficient data.</w:t>
      </w:r>
      <w:r>
        <w:t xml:space="preserve"> Pressure transducers, which automatically record changes in water levels, are the most accurate </w:t>
      </w:r>
      <w:r w:rsidR="00DC79D2">
        <w:t xml:space="preserve">method to monitor these tests. </w:t>
      </w:r>
      <w:r>
        <w:t>Slug tests are limited in their area of impact, testing only a small part of the aquifer around a borehole, and typically only provide informat</w:t>
      </w:r>
      <w:r w:rsidR="00DC79D2">
        <w:t xml:space="preserve">ion on hydraulic conductivity. </w:t>
      </w:r>
      <w:r>
        <w:t xml:space="preserve">This </w:t>
      </w:r>
      <w:r>
        <w:lastRenderedPageBreak/>
        <w:t>being the case, these tests are more susceptible to borehole impacts caused during</w:t>
      </w:r>
      <w:r w:rsidR="00DC79D2">
        <w:t xml:space="preserve"> drilling, called skin effects.</w:t>
      </w:r>
      <w:r>
        <w:t xml:space="preserve"> Drilling can either increase permeability (negative skin) or decrease permeability (positive skin) in the material immediately adjacent to a </w:t>
      </w:r>
      <w:r w:rsidR="00DC79D2">
        <w:t xml:space="preserve">borehole. </w:t>
      </w:r>
      <w:r>
        <w:t>Slug tests can be interpreted using a number of mathematical methods which can account for the aquifer conditions (confined, unc</w:t>
      </w:r>
      <w:r w:rsidR="00B0787B">
        <w:t>onfined), borehole skin effects</w:t>
      </w:r>
      <w:r>
        <w:t xml:space="preserve"> and well type (screen partly </w:t>
      </w:r>
      <w:r w:rsidR="00B0787B">
        <w:t>or</w:t>
      </w:r>
      <w:r>
        <w:t xml:space="preserve"> fully penetrating the aquifer)</w:t>
      </w:r>
      <w:r w:rsidR="00DC79D2">
        <w:t xml:space="preserve"> (Fetter 2001)</w:t>
      </w:r>
      <w:r>
        <w:t xml:space="preserve">. </w:t>
      </w:r>
    </w:p>
    <w:p w:rsidR="00DD07AF" w:rsidRDefault="00DD07AF" w:rsidP="00DC79D2">
      <w:pPr>
        <w:pStyle w:val="BRNormal"/>
      </w:pPr>
      <w:r>
        <w:t>Single well pumping tests, which involve pumping water from a well at a constant or variable rate and monitoring the head decline and subsequent recovery in the pumped well, can be used to d</w:t>
      </w:r>
      <w:r w:rsidR="00DC79D2">
        <w:t xml:space="preserve">etermine hydraulic properties. </w:t>
      </w:r>
      <w:r>
        <w:t>The nature of the test is longer than a slug tests and therefore impacts a larger area of the aquifer providing more representative estimates o</w:t>
      </w:r>
      <w:r w:rsidR="00DC79D2">
        <w:t xml:space="preserve">f aquifer properties. </w:t>
      </w:r>
      <w:r>
        <w:t>As with slug tests, mathematical methods are available to interpret the results of single well pumping tests under various conditions and can be used to identify leakage from aquitards</w:t>
      </w:r>
      <w:r w:rsidR="00DC79D2">
        <w:t xml:space="preserve"> (Fetter 2001).</w:t>
      </w:r>
      <w:r>
        <w:t xml:space="preserve"> A variant to the single well pumping test is the constant head test where a chosen head decline is maintained by adjusting the pumping rate and this information is used to determine hydraulic properties.</w:t>
      </w:r>
    </w:p>
    <w:p w:rsidR="00DD07AF" w:rsidRDefault="00DD07AF" w:rsidP="00DC79D2">
      <w:pPr>
        <w:pStyle w:val="BRNormal"/>
      </w:pPr>
      <w:r>
        <w:t xml:space="preserve">Both slug tests and pumping tests, which can be performed on completed wells, can also be performed </w:t>
      </w:r>
      <w:r w:rsidR="006B4625">
        <w:t xml:space="preserve">on discrete intervals of a well screen </w:t>
      </w:r>
      <w:r>
        <w:t>using</w:t>
      </w:r>
      <w:r w:rsidR="00DF254F">
        <w:t xml:space="preserve"> inflatable packers</w:t>
      </w:r>
      <w:r w:rsidR="00DC79D2">
        <w:t>.</w:t>
      </w:r>
      <w:r>
        <w:t xml:space="preserve"> </w:t>
      </w:r>
      <w:r w:rsidR="00DF254F">
        <w:t>These</w:t>
      </w:r>
      <w:r w:rsidR="00E75833">
        <w:t xml:space="preserve"> utilis</w:t>
      </w:r>
      <w:r w:rsidR="0060383F">
        <w:t>e</w:t>
      </w:r>
      <w:r w:rsidR="00DF254F">
        <w:t xml:space="preserve"> </w:t>
      </w:r>
      <w:r>
        <w:t xml:space="preserve">inflatable </w:t>
      </w:r>
      <w:r w:rsidR="00DF254F">
        <w:t>bladder</w:t>
      </w:r>
      <w:r w:rsidR="0060383F">
        <w:t>s</w:t>
      </w:r>
      <w:r w:rsidR="00DF254F">
        <w:t xml:space="preserve"> to expand the packers against the sides of a borehole or well casing</w:t>
      </w:r>
      <w:r w:rsidR="0060383F">
        <w:t xml:space="preserve"> in order to </w:t>
      </w:r>
      <w:r>
        <w:t xml:space="preserve">isolate a smaller section </w:t>
      </w:r>
      <w:r w:rsidR="0060383F">
        <w:t xml:space="preserve">of the hole </w:t>
      </w:r>
      <w:r w:rsidR="00DC79D2">
        <w:t xml:space="preserve">for investigation. </w:t>
      </w:r>
      <w:r>
        <w:t xml:space="preserve">This allows the collection of discrete vertical data on hydraulic properties.  </w:t>
      </w:r>
    </w:p>
    <w:p w:rsidR="00DD07AF" w:rsidRDefault="00DD07AF" w:rsidP="00DC79D2">
      <w:pPr>
        <w:pStyle w:val="BRNormal"/>
      </w:pPr>
      <w:r>
        <w:t xml:space="preserve">Single well testing methods have also been developed by the petroleum industry for determining the hydraulic properties of a geological formation during or </w:t>
      </w:r>
      <w:r w:rsidR="00DC79D2">
        <w:t>immediately following drilling.</w:t>
      </w:r>
      <w:r>
        <w:t xml:space="preserve"> Drill stem tests (DST) are conducted with the drilling equipment still in the hole and </w:t>
      </w:r>
      <w:r w:rsidR="00E75833">
        <w:t>utilis</w:t>
      </w:r>
      <w:r>
        <w:t>e a packer system to</w:t>
      </w:r>
      <w:r w:rsidR="00DC79D2">
        <w:t xml:space="preserve"> isolate a particular interval.</w:t>
      </w:r>
      <w:r>
        <w:t xml:space="preserve"> The typical test sequence includes a short flow period allowing water</w:t>
      </w:r>
      <w:r w:rsidR="00DF254F">
        <w:t xml:space="preserve"> and hydrocarbons</w:t>
      </w:r>
      <w:r>
        <w:t xml:space="preserve"> to flow from the interval into the drill string, followed by a shut in period</w:t>
      </w:r>
      <w:r w:rsidR="00E75833">
        <w:t>,</w:t>
      </w:r>
      <w:r>
        <w:t xml:space="preserve"> which stops the flow and allows the interval to </w:t>
      </w:r>
      <w:r w:rsidR="00DC79D2">
        <w:t xml:space="preserve">recover its original pressure. </w:t>
      </w:r>
      <w:r>
        <w:t>This is followed by a second, longer flow and shut in period that is comparable to a pumping and recovery test</w:t>
      </w:r>
      <w:r w:rsidR="00DC79D2">
        <w:t xml:space="preserve"> (SWS 2012). </w:t>
      </w:r>
      <w:r>
        <w:t>This second flow and shut in period is used to d</w:t>
      </w:r>
      <w:r w:rsidR="00DC79D2">
        <w:t xml:space="preserve">etermine hydraulic properties. </w:t>
      </w:r>
      <w:r>
        <w:t>Flow rate testers (FRT) are another method used to obtain hydraulic</w:t>
      </w:r>
      <w:r w:rsidR="00DC79D2">
        <w:t xml:space="preserve"> properties following drilling.</w:t>
      </w:r>
      <w:r>
        <w:t xml:space="preserve"> FRTs c</w:t>
      </w:r>
      <w:r w:rsidR="00415099">
        <w:t>an be combined with geophysical</w:t>
      </w:r>
      <w:r w:rsidR="00EA3EEF">
        <w:t xml:space="preserve"> logging </w:t>
      </w:r>
      <w:r>
        <w:t xml:space="preserve">tools (Section 3.2.5) and, similar to DSTs, can test isolated sections between </w:t>
      </w:r>
      <w:r w:rsidR="0060383F">
        <w:t xml:space="preserve">inflatable </w:t>
      </w:r>
      <w:r w:rsidR="00DC79D2">
        <w:t xml:space="preserve">packers. </w:t>
      </w:r>
      <w:r>
        <w:t xml:space="preserve">Results of these tests are usually used to identify high productivity zones and their thicknesses.  </w:t>
      </w:r>
    </w:p>
    <w:p w:rsidR="00DD07AF" w:rsidRDefault="00DD07AF" w:rsidP="00DC79D2">
      <w:pPr>
        <w:pStyle w:val="BRNormal"/>
      </w:pPr>
      <w:r>
        <w:t>Single well tests are useful for obtaining hydraulic propertie</w:t>
      </w:r>
      <w:r w:rsidR="00E75833">
        <w:t>s near the borehole (slug test)</w:t>
      </w:r>
      <w:r>
        <w:t xml:space="preserve"> of discrete zones (DST, FRT) and for lar</w:t>
      </w:r>
      <w:r w:rsidR="006956DC">
        <w:t xml:space="preserve">ger areas using pumping tests. </w:t>
      </w:r>
      <w:r>
        <w:t xml:space="preserve">These properties can be used to identify higher permeability zones that may contribute </w:t>
      </w:r>
      <w:r w:rsidR="006956DC">
        <w:t xml:space="preserve">to intra-aquifer connectivity. </w:t>
      </w:r>
      <w:r>
        <w:t>The pumping tests, in particular, can provide information on leakage from aquitards, of interest for the interpretation of inter-aquifer connectivity as a leaky aquitard may indicate connectivity with an overlying/underlying aquifer.</w:t>
      </w:r>
    </w:p>
    <w:p w:rsidR="00DD07AF" w:rsidRDefault="00DD07AF" w:rsidP="006956DC">
      <w:pPr>
        <w:pStyle w:val="BRNormal"/>
      </w:pPr>
      <w:r>
        <w:t xml:space="preserve">Multiple well tests are those where water is pumped from one well and hydraulic head is recorded in the pumped well and </w:t>
      </w:r>
      <w:r w:rsidR="006956DC">
        <w:t xml:space="preserve">one or more observation wells. </w:t>
      </w:r>
      <w:r>
        <w:t>These types of tests can provide more information than single well tests; in particular</w:t>
      </w:r>
      <w:r w:rsidR="00A44939">
        <w:t>,</w:t>
      </w:r>
      <w:r>
        <w:t xml:space="preserve"> they can estimate both hydraulic conductivity and storage avera</w:t>
      </w:r>
      <w:r w:rsidR="00A44939">
        <w:t>ged over a large aquifer volume</w:t>
      </w:r>
      <w:r>
        <w:t xml:space="preserve"> and they can identify an</w:t>
      </w:r>
      <w:r w:rsidR="006956DC">
        <w:t xml:space="preserve">isotropies in the properties. </w:t>
      </w:r>
      <w:r>
        <w:t>The volume being tested will depend on the distribution of observation wel</w:t>
      </w:r>
      <w:r w:rsidR="006956DC">
        <w:t>ls and the duration of pumping.</w:t>
      </w:r>
      <w:r>
        <w:t xml:space="preserve"> If observations are made in the overlying/underlying aquitard and aquifer (</w:t>
      </w:r>
      <w:r w:rsidR="00B33448">
        <w:t>Figure 7)</w:t>
      </w:r>
      <w:r>
        <w:t xml:space="preserve"> then possible leakage from the aquitard/aquifer to the tested aquifer may be assessed and the hydraulic properties of </w:t>
      </w:r>
      <w:r w:rsidR="006956DC">
        <w:t xml:space="preserve">the aquitard may be estimated. </w:t>
      </w:r>
      <w:r>
        <w:t xml:space="preserve">As with single well tests, a number of mathematical methods are available for interpreting </w:t>
      </w:r>
      <w:r w:rsidR="00A44939">
        <w:t>multiple well</w:t>
      </w:r>
      <w:r>
        <w:t xml:space="preserve"> tests</w:t>
      </w:r>
      <w:r w:rsidR="006956DC">
        <w:t xml:space="preserve"> (Fetter 2001). Multi-</w:t>
      </w:r>
      <w:r>
        <w:t xml:space="preserve">well tests can be some of the </w:t>
      </w:r>
      <w:r>
        <w:lastRenderedPageBreak/>
        <w:t>most expensive and time consum</w:t>
      </w:r>
      <w:r w:rsidR="006956DC">
        <w:t>ing field tests in hydrogeology;</w:t>
      </w:r>
      <w:r>
        <w:t xml:space="preserve"> however</w:t>
      </w:r>
      <w:r w:rsidR="006956DC">
        <w:t>,</w:t>
      </w:r>
      <w:r>
        <w:t xml:space="preserve"> they can provide the most beneficial information for the identifi</w:t>
      </w:r>
      <w:r w:rsidR="006956DC">
        <w:t>cation of aquifer connectivity.</w:t>
      </w:r>
      <w:r>
        <w:t xml:space="preserve"> Medeiros et al.</w:t>
      </w:r>
      <w:r w:rsidR="00A44939">
        <w:t xml:space="preserve"> (2010)</w:t>
      </w:r>
      <w:r>
        <w:t xml:space="preserve"> used pumping tests to assess the hydraulic connectivity across low-permeability deformati</w:t>
      </w:r>
      <w:r w:rsidR="00A44939">
        <w:t>on bands in north-</w:t>
      </w:r>
      <w:r w:rsidR="006956DC">
        <w:t xml:space="preserve">east Brazil. </w:t>
      </w:r>
      <w:r>
        <w:t xml:space="preserve">Well locations were selected such that the damage zone separated the pumping well from the observation wells and showed considerable connectivity across the low-permeability zones.   </w:t>
      </w:r>
    </w:p>
    <w:p w:rsidR="00DD07AF" w:rsidRDefault="00DD07AF" w:rsidP="001C3374">
      <w:pPr>
        <w:pStyle w:val="Body"/>
      </w:pPr>
      <w:r>
        <w:rPr>
          <w:noProof/>
          <w:lang w:val="en-AU" w:eastAsia="en-AU"/>
        </w:rPr>
        <w:drawing>
          <wp:inline distT="0" distB="0" distL="0" distR="0">
            <wp:extent cx="3676650" cy="2960307"/>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umping test.png"/>
                    <pic:cNvPicPr/>
                  </pic:nvPicPr>
                  <pic:blipFill>
                    <a:blip r:embed="rId29"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708948" cy="2986312"/>
                    </a:xfrm>
                    <a:prstGeom prst="rect">
                      <a:avLst/>
                    </a:prstGeom>
                  </pic:spPr>
                </pic:pic>
              </a:graphicData>
            </a:graphic>
          </wp:inline>
        </w:drawing>
      </w:r>
    </w:p>
    <w:p w:rsidR="00DD07AF" w:rsidRDefault="006956DC" w:rsidP="006956DC">
      <w:pPr>
        <w:pStyle w:val="Caption"/>
      </w:pPr>
      <w:bookmarkStart w:id="500" w:name="_Ref332882590"/>
      <w:r w:rsidRPr="006956DC">
        <w:t xml:space="preserve">Figure </w:t>
      </w:r>
      <w:r w:rsidR="00E23933" w:rsidRPr="006956DC">
        <w:fldChar w:fldCharType="begin"/>
      </w:r>
      <w:r w:rsidRPr="006956DC">
        <w:instrText xml:space="preserve"> SEQ Figure \* ARABIC </w:instrText>
      </w:r>
      <w:r w:rsidR="00E23933" w:rsidRPr="006956DC">
        <w:fldChar w:fldCharType="separate"/>
      </w:r>
      <w:r w:rsidR="00B33448">
        <w:t>7</w:t>
      </w:r>
      <w:r w:rsidR="00E23933" w:rsidRPr="006956DC">
        <w:fldChar w:fldCharType="end"/>
      </w:r>
      <w:bookmarkEnd w:id="500"/>
      <w:r w:rsidR="00DD07AF">
        <w:t xml:space="preserve"> Pumping test example designed to determine characteristics of the tested aquifer, nature of the aquitard and possible leakage from the aquitard and overlying unconfined aquifer</w:t>
      </w:r>
      <w:r>
        <w:t xml:space="preserve"> (</w:t>
      </w:r>
      <w:r w:rsidR="00F976E1">
        <w:t>©</w:t>
      </w:r>
      <w:r w:rsidR="00B94CD1">
        <w:t xml:space="preserve"> Copyright, </w:t>
      </w:r>
      <w:r>
        <w:t>Kresic 2007).</w:t>
      </w:r>
      <w:r w:rsidR="00DD07AF">
        <w:t xml:space="preserve"> </w:t>
      </w:r>
      <w:r w:rsidR="00DD07AF" w:rsidRPr="006956DC">
        <w:rPr>
          <w:i/>
        </w:rPr>
        <w:t>Q</w:t>
      </w:r>
      <w:r w:rsidR="00DD07AF">
        <w:t xml:space="preserve"> is the flow rate of pumped water; the potentiometric surface is the surface representative of the level to which water will rise in a well cased in a confined aquifer and the water table is the water surface in unconfined aquifer.</w:t>
      </w:r>
    </w:p>
    <w:p w:rsidR="006956DC" w:rsidRPr="006956DC" w:rsidRDefault="006956DC" w:rsidP="006956DC">
      <w:pPr>
        <w:rPr>
          <w:lang w:val="en-AU" w:eastAsia="en-AU"/>
        </w:rPr>
      </w:pPr>
    </w:p>
    <w:p w:rsidR="00DD07AF" w:rsidRDefault="00DD07AF" w:rsidP="006956DC">
      <w:pPr>
        <w:pStyle w:val="BRNormal"/>
      </w:pPr>
      <w:r>
        <w:t>Measuring water levels in wells is not the only method by which a hydraulic response to a stress can b</w:t>
      </w:r>
      <w:r w:rsidR="006956DC">
        <w:t xml:space="preserve">e monitored in the subsurface. </w:t>
      </w:r>
      <w:r>
        <w:t xml:space="preserve">Vibrating wire piezometers (VWP), which can measure </w:t>
      </w:r>
      <w:r w:rsidRPr="0045089D">
        <w:t>in situ</w:t>
      </w:r>
      <w:r>
        <w:t xml:space="preserve"> pore pressures, may be installed in a borehole and surrounded by sand, topped by a seal (bentonite) and bac</w:t>
      </w:r>
      <w:r w:rsidR="006956DC">
        <w:t>kfilled to surface with cement.</w:t>
      </w:r>
      <w:r>
        <w:t xml:space="preserve"> It is also possible, in soft sediments, to install these piezometers by directly</w:t>
      </w:r>
      <w:r w:rsidR="006956DC">
        <w:t xml:space="preserve"> pushing them into the ground. </w:t>
      </w:r>
      <w:r w:rsidR="00BD122E">
        <w:t>W</w:t>
      </w:r>
      <w:r>
        <w:t>ork by Mikkelsen and Green</w:t>
      </w:r>
      <w:r w:rsidR="006956DC">
        <w:t xml:space="preserve"> (2003)</w:t>
      </w:r>
      <w:r>
        <w:t xml:space="preserve"> and Contreras et al.</w:t>
      </w:r>
      <w:r w:rsidR="006956DC">
        <w:t xml:space="preserve"> (2007)</w:t>
      </w:r>
      <w:r>
        <w:t xml:space="preserve"> has recommended the use of fully-grouted piez</w:t>
      </w:r>
      <w:r w:rsidR="006956DC">
        <w:t xml:space="preserve">ometers without the sand pack. </w:t>
      </w:r>
      <w:r>
        <w:t>This method of installation, which uses a bentonite and cement mixture to seal the borehole, is ea</w:t>
      </w:r>
      <w:r w:rsidR="006956DC">
        <w:t xml:space="preserve">sier and faster. </w:t>
      </w:r>
      <w:r>
        <w:t>Contreras et al.</w:t>
      </w:r>
      <w:r w:rsidR="006956DC">
        <w:t xml:space="preserve"> (2007)</w:t>
      </w:r>
      <w:r>
        <w:t xml:space="preserve"> tested six cement-bentonite grout mixes with different permeabilities and found that the permeability of the grout can be up to three orders of magnitude higher than the geological material without causing significant errors in the pressure measurements.  </w:t>
      </w:r>
      <w:r w:rsidRPr="008A3E76">
        <w:t>Smerdon et al.</w:t>
      </w:r>
      <w:r w:rsidR="006956DC">
        <w:t xml:space="preserve"> (2012)</w:t>
      </w:r>
      <w:r>
        <w:t xml:space="preserve"> used VWP to estimate the hydraulic properties of an aquitard sequence in the western margin of the </w:t>
      </w:r>
      <w:r w:rsidR="000C6964">
        <w:t>GAB</w:t>
      </w:r>
      <w:r w:rsidR="00EE2904">
        <w:t>. T</w:t>
      </w:r>
      <w:r>
        <w:t xml:space="preserve">hey found good agreement between estimates of hydraulic conductivity and storativity determined through numerical analysis of pore pressure data and estimates inferred from environmental tracer data. </w:t>
      </w:r>
    </w:p>
    <w:p w:rsidR="00DD07AF" w:rsidRDefault="006956DC" w:rsidP="006956DC">
      <w:pPr>
        <w:pStyle w:val="BRNormal"/>
      </w:pPr>
      <w:r>
        <w:t>A variant of the multi-</w:t>
      </w:r>
      <w:r w:rsidR="00DD07AF">
        <w:t xml:space="preserve">well test is the pulse interference test, where a cyclic injection of fluid is applied to one well, often </w:t>
      </w:r>
      <w:r>
        <w:t xml:space="preserve">in a packer isolated interval. </w:t>
      </w:r>
      <w:r w:rsidR="00DD07AF">
        <w:t>This causes a pressure pulse (higher hydraulic head) to propagate into the subsurface and is subsequ</w:t>
      </w:r>
      <w:r>
        <w:t>ently measured at nearby wells.</w:t>
      </w:r>
      <w:r w:rsidR="00DD07AF">
        <w:t xml:space="preserve"> The propagation of the pressure pulse is highly sensitive to the hydraulic properties </w:t>
      </w:r>
      <w:r w:rsidR="00DD07AF">
        <w:lastRenderedPageBreak/>
        <w:t xml:space="preserve">between the pulsed </w:t>
      </w:r>
      <w:r>
        <w:t xml:space="preserve">well and the observation well. </w:t>
      </w:r>
      <w:r w:rsidR="00DD07AF">
        <w:t>Brauchler et al.</w:t>
      </w:r>
      <w:r w:rsidR="00316983">
        <w:t xml:space="preserve"> (2010)</w:t>
      </w:r>
      <w:r w:rsidR="00DD07AF">
        <w:t xml:space="preserve"> used cross-hole slug interference tests to obtai</w:t>
      </w:r>
      <w:r w:rsidR="008C6965">
        <w:t>n a high resolution characteris</w:t>
      </w:r>
      <w:r w:rsidR="00DD07AF">
        <w:t xml:space="preserve">ation of aquifer heterogeneity between 16 closely spaced wells.  </w:t>
      </w:r>
    </w:p>
    <w:p w:rsidR="00584B3A" w:rsidRDefault="00DD07AF" w:rsidP="00316983">
      <w:pPr>
        <w:pStyle w:val="BRNormal"/>
      </w:pPr>
      <w:r>
        <w:t>The analysis of aquifer pumping tests can be carried out using a n</w:t>
      </w:r>
      <w:r w:rsidR="00316983">
        <w:t xml:space="preserve">umber of mathematical methods. </w:t>
      </w:r>
      <w:r>
        <w:t>The most basic methods make a series of simplifying assumptions and are only applicable to conf</w:t>
      </w:r>
      <w:r w:rsidR="00316983">
        <w:t xml:space="preserve">ined and homogeneous aquifers. </w:t>
      </w:r>
      <w:r>
        <w:t>As this is not often the case in the real world, more complex methods can account for the presence of unconfined aquifers, aquifer anisotropy, partially or fully penetrating wells, large borehole diameter, borehole ski</w:t>
      </w:r>
      <w:r w:rsidR="00316983">
        <w:t xml:space="preserve">n effects and leaky aquitards. </w:t>
      </w:r>
      <w:r>
        <w:t>Aquifers often receive some amount of recharge from overlying</w:t>
      </w:r>
      <w:r w:rsidR="00316983">
        <w:t xml:space="preserve"> or underlying aquitard units. </w:t>
      </w:r>
      <w:r>
        <w:t xml:space="preserve">This leakage can increase during pumping as a result of the increased hydraulic gradient between the pumped </w:t>
      </w:r>
      <w:r w:rsidR="00316983">
        <w:t>aquifer and adjacent aquitards.</w:t>
      </w:r>
      <w:r>
        <w:t xml:space="preserve"> Over time, and as the radius of well influence increases, the </w:t>
      </w:r>
      <w:r w:rsidR="00584B3A">
        <w:t>volume</w:t>
      </w:r>
      <w:r>
        <w:t xml:space="preserve"> of leakage from the aquitard may balance the pumping rate, causing the radius of influence to stop expanding</w:t>
      </w:r>
      <w:r w:rsidR="00316983">
        <w:t xml:space="preserve"> (Kresic 2007)</w:t>
      </w:r>
      <w:r>
        <w:t xml:space="preserve">.  </w:t>
      </w:r>
    </w:p>
    <w:p w:rsidR="00DD07AF" w:rsidRDefault="00DD07AF" w:rsidP="00316983">
      <w:pPr>
        <w:pStyle w:val="BRNormal"/>
      </w:pPr>
      <w:r>
        <w:t>Hantush and Jacob</w:t>
      </w:r>
      <w:r w:rsidR="00316983">
        <w:t xml:space="preserve"> (1955)</w:t>
      </w:r>
      <w:r>
        <w:t xml:space="preserve"> developed an equation that describes the flow of water towards a well in a leaky confined aquifer separated by an aquita</w:t>
      </w:r>
      <w:r w:rsidR="00316983">
        <w:t xml:space="preserve">rd from an unconfined aquifer. </w:t>
      </w:r>
      <w:r>
        <w:t>The Hantush and Jacob solution assumes that there is no drawdown in the unconfined aquifer and that there is no water released</w:t>
      </w:r>
      <w:r w:rsidR="00316983">
        <w:t xml:space="preserve"> from storage in the aquitard. </w:t>
      </w:r>
      <w:r>
        <w:t>Hantush</w:t>
      </w:r>
      <w:r w:rsidR="00316983">
        <w:t xml:space="preserve"> (1960)</w:t>
      </w:r>
      <w:r>
        <w:t xml:space="preserve"> later modified the solution to include storage effects in the aquitard and Neuman and Witherspoon</w:t>
      </w:r>
      <w:r w:rsidR="00316983">
        <w:t xml:space="preserve"> (1969a; 1969b)</w:t>
      </w:r>
      <w:r>
        <w:t xml:space="preserve"> presented a solution that includes both the release of storage in the aquitard and the drawdown of head in the unpumped aquifer</w:t>
      </w:r>
      <w:r w:rsidR="00316983">
        <w:t xml:space="preserve"> (Freeze &amp; Cherry 1979). </w:t>
      </w:r>
      <w:r>
        <w:t>For a detailed description of available mathematical methods, see</w:t>
      </w:r>
      <w:r w:rsidR="00316983">
        <w:t xml:space="preserve"> Kresic (2007), Fetter (2001) or Freeze and Cherry (1979)</w:t>
      </w:r>
      <w:r>
        <w:t xml:space="preserve">. </w:t>
      </w:r>
      <w:r w:rsidR="00823BA0">
        <w:t>The results of a pumping test can often be simulated equally well with different mathematical models, yielding different estimates of hydraulic properties. It is therefore essential to independently verify the assumptions and boundary conditions when interpreting pumping tests.</w:t>
      </w:r>
    </w:p>
    <w:p w:rsidR="00DD07AF" w:rsidRDefault="00DD07AF" w:rsidP="001922A0">
      <w:pPr>
        <w:pStyle w:val="BRNormal"/>
      </w:pPr>
      <w:r>
        <w:t xml:space="preserve">Passive methods for the determination of hydraulic properties of a groundwater system can also be used.  In these cases, some stress that occurs naturally is recorded and the response to this stress </w:t>
      </w:r>
      <w:r w:rsidR="001922A0">
        <w:t xml:space="preserve">in the subsurface is measured. </w:t>
      </w:r>
      <w:r>
        <w:t>Keller at el.</w:t>
      </w:r>
      <w:r w:rsidR="001922A0">
        <w:t xml:space="preserve"> (1989)</w:t>
      </w:r>
      <w:r>
        <w:t xml:space="preserve"> first described a method by which the downward propagation of seasonal water level fluctuations could be used to obtain a bulk hydraulic conductivity value for a</w:t>
      </w:r>
      <w:r w:rsidR="001922A0">
        <w:t xml:space="preserve"> low-permeability clayey unit. </w:t>
      </w:r>
      <w:r>
        <w:t>Earth tides and barometric pressure changes, which are known to cause water-level fluctuations in aquifers, can be used to estimate the hydraulic properties of aquitards</w:t>
      </w:r>
      <w:r w:rsidR="001922A0">
        <w:t xml:space="preserve"> (Timms &amp; Acworth 2005; van der Kamp &amp; Gale 1983)</w:t>
      </w:r>
      <w:r>
        <w:t xml:space="preserve"> and assess connectivity between wells</w:t>
      </w:r>
      <w:r w:rsidR="001922A0">
        <w:t xml:space="preserve"> (Butler et al. 2011; Burbey &amp; Zhang 2010)</w:t>
      </w:r>
      <w:r w:rsidR="005540F4">
        <w:t xml:space="preserve">. </w:t>
      </w:r>
      <w:r>
        <w:t>These methods can be less labour intensive and less costly than the more involved field testing methods.</w:t>
      </w:r>
    </w:p>
    <w:p w:rsidR="00DD07AF" w:rsidRDefault="00DD07AF" w:rsidP="005540F4">
      <w:pPr>
        <w:pStyle w:val="BRNormal"/>
      </w:pPr>
      <w:r>
        <w:t xml:space="preserve">Potentiometric surface </w:t>
      </w:r>
      <w:r w:rsidR="00D52323">
        <w:t xml:space="preserve">(or water table) </w:t>
      </w:r>
      <w:r>
        <w:t>mapping presents another passive method by which aquifer connectivity may be assessed</w:t>
      </w:r>
      <w:r w:rsidR="00D52323">
        <w:t>.</w:t>
      </w:r>
      <w:r w:rsidR="005540F4">
        <w:t xml:space="preserve"> </w:t>
      </w:r>
      <w:r>
        <w:t>Water level information (hydraulic head) is obtained from wells screened in the aquifer of</w:t>
      </w:r>
      <w:r w:rsidR="005540F4">
        <w:t xml:space="preserve"> interest only. </w:t>
      </w:r>
      <w:r>
        <w:t xml:space="preserve">Potentiometric surface maps and water table maps can be shown as contour </w:t>
      </w:r>
      <w:r w:rsidR="005540F4">
        <w:t xml:space="preserve">maps of equal water elevation. </w:t>
      </w:r>
      <w:r>
        <w:t>Groundwater flows from higher hydraulic head to lower hydraulic head, along</w:t>
      </w:r>
      <w:r w:rsidR="005540F4">
        <w:t xml:space="preserve"> the hydraulic gradient. </w:t>
      </w:r>
      <w:r>
        <w:t xml:space="preserve">Sudden changes in the </w:t>
      </w:r>
      <w:r w:rsidR="008F1AB8">
        <w:t>contours</w:t>
      </w:r>
      <w:r>
        <w:t xml:space="preserve">, either </w:t>
      </w:r>
      <w:r w:rsidR="008F1AB8">
        <w:t xml:space="preserve">an </w:t>
      </w:r>
      <w:r>
        <w:t>increase or decrease, may indicate connectivity with an overlying/underlying aquifer that has a different hydraulic head from the one being observed</w:t>
      </w:r>
      <w:r w:rsidR="00521A5B">
        <w:t>, as is illustrated in Figure 2.</w:t>
      </w:r>
    </w:p>
    <w:p w:rsidR="00DD07AF" w:rsidRDefault="00DD07AF" w:rsidP="005540F4">
      <w:pPr>
        <w:pStyle w:val="BRNormal"/>
      </w:pPr>
      <w:r>
        <w:t>As with all scientific methods, there are limitations associated with th</w:t>
      </w:r>
      <w:r w:rsidR="005540F4">
        <w:t xml:space="preserve">ese hydraulic testing methods. </w:t>
      </w:r>
      <w:r>
        <w:t>The mathematical methods that are commonly applied to the interpretation of these tests have to make a seri</w:t>
      </w:r>
      <w:r w:rsidR="005540F4">
        <w:t xml:space="preserve">es of simplifying assumptions. </w:t>
      </w:r>
      <w:r>
        <w:t>These introduce some uncertainty into t</w:t>
      </w:r>
      <w:r w:rsidR="005540F4">
        <w:t xml:space="preserve">he interpretation of the data. </w:t>
      </w:r>
      <w:r>
        <w:t>The volume of material being tested varies depending on the test (near borehole for single well slug tests to larger volumes for large-scale pumping tests), and may li</w:t>
      </w:r>
      <w:r w:rsidR="005540F4">
        <w:t xml:space="preserve">mit the usability of the data. </w:t>
      </w:r>
      <w:r>
        <w:t>There is also a well-known limitation</w:t>
      </w:r>
      <w:r w:rsidR="004B069C">
        <w:t xml:space="preserve">, and </w:t>
      </w:r>
      <w:r w:rsidR="004B069C">
        <w:lastRenderedPageBreak/>
        <w:t>knowledge gap,</w:t>
      </w:r>
      <w:r>
        <w:t xml:space="preserve"> associated with using field-scale tests to represent regional scale aquifer or aquitard p</w:t>
      </w:r>
      <w:r w:rsidR="005540F4">
        <w:t xml:space="preserve">roperties (see section 3.2.3). </w:t>
      </w:r>
      <w:r>
        <w:t>The processes that are important on the small scale may not be important at the large scale, and processes that are important at the large scale, such as the presence of preferential flow paths (e.g. fracture, faults), may not be observed in the small scale measurements.</w:t>
      </w:r>
      <w:r w:rsidR="005540F4">
        <w:t xml:space="preserve"> </w:t>
      </w:r>
      <w:r w:rsidR="00A4307D">
        <w:t>The use of hydraulic methods in combination with other methods (e.g. geophysics, geochemical) together can provide better estimates of regional processes.</w:t>
      </w:r>
    </w:p>
    <w:p w:rsidR="00DD07AF" w:rsidRDefault="005540F4" w:rsidP="005F6513">
      <w:pPr>
        <w:pStyle w:val="Heading3"/>
      </w:pPr>
      <w:bookmarkStart w:id="501" w:name="_Toc381961098"/>
      <w:r>
        <w:t>Laboratory m</w:t>
      </w:r>
      <w:r w:rsidR="00DD07AF">
        <w:t>ethods</w:t>
      </w:r>
      <w:bookmarkEnd w:id="501"/>
    </w:p>
    <w:p w:rsidR="00DD07AF" w:rsidRDefault="00DD07AF" w:rsidP="005540F4">
      <w:pPr>
        <w:pStyle w:val="BRNormal"/>
      </w:pPr>
      <w:r>
        <w:t xml:space="preserve">Laboratory methods may be used to determine the hydraulic properties of </w:t>
      </w:r>
      <w:r w:rsidR="005540F4">
        <w:t xml:space="preserve">an aquifer or aquitard sample. </w:t>
      </w:r>
      <w:r>
        <w:t>They are conducted on small samples, often collected during drilling, an</w:t>
      </w:r>
      <w:r w:rsidR="005540F4">
        <w:t xml:space="preserve">d thus represent point values. </w:t>
      </w:r>
      <w:r>
        <w:t>The value of hydraulic conductivity from such samples may be ob</w:t>
      </w:r>
      <w:r w:rsidR="005540F4">
        <w:t xml:space="preserve">tained from permeameter tests. </w:t>
      </w:r>
      <w:r>
        <w:t>Permeameters have a chamber that holds the sample, which can vary from unconsolidated sedi</w:t>
      </w:r>
      <w:r w:rsidR="005540F4">
        <w:t xml:space="preserve">ments to rock cores. </w:t>
      </w:r>
      <w:r>
        <w:t xml:space="preserve">Constant-head permeameter tests are applied to unconsolidated samples with </w:t>
      </w:r>
      <w:r w:rsidR="005540F4">
        <w:t xml:space="preserve">moderate to high permeability. </w:t>
      </w:r>
      <w:r>
        <w:t xml:space="preserve">In these tests, a chamber provides a supply of water at a constant head (level of water does not change in the chamber) and </w:t>
      </w:r>
      <w:r w:rsidRPr="00C52DC9">
        <w:t>water</w:t>
      </w:r>
      <w:r>
        <w:t xml:space="preserve"> moves through the sample at a steady rate (</w:t>
      </w:r>
      <w:r w:rsidR="008A5D76">
        <w:t>Figure 8).</w:t>
      </w:r>
      <w:r>
        <w:t xml:space="preserve"> The hydraulic conductivity (</w:t>
      </w:r>
      <w:r w:rsidRPr="0063624F">
        <w:rPr>
          <w:i/>
        </w:rPr>
        <w:t>K</w:t>
      </w:r>
      <w:r>
        <w:t xml:space="preserve"> in L/T) is calculated from a modified version of Darcy’s law:</w:t>
      </w:r>
    </w:p>
    <w:p w:rsidR="00DD07AF" w:rsidRPr="005540F4" w:rsidRDefault="00DD07AF" w:rsidP="00CB2FBB">
      <w:pPr>
        <w:pStyle w:val="BRNormal"/>
      </w:pPr>
      <m:oMathPara>
        <m:oMathParaPr>
          <m:jc m:val="center"/>
        </m:oMathParaPr>
        <m:oMath>
          <m:r>
            <w:rPr>
              <w:rFonts w:ascii="Cambria Math" w:hAnsi="Cambria Math"/>
            </w:rPr>
            <m:t>K</m:t>
          </m:r>
          <m:r>
            <m:rPr>
              <m:sty m:val="p"/>
            </m:rPr>
            <w:rPr>
              <w:rFonts w:ascii="Cambria Math" w:hAnsi="Cambria Math"/>
            </w:rPr>
            <m:t>=</m:t>
          </m:r>
          <m:f>
            <m:fPr>
              <m:ctrlPr>
                <w:rPr>
                  <w:rFonts w:ascii="Cambria Math" w:hAnsi="Cambria Math"/>
                </w:rPr>
              </m:ctrlPr>
            </m:fPr>
            <m:num>
              <m:r>
                <w:rPr>
                  <w:rFonts w:ascii="Cambria Math" w:hAnsi="Cambria Math"/>
                </w:rPr>
                <m:t>VL</m:t>
              </m:r>
            </m:num>
            <m:den>
              <m:r>
                <w:rPr>
                  <w:rFonts w:ascii="Cambria Math" w:hAnsi="Cambria Math"/>
                </w:rPr>
                <m:t>Ath</m:t>
              </m:r>
            </m:den>
          </m:f>
        </m:oMath>
      </m:oMathPara>
    </w:p>
    <w:p w:rsidR="00DD07AF" w:rsidRDefault="00DD07AF" w:rsidP="005540F4">
      <w:pPr>
        <w:pStyle w:val="BRNormal"/>
      </w:pPr>
      <w:proofErr w:type="gramStart"/>
      <w:r>
        <w:t>where</w:t>
      </w:r>
      <w:proofErr w:type="gramEnd"/>
      <w:r>
        <w:t xml:space="preserve"> </w:t>
      </w:r>
      <w:r w:rsidRPr="0063624F">
        <w:rPr>
          <w:i/>
        </w:rPr>
        <w:t>V</w:t>
      </w:r>
      <w:r>
        <w:t xml:space="preserve"> (L</w:t>
      </w:r>
      <w:r>
        <w:rPr>
          <w:vertAlign w:val="superscript"/>
        </w:rPr>
        <w:t>3</w:t>
      </w:r>
      <w:r>
        <w:t xml:space="preserve">) is the volume of water discharged in </w:t>
      </w:r>
      <w:r w:rsidRPr="0063624F">
        <w:t xml:space="preserve">time </w:t>
      </w:r>
      <w:r w:rsidRPr="0063624F">
        <w:rPr>
          <w:i/>
        </w:rPr>
        <w:t>t</w:t>
      </w:r>
      <w:r>
        <w:rPr>
          <w:i/>
        </w:rPr>
        <w:t xml:space="preserve"> </w:t>
      </w:r>
      <w:r w:rsidRPr="00D80413">
        <w:t>(T)</w:t>
      </w:r>
      <w:r>
        <w:t xml:space="preserve">, </w:t>
      </w:r>
      <w:r w:rsidRPr="0063624F">
        <w:rPr>
          <w:i/>
        </w:rPr>
        <w:t>L</w:t>
      </w:r>
      <w:r>
        <w:t xml:space="preserve"> is the length of the sample (L),</w:t>
      </w:r>
      <w:r w:rsidRPr="0063624F">
        <w:rPr>
          <w:i/>
        </w:rPr>
        <w:t xml:space="preserve"> A</w:t>
      </w:r>
      <w:r>
        <w:t xml:space="preserve"> is the cross-sectional area of the sample (L</w:t>
      </w:r>
      <w:r>
        <w:rPr>
          <w:vertAlign w:val="superscript"/>
        </w:rPr>
        <w:t>2</w:t>
      </w:r>
      <w:r>
        <w:t xml:space="preserve">) and </w:t>
      </w:r>
      <w:r>
        <w:rPr>
          <w:i/>
        </w:rPr>
        <w:t>h</w:t>
      </w:r>
      <w:r>
        <w:t xml:space="preserve"> is the hydraulic head (L)</w:t>
      </w:r>
      <w:r w:rsidR="005540F4">
        <w:t xml:space="preserve"> (Fetter 2001).</w:t>
      </w:r>
      <w:r>
        <w:t xml:space="preserve"> </w:t>
      </w:r>
    </w:p>
    <w:p w:rsidR="00DD07AF" w:rsidRDefault="00DD07AF" w:rsidP="005540F4">
      <w:pPr>
        <w:pStyle w:val="BRNormal"/>
      </w:pPr>
      <w:r>
        <w:t>Falling-head permeameter tests are applied to</w:t>
      </w:r>
      <w:r w:rsidR="005540F4">
        <w:t xml:space="preserve"> samples with low permeability.</w:t>
      </w:r>
      <w:r>
        <w:t xml:space="preserve"> In this test, a tube with an initial water level, </w:t>
      </w:r>
      <w:r w:rsidRPr="00DA60AA">
        <w:rPr>
          <w:i/>
        </w:rPr>
        <w:t>h</w:t>
      </w:r>
      <w:r w:rsidRPr="00DA60AA">
        <w:rPr>
          <w:i/>
          <w:vertAlign w:val="subscript"/>
        </w:rPr>
        <w:t>o</w:t>
      </w:r>
      <w:r>
        <w:t xml:space="preserve">, is attached to the permeameter </w:t>
      </w:r>
      <w:r w:rsidR="008A5D76">
        <w:t>(Figure 8)</w:t>
      </w:r>
      <w:r w:rsidR="00E31339">
        <w:t xml:space="preserve">. </w:t>
      </w:r>
      <w:r>
        <w:t xml:space="preserve">After a period of time (usually </w:t>
      </w:r>
      <w:r w:rsidR="007B5A99">
        <w:t>days to hours</w:t>
      </w:r>
      <w:r>
        <w:t xml:space="preserve">) the water level is again measured, </w:t>
      </w:r>
      <w:r>
        <w:rPr>
          <w:i/>
        </w:rPr>
        <w:t>h</w:t>
      </w:r>
      <w:r>
        <w:t>, and the hydraulic conductivity (</w:t>
      </w:r>
      <w:r w:rsidRPr="0063624F">
        <w:rPr>
          <w:i/>
        </w:rPr>
        <w:t>K</w:t>
      </w:r>
      <w:r>
        <w:t xml:space="preserve"> in L/T) is calculated from the following:</w:t>
      </w:r>
    </w:p>
    <w:p w:rsidR="00DD07AF" w:rsidRPr="00E31339" w:rsidRDefault="00DD07AF" w:rsidP="001C3374">
      <w:pPr>
        <w:pStyle w:val="Body"/>
        <w:rPr>
          <w:rFonts w:ascii="Arial" w:hAnsi="Arial" w:cs="Arial"/>
          <w:sz w:val="22"/>
          <w:szCs w:val="22"/>
        </w:rPr>
      </w:pPr>
      <m:oMathPara>
        <m:oMathParaPr>
          <m:jc m:val="center"/>
        </m:oMathParaPr>
        <m:oMath>
          <m:r>
            <m:rPr>
              <m:sty m:val="p"/>
            </m:rPr>
            <w:rPr>
              <w:rFonts w:ascii="Cambria Math" w:hAnsi="Cambria Math" w:cs="Arial"/>
              <w:sz w:val="22"/>
              <w:szCs w:val="22"/>
            </w:rPr>
            <m:t>K</m:t>
          </m:r>
          <m:r>
            <m:rPr>
              <m:sty m:val="p"/>
            </m:rPr>
            <w:rPr>
              <w:rStyle w:val="BRNormalChar"/>
              <w:rFonts w:ascii="Cambria Math" w:hAnsi="Cambria Math"/>
            </w:rPr>
            <m:t>=</m:t>
          </m:r>
          <m:f>
            <m:fPr>
              <m:ctrlPr>
                <w:rPr>
                  <w:rStyle w:val="BRNormalChar"/>
                  <w:rFonts w:ascii="Cambria Math" w:hAnsi="Cambria Math"/>
                </w:rPr>
              </m:ctrlPr>
            </m:fPr>
            <m:num>
              <m:sSubSup>
                <m:sSubSupPr>
                  <m:ctrlPr>
                    <w:rPr>
                      <w:rStyle w:val="BRNormalChar"/>
                      <w:rFonts w:ascii="Cambria Math" w:hAnsi="Cambria Math"/>
                    </w:rPr>
                  </m:ctrlPr>
                </m:sSubSupPr>
                <m:e>
                  <m:r>
                    <w:rPr>
                      <w:rStyle w:val="BRNormalChar"/>
                      <w:rFonts w:ascii="Cambria Math" w:hAnsi="Cambria Math"/>
                    </w:rPr>
                    <m:t>d</m:t>
                  </m:r>
                </m:e>
                <m:sub>
                  <m:r>
                    <w:rPr>
                      <w:rStyle w:val="BRNormalChar"/>
                      <w:rFonts w:ascii="Cambria Math" w:hAnsi="Cambria Math"/>
                    </w:rPr>
                    <m:t>t</m:t>
                  </m:r>
                </m:sub>
                <m:sup>
                  <m:r>
                    <m:rPr>
                      <m:sty m:val="p"/>
                    </m:rPr>
                    <w:rPr>
                      <w:rStyle w:val="BRNormalChar"/>
                      <w:rFonts w:ascii="Cambria Math" w:hAnsi="Cambria Math"/>
                    </w:rPr>
                    <m:t>2</m:t>
                  </m:r>
                </m:sup>
              </m:sSubSup>
              <m:r>
                <w:rPr>
                  <w:rStyle w:val="BRNormalChar"/>
                  <w:rFonts w:ascii="Cambria Math" w:hAnsi="Cambria Math"/>
                </w:rPr>
                <m:t>L</m:t>
              </m:r>
            </m:num>
            <m:den>
              <m:sSubSup>
                <m:sSubSupPr>
                  <m:ctrlPr>
                    <w:rPr>
                      <w:rStyle w:val="BRNormalChar"/>
                      <w:rFonts w:ascii="Cambria Math" w:hAnsi="Cambria Math"/>
                    </w:rPr>
                  </m:ctrlPr>
                </m:sSubSupPr>
                <m:e>
                  <m:r>
                    <w:rPr>
                      <w:rStyle w:val="BRNormalChar"/>
                      <w:rFonts w:ascii="Cambria Math" w:hAnsi="Cambria Math"/>
                    </w:rPr>
                    <m:t>d</m:t>
                  </m:r>
                </m:e>
                <m:sub>
                  <m:r>
                    <w:rPr>
                      <w:rStyle w:val="BRNormalChar"/>
                      <w:rFonts w:ascii="Cambria Math" w:hAnsi="Cambria Math"/>
                    </w:rPr>
                    <m:t>c</m:t>
                  </m:r>
                </m:sub>
                <m:sup>
                  <m:r>
                    <m:rPr>
                      <m:sty m:val="p"/>
                    </m:rPr>
                    <w:rPr>
                      <w:rStyle w:val="BRNormalChar"/>
                      <w:rFonts w:ascii="Cambria Math" w:hAnsi="Cambria Math"/>
                    </w:rPr>
                    <m:t>2</m:t>
                  </m:r>
                </m:sup>
              </m:sSubSup>
              <m:r>
                <w:rPr>
                  <w:rStyle w:val="BRNormalChar"/>
                  <w:rFonts w:ascii="Cambria Math" w:hAnsi="Cambria Math"/>
                </w:rPr>
                <m:t>t</m:t>
              </m:r>
            </m:den>
          </m:f>
          <m:r>
            <w:rPr>
              <w:rStyle w:val="BRNormalChar"/>
              <w:rFonts w:ascii="Cambria Math" w:hAnsi="Cambria Math"/>
            </w:rPr>
            <m:t>ln</m:t>
          </m:r>
          <m:d>
            <m:dPr>
              <m:ctrlPr>
                <w:rPr>
                  <w:rStyle w:val="BRNormalChar"/>
                  <w:rFonts w:ascii="Cambria Math" w:hAnsi="Cambria Math"/>
                </w:rPr>
              </m:ctrlPr>
            </m:dPr>
            <m:e>
              <m:f>
                <m:fPr>
                  <m:ctrlPr>
                    <w:rPr>
                      <w:rStyle w:val="BRNormalChar"/>
                      <w:rFonts w:ascii="Cambria Math" w:hAnsi="Cambria Math"/>
                    </w:rPr>
                  </m:ctrlPr>
                </m:fPr>
                <m:num>
                  <m:sSub>
                    <m:sSubPr>
                      <m:ctrlPr>
                        <w:rPr>
                          <w:rStyle w:val="BRNormalChar"/>
                          <w:rFonts w:ascii="Cambria Math" w:hAnsi="Cambria Math"/>
                        </w:rPr>
                      </m:ctrlPr>
                    </m:sSubPr>
                    <m:e>
                      <m:r>
                        <w:rPr>
                          <w:rStyle w:val="BRNormalChar"/>
                          <w:rFonts w:ascii="Cambria Math" w:hAnsi="Cambria Math"/>
                        </w:rPr>
                        <m:t>h</m:t>
                      </m:r>
                    </m:e>
                    <m:sub>
                      <m:r>
                        <m:rPr>
                          <m:sty m:val="p"/>
                        </m:rPr>
                        <w:rPr>
                          <w:rStyle w:val="BRNormalChar"/>
                          <w:rFonts w:ascii="Cambria Math" w:hAnsi="Cambria Math"/>
                        </w:rPr>
                        <m:t>0</m:t>
                      </m:r>
                    </m:sub>
                  </m:sSub>
                </m:num>
                <m:den>
                  <m:r>
                    <w:rPr>
                      <w:rStyle w:val="BRNormalChar"/>
                      <w:rFonts w:ascii="Cambria Math" w:hAnsi="Cambria Math"/>
                    </w:rPr>
                    <m:t>h</m:t>
                  </m:r>
                </m:den>
              </m:f>
            </m:e>
          </m:d>
        </m:oMath>
      </m:oMathPara>
    </w:p>
    <w:p w:rsidR="00E31339" w:rsidRPr="00E31339" w:rsidRDefault="00DD07AF" w:rsidP="00486FE8">
      <w:pPr>
        <w:pStyle w:val="BRNormal"/>
      </w:pPr>
      <w:proofErr w:type="gramStart"/>
      <w:r>
        <w:t>where</w:t>
      </w:r>
      <w:proofErr w:type="gramEnd"/>
      <w:r>
        <w:t xml:space="preserve"> </w:t>
      </w:r>
      <w:r w:rsidRPr="0063624F">
        <w:rPr>
          <w:i/>
        </w:rPr>
        <w:t>L</w:t>
      </w:r>
      <w:r>
        <w:t xml:space="preserve"> is the sample length (L), </w:t>
      </w:r>
      <w:r>
        <w:rPr>
          <w:i/>
        </w:rPr>
        <w:t>t</w:t>
      </w:r>
      <w:r>
        <w:t xml:space="preserve"> is the time for head to go from </w:t>
      </w:r>
      <w:r>
        <w:rPr>
          <w:i/>
        </w:rPr>
        <w:t>h</w:t>
      </w:r>
      <w:r>
        <w:rPr>
          <w:i/>
          <w:vertAlign w:val="subscript"/>
        </w:rPr>
        <w:t>o</w:t>
      </w:r>
      <w:r>
        <w:t xml:space="preserve"> to </w:t>
      </w:r>
      <w:r>
        <w:rPr>
          <w:i/>
        </w:rPr>
        <w:t>h</w:t>
      </w:r>
      <w:r>
        <w:t xml:space="preserve"> (T), </w:t>
      </w:r>
      <w:r>
        <w:rPr>
          <w:i/>
        </w:rPr>
        <w:t>d</w:t>
      </w:r>
      <w:r>
        <w:rPr>
          <w:i/>
          <w:vertAlign w:val="subscript"/>
        </w:rPr>
        <w:t>t</w:t>
      </w:r>
      <w:r>
        <w:t xml:space="preserve"> is the inside diameter of the falling-head tube (L), and </w:t>
      </w:r>
      <w:r>
        <w:rPr>
          <w:i/>
        </w:rPr>
        <w:t>d</w:t>
      </w:r>
      <w:r>
        <w:rPr>
          <w:i/>
          <w:vertAlign w:val="subscript"/>
        </w:rPr>
        <w:t>c</w:t>
      </w:r>
      <w:r>
        <w:t xml:space="preserve"> is the inside diameter of the sample chamber (L) </w:t>
      </w:r>
      <w:r w:rsidR="00E31339">
        <w:t>(Fetter 2001).</w:t>
      </w:r>
    </w:p>
    <w:p w:rsidR="00DD07AF" w:rsidRDefault="00DD07AF" w:rsidP="00E31339">
      <w:pPr>
        <w:pStyle w:val="BRNormal"/>
      </w:pPr>
      <w:r>
        <w:t>Air permeameter tests can be used on both consolida</w:t>
      </w:r>
      <w:r w:rsidR="00E31339">
        <w:t>ted sediments and rock samples.</w:t>
      </w:r>
      <w:r>
        <w:t xml:space="preserve"> They measure the permeability of the sample by forcing a gas through the sample and monitoring the pressures and flow rate</w:t>
      </w:r>
      <w:r w:rsidR="00E31339">
        <w:t xml:space="preserve"> (ASTM 2001). </w:t>
      </w:r>
      <w:r>
        <w:t>This is used to calculate permeability to air (</w:t>
      </w:r>
      <w:r>
        <w:rPr>
          <w:i/>
        </w:rPr>
        <w:t>k</w:t>
      </w:r>
      <w:r w:rsidRPr="0063624F">
        <w:t xml:space="preserve"> in</w:t>
      </w:r>
      <w:r>
        <w:rPr>
          <w:i/>
        </w:rPr>
        <w:t xml:space="preserve"> </w:t>
      </w:r>
      <w:r>
        <w:t>L</w:t>
      </w:r>
      <w:r>
        <w:rPr>
          <w:vertAlign w:val="superscript"/>
        </w:rPr>
        <w:t>2</w:t>
      </w:r>
      <w:r>
        <w:t>; see section 2.2.1 for relationship to hydraulic conductivity) using a modification of Darcy’s law:</w:t>
      </w:r>
    </w:p>
    <w:p w:rsidR="00DD07AF" w:rsidRPr="00E31339" w:rsidRDefault="00DD07AF" w:rsidP="00CB2FBB">
      <w:pPr>
        <w:pStyle w:val="BRNormal"/>
      </w:pPr>
      <m:oMathPara>
        <m:oMathParaPr>
          <m:jc m:val="center"/>
        </m:oMathParaPr>
        <m:oMath>
          <m:r>
            <w:rPr>
              <w:rFonts w:ascii="Cambria Math" w:hAnsi="Cambria Math"/>
            </w:rPr>
            <m:t>k</m:t>
          </m:r>
          <m:r>
            <m:rPr>
              <m:sty m:val="p"/>
            </m:rPr>
            <w:rPr>
              <w:rFonts w:ascii="Cambria Math" w:hAnsi="Cambria Math"/>
            </w:rPr>
            <m:t>=</m:t>
          </m:r>
          <m:f>
            <m:fPr>
              <m:ctrlPr>
                <w:rPr>
                  <w:rFonts w:ascii="Cambria Math" w:hAnsi="Cambria Math"/>
                </w:rPr>
              </m:ctrlPr>
            </m:fPr>
            <m:num>
              <m:d>
                <m:dPr>
                  <m:ctrlPr>
                    <w:rPr>
                      <w:rFonts w:ascii="Cambria Math" w:hAnsi="Cambria Math"/>
                    </w:rPr>
                  </m:ctrlPr>
                </m:dPr>
                <m:e>
                  <m:r>
                    <m:rPr>
                      <m:sty m:val="p"/>
                    </m:rPr>
                    <w:rPr>
                      <w:rFonts w:ascii="Cambria Math" w:hAnsi="Cambria Math"/>
                    </w:rPr>
                    <m:t>2</m:t>
                  </m:r>
                  <m:sSub>
                    <m:sSubPr>
                      <m:ctrlPr>
                        <w:rPr>
                          <w:rFonts w:ascii="Cambria Math" w:hAnsi="Cambria Math"/>
                        </w:rPr>
                      </m:ctrlPr>
                    </m:sSubPr>
                    <m:e>
                      <m:r>
                        <w:rPr>
                          <w:rFonts w:ascii="Cambria Math" w:hAnsi="Cambria Math"/>
                        </w:rPr>
                        <m:t>Q</m:t>
                      </m:r>
                    </m:e>
                    <m:sub>
                      <m:r>
                        <w:rPr>
                          <w:rFonts w:ascii="Cambria Math" w:hAnsi="Cambria Math"/>
                        </w:rPr>
                        <m:t>e</m:t>
                      </m:r>
                    </m:sub>
                  </m:sSub>
                  <m:sSub>
                    <m:sSubPr>
                      <m:ctrlPr>
                        <w:rPr>
                          <w:rFonts w:ascii="Cambria Math" w:hAnsi="Cambria Math"/>
                        </w:rPr>
                      </m:ctrlPr>
                    </m:sSubPr>
                    <m:e>
                      <m:r>
                        <w:rPr>
                          <w:rFonts w:ascii="Cambria Math" w:hAnsi="Cambria Math"/>
                        </w:rPr>
                        <m:t>P</m:t>
                      </m:r>
                    </m:e>
                    <m:sub>
                      <m:r>
                        <w:rPr>
                          <w:rFonts w:ascii="Cambria Math" w:hAnsi="Cambria Math"/>
                        </w:rPr>
                        <m:t>e</m:t>
                      </m:r>
                    </m:sub>
                  </m:sSub>
                  <m:r>
                    <w:rPr>
                      <w:rFonts w:ascii="Cambria Math" w:hAnsi="Cambria Math"/>
                    </w:rPr>
                    <m:t>μL</m:t>
                  </m:r>
                </m:e>
              </m:d>
            </m:num>
            <m:den>
              <m:d>
                <m:dPr>
                  <m:ctrlPr>
                    <w:rPr>
                      <w:rFonts w:ascii="Cambria Math" w:hAnsi="Cambria Math"/>
                    </w:rPr>
                  </m:ctrlPr>
                </m:dPr>
                <m:e>
                  <m:sSubSup>
                    <m:sSubSupPr>
                      <m:ctrlPr>
                        <w:rPr>
                          <w:rFonts w:ascii="Cambria Math" w:hAnsi="Cambria Math"/>
                        </w:rPr>
                      </m:ctrlPr>
                    </m:sSubSupPr>
                    <m:e>
                      <m:r>
                        <w:rPr>
                          <w:rFonts w:ascii="Cambria Math" w:hAnsi="Cambria Math"/>
                        </w:rPr>
                        <m:t>P</m:t>
                      </m:r>
                    </m:e>
                    <m:sub>
                      <m:r>
                        <w:rPr>
                          <w:rFonts w:ascii="Cambria Math" w:hAnsi="Cambria Math"/>
                        </w:rPr>
                        <m:t>i</m:t>
                      </m:r>
                    </m:sub>
                    <m:sup>
                      <m:r>
                        <m:rPr>
                          <m:sty m:val="p"/>
                        </m:rPr>
                        <w:rPr>
                          <w:rFonts w:ascii="Cambria Math" w:hAnsi="Cambria Math"/>
                        </w:rPr>
                        <m:t>2</m:t>
                      </m:r>
                    </m:sup>
                  </m:sSubSup>
                  <m:r>
                    <m:rPr>
                      <m:sty m:val="p"/>
                    </m:rPr>
                    <w:rPr>
                      <w:rFonts w:ascii="Cambria Math" w:hAnsi="Cambria Math"/>
                    </w:rPr>
                    <m:t>-</m:t>
                  </m:r>
                  <m:sSubSup>
                    <m:sSubSupPr>
                      <m:ctrlPr>
                        <w:rPr>
                          <w:rFonts w:ascii="Cambria Math" w:hAnsi="Cambria Math"/>
                        </w:rPr>
                      </m:ctrlPr>
                    </m:sSubSupPr>
                    <m:e>
                      <m:r>
                        <w:rPr>
                          <w:rFonts w:ascii="Cambria Math" w:hAnsi="Cambria Math"/>
                        </w:rPr>
                        <m:t>P</m:t>
                      </m:r>
                    </m:e>
                    <m:sub>
                      <m:r>
                        <w:rPr>
                          <w:rFonts w:ascii="Cambria Math" w:hAnsi="Cambria Math"/>
                        </w:rPr>
                        <m:t>e</m:t>
                      </m:r>
                    </m:sub>
                    <m:sup>
                      <m:r>
                        <m:rPr>
                          <m:sty m:val="p"/>
                        </m:rPr>
                        <w:rPr>
                          <w:rFonts w:ascii="Cambria Math" w:hAnsi="Cambria Math"/>
                        </w:rPr>
                        <m:t>2</m:t>
                      </m:r>
                    </m:sup>
                  </m:sSubSup>
                </m:e>
              </m:d>
              <m:r>
                <w:rPr>
                  <w:rFonts w:ascii="Cambria Math" w:hAnsi="Cambria Math"/>
                </w:rPr>
                <m:t>A</m:t>
              </m:r>
            </m:den>
          </m:f>
        </m:oMath>
      </m:oMathPara>
    </w:p>
    <w:p w:rsidR="00DD07AF" w:rsidRPr="0063624F" w:rsidRDefault="00DD07AF" w:rsidP="00E31339">
      <w:pPr>
        <w:pStyle w:val="BRNormal"/>
      </w:pPr>
      <w:proofErr w:type="gramStart"/>
      <w:r>
        <w:t>where</w:t>
      </w:r>
      <w:proofErr w:type="gramEnd"/>
      <w:r>
        <w:t xml:space="preserve"> </w:t>
      </w:r>
      <w:r w:rsidRPr="0063624F">
        <w:rPr>
          <w:i/>
        </w:rPr>
        <w:t>Q</w:t>
      </w:r>
      <w:r w:rsidRPr="0063624F">
        <w:rPr>
          <w:i/>
          <w:vertAlign w:val="subscript"/>
        </w:rPr>
        <w:t>e</w:t>
      </w:r>
      <w:r w:rsidRPr="0063624F">
        <w:t xml:space="preserve"> is the exit flow rate (L</w:t>
      </w:r>
      <w:r w:rsidRPr="0063624F">
        <w:rPr>
          <w:vertAlign w:val="superscript"/>
        </w:rPr>
        <w:t>3</w:t>
      </w:r>
      <w:r w:rsidRPr="0063624F">
        <w:t xml:space="preserve">/T), </w:t>
      </w:r>
      <w:r w:rsidRPr="0063624F">
        <w:rPr>
          <w:i/>
        </w:rPr>
        <w:t>P</w:t>
      </w:r>
      <w:r w:rsidRPr="0063624F">
        <w:rPr>
          <w:i/>
          <w:vertAlign w:val="subscript"/>
        </w:rPr>
        <w:t>i</w:t>
      </w:r>
      <w:r w:rsidRPr="0063624F">
        <w:t xml:space="preserve"> and </w:t>
      </w:r>
      <w:r w:rsidRPr="0063624F">
        <w:rPr>
          <w:i/>
        </w:rPr>
        <w:t>P</w:t>
      </w:r>
      <w:r w:rsidRPr="0063624F">
        <w:rPr>
          <w:i/>
          <w:vertAlign w:val="subscript"/>
        </w:rPr>
        <w:t>e</w:t>
      </w:r>
      <w:r w:rsidRPr="0063624F">
        <w:t xml:space="preserve"> are</w:t>
      </w:r>
      <w:r>
        <w:t xml:space="preserve"> the entrance and exit pressures, respectively (M/LT</w:t>
      </w:r>
      <w:r>
        <w:rPr>
          <w:vertAlign w:val="superscript"/>
        </w:rPr>
        <w:t>2</w:t>
      </w:r>
      <w:r>
        <w:t xml:space="preserve">), </w:t>
      </w:r>
      <w:r w:rsidRPr="0063624F">
        <w:rPr>
          <w:i/>
        </w:rPr>
        <w:t>L</w:t>
      </w:r>
      <w:r>
        <w:t xml:space="preserve"> is the length of the sample (L), </w:t>
      </w:r>
      <w:r w:rsidRPr="0063624F">
        <w:rPr>
          <w:i/>
        </w:rPr>
        <w:t>A</w:t>
      </w:r>
      <w:r>
        <w:t xml:space="preserve"> is the cross-sectional area (L</w:t>
      </w:r>
      <w:r>
        <w:rPr>
          <w:vertAlign w:val="superscript"/>
        </w:rPr>
        <w:t>2</w:t>
      </w:r>
      <w:r>
        <w:t xml:space="preserve">), and </w:t>
      </w:r>
      <w:r>
        <w:rPr>
          <w:i/>
        </w:rPr>
        <w:t>µ</w:t>
      </w:r>
      <w:r w:rsidR="00C2793F">
        <w:t xml:space="preserve"> is the viscosity of</w:t>
      </w:r>
      <w:r>
        <w:t xml:space="preserve"> </w:t>
      </w:r>
      <w:r w:rsidR="00E31339">
        <w:t xml:space="preserve">the air (M/LT). </w:t>
      </w:r>
      <w:r>
        <w:t>The permeability of a sample to air, or other gas, will result in a significant overestimation in comparison to estimates of water permeability</w:t>
      </w:r>
      <w:r w:rsidR="00E31339">
        <w:t xml:space="preserve"> (Klinkenberg 1941)</w:t>
      </w:r>
      <w:r>
        <w:t>. Although permeability is a function of the porous material and is independent of fluid properties, gas slippage at pore walls allows for more gas flow as compared to liquid flow. In addition, the permeability to gas flow is related to the pressure with the largest impact occurring at low pressures and the l</w:t>
      </w:r>
      <w:r w:rsidR="00E31339">
        <w:t xml:space="preserve">east impact at high pressures. </w:t>
      </w:r>
      <w:r>
        <w:t xml:space="preserve">Called the Klinkenberg </w:t>
      </w:r>
      <w:r>
        <w:lastRenderedPageBreak/>
        <w:t>effect, corrections can be made and laboratories often report ‘air permeability’ and ‘Klinkenberg corrected permeability’ or ‘equivalent liquid permeability’</w:t>
      </w:r>
      <w:r w:rsidR="00E31339">
        <w:t>.</w:t>
      </w:r>
      <w:r>
        <w:t xml:space="preserve">  </w:t>
      </w:r>
    </w:p>
    <w:p w:rsidR="00486FE8" w:rsidRDefault="00486FE8" w:rsidP="00486FE8">
      <w:pPr>
        <w:pStyle w:val="BRNormal"/>
      </w:pPr>
    </w:p>
    <w:p w:rsidR="00486FE8" w:rsidRDefault="00486FE8" w:rsidP="00486FE8">
      <w:pPr>
        <w:pStyle w:val="Body"/>
      </w:pPr>
      <w:r>
        <w:rPr>
          <w:noProof/>
          <w:lang w:val="en-AU" w:eastAsia="en-AU"/>
        </w:rPr>
        <w:drawing>
          <wp:inline distT="0" distB="0" distL="0" distR="0">
            <wp:extent cx="5686425" cy="2682181"/>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30"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pic:blipFill>
                  <pic:spPr bwMode="auto">
                    <a:xfrm>
                      <a:off x="0" y="0"/>
                      <a:ext cx="5733946" cy="2704596"/>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486FE8" w:rsidRDefault="00486FE8" w:rsidP="00486FE8">
      <w:pPr>
        <w:pStyle w:val="Caption"/>
      </w:pPr>
      <w:bookmarkStart w:id="502" w:name="_Ref332882644"/>
      <w:r w:rsidRPr="00E31339">
        <w:t xml:space="preserve">Figure </w:t>
      </w:r>
      <w:r w:rsidR="00E23933" w:rsidRPr="00E31339">
        <w:fldChar w:fldCharType="begin"/>
      </w:r>
      <w:r w:rsidRPr="00E31339">
        <w:instrText xml:space="preserve"> SEQ Figure \* ARABIC </w:instrText>
      </w:r>
      <w:r w:rsidR="00E23933" w:rsidRPr="00E31339">
        <w:fldChar w:fldCharType="separate"/>
      </w:r>
      <w:r>
        <w:t>8</w:t>
      </w:r>
      <w:r w:rsidR="00E23933" w:rsidRPr="00E31339">
        <w:fldChar w:fldCharType="end"/>
      </w:r>
      <w:bookmarkEnd w:id="502"/>
      <w:r w:rsidRPr="00E31339">
        <w:t xml:space="preserve"> </w:t>
      </w:r>
      <w:r>
        <w:t>(</w:t>
      </w:r>
      <w:r w:rsidRPr="00E31339">
        <w:t xml:space="preserve">A) Constant-head permeameter test and </w:t>
      </w:r>
      <w:r>
        <w:t>(</w:t>
      </w:r>
      <w:r w:rsidRPr="00E31339">
        <w:t>B) falling-head permeameter test (</w:t>
      </w:r>
      <w:r w:rsidR="00F976E1">
        <w:t>©</w:t>
      </w:r>
      <w:r>
        <w:t xml:space="preserve"> Copyright, </w:t>
      </w:r>
      <w:r w:rsidRPr="00E31339">
        <w:t>Fetter 2001).</w:t>
      </w:r>
    </w:p>
    <w:p w:rsidR="00486FE8" w:rsidRDefault="00486FE8" w:rsidP="00486FE8">
      <w:pPr>
        <w:pStyle w:val="BRNormal"/>
      </w:pPr>
    </w:p>
    <w:p w:rsidR="00DD07AF" w:rsidRDefault="00DD07AF" w:rsidP="00486FE8">
      <w:pPr>
        <w:pStyle w:val="BRNormal"/>
      </w:pPr>
      <w:r>
        <w:t xml:space="preserve">The accuracy of laboratory permeameter tests can be increased by conducting the experiments under </w:t>
      </w:r>
      <w:r w:rsidRPr="0045089D">
        <w:t>in situ</w:t>
      </w:r>
      <w:r w:rsidR="00B20785">
        <w:t xml:space="preserve"> effective stresses. </w:t>
      </w:r>
      <w:r>
        <w:t>Effective stress is the total stress (caused by the thickness of overburden) minus the pore water pressure at a parti</w:t>
      </w:r>
      <w:r w:rsidR="00B20785">
        <w:t xml:space="preserve">cular depth in the subsurface. </w:t>
      </w:r>
      <w:r>
        <w:t>Wright et al.</w:t>
      </w:r>
      <w:r w:rsidR="00B20785">
        <w:t xml:space="preserve"> (2002)</w:t>
      </w:r>
      <w:r>
        <w:t xml:space="preserve"> adapted a triaxial cell, </w:t>
      </w:r>
      <w:r w:rsidR="00137027">
        <w:t>an apparatus that applies stress to a core in three dimensions and</w:t>
      </w:r>
      <w:r>
        <w:t xml:space="preserve"> is able to subject a sample to its original </w:t>
      </w:r>
      <w:r w:rsidRPr="0045089D">
        <w:t>in situ</w:t>
      </w:r>
      <w:r>
        <w:t xml:space="preserve"> stresses, to measure the real hydr</w:t>
      </w:r>
      <w:r w:rsidR="00B20785">
        <w:t>aulic conductivity of a sample.</w:t>
      </w:r>
      <w:r>
        <w:t xml:space="preserve"> Permeameter tests that are not conducted at </w:t>
      </w:r>
      <w:r w:rsidRPr="0045089D">
        <w:t>in situ</w:t>
      </w:r>
      <w:r>
        <w:t xml:space="preserve"> stresses will provide estimates of hydraulic conductivity that are too high.  In addition, the drilling process can create microfractures, which may increase hydraulic conductivity, that close again when the sample is returned to its </w:t>
      </w:r>
      <w:r w:rsidRPr="0045089D">
        <w:t>in situ</w:t>
      </w:r>
      <w:r>
        <w:t xml:space="preserve"> stresses</w:t>
      </w:r>
      <w:r w:rsidR="00B20785">
        <w:t xml:space="preserve"> (Wright et al. 2002)</w:t>
      </w:r>
      <w:r>
        <w:t xml:space="preserve">. </w:t>
      </w:r>
    </w:p>
    <w:p w:rsidR="00DD07AF" w:rsidRDefault="00DD07AF" w:rsidP="00B20785">
      <w:pPr>
        <w:pStyle w:val="BRNormal"/>
      </w:pPr>
      <w:r>
        <w:t>A further development to laboratory testing for hydraulic conductivity comes from the use of c</w:t>
      </w:r>
      <w:r w:rsidR="00B20785">
        <w:t xml:space="preserve">entrifuges. </w:t>
      </w:r>
      <w:r>
        <w:t>A centrifuge permeameter uses accelerated gravity (gravity rates many time higher than normal) to drive fluid flow th</w:t>
      </w:r>
      <w:r w:rsidR="00B20785">
        <w:t>rough low-permeability samples.</w:t>
      </w:r>
      <w:r>
        <w:t xml:space="preserve"> This process allows the simulation of flow over thousands </w:t>
      </w:r>
      <w:r w:rsidR="00D04A68">
        <w:t>of years in a much shorter time</w:t>
      </w:r>
      <w:r>
        <w:t>fra</w:t>
      </w:r>
      <w:r w:rsidR="00B20785">
        <w:t xml:space="preserve">me (weeks to months). </w:t>
      </w:r>
      <w:r>
        <w:t>This advance is significant as it allows research to be conducted on very low-permeability aquitards that is not otherwise achievable on human time-scales</w:t>
      </w:r>
      <w:r w:rsidR="00B20785">
        <w:t xml:space="preserve"> (Timms &amp; Hendry 2008)</w:t>
      </w:r>
      <w:r>
        <w:t>.</w:t>
      </w:r>
    </w:p>
    <w:p w:rsidR="008E392B" w:rsidRDefault="008E392B" w:rsidP="00B20785">
      <w:pPr>
        <w:pStyle w:val="BRNormal"/>
      </w:pPr>
      <w:r w:rsidRPr="008E392B">
        <w:t xml:space="preserve">Centrifuge and pressure pulse permeameters and triaxial cell apparatus are capable </w:t>
      </w:r>
      <w:r w:rsidR="005F56D1">
        <w:t xml:space="preserve">of measuring permeability at in </w:t>
      </w:r>
      <w:r w:rsidRPr="008E392B">
        <w:t xml:space="preserve">situ pressure (Bouzalakos et al. 2013). These techniques (Timms et al. 2012) have been used in academic practice for many years (Nimmo </w:t>
      </w:r>
      <w:r w:rsidR="00B20785">
        <w:t>&amp;</w:t>
      </w:r>
      <w:r w:rsidRPr="008E392B">
        <w:t xml:space="preserve"> Mello 1991) and can now be routinely used by government organisations and the</w:t>
      </w:r>
      <w:r w:rsidR="00B20785">
        <w:t xml:space="preserve"> CSG industry in Australia (CWI</w:t>
      </w:r>
      <w:r w:rsidRPr="008E392B">
        <w:t xml:space="preserve"> 2013).</w:t>
      </w:r>
    </w:p>
    <w:p w:rsidR="00DD07AF" w:rsidRDefault="00DD07AF" w:rsidP="00B20785">
      <w:pPr>
        <w:pStyle w:val="BRNormal"/>
      </w:pPr>
      <w:r>
        <w:t>Other methods that have been developed to estimate the hydraulic permeability of porous media include high resolution X-ray tomography and mercury inject</w:t>
      </w:r>
      <w:r w:rsidR="00200ACB">
        <w:t xml:space="preserve">ion porosimetry. </w:t>
      </w:r>
      <w:r>
        <w:lastRenderedPageBreak/>
        <w:t>Piller</w:t>
      </w:r>
      <w:r w:rsidR="00CB2FBB">
        <w:t> </w:t>
      </w:r>
      <w:r>
        <w:t>et</w:t>
      </w:r>
      <w:r w:rsidR="00CB2FBB">
        <w:t> </w:t>
      </w:r>
      <w:r>
        <w:t>al.</w:t>
      </w:r>
      <w:r w:rsidR="00200ACB">
        <w:t xml:space="preserve"> (2009)</w:t>
      </w:r>
      <w:r>
        <w:t xml:space="preserve"> describe a method where X-ray tomography can be used to digitally reconstruct the 3D porous system of a small sample of reservoir rock, either from drill cuttings or side wall fragments, and used to simula</w:t>
      </w:r>
      <w:r w:rsidR="00200ACB">
        <w:t xml:space="preserve">te pore-scale flow. </w:t>
      </w:r>
      <w:r>
        <w:t>The methodology developed by Piller et al.</w:t>
      </w:r>
      <w:r w:rsidR="00200ACB">
        <w:t xml:space="preserve"> (2009)</w:t>
      </w:r>
      <w:r>
        <w:t xml:space="preserve"> allows for the identification of the principal components and direction of hydraul</w:t>
      </w:r>
      <w:r w:rsidR="00200ACB">
        <w:t>ic permeability for the sample.</w:t>
      </w:r>
      <w:r>
        <w:t xml:space="preserve"> Scanning electron microscopes (SEM) can be used to image pore spaces down to the nano-scale (1 µm </w:t>
      </w:r>
      <w:r w:rsidR="00C36BC7">
        <w:t>to 1 nm), and allow the visualis</w:t>
      </w:r>
      <w:r>
        <w:t>ation of microstructures in fine-grained rocks such as shales</w:t>
      </w:r>
      <w:r w:rsidR="00200ACB">
        <w:t xml:space="preserve"> (Josh et al. 2012).</w:t>
      </w:r>
      <w:r>
        <w:t xml:space="preserve"> Mercury injection porosimetry is a standard method used in the petroleum industry to evaluate the lithologies of reservoirs and low p</w:t>
      </w:r>
      <w:r w:rsidR="00200ACB">
        <w:t xml:space="preserve">ermeability seals (aquitards). </w:t>
      </w:r>
      <w:r>
        <w:t>The pore volume of a sample is measured by forcing mercury into the pore spaces at increasing pressures, up to ~413 MPa (mega pascal) and can be related to sample permeability through a number of models</w:t>
      </w:r>
      <w:r w:rsidR="00200ACB">
        <w:t xml:space="preserve"> (Olson &amp; Grigg 2008)</w:t>
      </w:r>
      <w:r>
        <w:t>.</w:t>
      </w:r>
    </w:p>
    <w:p w:rsidR="00DD07AF" w:rsidRDefault="00DD07AF" w:rsidP="00200ACB">
      <w:pPr>
        <w:pStyle w:val="BRNormal"/>
      </w:pPr>
      <w:r>
        <w:t>Hydraulic properties that are measured in the laboratory are useful at obtaining point values, but a</w:t>
      </w:r>
      <w:r w:rsidR="00C36BC7">
        <w:t>re less suitable for characteris</w:t>
      </w:r>
      <w:r>
        <w:t xml:space="preserve">ing </w:t>
      </w:r>
      <w:r w:rsidRPr="0045089D">
        <w:t>in situ</w:t>
      </w:r>
      <w:r>
        <w:t xml:space="preserve"> conditions where fractures and other forms of hete</w:t>
      </w:r>
      <w:r w:rsidR="00200ACB">
        <w:t xml:space="preserve">rogeneity exist. </w:t>
      </w:r>
      <w:r>
        <w:t>These heterogeneities are likely to significantly change the hydraulic conductivity measured from a core sample as compared to that occurring on a larger scale</w:t>
      </w:r>
      <w:r w:rsidR="00200ACB">
        <w:t xml:space="preserve"> (van der Kamp 2001).</w:t>
      </w:r>
      <w:r>
        <w:t xml:space="preserve"> It is thus important to use these methods in combination with field techniques, and even modelling, to determine if such heterogeneities exist.</w:t>
      </w:r>
    </w:p>
    <w:p w:rsidR="00DD07AF" w:rsidRDefault="00DD07AF" w:rsidP="00200ACB">
      <w:pPr>
        <w:pStyle w:val="BRNormal"/>
      </w:pPr>
      <w:r>
        <w:t>Keller et al.</w:t>
      </w:r>
      <w:r w:rsidR="00200ACB">
        <w:t xml:space="preserve"> (1988)</w:t>
      </w:r>
      <w:r>
        <w:t xml:space="preserve"> compared the results from field (slug) tests and laboratory (falling-head permeameter) tests and found that the field determined values of hydraulic conductivity for a till in Saskatchewan, Canada, are several orders of magnitude higher than the laboratory values due to the presenc</w:t>
      </w:r>
      <w:r w:rsidR="00065594">
        <w:t>e of interconnected fractures.</w:t>
      </w:r>
      <w:r>
        <w:t xml:space="preserve"> Hart et al.</w:t>
      </w:r>
      <w:r w:rsidR="00065594">
        <w:t xml:space="preserve"> (2006)</w:t>
      </w:r>
      <w:r>
        <w:t xml:space="preserve"> compared laboratory measurements of vertical hydraulic conductivity on core samples of a regional shale aquitard in Wisconsin, USA with the values of vertical hydraulic conductivity for the same unit in a regional scale numerical groundwater flo</w:t>
      </w:r>
      <w:r w:rsidR="00065594">
        <w:t>w model.</w:t>
      </w:r>
      <w:r>
        <w:t xml:space="preserve"> Calibration of their hydraulic heads in the numerical model required the vertical hydraulic conductivity (Kv) of the same shale aquitard to be higher by up to three orders of magnitude than the value</w:t>
      </w:r>
      <w:r w:rsidR="00065594">
        <w:t xml:space="preserve">s estimated in the laboratory. </w:t>
      </w:r>
      <w:r>
        <w:t xml:space="preserve">This was attributed to the failure of the core samples to include the effects of preferential pathways present at larger scales </w:t>
      </w:r>
      <w:r w:rsidRPr="000E491C">
        <w:t xml:space="preserve">on increasing the bulk permeability </w:t>
      </w:r>
      <w:r>
        <w:t xml:space="preserve">(cross-cutting fractures or even </w:t>
      </w:r>
      <w:r w:rsidR="00415099">
        <w:t>wells</w:t>
      </w:r>
      <w:r>
        <w:t xml:space="preserve"> c</w:t>
      </w:r>
      <w:r w:rsidR="00065594">
        <w:t xml:space="preserve">onstructed through the shale). </w:t>
      </w:r>
      <w:r>
        <w:t>Bredehoeft et al.</w:t>
      </w:r>
      <w:r w:rsidR="00065594">
        <w:t xml:space="preserve"> (1983)</w:t>
      </w:r>
      <w:r>
        <w:t xml:space="preserve"> noted the same order of difference between in situ and laboratory tests with regional numerical model estimates of permeability in the shale confining layer overlying the Dakota Sandstone aquifer because of the sam</w:t>
      </w:r>
      <w:r w:rsidR="00065594">
        <w:t xml:space="preserve">e scale-of-measurement issues. </w:t>
      </w:r>
      <w:r>
        <w:t>A limitation to resolving the hydraulic properties of aquitards using regional-scale numerical models is that the resolution is inadequate for identifying the discrete features that cause this discrepancy</w:t>
      </w:r>
      <w:r w:rsidR="00065594">
        <w:t xml:space="preserve"> (Feinstein et al. 2005; Neuzil 1986)</w:t>
      </w:r>
      <w:r>
        <w:t>. In a review of hydraulic data from published studies conducted in low permeability units around the world, Neuzil</w:t>
      </w:r>
      <w:r w:rsidR="005439AE">
        <w:t xml:space="preserve"> (1994)</w:t>
      </w:r>
      <w:r>
        <w:t xml:space="preserve"> concludes that permeability is not always scale dependent and that values of permeability may sometimes be lower than what is ty</w:t>
      </w:r>
      <w:r w:rsidR="005439AE">
        <w:t xml:space="preserve">pically assumed. </w:t>
      </w:r>
      <w:r w:rsidR="00552D5F">
        <w:t xml:space="preserve">Chen </w:t>
      </w:r>
      <w:r w:rsidR="005439AE">
        <w:t>(</w:t>
      </w:r>
      <w:r w:rsidR="00552D5F">
        <w:t>200</w:t>
      </w:r>
      <w:r w:rsidR="00164F3E">
        <w:t>0</w:t>
      </w:r>
      <w:r w:rsidR="005439AE">
        <w:t>)</w:t>
      </w:r>
      <w:r w:rsidR="00164F3E">
        <w:t xml:space="preserve"> noted that streambed hydra</w:t>
      </w:r>
      <w:r w:rsidR="00454153">
        <w:t>ulic conductivity and anisotrop</w:t>
      </w:r>
      <w:r w:rsidR="00164F3E">
        <w:t>y along or across a river channel indicated that Kh is about three to four times larges than Kv.</w:t>
      </w:r>
      <w:r w:rsidR="00552D5F">
        <w:t xml:space="preserve"> </w:t>
      </w:r>
    </w:p>
    <w:p w:rsidR="00DD07AF" w:rsidRDefault="00DD07AF" w:rsidP="005439AE">
      <w:pPr>
        <w:pStyle w:val="BRNormal"/>
      </w:pPr>
      <w:r>
        <w:t>It is common practice for most consultants to use the results of small scale te</w:t>
      </w:r>
      <w:r w:rsidR="0032170B">
        <w:t>sts (e.g. laboratory tests; DST</w:t>
      </w:r>
      <w:r>
        <w:t>s) as the formation-scale</w:t>
      </w:r>
      <w:r w:rsidR="005439AE">
        <w:t xml:space="preserve"> value of Kv for their models. </w:t>
      </w:r>
      <w:r>
        <w:t>Although in some cases this may be appropriate, in many cases it ignores the possible impact of preferential path</w:t>
      </w:r>
      <w:r w:rsidR="005439AE">
        <w:t xml:space="preserve">ways on regional values of Kv. </w:t>
      </w:r>
      <w:r>
        <w:t>The end result is that these models under-predict the potentia</w:t>
      </w:r>
      <w:r w:rsidR="005439AE">
        <w:t>l impacts of long-term pumping.</w:t>
      </w:r>
      <w:r>
        <w:t xml:space="preserve"> There is a need for better estimates of regional Kv that account for varying hydraulic properties</w:t>
      </w:r>
      <w:r w:rsidR="00BB4C11">
        <w:t xml:space="preserve"> </w:t>
      </w:r>
      <w:r w:rsidR="0032170B">
        <w:t>through upscaling and regionalis</w:t>
      </w:r>
      <w:r w:rsidR="00BB4C11">
        <w:t>ation methods</w:t>
      </w:r>
      <w:r w:rsidR="005439AE">
        <w:t xml:space="preserve">. </w:t>
      </w:r>
      <w:r w:rsidR="00BB4C11">
        <w:t>Combined with d</w:t>
      </w:r>
      <w:r w:rsidR="00BB4C11" w:rsidRPr="00BB4C11">
        <w:t>et</w:t>
      </w:r>
      <w:r w:rsidR="005439AE">
        <w:t>ailed borehole data, geological</w:t>
      </w:r>
      <w:r w:rsidR="00BB4C11" w:rsidRPr="00BB4C11">
        <w:t>/</w:t>
      </w:r>
      <w:r w:rsidR="00BB4C11">
        <w:t>geophysical models,</w:t>
      </w:r>
      <w:r w:rsidR="00BB4C11" w:rsidRPr="00BB4C11">
        <w:t xml:space="preserve"> laboratory and point scale field measurements can be used to transform data and obtain better estimates of the potential variability and uncertainty in permeability at a regional scale. This knowledge of parameter uncertainty and variability can then be considered in model uncertainty analysis.</w:t>
      </w:r>
    </w:p>
    <w:p w:rsidR="00DD07AF" w:rsidRDefault="005439AE" w:rsidP="005F6513">
      <w:pPr>
        <w:pStyle w:val="Heading3"/>
      </w:pPr>
      <w:bookmarkStart w:id="503" w:name="_Toc381961099"/>
      <w:r>
        <w:lastRenderedPageBreak/>
        <w:t>Surface o</w:t>
      </w:r>
      <w:r w:rsidR="00DD07AF">
        <w:t>bservations</w:t>
      </w:r>
      <w:bookmarkEnd w:id="503"/>
    </w:p>
    <w:p w:rsidR="00DD07AF" w:rsidRDefault="00DD07AF" w:rsidP="005439AE">
      <w:pPr>
        <w:pStyle w:val="BRNormal"/>
      </w:pPr>
      <w:r>
        <w:t>One of the limitations to the measurement of aquifer connectivity arises from the inability to directly observe the subsurface other than at discrete</w:t>
      </w:r>
      <w:r w:rsidR="005439AE">
        <w:t xml:space="preserve"> points/lines (e.g. boreholes).</w:t>
      </w:r>
      <w:r>
        <w:t xml:space="preserve"> In some cases, the aquifers and aquitards of interest may be directly observable at surface where they</w:t>
      </w:r>
      <w:r w:rsidR="006F0FDA">
        <w:t xml:space="preserve"> outcrop and along quarry walls</w:t>
      </w:r>
      <w:r>
        <w:t xml:space="preserve"> or in the sub</w:t>
      </w:r>
      <w:r w:rsidR="005439AE">
        <w:t>surface in mines.</w:t>
      </w:r>
      <w:r>
        <w:t xml:space="preserve"> In these cases it is possible to make observations on the lithology, stratigraphy, structure, thickness and continuity of the geological material at a larger scale.  </w:t>
      </w:r>
    </w:p>
    <w:p w:rsidR="00DD07AF" w:rsidRDefault="00DD07AF" w:rsidP="005439AE">
      <w:pPr>
        <w:pStyle w:val="BRNormal"/>
      </w:pPr>
      <w:r>
        <w:t xml:space="preserve">Lithology is </w:t>
      </w:r>
      <w:r w:rsidRPr="00CB657D">
        <w:t>the physical m</w:t>
      </w:r>
      <w:r>
        <w:t>akeup of the sediments or rocks and includes the</w:t>
      </w:r>
      <w:r w:rsidRPr="00CB657D">
        <w:t xml:space="preserve"> mineral c</w:t>
      </w:r>
      <w:r w:rsidR="005439AE">
        <w:t>omposition, grain size, texture</w:t>
      </w:r>
      <w:r w:rsidRPr="00CB657D">
        <w:t xml:space="preserve"> </w:t>
      </w:r>
      <w:r>
        <w:t xml:space="preserve">and </w:t>
      </w:r>
      <w:r w:rsidRPr="00CB657D">
        <w:t>packing</w:t>
      </w:r>
      <w:r w:rsidR="005439AE">
        <w:t>.</w:t>
      </w:r>
      <w:r>
        <w:t xml:space="preserve"> Lithology is what determines how permeable a particular unit is to groundwater flow. For example, a clay unit will be much less permeable to flo</w:t>
      </w:r>
      <w:r w:rsidR="005439AE">
        <w:t xml:space="preserve">w than a sand or gravel layer. </w:t>
      </w:r>
      <w:r>
        <w:t>Stratigraphy is the geometry and age relation</w:t>
      </w:r>
      <w:r w:rsidR="005439AE">
        <w:t xml:space="preserve">ship of the geologic material. </w:t>
      </w:r>
      <w:r>
        <w:t>It is this relationship between layers of differing lithology that give rise to layered syst</w:t>
      </w:r>
      <w:r w:rsidR="005439AE">
        <w:t xml:space="preserve">ems of aquifers and aquitards. </w:t>
      </w:r>
      <w:r>
        <w:t xml:space="preserve">Structure refers to features such as fractures, faults and folds </w:t>
      </w:r>
      <w:r w:rsidR="006F0FDA">
        <w:t>that</w:t>
      </w:r>
      <w:r>
        <w:t xml:space="preserve"> can dist</w:t>
      </w:r>
      <w:r w:rsidR="005439AE">
        <w:t xml:space="preserve">urb the original stratigraphy. </w:t>
      </w:r>
      <w:r>
        <w:t>This is particularly important in a hydrogeological context, as structures can form bar</w:t>
      </w:r>
      <w:r w:rsidR="006F0FDA">
        <w:t>riers to flow</w:t>
      </w:r>
      <w:r w:rsidR="005439AE">
        <w:t xml:space="preserve"> or enhance flow.</w:t>
      </w:r>
      <w:r>
        <w:t xml:space="preserve"> A clay unit, for example, with very low primary permeability (that based on the material properties) that is fractured, can have significant secondary permeability (that which is a</w:t>
      </w:r>
      <w:r w:rsidR="005439AE">
        <w:t xml:space="preserve">ssociated with fracture flow). </w:t>
      </w:r>
      <w:r>
        <w:t>A clay aquitard with fracture permeability can significantly increase inter-aquife</w:t>
      </w:r>
      <w:r w:rsidR="005439AE">
        <w:t>r connectivity (section 2.3.2).</w:t>
      </w:r>
      <w:r>
        <w:t xml:space="preserve"> Thickness and continuity refer to the measured thickness of a unit and whether it is continuous in the subsurface (does not thin or pinch out).  </w:t>
      </w:r>
    </w:p>
    <w:p w:rsidR="00DD07AF" w:rsidRDefault="00DD07AF" w:rsidP="005439AE">
      <w:pPr>
        <w:pStyle w:val="BRNormal"/>
      </w:pPr>
      <w:r>
        <w:t xml:space="preserve">The biggest limitation associated with the direct observation of the geological units of interest is that they need to outcrop at surface or </w:t>
      </w:r>
      <w:r w:rsidR="005439AE">
        <w:t xml:space="preserve">have been mined into at depth. </w:t>
      </w:r>
      <w:r>
        <w:t>As with the other measurement techniques, it is difficult to up-scale from outcrop scale obser</w:t>
      </w:r>
      <w:r w:rsidR="005439AE">
        <w:t>vations to regional properties.</w:t>
      </w:r>
      <w:r>
        <w:t xml:space="preserve"> In particular, observations at the surface may </w:t>
      </w:r>
      <w:r w:rsidR="005439AE">
        <w:t>not extend into the subsurface.</w:t>
      </w:r>
      <w:r>
        <w:t xml:space="preserve"> Fractures observed in outcrop may or may not occur in the subsurface, or may not be hydra</w:t>
      </w:r>
      <w:r w:rsidR="005439AE">
        <w:t xml:space="preserve">ulically active (carry water). </w:t>
      </w:r>
      <w:r w:rsidR="00254008">
        <w:t>The size and spacing of fractures typically decreases with de</w:t>
      </w:r>
      <w:r w:rsidR="009D4DA8">
        <w:t xml:space="preserve">pth as </w:t>
      </w:r>
      <w:r w:rsidR="00254008">
        <w:t>stresses increase</w:t>
      </w:r>
      <w:r w:rsidR="009D4DA8">
        <w:t>, making it nearly impossible to estimate the likelihood of active fractures in the subsurface based</w:t>
      </w:r>
      <w:r w:rsidR="005439AE">
        <w:t xml:space="preserve"> on outcrop observations alone.</w:t>
      </w:r>
      <w:r w:rsidR="009D4DA8">
        <w:t xml:space="preserve"> </w:t>
      </w:r>
      <w:r>
        <w:t>It is</w:t>
      </w:r>
      <w:r w:rsidR="009D4DA8">
        <w:t>, however,</w:t>
      </w:r>
      <w:r>
        <w:t xml:space="preserve"> possible to extend surface observations into the subsurface by applying these techniques to core </w:t>
      </w:r>
      <w:r w:rsidR="005439AE">
        <w:t>samples obtained from drilling.</w:t>
      </w:r>
      <w:r>
        <w:t xml:space="preserve"> In the absence of surface observations, core samples are the only source of direct observation but are limited by the small scale of the sample.</w:t>
      </w:r>
    </w:p>
    <w:p w:rsidR="00DD07AF" w:rsidRDefault="005439AE" w:rsidP="005F6513">
      <w:pPr>
        <w:pStyle w:val="Heading3"/>
      </w:pPr>
      <w:bookmarkStart w:id="504" w:name="_Toc381961100"/>
      <w:r>
        <w:t>Geophysical m</w:t>
      </w:r>
      <w:r w:rsidR="00DD07AF">
        <w:t>ethods</w:t>
      </w:r>
      <w:bookmarkEnd w:id="504"/>
    </w:p>
    <w:p w:rsidR="00DD07AF" w:rsidRPr="00206567" w:rsidRDefault="00DD07AF" w:rsidP="005439AE">
      <w:pPr>
        <w:pStyle w:val="BRNormal"/>
      </w:pPr>
      <w:r w:rsidRPr="00206567">
        <w:t>Geophysical methods can be used to indirectly measure the nature of s</w:t>
      </w:r>
      <w:r w:rsidR="005439AE">
        <w:t>ubsurface geological materials.</w:t>
      </w:r>
      <w:r w:rsidRPr="00206567">
        <w:t xml:space="preserve"> It may be possible to determine the depth to the water table, salinity, location of subsurface faults, depth to basement, thickness and extent of various subsurface bodies (</w:t>
      </w:r>
      <w:r>
        <w:t>e.g.</w:t>
      </w:r>
      <w:r w:rsidR="005439AE">
        <w:t xml:space="preserve"> clay lenses, gravel beds). </w:t>
      </w:r>
      <w:r w:rsidRPr="00206567">
        <w:t>A contrast in physical properties is essential for geophysics to work su</w:t>
      </w:r>
      <w:r w:rsidR="005439AE">
        <w:t xml:space="preserve">ccessfully. </w:t>
      </w:r>
      <w:r w:rsidRPr="00206567">
        <w:t xml:space="preserve">These investigations may be carried out above the land surface (airborne), on the land surface (ground) or within the subsurface via </w:t>
      </w:r>
      <w:r w:rsidR="00415099">
        <w:t xml:space="preserve">wells and </w:t>
      </w:r>
      <w:r w:rsidRPr="00206567">
        <w:t xml:space="preserve">boreholes. </w:t>
      </w:r>
    </w:p>
    <w:p w:rsidR="00DD07AF" w:rsidRDefault="00DD07AF" w:rsidP="005439AE">
      <w:pPr>
        <w:pStyle w:val="BRNormal"/>
      </w:pPr>
      <w:r>
        <w:t>The most common airborne geophysical methods, electromagnetics, radiometrics and magnetics, can be used in geological mapping, mineral exploration and groundwater surveys.  Increasingly, airborne electromagnetic (AEM) methods are applied in large-scale groundwater investigations, where the measured electrical conductivity of the ground can provide aquifer information</w:t>
      </w:r>
      <w:r w:rsidR="005439AE">
        <w:t xml:space="preserve"> (Siemon et al. 2011). </w:t>
      </w:r>
      <w:r>
        <w:t>This is based on the dependency of electrical conductivity on groundwater salinity and clay content of the subsurface, which can be used to interpret changes in water quality (salinity) and aquifer structure</w:t>
      </w:r>
      <w:r w:rsidR="005439AE">
        <w:t xml:space="preserve"> (Siemon et al. 2009). </w:t>
      </w:r>
      <w:r>
        <w:t>AEM surveys may be carried out by airplane or helicopter at survey specific heights a</w:t>
      </w:r>
      <w:r w:rsidR="005439AE">
        <w:t xml:space="preserve">nd line spacing. </w:t>
      </w:r>
      <w:r>
        <w:t xml:space="preserve">The aircraft produces an electromagnetic field that penetrates the ground, </w:t>
      </w:r>
      <w:r>
        <w:lastRenderedPageBreak/>
        <w:t>which induces a c</w:t>
      </w:r>
      <w:r w:rsidR="005439AE">
        <w:t>urrent in conductive materials.</w:t>
      </w:r>
      <w:r>
        <w:t xml:space="preserve"> This then induces a secondary electromagnetic field which is measured by a receiver pulled behind the aircraft and subsequently converted to a three-dimensional map</w:t>
      </w:r>
      <w:r w:rsidR="005439AE">
        <w:t xml:space="preserve"> (Dent 2007)</w:t>
      </w:r>
      <w:r>
        <w:t>. In order to make use of AEM data, it is necessary to have real measurements of conductivity from the subsurface (boreholes) against which the survey results can be calibrated</w:t>
      </w:r>
      <w:r w:rsidR="005439AE">
        <w:t xml:space="preserve"> (Mullen et al. 2007). </w:t>
      </w:r>
      <w:r>
        <w:t>The investigation depth of AEM surveys</w:t>
      </w:r>
      <w:r w:rsidR="008267FC">
        <w:t xml:space="preserve"> for groundwater exploration</w:t>
      </w:r>
      <w:r>
        <w:t xml:space="preserve"> ran</w:t>
      </w:r>
      <w:r w:rsidR="00807A2F">
        <w:t>ges from a few tens of met</w:t>
      </w:r>
      <w:r>
        <w:t>r</w:t>
      </w:r>
      <w:r w:rsidR="00807A2F">
        <w:t>e</w:t>
      </w:r>
      <w:r>
        <w:t>s in conductiv</w:t>
      </w:r>
      <w:r w:rsidR="00807A2F">
        <w:t>e ground to several hundred met</w:t>
      </w:r>
      <w:r>
        <w:t>r</w:t>
      </w:r>
      <w:r w:rsidR="00807A2F">
        <w:t>e</w:t>
      </w:r>
      <w:r>
        <w:t xml:space="preserve">s in resistive ground </w:t>
      </w:r>
      <w:r w:rsidR="00E23933">
        <w:fldChar w:fldCharType="begin"/>
      </w:r>
      <w:r>
        <w:instrText xml:space="preserve"> ADDIN EN.CITE &lt;EndNote&gt;&lt;Cite&gt;&lt;Author&gt;Siemon&lt;/Author&gt;&lt;Year&gt;2009&lt;/Year&gt;&lt;RecNum&gt;44&lt;/RecNum&gt;&lt;DisplayText&gt;(Siemon et al., 2009)&lt;/DisplayText&gt;&lt;record&gt;&lt;rec-number&gt;44&lt;/rec-number&gt;&lt;foreign-keys&gt;&lt;key app="EN" db-id="wa9rd29dodp0zrewxd75t9ebw0wa2psv90re"&gt;44&lt;/key&gt;&lt;/foreign-keys&gt;&lt;ref-type name="Journal Article"&gt;17&lt;/ref-type&gt;&lt;contributors&gt;&lt;authors&gt;&lt;author&gt;Siemon, Bernhard&lt;/author&gt;&lt;author&gt;Christiansen, Anders Vest&lt;/author&gt;&lt;author&gt;Auken, Esben&lt;/author&gt;&lt;/authors&gt;&lt;/contributors&gt;&lt;titles&gt;&lt;title&gt;A review of helicopter-borne electromagnetic methods for groundwater exploration&lt;/title&gt;&lt;secondary-title&gt;Near Surface Geophysics&lt;/secondary-title&gt;&lt;/titles&gt;&lt;periodical&gt;&lt;full-title&gt;Near Surface Geophysics&lt;/full-title&gt;&lt;/periodical&gt;&lt;pages&gt;629-646&lt;/pages&gt;&lt;dates&gt;&lt;year&gt;2009&lt;/year&gt;&lt;/dates&gt;&lt;urls&gt;&lt;/urls&gt;&lt;/record&gt;&lt;/Cite&gt;&lt;/EndNote&gt;</w:instrText>
      </w:r>
      <w:r w:rsidR="00E23933">
        <w:fldChar w:fldCharType="separate"/>
      </w:r>
      <w:r>
        <w:rPr>
          <w:noProof/>
        </w:rPr>
        <w:t>(</w:t>
      </w:r>
      <w:hyperlink w:anchor="_ENREF_66" w:tooltip="Siemon, 2009 #44" w:history="1">
        <w:r w:rsidR="00C26557">
          <w:rPr>
            <w:noProof/>
          </w:rPr>
          <w:t>Siemon et al. 2009</w:t>
        </w:r>
      </w:hyperlink>
      <w:r>
        <w:rPr>
          <w:noProof/>
        </w:rPr>
        <w:t>)</w:t>
      </w:r>
      <w:r w:rsidR="00E23933">
        <w:fldChar w:fldCharType="end"/>
      </w:r>
      <w:r w:rsidR="005439AE">
        <w:t xml:space="preserve">. </w:t>
      </w:r>
      <w:r>
        <w:t xml:space="preserve">AEM methods are an efficient and inexpensive way to map large areas, but because the depth of investigation </w:t>
      </w:r>
      <w:r w:rsidR="00807A2F">
        <w:t>is limited to a few hundred met</w:t>
      </w:r>
      <w:r>
        <w:t>r</w:t>
      </w:r>
      <w:r w:rsidR="00807A2F">
        <w:t>e</w:t>
      </w:r>
      <w:r>
        <w:t>s the application of the method to deep aquife</w:t>
      </w:r>
      <w:r w:rsidR="005439AE">
        <w:t>r connectivity is more limited.</w:t>
      </w:r>
      <w:r>
        <w:t xml:space="preserve"> It may be used</w:t>
      </w:r>
      <w:r w:rsidR="000463E7">
        <w:t xml:space="preserve"> for cross-referencing with other geophysical methods and, </w:t>
      </w:r>
      <w:r>
        <w:t>in combination with other hydrogeological methods, to infer aquifer connectivity</w:t>
      </w:r>
      <w:r w:rsidR="008267FC">
        <w:t xml:space="preserve"> based on salinity distribution, </w:t>
      </w:r>
      <w:r>
        <w:t>for the identification of flow pathways</w:t>
      </w:r>
      <w:r w:rsidR="008267FC">
        <w:t xml:space="preserve">, </w:t>
      </w:r>
      <w:r w:rsidR="000463E7">
        <w:t xml:space="preserve">and </w:t>
      </w:r>
      <w:r w:rsidR="008267FC">
        <w:t xml:space="preserve">for the </w:t>
      </w:r>
      <w:r w:rsidR="000463E7">
        <w:t>partial validation of models</w:t>
      </w:r>
      <w:r>
        <w:t xml:space="preserve">.  </w:t>
      </w:r>
    </w:p>
    <w:p w:rsidR="004E179A" w:rsidRDefault="00DD07AF" w:rsidP="005439AE">
      <w:pPr>
        <w:pStyle w:val="BRNormal"/>
      </w:pPr>
      <w:r>
        <w:t>Radiometrics, or airborne gamma-ray spectrometry, which measures the gamma-rays naturally emitted from rocks and weathered material at the surface, is limited to the top 30</w:t>
      </w:r>
      <w:r w:rsidR="004E179A">
        <w:t> </w:t>
      </w:r>
      <w:r>
        <w:t>cm of the ground surface</w:t>
      </w:r>
      <w:r w:rsidR="005439AE">
        <w:t xml:space="preserve"> (Wilford 2002)</w:t>
      </w:r>
      <w:r>
        <w:t xml:space="preserve"> and is therefore not useful in inte</w:t>
      </w:r>
      <w:r w:rsidR="005439AE">
        <w:t xml:space="preserve">rpreting aquifer connectivity. </w:t>
      </w:r>
    </w:p>
    <w:p w:rsidR="00DD07AF" w:rsidRDefault="00DD07AF" w:rsidP="005439AE">
      <w:pPr>
        <w:pStyle w:val="BRNormal"/>
      </w:pPr>
      <w:r>
        <w:t xml:space="preserve">Airborne magnetic methods rely on the anomalies that magnetic materials in the crust create </w:t>
      </w:r>
      <w:r w:rsidR="005439AE">
        <w:t xml:space="preserve">in the earth’s magnetic field. </w:t>
      </w:r>
      <w:r>
        <w:t>Sedimentary rocks are typically non-magnetic, so this method is most useful at determining the depth to basement rocks</w:t>
      </w:r>
      <w:r w:rsidR="005439AE">
        <w:t xml:space="preserve"> (Fetter 2001). </w:t>
      </w:r>
      <w:r>
        <w:t>The magnetic field is measured using a total field magnetometer, which can be mounted</w:t>
      </w:r>
      <w:r w:rsidR="005439AE">
        <w:t xml:space="preserve"> on an airplane or helicopter. </w:t>
      </w:r>
      <w:r>
        <w:t>It is also possible to obtain magnetic data at ground surface</w:t>
      </w:r>
      <w:r w:rsidR="005439AE">
        <w:t xml:space="preserve"> (Brodie 2002)</w:t>
      </w:r>
      <w:r>
        <w:t>. In hydrogeology, this can be very useful at determining the bottom of a sedimentary aquifer o</w:t>
      </w:r>
      <w:r w:rsidR="005439AE">
        <w:t xml:space="preserve">r aquitard. </w:t>
      </w:r>
      <w:r>
        <w:t>Although this may not directly provide information on aquifer connectivity, this type of information helps formulate a more complete picture of the hydrogeological system of interest.</w:t>
      </w:r>
    </w:p>
    <w:p w:rsidR="00DD07AF" w:rsidRDefault="00DD07AF" w:rsidP="005439AE">
      <w:pPr>
        <w:pStyle w:val="BRNormal"/>
        <w:rPr>
          <w:rFonts w:cstheme="minorHAnsi"/>
        </w:rPr>
      </w:pPr>
      <w:r>
        <w:t>Surface geophysical methods available include electrical resistivity, electromagneti</w:t>
      </w:r>
      <w:r w:rsidR="005439AE">
        <w:t xml:space="preserve">c, seismic, radar and gravity. </w:t>
      </w:r>
      <w:r>
        <w:t>Many of these geophysical methods involve introducing some perturbation into the subsurf</w:t>
      </w:r>
      <w:r w:rsidR="005439AE">
        <w:t>ace and measuring the response.</w:t>
      </w:r>
      <w:r>
        <w:t xml:space="preserve"> In electrical resistivity surveys, a direct current is introduced into the ground by two metal electrodes and the resulting voltage in the ground is measured between two additional el</w:t>
      </w:r>
      <w:r w:rsidR="005439AE">
        <w:t>ectrodes at some distance away.</w:t>
      </w:r>
      <w:r>
        <w:t xml:space="preserve"> It is possible to calculate the resistivity of earth materials between the electrodes based on the known current flowing through the ground and the voltage diff</w:t>
      </w:r>
      <w:r w:rsidR="005439AE">
        <w:t xml:space="preserve">erence between the electrodes. </w:t>
      </w:r>
      <w:r>
        <w:t xml:space="preserve">The depth of investigation depends on the spacing of the two pairs of electrodes, the wider </w:t>
      </w:r>
      <w:r w:rsidR="00A270E4">
        <w:t xml:space="preserve">apart, the deeper the profile. </w:t>
      </w:r>
      <w:r>
        <w:t>The wide range in resistivity of earth materials (10</w:t>
      </w:r>
      <w:r>
        <w:rPr>
          <w:vertAlign w:val="superscript"/>
        </w:rPr>
        <w:t>-6</w:t>
      </w:r>
      <w:r>
        <w:t xml:space="preserve"> </w:t>
      </w:r>
      <w:r>
        <w:rPr>
          <w:rFonts w:cstheme="minorHAnsi"/>
        </w:rPr>
        <w:t xml:space="preserve">Ω.m for graphite to </w:t>
      </w:r>
      <w:r w:rsidRPr="001A57B8">
        <w:rPr>
          <w:rFonts w:cstheme="minorHAnsi"/>
        </w:rPr>
        <w:t>10</w:t>
      </w:r>
      <w:r w:rsidRPr="002B29C1">
        <w:rPr>
          <w:rFonts w:cstheme="minorHAnsi"/>
          <w:vertAlign w:val="superscript"/>
        </w:rPr>
        <w:t>12</w:t>
      </w:r>
      <w:r>
        <w:rPr>
          <w:rFonts w:cstheme="minorHAnsi"/>
        </w:rPr>
        <w:t xml:space="preserve"> </w:t>
      </w:r>
      <w:r w:rsidRPr="001A57B8">
        <w:rPr>
          <w:rFonts w:cstheme="minorHAnsi"/>
        </w:rPr>
        <w:t>Ω</w:t>
      </w:r>
      <w:r>
        <w:rPr>
          <w:rFonts w:cstheme="minorHAnsi"/>
        </w:rPr>
        <w:t>.m for quartzite) makes it possible to identify changes in material and the variable resistivity of water (saline water is less resistive than fresh) make it possible to identify areas of fresh versus saline water</w:t>
      </w:r>
      <w:r w:rsidR="00A8346E">
        <w:rPr>
          <w:rFonts w:cstheme="minorHAnsi"/>
        </w:rPr>
        <w:t xml:space="preserve"> (Fetter 2001)</w:t>
      </w:r>
      <w:r w:rsidR="00A270E4">
        <w:rPr>
          <w:rFonts w:cstheme="minorHAnsi"/>
        </w:rPr>
        <w:t xml:space="preserve">. </w:t>
      </w:r>
      <w:r w:rsidR="00A8346E">
        <w:rPr>
          <w:rFonts w:cstheme="minorHAnsi"/>
        </w:rPr>
        <w:t>This is a cost-</w:t>
      </w:r>
      <w:r w:rsidR="009A11C8">
        <w:rPr>
          <w:rFonts w:cstheme="minorHAnsi"/>
        </w:rPr>
        <w:t xml:space="preserve">effective and relatively easy way of obtaining detailed geological information from the subsurface.  </w:t>
      </w:r>
    </w:p>
    <w:p w:rsidR="00DD07AF" w:rsidRDefault="00DD07AF" w:rsidP="00A270E4">
      <w:pPr>
        <w:pStyle w:val="BRNormal"/>
      </w:pPr>
      <w:r>
        <w:t>In electromagnetic methods a magnetic field is generated by a transmitter coil, which induces an electrical field in the earth that is subsequent</w:t>
      </w:r>
      <w:r w:rsidR="00A270E4">
        <w:t xml:space="preserve">ly measured by a passive coil. </w:t>
      </w:r>
      <w:r>
        <w:t>The conductivity of the ground will impact the strength with which the electrical f</w:t>
      </w:r>
      <w:r w:rsidR="00A270E4">
        <w:t xml:space="preserve">ield moves through the ground. </w:t>
      </w:r>
      <w:r>
        <w:t>The depth of investigation depends on the type</w:t>
      </w:r>
      <w:r w:rsidR="00A8346E">
        <w:t xml:space="preserve"> of electromagnetic method used</w:t>
      </w:r>
      <w:r>
        <w:t xml:space="preserve"> an</w:t>
      </w:r>
      <w:r w:rsidR="00A8346E">
        <w:t xml:space="preserve">d varies from less than </w:t>
      </w:r>
      <w:r w:rsidR="00F20A3D">
        <w:t>10 m</w:t>
      </w:r>
      <w:r w:rsidR="00A8346E">
        <w:t xml:space="preserve"> to a couple hundred met</w:t>
      </w:r>
      <w:r>
        <w:t>r</w:t>
      </w:r>
      <w:r w:rsidR="00A8346E">
        <w:t>e</w:t>
      </w:r>
      <w:r>
        <w:t>s</w:t>
      </w:r>
      <w:r w:rsidR="00A270E4">
        <w:t xml:space="preserve"> (Fetter 2001)</w:t>
      </w:r>
      <w:r>
        <w:t>.</w:t>
      </w:r>
    </w:p>
    <w:p w:rsidR="00DD07AF" w:rsidRDefault="00DD07AF" w:rsidP="00A270E4">
      <w:pPr>
        <w:pStyle w:val="BRNormal"/>
      </w:pPr>
      <w:r>
        <w:t xml:space="preserve">Seismic methods employ an artificially produced seismic wave </w:t>
      </w:r>
      <w:r w:rsidR="0050190B">
        <w:t>that</w:t>
      </w:r>
      <w:r>
        <w:t xml:space="preserve"> may be used to determine the depth to bedrock, depth to the water table, general lithology, struc</w:t>
      </w:r>
      <w:r w:rsidR="00A270E4">
        <w:t>tural and formation boundaries.</w:t>
      </w:r>
      <w:r>
        <w:t xml:space="preserve"> The energy source used to produce the seismic wave may vary from a sledgehammer struck on a steel plate on the ground surface, good for shallow investigations less than 15 m, to explosives </w:t>
      </w:r>
      <w:r w:rsidR="0050190B">
        <w:t>that</w:t>
      </w:r>
      <w:r>
        <w:t xml:space="preserve"> are used for investig</w:t>
      </w:r>
      <w:r w:rsidR="003E23B0">
        <w:t>ation depths greater than 30 m.</w:t>
      </w:r>
      <w:r>
        <w:t xml:space="preserve"> The </w:t>
      </w:r>
      <w:r>
        <w:lastRenderedPageBreak/>
        <w:t xml:space="preserve">arrival time of the seismic wave back at surface is recorded by a line of geophones extending away from the source </w:t>
      </w:r>
      <w:r w:rsidR="003E23B0">
        <w:t xml:space="preserve">and recorded by a seismograph. </w:t>
      </w:r>
      <w:r>
        <w:t>The arrival time of the seismic wave at different distances from the source can detect the depth to various features</w:t>
      </w:r>
      <w:r w:rsidR="003E23B0">
        <w:t xml:space="preserve"> (Fetter 2001)</w:t>
      </w:r>
      <w:r>
        <w:t>.  The investigation depth depends on the purpose of the study and the setup of the seismic surv</w:t>
      </w:r>
      <w:r w:rsidR="0050190B">
        <w:t>ey</w:t>
      </w:r>
      <w:r>
        <w:t xml:space="preserve"> and may focus on near-surface structures or can</w:t>
      </w:r>
      <w:r w:rsidR="00807A2F">
        <w:t xml:space="preserve"> penetrate many hundreds of met</w:t>
      </w:r>
      <w:r>
        <w:t>r</w:t>
      </w:r>
      <w:r w:rsidR="00807A2F">
        <w:t>e</w:t>
      </w:r>
      <w:r>
        <w:t xml:space="preserve">s </w:t>
      </w:r>
      <w:r w:rsidR="002022F4">
        <w:t>(Drummond 2002)</w:t>
      </w:r>
      <w:r>
        <w:t>.</w:t>
      </w:r>
    </w:p>
    <w:p w:rsidR="00DD07AF" w:rsidRDefault="00DD07AF" w:rsidP="002022F4">
      <w:pPr>
        <w:pStyle w:val="BRNormal"/>
      </w:pPr>
      <w:r>
        <w:t>Radar methods, typically called ground penetrating radar (GPR), use repetitive pulses of electromagnetic waves transmitted into the ground at frequenci</w:t>
      </w:r>
      <w:r w:rsidR="002022F4">
        <w:t>es ranging from 10 to 1000</w:t>
      </w:r>
      <w:r w:rsidR="0050190B">
        <w:t> </w:t>
      </w:r>
      <w:r w:rsidR="002022F4">
        <w:t>MHz.</w:t>
      </w:r>
      <w:r>
        <w:t xml:space="preserve"> Interfaces between differing materials will cause the waves </w:t>
      </w:r>
      <w:r w:rsidR="00E94250">
        <w:t>to be reflected back to surface</w:t>
      </w:r>
      <w:r>
        <w:t xml:space="preserve"> and can be used to interpret changes in strata, depth to the water tab</w:t>
      </w:r>
      <w:r w:rsidR="002022F4">
        <w:t xml:space="preserve">le, detect voids and cavities. </w:t>
      </w:r>
      <w:r>
        <w:t>The GPR system is pulled along the surface of the ground and it has antennae that both send out the signal and</w:t>
      </w:r>
      <w:r w:rsidR="002022F4">
        <w:t xml:space="preserve"> receive the reflected pulse. </w:t>
      </w:r>
      <w:r>
        <w:t xml:space="preserve">Lower frequency waves can penetrate deeper into the subsurface but </w:t>
      </w:r>
      <w:r w:rsidR="00E94250">
        <w:t>at the cost of lower resolution, and</w:t>
      </w:r>
      <w:r>
        <w:t xml:space="preserve"> higher frequency waves do not go as deep but with higher resolution, with a maxim</w:t>
      </w:r>
      <w:r w:rsidR="00807A2F">
        <w:t>um investigation of tens of met</w:t>
      </w:r>
      <w:r>
        <w:t>r</w:t>
      </w:r>
      <w:r w:rsidR="00807A2F">
        <w:t>e</w:t>
      </w:r>
      <w:r>
        <w:t>s</w:t>
      </w:r>
      <w:r w:rsidR="002022F4">
        <w:t xml:space="preserve"> (Griffin &amp; Pippett 2002)</w:t>
      </w:r>
      <w:r w:rsidR="008E3C5C">
        <w:t xml:space="preserve">. </w:t>
      </w:r>
      <w:r>
        <w:t>GPR is valued for its ability to produce a continuous profile of the subsurface</w:t>
      </w:r>
      <w:r w:rsidR="008E3C5C">
        <w:t xml:space="preserve"> (Fetter 2001)</w:t>
      </w:r>
      <w:r>
        <w:t>.</w:t>
      </w:r>
      <w:r w:rsidR="008E3C5C">
        <w:t xml:space="preserve"> </w:t>
      </w:r>
      <w:r w:rsidR="00993361">
        <w:t>GPR is useful for shallow alluvium, shallow bedrock and water table imaging.</w:t>
      </w:r>
    </w:p>
    <w:p w:rsidR="00DD07AF" w:rsidRDefault="00DD07AF" w:rsidP="008E3C5C">
      <w:pPr>
        <w:pStyle w:val="BRNormal"/>
      </w:pPr>
      <w:r>
        <w:t>Gravity surveys are the most passive of t</w:t>
      </w:r>
      <w:r w:rsidR="008E3C5C">
        <w:t>he surface geophysical methods.</w:t>
      </w:r>
      <w:r>
        <w:t xml:space="preserve"> They measure changes in the gravitational attraction of the earth caused by local variations in the density of the rock </w:t>
      </w:r>
      <w:r w:rsidR="008E3C5C">
        <w:t xml:space="preserve">beneath the measurement point. </w:t>
      </w:r>
      <w:r>
        <w:t xml:space="preserve">Gravity measurements must be corrected for latitude, elevation, </w:t>
      </w:r>
      <w:r w:rsidR="008E3C5C">
        <w:t xml:space="preserve">topography and tidal effects. </w:t>
      </w:r>
      <w:r>
        <w:t>The results, provided a strong density contrast exists, may be useful at determining the depth to bedrock and identifying subsurface features such as old river channels</w:t>
      </w:r>
      <w:r w:rsidR="008E3C5C">
        <w:t xml:space="preserve"> (Tracy &amp; Direen 2002; Fetter 2001)</w:t>
      </w:r>
      <w:r>
        <w:t>.</w:t>
      </w:r>
    </w:p>
    <w:p w:rsidR="00DD07AF" w:rsidRDefault="00DD07AF" w:rsidP="008E3C5C">
      <w:pPr>
        <w:pStyle w:val="BRNormal"/>
      </w:pPr>
      <w:r>
        <w:t xml:space="preserve">Finally, subsurface geophysical methods, generally called geophysical </w:t>
      </w:r>
      <w:r w:rsidR="00415099">
        <w:t>downhole</w:t>
      </w:r>
      <w:r>
        <w:t xml:space="preserve"> logging, are useful in groundwater investigation</w:t>
      </w:r>
      <w:r w:rsidR="00E94250">
        <w:t>s</w:t>
      </w:r>
      <w:r>
        <w:t xml:space="preserve"> because they can delineate aquifers and producing zones (hi</w:t>
      </w:r>
      <w:r w:rsidR="008E3C5C">
        <w:t xml:space="preserve">gh porosity and permeability). </w:t>
      </w:r>
      <w:r>
        <w:t>In geophysical logging the geological material surroundi</w:t>
      </w:r>
      <w:r w:rsidR="00C36BC7">
        <w:t>ng a borehole can be characteris</w:t>
      </w:r>
      <w:r>
        <w:t>ed by measuring a vari</w:t>
      </w:r>
      <w:r w:rsidR="00E94250">
        <w:t>ety of physical properties that</w:t>
      </w:r>
      <w:r>
        <w:t xml:space="preserve"> provide information on the composition, chemistry, variability and physical properties of the material </w:t>
      </w:r>
      <w:r w:rsidR="008E3C5C">
        <w:t>(Chopra et al. 2002)</w:t>
      </w:r>
      <w:r>
        <w:t>. As with the measurement of hydraulic properties in boreholes, geophysical logging results are impacted by the process of drilling, which di</w:t>
      </w:r>
      <w:r w:rsidR="008E3C5C">
        <w:t>sturbs the natural environment.</w:t>
      </w:r>
      <w:r>
        <w:t xml:space="preserve"> It is common for several complementary geoph</w:t>
      </w:r>
      <w:r w:rsidR="008E3C5C">
        <w:t>ysical logs to be run together.</w:t>
      </w:r>
      <w:r>
        <w:t xml:space="preserve"> The probes are lowered into the borehole on a cable which conveys signals from the probe back up to surface where the logging information is recorded and provide a continuous depth profile of physical properties</w:t>
      </w:r>
      <w:r w:rsidR="008E3C5C">
        <w:t xml:space="preserve"> (Fetter 2001)</w:t>
      </w:r>
      <w:r>
        <w:t>. A summary of basic information for the most commonly used logs in hydrogeology are presented in</w:t>
      </w:r>
      <w:r w:rsidR="001D3BCA">
        <w:t xml:space="preserve"> Table </w:t>
      </w:r>
      <w:r w:rsidR="008A5D76">
        <w:t>4</w:t>
      </w:r>
      <w:r w:rsidR="001D3BCA">
        <w:t>.</w:t>
      </w:r>
    </w:p>
    <w:p w:rsidR="00DD07AF" w:rsidRDefault="00DD07AF" w:rsidP="008E3C5C">
      <w:pPr>
        <w:pStyle w:val="BRNormal"/>
      </w:pPr>
      <w:r>
        <w:t>Geophysical logs can be used to document the lithology of the strata and correlate it b</w:t>
      </w:r>
      <w:r w:rsidR="008E3C5C">
        <w:t xml:space="preserve">etween neighbouring boreholes. </w:t>
      </w:r>
      <w:r>
        <w:t>They can be used to estimate hydrogeological parameters from the measured geophysical parameters (e.g. clay content, saturation, porosity) and observe geotechnical featur</w:t>
      </w:r>
      <w:r w:rsidR="008E3C5C">
        <w:t>es (</w:t>
      </w:r>
      <w:r w:rsidR="00E94250">
        <w:t xml:space="preserve">e.g. </w:t>
      </w:r>
      <w:r w:rsidR="008E3C5C">
        <w:t>bedding planes, fractures).</w:t>
      </w:r>
      <w:r>
        <w:t xml:space="preserve"> They can estimate water flux, identify saline water in the surrounding rock and measure other physico-chemi</w:t>
      </w:r>
      <w:r w:rsidR="008E3C5C">
        <w:t xml:space="preserve">cal parameters of groundwater. </w:t>
      </w:r>
      <w:r>
        <w:t>Certain log types can also be used to calibrate airborne or surface geophysical methods</w:t>
      </w:r>
      <w:r w:rsidR="008E3C5C">
        <w:t xml:space="preserve"> (BurVal Working Group 2006). </w:t>
      </w:r>
      <w:r>
        <w:t>The depth of investigation into the surrounding rock is variable but typically represe</w:t>
      </w:r>
      <w:r w:rsidR="008E3C5C">
        <w:t xml:space="preserve">nts the near-hole environment. </w:t>
      </w:r>
      <w:r>
        <w:t>The vertical depth of inspection is limited by the length of the cable supporting the p</w:t>
      </w:r>
      <w:r w:rsidR="00E94250">
        <w:t>robes and can go more than 1000 </w:t>
      </w:r>
      <w:r>
        <w:t xml:space="preserve">m deep.  </w:t>
      </w:r>
    </w:p>
    <w:p w:rsidR="00DD07AF" w:rsidRDefault="00DD07AF" w:rsidP="008E3C5C">
      <w:pPr>
        <w:pStyle w:val="BRNormal"/>
      </w:pPr>
      <w:r>
        <w:t>Geophysical methods can be a powerful tool in h</w:t>
      </w:r>
      <w:r w:rsidR="008E3C5C">
        <w:t xml:space="preserve">ydrogeological investigations. </w:t>
      </w:r>
      <w:r>
        <w:t>In the context of aquifer connectivity, various methods can provide information on lithology, stratigraphy, and structure (</w:t>
      </w:r>
      <w:r w:rsidR="00F85957">
        <w:t xml:space="preserve">e.g. </w:t>
      </w:r>
      <w:r w:rsidR="001035AE">
        <w:t>bedrock, fractures and</w:t>
      </w:r>
      <w:r>
        <w:t xml:space="preserve"> faults) all of which may inform an </w:t>
      </w:r>
      <w:r w:rsidR="008E3C5C">
        <w:t>interpretation of connectivity.</w:t>
      </w:r>
      <w:r>
        <w:t xml:space="preserve"> Information on salini</w:t>
      </w:r>
      <w:r w:rsidR="00F85957">
        <w:t>ty may be particularly useful - f</w:t>
      </w:r>
      <w:r>
        <w:t xml:space="preserve">or example, a borehole </w:t>
      </w:r>
      <w:r>
        <w:lastRenderedPageBreak/>
        <w:t>induction log that can be used to interpret groundwater salinity might be able to show vastly different salinities between two aquifers separated by an aquitard, i</w:t>
      </w:r>
      <w:r w:rsidR="008E3C5C">
        <w:t xml:space="preserve">ndicating little connectivity. </w:t>
      </w:r>
      <w:r>
        <w:t>Conversely, if similar salinities are found, this could point to higher connectivity.</w:t>
      </w:r>
    </w:p>
    <w:p w:rsidR="00DD07AF" w:rsidRDefault="00DD07AF" w:rsidP="008E3C5C">
      <w:pPr>
        <w:pStyle w:val="BRNormal"/>
      </w:pPr>
      <w:r>
        <w:t>Limitations associated with all geophysical methods are the difficulties a</w:t>
      </w:r>
      <w:r w:rsidR="008E3C5C">
        <w:t xml:space="preserve">ssociated with interpretation. </w:t>
      </w:r>
      <w:r>
        <w:t>Some of the methods require complicated mathematical procedures to convert</w:t>
      </w:r>
      <w:r w:rsidR="008E3C5C">
        <w:t xml:space="preserve"> the data into useable format. </w:t>
      </w:r>
      <w:r>
        <w:t xml:space="preserve">In many cases, particularly for airborne or surface </w:t>
      </w:r>
      <w:r w:rsidR="009078BE">
        <w:t>methods, there is little to no ‘ground truthing’</w:t>
      </w:r>
      <w:r>
        <w:t xml:space="preserve"> available to conf</w:t>
      </w:r>
      <w:r w:rsidR="008E3C5C">
        <w:t xml:space="preserve">irm interpretations. </w:t>
      </w:r>
      <w:r>
        <w:t xml:space="preserve">This is less of a problem with well logging where a lithological log may be produced from core or </w:t>
      </w:r>
      <w:r w:rsidR="008E3C5C">
        <w:t>drill cuttings during drilling.</w:t>
      </w:r>
      <w:r>
        <w:t xml:space="preserve"> Even if a feature </w:t>
      </w:r>
      <w:r w:rsidR="00F85957">
        <w:t>that</w:t>
      </w:r>
      <w:r>
        <w:t xml:space="preserve"> could increase connectivity is identified (e.g. fault, fracture), it is difficult to determine whether or not it is actually increasing </w:t>
      </w:r>
      <w:r w:rsidR="005A3281">
        <w:t xml:space="preserve">the potential </w:t>
      </w:r>
      <w:r>
        <w:t xml:space="preserve">connectivity.  </w:t>
      </w:r>
    </w:p>
    <w:p w:rsidR="00DD07AF" w:rsidRDefault="00DD07AF" w:rsidP="008E3C5C">
      <w:pPr>
        <w:pStyle w:val="BRNormal"/>
      </w:pPr>
      <w:r>
        <w:t>Wh</w:t>
      </w:r>
      <w:r w:rsidR="00F85957">
        <w:t>ile</w:t>
      </w:r>
      <w:r>
        <w:t xml:space="preserve"> airborne and surface geophysical methods can cover relatively large areas at low cost, subsurface methods are limited by the number of boreholes that can be drilled and require interpolation of properties between observations.</w:t>
      </w:r>
    </w:p>
    <w:p w:rsidR="00DD07AF" w:rsidRDefault="008E3C5C" w:rsidP="005F6513">
      <w:pPr>
        <w:pStyle w:val="Heading3"/>
      </w:pPr>
      <w:bookmarkStart w:id="505" w:name="_Toc381961101"/>
      <w:r>
        <w:t>Geochemical m</w:t>
      </w:r>
      <w:r w:rsidR="00DD07AF">
        <w:t>ethods</w:t>
      </w:r>
      <w:bookmarkEnd w:id="505"/>
    </w:p>
    <w:p w:rsidR="00DD07AF" w:rsidRDefault="00DD07AF" w:rsidP="008E3C5C">
      <w:pPr>
        <w:pStyle w:val="BRNormal"/>
      </w:pPr>
      <w:r>
        <w:t>Geochemical methods involve sampling and analysing the groundwater for various chemical constituents and using this information to i</w:t>
      </w:r>
      <w:r w:rsidR="00F85957">
        <w:t>nfer hydraulic properties (e.g.</w:t>
      </w:r>
      <w:r>
        <w:t xml:space="preserve"> hydraulic</w:t>
      </w:r>
      <w:r w:rsidR="00F85957">
        <w:t xml:space="preserve"> conductivity) and fluxes (e.g.</w:t>
      </w:r>
      <w:r>
        <w:t xml:space="preserve"> groundwater velocity) and i</w:t>
      </w:r>
      <w:r w:rsidR="008E3C5C">
        <w:t xml:space="preserve">nterpret aquifer connectivity. </w:t>
      </w:r>
      <w:r>
        <w:t>These methods generally fall into one of two categories: artific</w:t>
      </w:r>
      <w:r w:rsidR="008E3C5C">
        <w:t xml:space="preserve">ial and environmental tracers. </w:t>
      </w:r>
      <w:r>
        <w:t>The scale of investigation varies between the two methods, where artificial tr</w:t>
      </w:r>
      <w:r w:rsidR="00C36BC7">
        <w:t>acers may be used to characteris</w:t>
      </w:r>
      <w:r>
        <w:t>e local to intermediate connectivity on the o</w:t>
      </w:r>
      <w:r w:rsidR="00807A2F">
        <w:t>rder of tens to hundreds of met</w:t>
      </w:r>
      <w:r>
        <w:t>r</w:t>
      </w:r>
      <w:r w:rsidR="00807A2F">
        <w:t>e</w:t>
      </w:r>
      <w:r>
        <w:t>s, environmental tr</w:t>
      </w:r>
      <w:r w:rsidR="00C36BC7">
        <w:t>acers can be used to characteris</w:t>
      </w:r>
      <w:r>
        <w:t>e regional connectivity.</w:t>
      </w:r>
    </w:p>
    <w:p w:rsidR="00BF38D3" w:rsidRDefault="00BF38D3" w:rsidP="00BF38D3">
      <w:pPr>
        <w:pStyle w:val="BRNormal"/>
      </w:pPr>
      <w:r>
        <w:t>Artificial tracer tests involve introducing a known tracer quantity into the subsurface and observing its arrival at other points in the flow field. Many types of tracers may be used, from a variety of salts (e.g. Cl</w:t>
      </w:r>
      <w:r>
        <w:rPr>
          <w:vertAlign w:val="superscript"/>
        </w:rPr>
        <w:t>-</w:t>
      </w:r>
      <w:r>
        <w:t>, Br</w:t>
      </w:r>
      <w:r>
        <w:rPr>
          <w:vertAlign w:val="superscript"/>
        </w:rPr>
        <w:t>-</w:t>
      </w:r>
      <w:r>
        <w:t xml:space="preserve">), fluorescent and non-fluorescent dyes, stable isotopes (e.g. </w:t>
      </w:r>
      <w:r>
        <w:rPr>
          <w:vertAlign w:val="superscript"/>
        </w:rPr>
        <w:t>2</w:t>
      </w:r>
      <w:r>
        <w:t xml:space="preserve">H), </w:t>
      </w:r>
      <w:r w:rsidRPr="009821D3">
        <w:t>radioactive</w:t>
      </w:r>
      <w:r>
        <w:t xml:space="preserve"> tracers (e.g. </w:t>
      </w:r>
      <w:r>
        <w:rPr>
          <w:vertAlign w:val="superscript"/>
        </w:rPr>
        <w:t>3</w:t>
      </w:r>
      <w:r>
        <w:t>H) and microparticles. In most cases, the chosen tracers are conservative, meaning they do not interact with the subsurface material. There are two main types of artificial tracer tests, those conducted under natural gradient conditions and those where a forced gradient is imposed. With natural gradient tests the tracer is injected at very low rates, such that the natural flow field is not disrupted. The main drawbacks to this type of test is that it can take a long time for a tracer to move through the subsurface under natural conditions and because of heterogeneity, many observation points may be needed to intercept the tracer. An alternative form of the natural tracer test is the point dilution tests, where a tracer is quickly injected into a borehole and the decrease in tracer concentration due to groundwater flow is recorded in the injection well. This type of test only provides information on the formation near the well screen (Freeze &amp; Cherry 1979).</w:t>
      </w:r>
    </w:p>
    <w:p w:rsidR="007C0592" w:rsidRDefault="00BF38D3" w:rsidP="00BF38D3">
      <w:pPr>
        <w:pStyle w:val="BRNormal"/>
      </w:pPr>
      <w:r>
        <w:t xml:space="preserve">Forced gradient tracer tests involve actively disrupting the natural flow field. This can be done in a number of ways. Single borehole tests involve injecting water with a known concentration of tracer into a </w:t>
      </w:r>
      <w:r w:rsidR="007C0592">
        <w:t>well for a given amount of time</w:t>
      </w:r>
      <w:r>
        <w:t xml:space="preserve"> and then reversing the flow and pumping water back out again. Multiple borehole tests include divergent, convergent and injection-withdrawal test</w:t>
      </w:r>
      <w:r w:rsidR="007C0592">
        <w:t>s</w:t>
      </w:r>
      <w:r>
        <w:t xml:space="preserve"> </w:t>
      </w:r>
      <w:r w:rsidR="008A5D76">
        <w:t>(Figure 9</w:t>
      </w:r>
      <w:r w:rsidR="002E7ECD">
        <w:t xml:space="preserve"> (Novakowski et al. 2006)</w:t>
      </w:r>
      <w:r w:rsidR="008A5D76">
        <w:t>)</w:t>
      </w:r>
      <w:r w:rsidR="007C0592">
        <w:t>:</w:t>
      </w:r>
    </w:p>
    <w:p w:rsidR="007C0592" w:rsidRDefault="00CB2FBB" w:rsidP="007C0592">
      <w:pPr>
        <w:pStyle w:val="BRdotpoints"/>
      </w:pPr>
      <w:r>
        <w:t>d</w:t>
      </w:r>
      <w:r w:rsidR="00BF38D3">
        <w:t>ivergent tracer tests involve injecting water with a tracer into a borehole and measuring the concentration as it reac</w:t>
      </w:r>
      <w:r w:rsidR="007C0592">
        <w:t>hes an observation borehole(s)</w:t>
      </w:r>
    </w:p>
    <w:p w:rsidR="007C0592" w:rsidRDefault="00CB2FBB" w:rsidP="007C0592">
      <w:pPr>
        <w:pStyle w:val="BRdotpoints"/>
      </w:pPr>
      <w:r>
        <w:t>c</w:t>
      </w:r>
      <w:r w:rsidR="00BF38D3">
        <w:t>onvergent tracer tests involve introducing a tracer into one or more boreholes and measuring the concentration of the tracer in another,</w:t>
      </w:r>
      <w:r w:rsidR="007C0592">
        <w:t xml:space="preserve"> continuously pumped, borehole</w:t>
      </w:r>
    </w:p>
    <w:p w:rsidR="007C0592" w:rsidRDefault="00CB2FBB" w:rsidP="007C0592">
      <w:pPr>
        <w:pStyle w:val="BRdotpoints"/>
      </w:pPr>
      <w:proofErr w:type="gramStart"/>
      <w:r>
        <w:t>i</w:t>
      </w:r>
      <w:r w:rsidR="00BF38D3">
        <w:t>njection-withdrawal</w:t>
      </w:r>
      <w:proofErr w:type="gramEnd"/>
      <w:r w:rsidR="00BF38D3">
        <w:t xml:space="preserve"> tests use a pair of boreholes to establish a flow field between them </w:t>
      </w:r>
      <w:r w:rsidR="00BF38D3">
        <w:lastRenderedPageBreak/>
        <w:t xml:space="preserve">and then the tracer is injected into one borehole and monitored at the other. </w:t>
      </w:r>
    </w:p>
    <w:p w:rsidR="00BF38D3" w:rsidRDefault="00BF38D3" w:rsidP="007C0592">
      <w:pPr>
        <w:pStyle w:val="BRNormal"/>
      </w:pPr>
      <w:r>
        <w:t>These types of multiple borehole tests have been used extensively in research associated with the disposal of nuclear waste in Sweden. Löfgren et al. (2007) provide a comprehensive review of field tracer tests conducted at Swedish research sites from 1977 to 2007. Nordqvist et al. (2012) used l</w:t>
      </w:r>
      <w:r w:rsidR="007C0592">
        <w:t>arge-</w:t>
      </w:r>
      <w:r w:rsidR="00807A2F">
        <w:t>scale (several hundred met</w:t>
      </w:r>
      <w:r>
        <w:t>r</w:t>
      </w:r>
      <w:r w:rsidR="00807A2F">
        <w:t>e</w:t>
      </w:r>
      <w:r>
        <w:t>s) multi-borehole tracer experiments to verify hydraulic connectivity that had been identified using geologic and hydraulic investigations at two sites in Sweden.</w:t>
      </w:r>
    </w:p>
    <w:p w:rsidR="008A5D76" w:rsidRDefault="008A5D76" w:rsidP="00BF38D3">
      <w:pPr>
        <w:pStyle w:val="BRNormal"/>
      </w:pPr>
    </w:p>
    <w:p w:rsidR="008A5D76" w:rsidRDefault="008A5D76" w:rsidP="008A5D76">
      <w:pPr>
        <w:pStyle w:val="Body"/>
      </w:pPr>
      <w:r>
        <w:rPr>
          <w:noProof/>
          <w:lang w:val="en-AU" w:eastAsia="en-AU"/>
        </w:rPr>
        <w:drawing>
          <wp:inline distT="0" distB="0" distL="0" distR="0">
            <wp:extent cx="4991100" cy="2122563"/>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cer diagram.png"/>
                    <pic:cNvPicPr/>
                  </pic:nvPicPr>
                  <pic:blipFill rotWithShape="1">
                    <a:blip r:embed="rId3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pic:blipFill>
                  <pic:spPr bwMode="auto">
                    <a:xfrm>
                      <a:off x="0" y="0"/>
                      <a:ext cx="5000116" cy="2126397"/>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BF38D3" w:rsidRDefault="008A5D76" w:rsidP="008A5D76">
      <w:pPr>
        <w:pStyle w:val="Caption"/>
      </w:pPr>
      <w:bookmarkStart w:id="506" w:name="_Ref332882786"/>
      <w:r w:rsidRPr="00D8503B">
        <w:t xml:space="preserve">Figure </w:t>
      </w:r>
      <w:r w:rsidR="00E23933" w:rsidRPr="00D8503B">
        <w:fldChar w:fldCharType="begin"/>
      </w:r>
      <w:r w:rsidRPr="00D8503B">
        <w:instrText xml:space="preserve"> SEQ Figure \* ARABIC </w:instrText>
      </w:r>
      <w:r w:rsidR="00E23933" w:rsidRPr="00D8503B">
        <w:fldChar w:fldCharType="separate"/>
      </w:r>
      <w:r>
        <w:t>9</w:t>
      </w:r>
      <w:r w:rsidR="00E23933" w:rsidRPr="00D8503B">
        <w:fldChar w:fldCharType="end"/>
      </w:r>
      <w:bookmarkEnd w:id="506"/>
      <w:r>
        <w:t xml:space="preserve"> Plan view of flow field for a (A) divergent tracer test, (B) convergent tra</w:t>
      </w:r>
      <w:r w:rsidR="007C0592">
        <w:t>cer test and (C) injection-</w:t>
      </w:r>
      <w:r>
        <w:t>withdrawal tracer test (</w:t>
      </w:r>
      <w:r w:rsidR="00F976E1">
        <w:t>©</w:t>
      </w:r>
      <w:r w:rsidR="0097620E">
        <w:t xml:space="preserve"> Copyright, </w:t>
      </w:r>
      <w:r>
        <w:t>Novakowski et al. 2006). Equipotential lines are lines of equal hydraulic head.</w:t>
      </w:r>
    </w:p>
    <w:p w:rsidR="00DD07AF" w:rsidRDefault="00DD07AF" w:rsidP="001C3374"/>
    <w:p w:rsidR="00486FE8" w:rsidRDefault="00486FE8" w:rsidP="00486FE8">
      <w:pPr>
        <w:pStyle w:val="BRNormal"/>
      </w:pPr>
      <w:r>
        <w:t>Environmental tracers are chemicals that are already present in the subsurface. The spatial and/or temporal variability of their concentrations in groundwater is often used to determine source areas, mechanisms and rates of groundwater recharge, to estimate groundwater fluxes within and between aquifers and to provide insight to the mean residence time (or ‘apparent age’) of groundwater (</w:t>
      </w:r>
      <w:r w:rsidRPr="00967143">
        <w:t>Cook &amp; Böhlke</w:t>
      </w:r>
      <w:r>
        <w:t xml:space="preserve"> 2000).  </w:t>
      </w:r>
    </w:p>
    <w:p w:rsidR="00486FE8" w:rsidRDefault="00486FE8" w:rsidP="00486FE8">
      <w:pPr>
        <w:pStyle w:val="BRNormal"/>
      </w:pPr>
      <w:r>
        <w:t xml:space="preserve">Environmental tracers can provide useful insights into aquifer connectivity. For example, the profile of environmental tracers across an aquifer-aquitard-aquifer sequence can provide information on the large-scale and long-term transport behaviour across the formations.  Mazurek et al. (2011) used a series of tracer profiles from nine sites in central Europe to show that transport times across a clay-rich aquitard ranged from several thousand to millions of years. Environmental tracers can be either naturally occurring or the result of some anthropogenic input, such as nuclear bomb testing, and include: radioactive tracers, accumulating tracers, event markers, stable isotopes and chemical tracers. </w:t>
      </w:r>
    </w:p>
    <w:p w:rsidR="00486FE8" w:rsidRPr="00342542" w:rsidRDefault="00486FE8" w:rsidP="001C3374">
      <w:pPr>
        <w:sectPr w:rsidR="00486FE8" w:rsidRPr="00342542" w:rsidSect="004350AA">
          <w:type w:val="continuous"/>
          <w:pgSz w:w="11900" w:h="16840" w:code="9"/>
          <w:pgMar w:top="1943" w:right="1418" w:bottom="1418" w:left="1418" w:header="0" w:footer="821" w:gutter="0"/>
          <w:cols w:space="284"/>
          <w:noEndnote/>
          <w:docGrid w:linePitch="326"/>
        </w:sectPr>
      </w:pPr>
    </w:p>
    <w:p w:rsidR="00DD07AF" w:rsidRPr="008E3C5C" w:rsidRDefault="008E3C5C" w:rsidP="008E3C5C">
      <w:pPr>
        <w:pStyle w:val="Caption"/>
      </w:pPr>
      <w:bookmarkStart w:id="507" w:name="_Ref332882733"/>
      <w:r w:rsidRPr="008E3C5C">
        <w:lastRenderedPageBreak/>
        <w:t xml:space="preserve">Table </w:t>
      </w:r>
      <w:r w:rsidR="00E23933" w:rsidRPr="008E3C5C">
        <w:fldChar w:fldCharType="begin"/>
      </w:r>
      <w:r w:rsidRPr="008E3C5C">
        <w:instrText xml:space="preserve"> SEQ Table \* ARABIC </w:instrText>
      </w:r>
      <w:r w:rsidR="00E23933" w:rsidRPr="008E3C5C">
        <w:fldChar w:fldCharType="separate"/>
      </w:r>
      <w:r w:rsidR="008A5D76">
        <w:t>4</w:t>
      </w:r>
      <w:r w:rsidR="00E23933" w:rsidRPr="008E3C5C">
        <w:fldChar w:fldCharType="end"/>
      </w:r>
      <w:r>
        <w:t xml:space="preserve"> </w:t>
      </w:r>
      <w:bookmarkEnd w:id="507"/>
      <w:r w:rsidR="00DD07AF" w:rsidRPr="008E3C5C">
        <w:t>Summary of geophysical logging</w:t>
      </w:r>
      <w:r>
        <w:t xml:space="preserve"> methods used in hydrogeology. </w:t>
      </w:r>
      <w:r w:rsidR="00DD07AF" w:rsidRPr="008E3C5C">
        <w:t>Modified from</w:t>
      </w:r>
      <w:r w:rsidR="0097620E">
        <w:t xml:space="preserve"> </w:t>
      </w:r>
      <w:r w:rsidR="00F976E1">
        <w:t>©</w:t>
      </w:r>
      <w:r w:rsidR="0097620E">
        <w:t xml:space="preserve"> Copyright, </w:t>
      </w:r>
      <w:r>
        <w:t xml:space="preserve">BurVal Working Group </w:t>
      </w:r>
      <w:r w:rsidR="0097620E">
        <w:t>(</w:t>
      </w:r>
      <w:r>
        <w:t xml:space="preserve">2006) </w:t>
      </w:r>
      <w:r w:rsidR="00C148A1" w:rsidRPr="008E3C5C">
        <w:t xml:space="preserve">and </w:t>
      </w:r>
      <w:r w:rsidR="008031B1" w:rsidRPr="008E3C5C">
        <w:t>*</w:t>
      </w:r>
      <w:r>
        <w:t>Kenyon et al. 1995</w:t>
      </w:r>
      <w:r w:rsidR="008031B1" w:rsidRPr="008E3C5C">
        <w:t>.</w:t>
      </w:r>
    </w:p>
    <w:tbl>
      <w:tblPr>
        <w:tblStyle w:val="LightShading-Accent12"/>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242"/>
        <w:gridCol w:w="1985"/>
        <w:gridCol w:w="4536"/>
        <w:gridCol w:w="1559"/>
        <w:gridCol w:w="2268"/>
        <w:gridCol w:w="2410"/>
      </w:tblGrid>
      <w:tr w:rsidR="00DD07AF" w:rsidRPr="00CB2FBB" w:rsidTr="00CB2FBB">
        <w:trPr>
          <w:cnfStyle w:val="100000000000"/>
          <w:tblHeader/>
        </w:trPr>
        <w:tc>
          <w:tcPr>
            <w:cnfStyle w:val="001000000000"/>
            <w:tcW w:w="1242" w:type="dxa"/>
            <w:tcBorders>
              <w:top w:val="none" w:sz="0" w:space="0" w:color="auto"/>
              <w:left w:val="none" w:sz="0" w:space="0" w:color="auto"/>
              <w:bottom w:val="single" w:sz="4" w:space="0" w:color="auto"/>
              <w:right w:val="none" w:sz="0" w:space="0" w:color="auto"/>
            </w:tcBorders>
            <w:shd w:val="clear" w:color="auto" w:fill="C6D9F1" w:themeFill="text2" w:themeFillTint="33"/>
          </w:tcPr>
          <w:p w:rsidR="00DD07AF" w:rsidRPr="00CB2FBB" w:rsidRDefault="00DD07AF" w:rsidP="00CB2FBB">
            <w:pPr>
              <w:pStyle w:val="Tableheading"/>
            </w:pPr>
            <w:r w:rsidRPr="00CB2FBB">
              <w:t>Type</w:t>
            </w:r>
          </w:p>
        </w:tc>
        <w:tc>
          <w:tcPr>
            <w:tcW w:w="1985" w:type="dxa"/>
            <w:tcBorders>
              <w:top w:val="none" w:sz="0" w:space="0" w:color="auto"/>
              <w:left w:val="none" w:sz="0" w:space="0" w:color="auto"/>
              <w:bottom w:val="single" w:sz="4" w:space="0" w:color="auto"/>
              <w:right w:val="none" w:sz="0" w:space="0" w:color="auto"/>
            </w:tcBorders>
            <w:shd w:val="clear" w:color="auto" w:fill="C6D9F1" w:themeFill="text2" w:themeFillTint="33"/>
          </w:tcPr>
          <w:p w:rsidR="00DD07AF" w:rsidRPr="00CB2FBB" w:rsidRDefault="00CB2FBB" w:rsidP="00CB2FBB">
            <w:pPr>
              <w:pStyle w:val="Tableheading"/>
              <w:cnfStyle w:val="100000000000"/>
            </w:pPr>
            <w:r w:rsidRPr="00CB2FBB">
              <w:t>Specific l</w:t>
            </w:r>
            <w:r w:rsidR="00DD07AF" w:rsidRPr="00CB2FBB">
              <w:t>og(s)</w:t>
            </w:r>
          </w:p>
        </w:tc>
        <w:tc>
          <w:tcPr>
            <w:tcW w:w="4536" w:type="dxa"/>
            <w:tcBorders>
              <w:top w:val="none" w:sz="0" w:space="0" w:color="auto"/>
              <w:left w:val="none" w:sz="0" w:space="0" w:color="auto"/>
              <w:bottom w:val="single" w:sz="4" w:space="0" w:color="auto"/>
              <w:right w:val="none" w:sz="0" w:space="0" w:color="auto"/>
            </w:tcBorders>
            <w:shd w:val="clear" w:color="auto" w:fill="C6D9F1" w:themeFill="text2" w:themeFillTint="33"/>
          </w:tcPr>
          <w:p w:rsidR="00DD07AF" w:rsidRPr="00CB2FBB" w:rsidRDefault="00DD07AF" w:rsidP="00CB2FBB">
            <w:pPr>
              <w:pStyle w:val="Tableheading"/>
              <w:cnfStyle w:val="100000000000"/>
            </w:pPr>
            <w:r w:rsidRPr="00CB2FBB">
              <w:t>Methods</w:t>
            </w:r>
          </w:p>
        </w:tc>
        <w:tc>
          <w:tcPr>
            <w:tcW w:w="1559" w:type="dxa"/>
            <w:tcBorders>
              <w:top w:val="none" w:sz="0" w:space="0" w:color="auto"/>
              <w:left w:val="none" w:sz="0" w:space="0" w:color="auto"/>
              <w:bottom w:val="single" w:sz="4" w:space="0" w:color="auto"/>
              <w:right w:val="none" w:sz="0" w:space="0" w:color="auto"/>
            </w:tcBorders>
            <w:shd w:val="clear" w:color="auto" w:fill="C6D9F1" w:themeFill="text2" w:themeFillTint="33"/>
          </w:tcPr>
          <w:p w:rsidR="00DD07AF" w:rsidRPr="00CB2FBB" w:rsidRDefault="00CB2FBB" w:rsidP="00CB2FBB">
            <w:pPr>
              <w:pStyle w:val="Tableheading"/>
              <w:cnfStyle w:val="100000000000"/>
            </w:pPr>
            <w:r w:rsidRPr="00CB2FBB">
              <w:t>Depth of i</w:t>
            </w:r>
            <w:r w:rsidR="00DD07AF" w:rsidRPr="00CB2FBB">
              <w:t>nvestigation</w:t>
            </w:r>
          </w:p>
        </w:tc>
        <w:tc>
          <w:tcPr>
            <w:tcW w:w="2268" w:type="dxa"/>
            <w:tcBorders>
              <w:top w:val="none" w:sz="0" w:space="0" w:color="auto"/>
              <w:left w:val="none" w:sz="0" w:space="0" w:color="auto"/>
              <w:bottom w:val="single" w:sz="4" w:space="0" w:color="auto"/>
              <w:right w:val="none" w:sz="0" w:space="0" w:color="auto"/>
            </w:tcBorders>
            <w:shd w:val="clear" w:color="auto" w:fill="C6D9F1" w:themeFill="text2" w:themeFillTint="33"/>
          </w:tcPr>
          <w:p w:rsidR="00DD07AF" w:rsidRPr="00CB2FBB" w:rsidRDefault="00CB2FBB" w:rsidP="00CB2FBB">
            <w:pPr>
              <w:pStyle w:val="Tableheading"/>
              <w:cnfStyle w:val="100000000000"/>
            </w:pPr>
            <w:r w:rsidRPr="00CB2FBB">
              <w:t>Borehole c</w:t>
            </w:r>
            <w:r w:rsidR="00DD07AF" w:rsidRPr="00CB2FBB">
              <w:t>onditions</w:t>
            </w:r>
          </w:p>
        </w:tc>
        <w:tc>
          <w:tcPr>
            <w:tcW w:w="2410" w:type="dxa"/>
            <w:tcBorders>
              <w:top w:val="none" w:sz="0" w:space="0" w:color="auto"/>
              <w:left w:val="none" w:sz="0" w:space="0" w:color="auto"/>
              <w:bottom w:val="single" w:sz="4" w:space="0" w:color="auto"/>
              <w:right w:val="none" w:sz="0" w:space="0" w:color="auto"/>
            </w:tcBorders>
            <w:shd w:val="clear" w:color="auto" w:fill="C6D9F1" w:themeFill="text2" w:themeFillTint="33"/>
          </w:tcPr>
          <w:p w:rsidR="00DD07AF" w:rsidRPr="00CB2FBB" w:rsidRDefault="00DD07AF" w:rsidP="00CB2FBB">
            <w:pPr>
              <w:pStyle w:val="Tableheading"/>
              <w:cnfStyle w:val="100000000000"/>
            </w:pPr>
            <w:r w:rsidRPr="00CB2FBB">
              <w:t>Information</w:t>
            </w:r>
          </w:p>
        </w:tc>
      </w:tr>
      <w:tr w:rsidR="00CB2FBB" w:rsidRPr="00CB2FBB" w:rsidTr="00CB2FBB">
        <w:trPr>
          <w:cnfStyle w:val="000000100000"/>
        </w:trPr>
        <w:tc>
          <w:tcPr>
            <w:cnfStyle w:val="001000000000"/>
            <w:tcW w:w="1242" w:type="dxa"/>
            <w:tcBorders>
              <w:left w:val="single" w:sz="4" w:space="0" w:color="auto"/>
              <w:right w:val="single" w:sz="4" w:space="0" w:color="auto"/>
            </w:tcBorders>
            <w:shd w:val="clear" w:color="auto" w:fill="FFFFFF" w:themeFill="background1"/>
          </w:tcPr>
          <w:p w:rsidR="00DD07AF" w:rsidRPr="00B45E8E" w:rsidRDefault="00DD07AF" w:rsidP="00CB2FBB">
            <w:pPr>
              <w:pStyle w:val="Tabletext"/>
              <w:rPr>
                <w:b w:val="0"/>
              </w:rPr>
            </w:pPr>
            <w:r w:rsidRPr="00B45E8E">
              <w:rPr>
                <w:b w:val="0"/>
              </w:rPr>
              <w:t>Physical</w:t>
            </w:r>
          </w:p>
        </w:tc>
        <w:tc>
          <w:tcPr>
            <w:tcW w:w="1985" w:type="dxa"/>
            <w:tcBorders>
              <w:left w:val="single" w:sz="4" w:space="0" w:color="auto"/>
              <w:right w:val="single" w:sz="4" w:space="0" w:color="auto"/>
            </w:tcBorders>
            <w:shd w:val="clear" w:color="auto" w:fill="FFFFFF" w:themeFill="background1"/>
          </w:tcPr>
          <w:p w:rsidR="00DD07AF" w:rsidRPr="00CB2FBB" w:rsidRDefault="00DD07AF" w:rsidP="00CB2FBB">
            <w:pPr>
              <w:pStyle w:val="Tabletext"/>
              <w:cnfStyle w:val="000000100000"/>
            </w:pPr>
            <w:r w:rsidRPr="00CB2FBB">
              <w:t>Caliper</w:t>
            </w:r>
          </w:p>
        </w:tc>
        <w:tc>
          <w:tcPr>
            <w:tcW w:w="4536" w:type="dxa"/>
            <w:tcBorders>
              <w:left w:val="single" w:sz="4" w:space="0" w:color="auto"/>
              <w:right w:val="single" w:sz="4" w:space="0" w:color="auto"/>
            </w:tcBorders>
            <w:shd w:val="clear" w:color="auto" w:fill="FFFFFF" w:themeFill="background1"/>
          </w:tcPr>
          <w:p w:rsidR="00DD07AF" w:rsidRPr="00CB2FBB" w:rsidRDefault="00DD07AF" w:rsidP="00CB2FBB">
            <w:pPr>
              <w:pStyle w:val="Tabletext"/>
              <w:cnfStyle w:val="000000100000"/>
            </w:pPr>
            <w:r w:rsidRPr="00CB2FBB">
              <w:t>One to four arms with springs to hold ends against borehole walls</w:t>
            </w:r>
          </w:p>
        </w:tc>
        <w:tc>
          <w:tcPr>
            <w:tcW w:w="1559" w:type="dxa"/>
            <w:tcBorders>
              <w:left w:val="single" w:sz="4" w:space="0" w:color="auto"/>
              <w:right w:val="single" w:sz="4" w:space="0" w:color="auto"/>
            </w:tcBorders>
            <w:shd w:val="clear" w:color="auto" w:fill="FFFFFF" w:themeFill="background1"/>
          </w:tcPr>
          <w:p w:rsidR="00DD07AF" w:rsidRPr="00CB2FBB" w:rsidRDefault="00DD07AF" w:rsidP="00CB2FBB">
            <w:pPr>
              <w:pStyle w:val="Tabletext"/>
              <w:cnfStyle w:val="000000100000"/>
            </w:pPr>
            <w:r w:rsidRPr="00CB2FBB">
              <w:t>Surface</w:t>
            </w:r>
          </w:p>
        </w:tc>
        <w:tc>
          <w:tcPr>
            <w:tcW w:w="2268" w:type="dxa"/>
            <w:tcBorders>
              <w:left w:val="single" w:sz="4" w:space="0" w:color="auto"/>
              <w:right w:val="single" w:sz="4" w:space="0" w:color="auto"/>
            </w:tcBorders>
            <w:shd w:val="clear" w:color="auto" w:fill="FFFFFF" w:themeFill="background1"/>
          </w:tcPr>
          <w:p w:rsidR="00DD07AF" w:rsidRPr="00CB2FBB" w:rsidRDefault="00DD07AF" w:rsidP="00CB2FBB">
            <w:pPr>
              <w:pStyle w:val="Tabletext"/>
              <w:cnfStyle w:val="000000100000"/>
            </w:pPr>
            <w:r w:rsidRPr="00CB2FBB">
              <w:t>Open and cased holes with or without fluid</w:t>
            </w:r>
          </w:p>
        </w:tc>
        <w:tc>
          <w:tcPr>
            <w:tcW w:w="2410" w:type="dxa"/>
            <w:tcBorders>
              <w:left w:val="single" w:sz="4" w:space="0" w:color="auto"/>
              <w:right w:val="single" w:sz="4" w:space="0" w:color="auto"/>
            </w:tcBorders>
            <w:shd w:val="clear" w:color="auto" w:fill="FFFFFF" w:themeFill="background1"/>
          </w:tcPr>
          <w:p w:rsidR="00DD07AF" w:rsidRPr="00CB2FBB" w:rsidRDefault="00DD07AF" w:rsidP="00CB2FBB">
            <w:pPr>
              <w:pStyle w:val="Tabletext"/>
              <w:cnfStyle w:val="000000100000"/>
            </w:pPr>
            <w:r w:rsidRPr="00CB2FBB">
              <w:t>Borehole diameter</w:t>
            </w:r>
          </w:p>
        </w:tc>
      </w:tr>
      <w:tr w:rsidR="00CB2FBB" w:rsidRPr="00CB2FBB" w:rsidTr="00CB2FBB">
        <w:tc>
          <w:tcPr>
            <w:cnfStyle w:val="001000000000"/>
            <w:tcW w:w="1242" w:type="dxa"/>
            <w:shd w:val="clear" w:color="auto" w:fill="FFFFFF" w:themeFill="background1"/>
          </w:tcPr>
          <w:p w:rsidR="00DD07AF" w:rsidRPr="00B45E8E" w:rsidRDefault="00DD07AF" w:rsidP="00CB2FBB">
            <w:pPr>
              <w:pStyle w:val="Tabletext"/>
              <w:rPr>
                <w:b w:val="0"/>
              </w:rPr>
            </w:pPr>
            <w:r w:rsidRPr="00B45E8E">
              <w:rPr>
                <w:b w:val="0"/>
              </w:rPr>
              <w:t>Acoustic</w:t>
            </w:r>
          </w:p>
        </w:tc>
        <w:tc>
          <w:tcPr>
            <w:tcW w:w="1985" w:type="dxa"/>
            <w:shd w:val="clear" w:color="auto" w:fill="FFFFFF" w:themeFill="background1"/>
          </w:tcPr>
          <w:p w:rsidR="00DD07AF" w:rsidRPr="00CB2FBB" w:rsidRDefault="00DD07AF" w:rsidP="00CB2FBB">
            <w:pPr>
              <w:pStyle w:val="Tabletext"/>
              <w:cnfStyle w:val="000000000000"/>
            </w:pPr>
            <w:r w:rsidRPr="00CB2FBB">
              <w:t>Sonic</w:t>
            </w:r>
          </w:p>
        </w:tc>
        <w:tc>
          <w:tcPr>
            <w:tcW w:w="4536" w:type="dxa"/>
            <w:shd w:val="clear" w:color="auto" w:fill="FFFFFF" w:themeFill="background1"/>
          </w:tcPr>
          <w:p w:rsidR="00DD07AF" w:rsidRPr="00CB2FBB" w:rsidRDefault="00DD07AF" w:rsidP="00CB2FBB">
            <w:pPr>
              <w:pStyle w:val="Tabletext"/>
              <w:cnfStyle w:val="000000000000"/>
            </w:pPr>
            <w:r w:rsidRPr="00CB2FBB">
              <w:t>Determine velocity of sound in rock using ultrasound generators and receivers</w:t>
            </w:r>
          </w:p>
        </w:tc>
        <w:tc>
          <w:tcPr>
            <w:tcW w:w="1559" w:type="dxa"/>
            <w:shd w:val="clear" w:color="auto" w:fill="FFFFFF" w:themeFill="background1"/>
          </w:tcPr>
          <w:p w:rsidR="00DD07AF" w:rsidRPr="00CB2FBB" w:rsidRDefault="00DD07AF" w:rsidP="00CB2FBB">
            <w:pPr>
              <w:pStyle w:val="Tabletext"/>
              <w:cnfStyle w:val="000000000000"/>
            </w:pPr>
            <w:r w:rsidRPr="00CB2FBB">
              <w:t>1-2 cm</w:t>
            </w:r>
          </w:p>
        </w:tc>
        <w:tc>
          <w:tcPr>
            <w:tcW w:w="2268" w:type="dxa"/>
            <w:shd w:val="clear" w:color="auto" w:fill="FFFFFF" w:themeFill="background1"/>
          </w:tcPr>
          <w:p w:rsidR="00DD07AF" w:rsidRPr="00CB2FBB" w:rsidRDefault="00DD07AF" w:rsidP="00CB2FBB">
            <w:pPr>
              <w:pStyle w:val="Tabletext"/>
              <w:cnfStyle w:val="000000000000"/>
            </w:pPr>
            <w:r w:rsidRPr="00CB2FBB">
              <w:t>Open holes with fluid</w:t>
            </w:r>
          </w:p>
        </w:tc>
        <w:tc>
          <w:tcPr>
            <w:tcW w:w="2410" w:type="dxa"/>
            <w:shd w:val="clear" w:color="auto" w:fill="FFFFFF" w:themeFill="background1"/>
          </w:tcPr>
          <w:p w:rsidR="00DD07AF" w:rsidRPr="00CB2FBB" w:rsidRDefault="00DD07AF" w:rsidP="00CB2FBB">
            <w:pPr>
              <w:pStyle w:val="Tabletext"/>
              <w:cnfStyle w:val="000000000000"/>
            </w:pPr>
            <w:r w:rsidRPr="00CB2FBB">
              <w:t>Lithology (porosity)</w:t>
            </w:r>
          </w:p>
        </w:tc>
      </w:tr>
      <w:tr w:rsidR="00CB2FBB" w:rsidRPr="00CB2FBB" w:rsidTr="00CB2FBB">
        <w:trPr>
          <w:cnfStyle w:val="000000100000"/>
        </w:trPr>
        <w:tc>
          <w:tcPr>
            <w:cnfStyle w:val="001000000000"/>
            <w:tcW w:w="1242" w:type="dxa"/>
            <w:tcBorders>
              <w:left w:val="single" w:sz="4" w:space="0" w:color="auto"/>
              <w:right w:val="single" w:sz="4" w:space="0" w:color="auto"/>
            </w:tcBorders>
            <w:shd w:val="clear" w:color="auto" w:fill="FFFFFF" w:themeFill="background1"/>
          </w:tcPr>
          <w:p w:rsidR="00DD07AF" w:rsidRPr="00B45E8E" w:rsidRDefault="00DD07AF" w:rsidP="00CB2FBB">
            <w:pPr>
              <w:pStyle w:val="Tabletext"/>
              <w:rPr>
                <w:b w:val="0"/>
              </w:rPr>
            </w:pPr>
            <w:r w:rsidRPr="00B45E8E">
              <w:rPr>
                <w:b w:val="0"/>
              </w:rPr>
              <w:t>Electrical</w:t>
            </w:r>
          </w:p>
        </w:tc>
        <w:tc>
          <w:tcPr>
            <w:tcW w:w="1985" w:type="dxa"/>
            <w:tcBorders>
              <w:left w:val="single" w:sz="4" w:space="0" w:color="auto"/>
              <w:right w:val="single" w:sz="4" w:space="0" w:color="auto"/>
            </w:tcBorders>
            <w:shd w:val="clear" w:color="auto" w:fill="FFFFFF" w:themeFill="background1"/>
          </w:tcPr>
          <w:p w:rsidR="00DD07AF" w:rsidRPr="00CB2FBB" w:rsidRDefault="00DD07AF" w:rsidP="00CB2FBB">
            <w:pPr>
              <w:pStyle w:val="Tabletext"/>
              <w:cnfStyle w:val="000000100000"/>
            </w:pPr>
            <w:r w:rsidRPr="00CB2FBB">
              <w:t>Self-potential (SP)</w:t>
            </w:r>
          </w:p>
          <w:p w:rsidR="00DD07AF" w:rsidRPr="00CB2FBB" w:rsidRDefault="00DD07AF" w:rsidP="00CB2FBB">
            <w:pPr>
              <w:pStyle w:val="Tabletext"/>
              <w:cnfStyle w:val="000000100000"/>
            </w:pPr>
          </w:p>
          <w:p w:rsidR="00DD07AF" w:rsidRPr="00CB2FBB" w:rsidRDefault="00DD07AF" w:rsidP="00CB2FBB">
            <w:pPr>
              <w:pStyle w:val="Tabletext"/>
              <w:cnfStyle w:val="000000100000"/>
            </w:pPr>
            <w:r w:rsidRPr="00CB2FBB">
              <w:t>Resistivity</w:t>
            </w:r>
          </w:p>
          <w:p w:rsidR="00DD07AF" w:rsidRPr="00CB2FBB" w:rsidRDefault="00DD07AF" w:rsidP="00CB2FBB">
            <w:pPr>
              <w:pStyle w:val="Tabletext"/>
              <w:cnfStyle w:val="000000100000"/>
            </w:pPr>
          </w:p>
        </w:tc>
        <w:tc>
          <w:tcPr>
            <w:tcW w:w="4536" w:type="dxa"/>
            <w:tcBorders>
              <w:left w:val="single" w:sz="4" w:space="0" w:color="auto"/>
              <w:right w:val="single" w:sz="4" w:space="0" w:color="auto"/>
            </w:tcBorders>
            <w:shd w:val="clear" w:color="auto" w:fill="FFFFFF" w:themeFill="background1"/>
          </w:tcPr>
          <w:p w:rsidR="00DD07AF" w:rsidRPr="00CB2FBB" w:rsidRDefault="00DD07AF" w:rsidP="00CB2FBB">
            <w:pPr>
              <w:pStyle w:val="Tabletext"/>
              <w:cnfStyle w:val="000000100000"/>
            </w:pPr>
            <w:r w:rsidRPr="00CB2FBB">
              <w:t>SP measures natural electrical potential between surface and borehole</w:t>
            </w:r>
          </w:p>
          <w:p w:rsidR="00DD07AF" w:rsidRPr="00CB2FBB" w:rsidRDefault="00DD07AF" w:rsidP="00CB2FBB">
            <w:pPr>
              <w:pStyle w:val="Tabletext"/>
              <w:cnfStyle w:val="000000100000"/>
            </w:pPr>
            <w:r w:rsidRPr="00CB2FBB">
              <w:t xml:space="preserve">Constant current introduced by two electrodes; </w:t>
            </w:r>
            <w:r w:rsidR="0097620E" w:rsidRPr="00CB2FBB">
              <w:t xml:space="preserve">the </w:t>
            </w:r>
            <w:r w:rsidRPr="00CB2FBB">
              <w:t>potential measured between two other electrodes is proportional to resistivity</w:t>
            </w:r>
          </w:p>
        </w:tc>
        <w:tc>
          <w:tcPr>
            <w:tcW w:w="1559" w:type="dxa"/>
            <w:tcBorders>
              <w:left w:val="single" w:sz="4" w:space="0" w:color="auto"/>
              <w:right w:val="single" w:sz="4" w:space="0" w:color="auto"/>
            </w:tcBorders>
            <w:shd w:val="clear" w:color="auto" w:fill="FFFFFF" w:themeFill="background1"/>
          </w:tcPr>
          <w:p w:rsidR="00DD07AF" w:rsidRPr="00CB2FBB" w:rsidRDefault="00DD07AF" w:rsidP="00CB2FBB">
            <w:pPr>
              <w:pStyle w:val="Tabletext"/>
              <w:cnfStyle w:val="000000100000"/>
            </w:pPr>
            <w:r w:rsidRPr="00CB2FBB">
              <w:t>Up to 10 cm</w:t>
            </w:r>
          </w:p>
        </w:tc>
        <w:tc>
          <w:tcPr>
            <w:tcW w:w="2268" w:type="dxa"/>
            <w:tcBorders>
              <w:left w:val="single" w:sz="4" w:space="0" w:color="auto"/>
              <w:right w:val="single" w:sz="4" w:space="0" w:color="auto"/>
            </w:tcBorders>
            <w:shd w:val="clear" w:color="auto" w:fill="FFFFFF" w:themeFill="background1"/>
          </w:tcPr>
          <w:p w:rsidR="00DD07AF" w:rsidRPr="00CB2FBB" w:rsidRDefault="00DD07AF" w:rsidP="00CB2FBB">
            <w:pPr>
              <w:pStyle w:val="Tabletext"/>
              <w:cnfStyle w:val="000000100000"/>
            </w:pPr>
            <w:r w:rsidRPr="00CB2FBB">
              <w:t>Open holes with fluid</w:t>
            </w:r>
          </w:p>
        </w:tc>
        <w:tc>
          <w:tcPr>
            <w:tcW w:w="2410" w:type="dxa"/>
            <w:tcBorders>
              <w:left w:val="single" w:sz="4" w:space="0" w:color="auto"/>
              <w:right w:val="single" w:sz="4" w:space="0" w:color="auto"/>
            </w:tcBorders>
            <w:shd w:val="clear" w:color="auto" w:fill="FFFFFF" w:themeFill="background1"/>
          </w:tcPr>
          <w:p w:rsidR="00DD07AF" w:rsidRPr="00CB2FBB" w:rsidRDefault="00DD07AF" w:rsidP="00CB2FBB">
            <w:pPr>
              <w:pStyle w:val="Tabletext"/>
              <w:cnfStyle w:val="000000100000"/>
            </w:pPr>
            <w:r w:rsidRPr="00CB2FBB">
              <w:t>Lithology, calibration of surface geophysics, location of PVC screens</w:t>
            </w:r>
          </w:p>
        </w:tc>
      </w:tr>
      <w:tr w:rsidR="00CB2FBB" w:rsidRPr="00CB2FBB" w:rsidTr="00CB2FBB">
        <w:tc>
          <w:tcPr>
            <w:cnfStyle w:val="001000000000"/>
            <w:tcW w:w="1242" w:type="dxa"/>
            <w:shd w:val="clear" w:color="auto" w:fill="FFFFFF" w:themeFill="background1"/>
          </w:tcPr>
          <w:p w:rsidR="00DD07AF" w:rsidRPr="00B45E8E" w:rsidRDefault="00DD07AF" w:rsidP="00CB2FBB">
            <w:pPr>
              <w:pStyle w:val="Tabletext"/>
              <w:rPr>
                <w:b w:val="0"/>
              </w:rPr>
            </w:pPr>
            <w:r w:rsidRPr="00B45E8E">
              <w:rPr>
                <w:b w:val="0"/>
              </w:rPr>
              <w:t>Electro-magnetic</w:t>
            </w:r>
          </w:p>
        </w:tc>
        <w:tc>
          <w:tcPr>
            <w:tcW w:w="1985" w:type="dxa"/>
            <w:shd w:val="clear" w:color="auto" w:fill="FFFFFF" w:themeFill="background1"/>
          </w:tcPr>
          <w:p w:rsidR="00DD07AF" w:rsidRPr="00CB2FBB" w:rsidRDefault="00DD07AF" w:rsidP="00CB2FBB">
            <w:pPr>
              <w:pStyle w:val="Tabletext"/>
              <w:cnfStyle w:val="000000000000"/>
            </w:pPr>
            <w:r w:rsidRPr="00CB2FBB">
              <w:t>Induction</w:t>
            </w:r>
          </w:p>
          <w:p w:rsidR="00DD07AF" w:rsidRPr="00CB2FBB" w:rsidRDefault="00DD07AF" w:rsidP="00CB2FBB">
            <w:pPr>
              <w:pStyle w:val="Tabletext"/>
              <w:cnfStyle w:val="000000000000"/>
            </w:pPr>
            <w:r w:rsidRPr="00CB2FBB">
              <w:t>Susceptibility</w:t>
            </w:r>
          </w:p>
        </w:tc>
        <w:tc>
          <w:tcPr>
            <w:tcW w:w="4536" w:type="dxa"/>
            <w:shd w:val="clear" w:color="auto" w:fill="FFFFFF" w:themeFill="background1"/>
          </w:tcPr>
          <w:p w:rsidR="00DD07AF" w:rsidRPr="00CB2FBB" w:rsidRDefault="00DD07AF" w:rsidP="00CB2FBB">
            <w:pPr>
              <w:pStyle w:val="Tabletext"/>
              <w:cnfStyle w:val="000000000000"/>
            </w:pPr>
            <w:r w:rsidRPr="00CB2FBB">
              <w:t>Transmitter coil generates alternating magnetic field</w:t>
            </w:r>
            <w:r w:rsidR="0097620E" w:rsidRPr="00CB2FBB">
              <w:t>,</w:t>
            </w:r>
            <w:r w:rsidRPr="00CB2FBB">
              <w:t xml:space="preserve"> which induces electrical eddy currents that are proportional to rock conductivity</w:t>
            </w:r>
          </w:p>
        </w:tc>
        <w:tc>
          <w:tcPr>
            <w:tcW w:w="1559" w:type="dxa"/>
            <w:shd w:val="clear" w:color="auto" w:fill="FFFFFF" w:themeFill="background1"/>
          </w:tcPr>
          <w:p w:rsidR="00DD07AF" w:rsidRPr="00CB2FBB" w:rsidRDefault="00DD07AF" w:rsidP="00CB2FBB">
            <w:pPr>
              <w:pStyle w:val="Tabletext"/>
              <w:cnfStyle w:val="000000000000"/>
            </w:pPr>
            <w:r w:rsidRPr="00CB2FBB">
              <w:t>60-350 cm</w:t>
            </w:r>
          </w:p>
        </w:tc>
        <w:tc>
          <w:tcPr>
            <w:tcW w:w="2268" w:type="dxa"/>
            <w:shd w:val="clear" w:color="auto" w:fill="FFFFFF" w:themeFill="background1"/>
          </w:tcPr>
          <w:p w:rsidR="00DD07AF" w:rsidRPr="00CB2FBB" w:rsidRDefault="00DD07AF" w:rsidP="00CB2FBB">
            <w:pPr>
              <w:pStyle w:val="Tabletext"/>
              <w:cnfStyle w:val="000000000000"/>
            </w:pPr>
            <w:r w:rsidRPr="00CB2FBB">
              <w:t>Open and PVC cased holes with or without fluid</w:t>
            </w:r>
          </w:p>
        </w:tc>
        <w:tc>
          <w:tcPr>
            <w:tcW w:w="2410" w:type="dxa"/>
            <w:shd w:val="clear" w:color="auto" w:fill="FFFFFF" w:themeFill="background1"/>
          </w:tcPr>
          <w:p w:rsidR="00DD07AF" w:rsidRPr="00CB2FBB" w:rsidRDefault="00DD07AF" w:rsidP="00CB2FBB">
            <w:pPr>
              <w:pStyle w:val="Tabletext"/>
              <w:cnfStyle w:val="000000000000"/>
            </w:pPr>
            <w:r w:rsidRPr="00CB2FBB">
              <w:t>Lithology, saline water</w:t>
            </w:r>
          </w:p>
        </w:tc>
      </w:tr>
      <w:tr w:rsidR="00CB2FBB" w:rsidRPr="00CB2FBB" w:rsidTr="00CB2FBB">
        <w:trPr>
          <w:cnfStyle w:val="000000100000"/>
        </w:trPr>
        <w:tc>
          <w:tcPr>
            <w:cnfStyle w:val="001000000000"/>
            <w:tcW w:w="1242" w:type="dxa"/>
            <w:tcBorders>
              <w:left w:val="single" w:sz="4" w:space="0" w:color="auto"/>
              <w:right w:val="single" w:sz="4" w:space="0" w:color="auto"/>
            </w:tcBorders>
            <w:shd w:val="clear" w:color="auto" w:fill="FFFFFF" w:themeFill="background1"/>
          </w:tcPr>
          <w:p w:rsidR="00DD07AF" w:rsidRPr="00B45E8E" w:rsidRDefault="00DD07AF" w:rsidP="00CB2FBB">
            <w:pPr>
              <w:pStyle w:val="Tabletext"/>
              <w:rPr>
                <w:b w:val="0"/>
              </w:rPr>
            </w:pPr>
            <w:r w:rsidRPr="00B45E8E">
              <w:rPr>
                <w:b w:val="0"/>
              </w:rPr>
              <w:t>Nuclear</w:t>
            </w:r>
          </w:p>
        </w:tc>
        <w:tc>
          <w:tcPr>
            <w:tcW w:w="1985" w:type="dxa"/>
            <w:tcBorders>
              <w:left w:val="single" w:sz="4" w:space="0" w:color="auto"/>
              <w:right w:val="single" w:sz="4" w:space="0" w:color="auto"/>
            </w:tcBorders>
            <w:shd w:val="clear" w:color="auto" w:fill="FFFFFF" w:themeFill="background1"/>
          </w:tcPr>
          <w:p w:rsidR="00DD07AF" w:rsidRPr="00CB2FBB" w:rsidRDefault="00DD07AF" w:rsidP="00CB2FBB">
            <w:pPr>
              <w:pStyle w:val="Tabletext"/>
              <w:cnfStyle w:val="000000100000"/>
            </w:pPr>
            <w:r w:rsidRPr="00CB2FBB">
              <w:t>Gamma-ray</w:t>
            </w:r>
          </w:p>
          <w:p w:rsidR="00DD07AF" w:rsidRPr="00CB2FBB" w:rsidRDefault="00DD07AF" w:rsidP="00CB2FBB">
            <w:pPr>
              <w:pStyle w:val="Tabletext"/>
              <w:cnfStyle w:val="000000100000"/>
            </w:pPr>
            <w:r w:rsidRPr="00CB2FBB">
              <w:t>Spectral gamma-ray</w:t>
            </w:r>
          </w:p>
          <w:p w:rsidR="00DD07AF" w:rsidRPr="00CB2FBB" w:rsidRDefault="00DD07AF" w:rsidP="00CB2FBB">
            <w:pPr>
              <w:pStyle w:val="Tabletext"/>
              <w:cnfStyle w:val="000000100000"/>
            </w:pPr>
            <w:r w:rsidRPr="00CB2FBB">
              <w:t>Gamma-gamma (density)</w:t>
            </w:r>
          </w:p>
          <w:p w:rsidR="00DD07AF" w:rsidRPr="00CB2FBB" w:rsidRDefault="00DD07AF" w:rsidP="00CB2FBB">
            <w:pPr>
              <w:pStyle w:val="Tabletext"/>
              <w:cnfStyle w:val="000000100000"/>
            </w:pPr>
            <w:r w:rsidRPr="00CB2FBB">
              <w:t>Neutron-neutron (porosity)</w:t>
            </w:r>
          </w:p>
          <w:p w:rsidR="004B069C" w:rsidRPr="00CB2FBB" w:rsidRDefault="004B069C" w:rsidP="00CB2FBB">
            <w:pPr>
              <w:pStyle w:val="Tabletext"/>
              <w:cnfStyle w:val="000000100000"/>
            </w:pPr>
            <w:r w:rsidRPr="00CB2FBB">
              <w:t>Nuclear-magnetic-resonance</w:t>
            </w:r>
            <w:r w:rsidR="0079231E" w:rsidRPr="00CB2FBB">
              <w:t>*</w:t>
            </w:r>
          </w:p>
        </w:tc>
        <w:tc>
          <w:tcPr>
            <w:tcW w:w="4536" w:type="dxa"/>
            <w:tcBorders>
              <w:left w:val="single" w:sz="4" w:space="0" w:color="auto"/>
              <w:right w:val="single" w:sz="4" w:space="0" w:color="auto"/>
            </w:tcBorders>
            <w:shd w:val="clear" w:color="auto" w:fill="FFFFFF" w:themeFill="background1"/>
          </w:tcPr>
          <w:p w:rsidR="00DD07AF" w:rsidRPr="00CB2FBB" w:rsidRDefault="00DD07AF" w:rsidP="00CB2FBB">
            <w:pPr>
              <w:pStyle w:val="Tabletext"/>
              <w:cnfStyle w:val="000000100000"/>
            </w:pPr>
            <w:r w:rsidRPr="00CB2FBB">
              <w:t>Measures the natural gamma radiation emitted</w:t>
            </w:r>
          </w:p>
          <w:p w:rsidR="00DD07AF" w:rsidRPr="00CB2FBB" w:rsidRDefault="00DD07AF" w:rsidP="00CB2FBB">
            <w:pPr>
              <w:pStyle w:val="Tabletext"/>
              <w:cnfStyle w:val="000000100000"/>
            </w:pPr>
          </w:p>
          <w:p w:rsidR="0097620E" w:rsidRPr="00CB2FBB" w:rsidRDefault="0097620E" w:rsidP="00CB2FBB">
            <w:pPr>
              <w:pStyle w:val="Tabletext"/>
              <w:cnfStyle w:val="000000100000"/>
            </w:pPr>
          </w:p>
          <w:p w:rsidR="00DD07AF" w:rsidRPr="00CB2FBB" w:rsidRDefault="00DD07AF" w:rsidP="00CB2FBB">
            <w:pPr>
              <w:pStyle w:val="Tabletext"/>
              <w:cnfStyle w:val="000000100000"/>
            </w:pPr>
            <w:r w:rsidRPr="00CB2FBB">
              <w:t>Measures the scattering of gamma or neutron between source and receptor on probe</w:t>
            </w:r>
          </w:p>
          <w:p w:rsidR="000C79D3" w:rsidRPr="00CB2FBB" w:rsidRDefault="000C79D3" w:rsidP="00CB2FBB">
            <w:pPr>
              <w:pStyle w:val="Tabletext"/>
              <w:cnfStyle w:val="000000100000"/>
            </w:pPr>
          </w:p>
          <w:p w:rsidR="000C79D3" w:rsidRPr="00CB2FBB" w:rsidRDefault="000C79D3" w:rsidP="00CB2FBB">
            <w:pPr>
              <w:pStyle w:val="Tabletext"/>
              <w:cnfStyle w:val="000000100000"/>
            </w:pPr>
            <w:r w:rsidRPr="00CB2FBB">
              <w:t>Measures the response of nuclei to a magnetic field</w:t>
            </w:r>
          </w:p>
        </w:tc>
        <w:tc>
          <w:tcPr>
            <w:tcW w:w="1559" w:type="dxa"/>
            <w:tcBorders>
              <w:left w:val="single" w:sz="4" w:space="0" w:color="auto"/>
              <w:right w:val="single" w:sz="4" w:space="0" w:color="auto"/>
            </w:tcBorders>
            <w:shd w:val="clear" w:color="auto" w:fill="FFFFFF" w:themeFill="background1"/>
          </w:tcPr>
          <w:p w:rsidR="00DD07AF" w:rsidRPr="00CB2FBB" w:rsidRDefault="00DD07AF" w:rsidP="00CB2FBB">
            <w:pPr>
              <w:pStyle w:val="Tabletext"/>
              <w:cnfStyle w:val="000000100000"/>
            </w:pPr>
            <w:r w:rsidRPr="00CB2FBB">
              <w:t>15-20 cm</w:t>
            </w:r>
          </w:p>
          <w:p w:rsidR="00DD07AF" w:rsidRPr="00CB2FBB" w:rsidRDefault="00DD07AF" w:rsidP="00CB2FBB">
            <w:pPr>
              <w:pStyle w:val="Tabletext"/>
              <w:cnfStyle w:val="000000100000"/>
            </w:pPr>
          </w:p>
          <w:p w:rsidR="0097620E" w:rsidRPr="00CB2FBB" w:rsidRDefault="0097620E" w:rsidP="00CB2FBB">
            <w:pPr>
              <w:pStyle w:val="Tabletext"/>
              <w:cnfStyle w:val="000000100000"/>
            </w:pPr>
          </w:p>
          <w:p w:rsidR="00DD07AF" w:rsidRPr="00CB2FBB" w:rsidRDefault="00DD07AF" w:rsidP="00CB2FBB">
            <w:pPr>
              <w:pStyle w:val="Tabletext"/>
              <w:cnfStyle w:val="000000100000"/>
            </w:pPr>
            <w:r w:rsidRPr="00CB2FBB">
              <w:t>5-10 cm</w:t>
            </w:r>
          </w:p>
          <w:p w:rsidR="00DD07AF" w:rsidRPr="00CB2FBB" w:rsidRDefault="00DD07AF" w:rsidP="00CB2FBB">
            <w:pPr>
              <w:pStyle w:val="Tabletext"/>
              <w:cnfStyle w:val="000000100000"/>
            </w:pPr>
          </w:p>
          <w:p w:rsidR="0097620E" w:rsidRPr="00CB2FBB" w:rsidRDefault="0097620E" w:rsidP="00CB2FBB">
            <w:pPr>
              <w:pStyle w:val="Tabletext"/>
              <w:cnfStyle w:val="000000100000"/>
            </w:pPr>
          </w:p>
          <w:p w:rsidR="00DD07AF" w:rsidRPr="00CB2FBB" w:rsidRDefault="00DD07AF" w:rsidP="00CB2FBB">
            <w:pPr>
              <w:pStyle w:val="Tabletext"/>
              <w:cnfStyle w:val="000000100000"/>
            </w:pPr>
            <w:r w:rsidRPr="00CB2FBB">
              <w:t>10-100 cm</w:t>
            </w:r>
          </w:p>
        </w:tc>
        <w:tc>
          <w:tcPr>
            <w:tcW w:w="2268" w:type="dxa"/>
            <w:tcBorders>
              <w:left w:val="single" w:sz="4" w:space="0" w:color="auto"/>
              <w:right w:val="single" w:sz="4" w:space="0" w:color="auto"/>
            </w:tcBorders>
            <w:shd w:val="clear" w:color="auto" w:fill="FFFFFF" w:themeFill="background1"/>
          </w:tcPr>
          <w:p w:rsidR="00DD07AF" w:rsidRPr="00CB2FBB" w:rsidRDefault="00DD07AF" w:rsidP="00CB2FBB">
            <w:pPr>
              <w:pStyle w:val="Tabletext"/>
              <w:cnfStyle w:val="000000100000"/>
            </w:pPr>
            <w:r w:rsidRPr="00CB2FBB">
              <w:t>Open and cased holes with or without fluid</w:t>
            </w:r>
          </w:p>
          <w:p w:rsidR="0097620E" w:rsidRPr="00CB2FBB" w:rsidRDefault="0097620E" w:rsidP="00CB2FBB">
            <w:pPr>
              <w:pStyle w:val="Tabletext"/>
              <w:cnfStyle w:val="000000100000"/>
            </w:pPr>
          </w:p>
          <w:p w:rsidR="0097620E" w:rsidRPr="00CB2FBB" w:rsidRDefault="0097620E" w:rsidP="00CB2FBB">
            <w:pPr>
              <w:pStyle w:val="Tabletext"/>
              <w:cnfStyle w:val="000000100000"/>
            </w:pPr>
          </w:p>
          <w:p w:rsidR="00DD07AF" w:rsidRPr="00CB2FBB" w:rsidRDefault="00DD07AF" w:rsidP="00CB2FBB">
            <w:pPr>
              <w:pStyle w:val="Tabletext"/>
              <w:cnfStyle w:val="000000100000"/>
            </w:pPr>
            <w:r w:rsidRPr="00CB2FBB">
              <w:t>Open holes with fluid</w:t>
            </w:r>
          </w:p>
        </w:tc>
        <w:tc>
          <w:tcPr>
            <w:tcW w:w="2410" w:type="dxa"/>
            <w:tcBorders>
              <w:left w:val="single" w:sz="4" w:space="0" w:color="auto"/>
              <w:right w:val="single" w:sz="4" w:space="0" w:color="auto"/>
            </w:tcBorders>
            <w:shd w:val="clear" w:color="auto" w:fill="FFFFFF" w:themeFill="background1"/>
          </w:tcPr>
          <w:p w:rsidR="00DD07AF" w:rsidRPr="00CB2FBB" w:rsidRDefault="00DD07AF" w:rsidP="00CB2FBB">
            <w:pPr>
              <w:pStyle w:val="Tabletext"/>
              <w:cnfStyle w:val="000000100000"/>
            </w:pPr>
            <w:r w:rsidRPr="00CB2FBB">
              <w:t>Lithology, density, porosity, calibration of surface geophysics</w:t>
            </w:r>
          </w:p>
          <w:p w:rsidR="0079231E" w:rsidRPr="00CB2FBB" w:rsidRDefault="0079231E" w:rsidP="00CB2FBB">
            <w:pPr>
              <w:pStyle w:val="Tabletext"/>
              <w:cnfStyle w:val="000000100000"/>
            </w:pPr>
          </w:p>
          <w:p w:rsidR="0079231E" w:rsidRPr="00CB2FBB" w:rsidRDefault="0079231E" w:rsidP="00CB2FBB">
            <w:pPr>
              <w:pStyle w:val="Tabletext"/>
              <w:cnfStyle w:val="000000100000"/>
            </w:pPr>
          </w:p>
          <w:p w:rsidR="0079231E" w:rsidRPr="00CB2FBB" w:rsidRDefault="0079231E" w:rsidP="00CB2FBB">
            <w:pPr>
              <w:pStyle w:val="Tabletext"/>
              <w:cnfStyle w:val="000000100000"/>
            </w:pPr>
          </w:p>
          <w:p w:rsidR="0097620E" w:rsidRPr="00CB2FBB" w:rsidRDefault="0097620E" w:rsidP="00CB2FBB">
            <w:pPr>
              <w:pStyle w:val="Tabletext"/>
              <w:cnfStyle w:val="000000100000"/>
            </w:pPr>
          </w:p>
          <w:p w:rsidR="0079231E" w:rsidRPr="00CB2FBB" w:rsidRDefault="0079231E" w:rsidP="00CB2FBB">
            <w:pPr>
              <w:pStyle w:val="Tabletext"/>
              <w:cnfStyle w:val="000000100000"/>
            </w:pPr>
            <w:r w:rsidRPr="00CB2FBB">
              <w:t>Porosity and permeability</w:t>
            </w:r>
          </w:p>
        </w:tc>
      </w:tr>
      <w:tr w:rsidR="00CB2FBB" w:rsidRPr="00CB2FBB" w:rsidTr="00CB2FBB">
        <w:tc>
          <w:tcPr>
            <w:cnfStyle w:val="001000000000"/>
            <w:tcW w:w="1242" w:type="dxa"/>
            <w:shd w:val="clear" w:color="auto" w:fill="FFFFFF" w:themeFill="background1"/>
          </w:tcPr>
          <w:p w:rsidR="00DD07AF" w:rsidRPr="00B45E8E" w:rsidRDefault="00DD07AF" w:rsidP="00CB2FBB">
            <w:pPr>
              <w:pStyle w:val="Tabletext"/>
              <w:rPr>
                <w:b w:val="0"/>
              </w:rPr>
            </w:pPr>
            <w:r w:rsidRPr="00B45E8E">
              <w:rPr>
                <w:b w:val="0"/>
              </w:rPr>
              <w:t>Optical</w:t>
            </w:r>
          </w:p>
        </w:tc>
        <w:tc>
          <w:tcPr>
            <w:tcW w:w="1985" w:type="dxa"/>
            <w:shd w:val="clear" w:color="auto" w:fill="FFFFFF" w:themeFill="background1"/>
          </w:tcPr>
          <w:p w:rsidR="00DD07AF" w:rsidRPr="00CB2FBB" w:rsidRDefault="00DD07AF" w:rsidP="00CB2FBB">
            <w:pPr>
              <w:pStyle w:val="Tabletext"/>
              <w:cnfStyle w:val="000000000000"/>
            </w:pPr>
            <w:r w:rsidRPr="00CB2FBB">
              <w:t>Borehole camera</w:t>
            </w:r>
          </w:p>
          <w:p w:rsidR="00DD07AF" w:rsidRPr="00CB2FBB" w:rsidRDefault="00DD07AF" w:rsidP="00CB2FBB">
            <w:pPr>
              <w:pStyle w:val="Tabletext"/>
              <w:cnfStyle w:val="000000000000"/>
            </w:pPr>
            <w:r w:rsidRPr="00CB2FBB">
              <w:t xml:space="preserve">Optical borehole televiewer </w:t>
            </w:r>
          </w:p>
        </w:tc>
        <w:tc>
          <w:tcPr>
            <w:tcW w:w="4536" w:type="dxa"/>
            <w:shd w:val="clear" w:color="auto" w:fill="FFFFFF" w:themeFill="background1"/>
          </w:tcPr>
          <w:p w:rsidR="00DD07AF" w:rsidRPr="00CB2FBB" w:rsidRDefault="00DD07AF" w:rsidP="00CB2FBB">
            <w:pPr>
              <w:pStyle w:val="Tabletext"/>
              <w:cnfStyle w:val="000000000000"/>
            </w:pPr>
            <w:r w:rsidRPr="00CB2FBB">
              <w:t>Obtain video images of borehole</w:t>
            </w:r>
          </w:p>
        </w:tc>
        <w:tc>
          <w:tcPr>
            <w:tcW w:w="1559" w:type="dxa"/>
            <w:shd w:val="clear" w:color="auto" w:fill="FFFFFF" w:themeFill="background1"/>
          </w:tcPr>
          <w:p w:rsidR="00DD07AF" w:rsidRPr="00CB2FBB" w:rsidRDefault="00DD07AF" w:rsidP="00CB2FBB">
            <w:pPr>
              <w:pStyle w:val="Tabletext"/>
              <w:cnfStyle w:val="000000000000"/>
            </w:pPr>
            <w:r w:rsidRPr="00CB2FBB">
              <w:t>Surface</w:t>
            </w:r>
          </w:p>
        </w:tc>
        <w:tc>
          <w:tcPr>
            <w:tcW w:w="2268" w:type="dxa"/>
            <w:shd w:val="clear" w:color="auto" w:fill="FFFFFF" w:themeFill="background1"/>
          </w:tcPr>
          <w:p w:rsidR="00DD07AF" w:rsidRPr="00CB2FBB" w:rsidRDefault="00DD07AF" w:rsidP="00CB2FBB">
            <w:pPr>
              <w:pStyle w:val="Tabletext"/>
              <w:cnfStyle w:val="000000000000"/>
            </w:pPr>
            <w:r w:rsidRPr="00CB2FBB">
              <w:t>Open and cased holes without water or with clear water</w:t>
            </w:r>
          </w:p>
        </w:tc>
        <w:tc>
          <w:tcPr>
            <w:tcW w:w="2410" w:type="dxa"/>
            <w:shd w:val="clear" w:color="auto" w:fill="FFFFFF" w:themeFill="background1"/>
          </w:tcPr>
          <w:p w:rsidR="00DD07AF" w:rsidRPr="00CB2FBB" w:rsidRDefault="00DD07AF" w:rsidP="00CB2FBB">
            <w:pPr>
              <w:pStyle w:val="Tabletext"/>
              <w:cnfStyle w:val="000000000000"/>
            </w:pPr>
            <w:r w:rsidRPr="00CB2FBB">
              <w:t>Casing or borehole condition, caving, slope and aspect of layers and fractures</w:t>
            </w:r>
          </w:p>
        </w:tc>
      </w:tr>
      <w:tr w:rsidR="00CB2FBB" w:rsidRPr="00CB2FBB" w:rsidTr="00CB2FBB">
        <w:trPr>
          <w:cnfStyle w:val="000000100000"/>
        </w:trPr>
        <w:tc>
          <w:tcPr>
            <w:cnfStyle w:val="001000000000"/>
            <w:tcW w:w="1242" w:type="dxa"/>
            <w:tcBorders>
              <w:left w:val="single" w:sz="4" w:space="0" w:color="auto"/>
              <w:right w:val="single" w:sz="4" w:space="0" w:color="auto"/>
            </w:tcBorders>
            <w:shd w:val="clear" w:color="auto" w:fill="FFFFFF" w:themeFill="background1"/>
          </w:tcPr>
          <w:p w:rsidR="00DD07AF" w:rsidRPr="00B45E8E" w:rsidRDefault="00DD07AF" w:rsidP="00CB2FBB">
            <w:pPr>
              <w:pStyle w:val="Tabletext"/>
              <w:rPr>
                <w:b w:val="0"/>
              </w:rPr>
            </w:pPr>
            <w:r w:rsidRPr="00B45E8E">
              <w:rPr>
                <w:b w:val="0"/>
              </w:rPr>
              <w:t>Flow</w:t>
            </w:r>
          </w:p>
        </w:tc>
        <w:tc>
          <w:tcPr>
            <w:tcW w:w="1985" w:type="dxa"/>
            <w:tcBorders>
              <w:left w:val="single" w:sz="4" w:space="0" w:color="auto"/>
              <w:right w:val="single" w:sz="4" w:space="0" w:color="auto"/>
            </w:tcBorders>
            <w:shd w:val="clear" w:color="auto" w:fill="FFFFFF" w:themeFill="background1"/>
          </w:tcPr>
          <w:p w:rsidR="00DD07AF" w:rsidRPr="00CB2FBB" w:rsidRDefault="00DD07AF" w:rsidP="00CB2FBB">
            <w:pPr>
              <w:pStyle w:val="Tabletext"/>
              <w:cnfStyle w:val="000000100000"/>
            </w:pPr>
            <w:r w:rsidRPr="00CB2FBB">
              <w:t>Impeller flow meter</w:t>
            </w:r>
          </w:p>
          <w:p w:rsidR="00DD07AF" w:rsidRPr="00CB2FBB" w:rsidRDefault="00DD07AF" w:rsidP="00CB2FBB">
            <w:pPr>
              <w:pStyle w:val="Tabletext"/>
              <w:cnfStyle w:val="000000100000"/>
            </w:pPr>
          </w:p>
          <w:p w:rsidR="00DD07AF" w:rsidRPr="00CB2FBB" w:rsidRDefault="00DD07AF" w:rsidP="00CB2FBB">
            <w:pPr>
              <w:pStyle w:val="Tabletext"/>
              <w:cnfStyle w:val="000000100000"/>
            </w:pPr>
            <w:r w:rsidRPr="00CB2FBB">
              <w:lastRenderedPageBreak/>
              <w:t>Electro-magnetic flow meter</w:t>
            </w:r>
          </w:p>
          <w:p w:rsidR="00DD07AF" w:rsidRPr="00CB2FBB" w:rsidRDefault="00DD07AF" w:rsidP="00CB2FBB">
            <w:pPr>
              <w:pStyle w:val="Tabletext"/>
              <w:cnfStyle w:val="000000100000"/>
            </w:pPr>
            <w:r w:rsidRPr="00CB2FBB">
              <w:t>Heat pulse flow meter</w:t>
            </w:r>
          </w:p>
        </w:tc>
        <w:tc>
          <w:tcPr>
            <w:tcW w:w="4536" w:type="dxa"/>
            <w:tcBorders>
              <w:left w:val="single" w:sz="4" w:space="0" w:color="auto"/>
              <w:right w:val="single" w:sz="4" w:space="0" w:color="auto"/>
            </w:tcBorders>
            <w:shd w:val="clear" w:color="auto" w:fill="FFFFFF" w:themeFill="background1"/>
          </w:tcPr>
          <w:p w:rsidR="00DD07AF" w:rsidRPr="00CB2FBB" w:rsidRDefault="00DD07AF" w:rsidP="00CB2FBB">
            <w:pPr>
              <w:pStyle w:val="Tabletext"/>
              <w:cnfStyle w:val="000000100000"/>
            </w:pPr>
            <w:r w:rsidRPr="00CB2FBB">
              <w:lastRenderedPageBreak/>
              <w:t>Water flowing through meter turns a propeller whose revolutions are recorded</w:t>
            </w:r>
          </w:p>
          <w:p w:rsidR="00DD07AF" w:rsidRPr="00CB2FBB" w:rsidRDefault="00DD07AF" w:rsidP="00CB2FBB">
            <w:pPr>
              <w:pStyle w:val="Tabletext"/>
              <w:cnfStyle w:val="000000100000"/>
            </w:pPr>
            <w:r w:rsidRPr="00CB2FBB">
              <w:lastRenderedPageBreak/>
              <w:t>Water flowing through packer induces a current that can be calibrated to a flow rate</w:t>
            </w:r>
          </w:p>
          <w:p w:rsidR="00DD07AF" w:rsidRPr="00CB2FBB" w:rsidRDefault="00DD07AF" w:rsidP="00CB2FBB">
            <w:pPr>
              <w:pStyle w:val="Tabletext"/>
              <w:cnfStyle w:val="000000100000"/>
            </w:pPr>
            <w:r w:rsidRPr="00CB2FBB">
              <w:t>Heat pulse is created and measured above or below</w:t>
            </w:r>
          </w:p>
        </w:tc>
        <w:tc>
          <w:tcPr>
            <w:tcW w:w="1559" w:type="dxa"/>
            <w:tcBorders>
              <w:left w:val="single" w:sz="4" w:space="0" w:color="auto"/>
              <w:right w:val="single" w:sz="4" w:space="0" w:color="auto"/>
            </w:tcBorders>
            <w:shd w:val="clear" w:color="auto" w:fill="FFFFFF" w:themeFill="background1"/>
          </w:tcPr>
          <w:p w:rsidR="00DD07AF" w:rsidRPr="00CB2FBB" w:rsidRDefault="00DD07AF" w:rsidP="00CB2FBB">
            <w:pPr>
              <w:pStyle w:val="Tabletext"/>
              <w:cnfStyle w:val="000000100000"/>
            </w:pPr>
            <w:r w:rsidRPr="00CB2FBB">
              <w:lastRenderedPageBreak/>
              <w:t>Fluid in borehole</w:t>
            </w:r>
          </w:p>
        </w:tc>
        <w:tc>
          <w:tcPr>
            <w:tcW w:w="2268" w:type="dxa"/>
            <w:tcBorders>
              <w:left w:val="single" w:sz="4" w:space="0" w:color="auto"/>
              <w:right w:val="single" w:sz="4" w:space="0" w:color="auto"/>
            </w:tcBorders>
            <w:shd w:val="clear" w:color="auto" w:fill="FFFFFF" w:themeFill="background1"/>
          </w:tcPr>
          <w:p w:rsidR="00DD07AF" w:rsidRPr="00CB2FBB" w:rsidRDefault="00DD07AF" w:rsidP="00CB2FBB">
            <w:pPr>
              <w:pStyle w:val="Tabletext"/>
              <w:cnfStyle w:val="000000100000"/>
            </w:pPr>
            <w:r w:rsidRPr="00CB2FBB">
              <w:t>Open and cased holes with fluid</w:t>
            </w:r>
          </w:p>
        </w:tc>
        <w:tc>
          <w:tcPr>
            <w:tcW w:w="2410" w:type="dxa"/>
            <w:tcBorders>
              <w:left w:val="single" w:sz="4" w:space="0" w:color="auto"/>
              <w:right w:val="single" w:sz="4" w:space="0" w:color="auto"/>
            </w:tcBorders>
            <w:shd w:val="clear" w:color="auto" w:fill="FFFFFF" w:themeFill="background1"/>
          </w:tcPr>
          <w:p w:rsidR="00DD07AF" w:rsidRPr="00CB2FBB" w:rsidRDefault="00DD07AF" w:rsidP="00CB2FBB">
            <w:pPr>
              <w:pStyle w:val="Tabletext"/>
              <w:cnfStyle w:val="000000100000"/>
            </w:pPr>
            <w:r w:rsidRPr="00CB2FBB">
              <w:t>Vertical water movement in borehole</w:t>
            </w:r>
          </w:p>
        </w:tc>
      </w:tr>
      <w:tr w:rsidR="00CB2FBB" w:rsidRPr="00CB2FBB" w:rsidTr="00CB2FBB">
        <w:tc>
          <w:tcPr>
            <w:cnfStyle w:val="001000000000"/>
            <w:tcW w:w="1242" w:type="dxa"/>
            <w:shd w:val="clear" w:color="auto" w:fill="FFFFFF" w:themeFill="background1"/>
          </w:tcPr>
          <w:p w:rsidR="00DD07AF" w:rsidRPr="00B45E8E" w:rsidRDefault="00DD07AF" w:rsidP="00CB2FBB">
            <w:pPr>
              <w:pStyle w:val="Tabletext"/>
              <w:rPr>
                <w:b w:val="0"/>
              </w:rPr>
            </w:pPr>
            <w:r w:rsidRPr="00B45E8E">
              <w:rPr>
                <w:b w:val="0"/>
              </w:rPr>
              <w:lastRenderedPageBreak/>
              <w:t>Fluid</w:t>
            </w:r>
          </w:p>
        </w:tc>
        <w:tc>
          <w:tcPr>
            <w:tcW w:w="1985" w:type="dxa"/>
            <w:shd w:val="clear" w:color="auto" w:fill="FFFFFF" w:themeFill="background1"/>
          </w:tcPr>
          <w:p w:rsidR="00DD07AF" w:rsidRPr="00CB2FBB" w:rsidRDefault="00DD07AF" w:rsidP="00CB2FBB">
            <w:pPr>
              <w:pStyle w:val="Tabletext"/>
              <w:cnfStyle w:val="000000000000"/>
            </w:pPr>
            <w:r w:rsidRPr="00CB2FBB">
              <w:t>Water quality</w:t>
            </w:r>
          </w:p>
        </w:tc>
        <w:tc>
          <w:tcPr>
            <w:tcW w:w="4536" w:type="dxa"/>
            <w:shd w:val="clear" w:color="auto" w:fill="FFFFFF" w:themeFill="background1"/>
          </w:tcPr>
          <w:p w:rsidR="00DD07AF" w:rsidRPr="00CB2FBB" w:rsidRDefault="00DD07AF" w:rsidP="00CB2FBB">
            <w:pPr>
              <w:pStyle w:val="Tabletext"/>
              <w:cnfStyle w:val="000000000000"/>
            </w:pPr>
            <w:r w:rsidRPr="00CB2FBB">
              <w:t>Temperature and electrical resistivity (for salinity) probes; multi-parameter probe</w:t>
            </w:r>
          </w:p>
        </w:tc>
        <w:tc>
          <w:tcPr>
            <w:tcW w:w="1559" w:type="dxa"/>
            <w:shd w:val="clear" w:color="auto" w:fill="FFFFFF" w:themeFill="background1"/>
          </w:tcPr>
          <w:p w:rsidR="00DD07AF" w:rsidRPr="00CB2FBB" w:rsidRDefault="00DD07AF" w:rsidP="00CB2FBB">
            <w:pPr>
              <w:pStyle w:val="Tabletext"/>
              <w:cnfStyle w:val="000000000000"/>
            </w:pPr>
            <w:r w:rsidRPr="00CB2FBB">
              <w:t>Fluid in borehole</w:t>
            </w:r>
          </w:p>
        </w:tc>
        <w:tc>
          <w:tcPr>
            <w:tcW w:w="2268" w:type="dxa"/>
            <w:shd w:val="clear" w:color="auto" w:fill="FFFFFF" w:themeFill="background1"/>
          </w:tcPr>
          <w:p w:rsidR="00DD07AF" w:rsidRPr="00CB2FBB" w:rsidRDefault="00DD07AF" w:rsidP="00CB2FBB">
            <w:pPr>
              <w:pStyle w:val="Tabletext"/>
              <w:cnfStyle w:val="000000000000"/>
            </w:pPr>
            <w:r w:rsidRPr="00CB2FBB">
              <w:t>Open and cased holes with fluid</w:t>
            </w:r>
          </w:p>
        </w:tc>
        <w:tc>
          <w:tcPr>
            <w:tcW w:w="2410" w:type="dxa"/>
            <w:shd w:val="clear" w:color="auto" w:fill="FFFFFF" w:themeFill="background1"/>
          </w:tcPr>
          <w:p w:rsidR="00DD07AF" w:rsidRPr="00CB2FBB" w:rsidRDefault="00DD07AF" w:rsidP="00CB2FBB">
            <w:pPr>
              <w:pStyle w:val="Tabletext"/>
              <w:cnfStyle w:val="000000000000"/>
            </w:pPr>
            <w:r w:rsidRPr="00CB2FBB">
              <w:t>Electrical conductivity, pH, O</w:t>
            </w:r>
            <w:r w:rsidRPr="00CB2FBB">
              <w:rPr>
                <w:vertAlign w:val="subscript"/>
              </w:rPr>
              <w:t>2</w:t>
            </w:r>
            <w:r w:rsidRPr="00CB2FBB">
              <w:t>, NO</w:t>
            </w:r>
            <w:r w:rsidRPr="00CB2FBB">
              <w:rPr>
                <w:vertAlign w:val="subscript"/>
              </w:rPr>
              <w:t>3</w:t>
            </w:r>
            <w:r w:rsidRPr="00CB2FBB">
              <w:t>, Eh, total gas pressure</w:t>
            </w:r>
          </w:p>
        </w:tc>
      </w:tr>
    </w:tbl>
    <w:p w:rsidR="00DD07AF" w:rsidRPr="00694836" w:rsidRDefault="00DD07AF" w:rsidP="001C3374">
      <w:pPr>
        <w:sectPr w:rsidR="00DD07AF" w:rsidRPr="00694836" w:rsidSect="00A971D4">
          <w:headerReference w:type="even" r:id="rId32"/>
          <w:headerReference w:type="default" r:id="rId33"/>
          <w:pgSz w:w="16840" w:h="11900" w:orient="landscape" w:code="9"/>
          <w:pgMar w:top="1831" w:right="1418" w:bottom="1418" w:left="1418" w:header="0" w:footer="564" w:gutter="0"/>
          <w:cols w:space="284"/>
          <w:noEndnote/>
          <w:docGrid w:linePitch="326"/>
        </w:sectPr>
      </w:pPr>
    </w:p>
    <w:p w:rsidR="00DD07AF" w:rsidRDefault="00DD07AF" w:rsidP="00967143">
      <w:pPr>
        <w:pStyle w:val="BRNormal"/>
      </w:pPr>
      <w:r>
        <w:lastRenderedPageBreak/>
        <w:t>Isotopes are variants of the same element that have different masses due to a difference in the numb</w:t>
      </w:r>
      <w:r w:rsidR="00967143">
        <w:t xml:space="preserve">er of neutrons in the nucleus. </w:t>
      </w:r>
      <w:r>
        <w:t>Radioactive isotopes are not stable in the environment and decay with time, whereas stable isotopes do not decay with time</w:t>
      </w:r>
      <w:r w:rsidR="00967143">
        <w:t xml:space="preserve"> (Clark &amp; Fitz 1997)</w:t>
      </w:r>
      <w:r>
        <w:t xml:space="preserve">. The superscript number preceding the element symbol (e.g. </w:t>
      </w:r>
      <w:r>
        <w:rPr>
          <w:vertAlign w:val="superscript"/>
        </w:rPr>
        <w:t>12</w:t>
      </w:r>
      <w:r>
        <w:t xml:space="preserve">C, </w:t>
      </w:r>
      <w:r>
        <w:rPr>
          <w:vertAlign w:val="superscript"/>
        </w:rPr>
        <w:t>13</w:t>
      </w:r>
      <w:r>
        <w:t xml:space="preserve">C, </w:t>
      </w:r>
      <w:r>
        <w:rPr>
          <w:vertAlign w:val="superscript"/>
        </w:rPr>
        <w:t>14</w:t>
      </w:r>
      <w:r>
        <w:t>C) in the following discussion refers to the total number of protons and neutrons in that isotope (higher number</w:t>
      </w:r>
      <w:r w:rsidR="0097620E">
        <w:t> </w:t>
      </w:r>
      <w:r>
        <w:t>=</w:t>
      </w:r>
      <w:r w:rsidR="0097620E">
        <w:t> </w:t>
      </w:r>
      <w:r>
        <w:t>m</w:t>
      </w:r>
      <w:r w:rsidR="00967143">
        <w:t>ore neutrons</w:t>
      </w:r>
      <w:r w:rsidR="0097620E">
        <w:t> </w:t>
      </w:r>
      <w:r w:rsidR="00967143">
        <w:t>=</w:t>
      </w:r>
      <w:r w:rsidR="0097620E">
        <w:t> </w:t>
      </w:r>
      <w:r w:rsidR="00967143">
        <w:t xml:space="preserve">heavier isotope). </w:t>
      </w:r>
      <w:r>
        <w:t>Radioactive isotopes can be used as tracers because their concentration in the subsurface will decrease over time a</w:t>
      </w:r>
      <w:r w:rsidR="00967143">
        <w:t xml:space="preserve">ccording to known decay rates. </w:t>
      </w:r>
      <w:r>
        <w:t xml:space="preserve">The radioactive isotopes commonly used in groundwater dating (e.g. </w:t>
      </w:r>
      <w:r w:rsidRPr="00E846FC">
        <w:rPr>
          <w:vertAlign w:val="superscript"/>
        </w:rPr>
        <w:t>14</w:t>
      </w:r>
      <w:r>
        <w:t xml:space="preserve">C, </w:t>
      </w:r>
      <w:r w:rsidRPr="00E846FC">
        <w:rPr>
          <w:vertAlign w:val="superscript"/>
        </w:rPr>
        <w:t>36</w:t>
      </w:r>
      <w:r>
        <w:t xml:space="preserve">Cl) </w:t>
      </w:r>
      <w:r w:rsidRPr="00E846FC">
        <w:t>are</w:t>
      </w:r>
      <w:r>
        <w:t xml:space="preserve"> produced in the atmosphere by the interaction of cosmic rays with various elements and deposited with precipit</w:t>
      </w:r>
      <w:r w:rsidR="00967143">
        <w:t xml:space="preserve">ation or with fine particles. </w:t>
      </w:r>
      <w:r>
        <w:t>If the input tracer concentration is known and fairly constant then the apparent ‘age’ (</w:t>
      </w:r>
      <w:r>
        <w:rPr>
          <w:i/>
        </w:rPr>
        <w:t>t</w:t>
      </w:r>
      <w:r>
        <w:t xml:space="preserve">) </w:t>
      </w:r>
      <w:r w:rsidRPr="000A4070">
        <w:t>of</w:t>
      </w:r>
      <w:r>
        <w:t xml:space="preserve"> the groundwater can be calculated using: </w:t>
      </w:r>
    </w:p>
    <w:p w:rsidR="00DD07AF" w:rsidRPr="00967143" w:rsidRDefault="00DD07AF" w:rsidP="005A47EB">
      <w:pPr>
        <w:pStyle w:val="BRNormal"/>
      </w:pPr>
      <m:oMathPara>
        <m:oMathParaPr>
          <m:jc m:val="center"/>
        </m:oMathParaPr>
        <m:oMath>
          <m:r>
            <w:rPr>
              <w:rFonts w:ascii="Cambria Math" w:hAnsi="Cambria Math"/>
            </w:rPr>
            <m:t>t</m:t>
          </m:r>
          <m:r>
            <m:rPr>
              <m:sty m:val="p"/>
            </m:rPr>
            <w:rPr>
              <w:rFonts w:ascii="Cambria Math" w:hAnsi="Cambria Math"/>
            </w:rPr>
            <m:t>=-</m:t>
          </m:r>
          <m:sSup>
            <m:sSupPr>
              <m:ctrlPr>
                <w:rPr>
                  <w:rFonts w:ascii="Cambria Math" w:hAnsi="Cambria Math"/>
                </w:rPr>
              </m:ctrlPr>
            </m:sSupPr>
            <m:e>
              <m:r>
                <m:rPr>
                  <m:sty m:val="p"/>
                </m:rPr>
                <w:rPr>
                  <w:rFonts w:ascii="Cambria Math" w:hAnsi="Cambria Math"/>
                </w:rPr>
                <m:t>λ</m:t>
              </m:r>
            </m:e>
            <m:sup>
              <m:r>
                <m:rPr>
                  <m:sty m:val="p"/>
                </m:rPr>
                <w:rPr>
                  <w:rFonts w:ascii="Cambria Math" w:hAnsi="Cambria Math"/>
                </w:rPr>
                <m:t>-1</m:t>
              </m:r>
            </m:sup>
          </m:sSup>
          <m:d>
            <m:dPr>
              <m:ctrlPr>
                <w:rPr>
                  <w:rFonts w:ascii="Cambria Math" w:hAnsi="Cambria Math"/>
                </w:rPr>
              </m:ctrlPr>
            </m:dPr>
            <m:e>
              <m:f>
                <m:fPr>
                  <m:ctrlPr>
                    <w:rPr>
                      <w:rFonts w:ascii="Cambria Math" w:hAnsi="Cambria Math"/>
                    </w:rPr>
                  </m:ctrlPr>
                </m:fPr>
                <m:num>
                  <m:r>
                    <w:rPr>
                      <w:rFonts w:ascii="Cambria Math" w:hAnsi="Cambria Math"/>
                    </w:rPr>
                    <m:t>C</m:t>
                  </m:r>
                </m:num>
                <m:den>
                  <m:sSub>
                    <m:sSubPr>
                      <m:ctrlPr>
                        <w:rPr>
                          <w:rFonts w:ascii="Cambria Math" w:hAnsi="Cambria Math"/>
                        </w:rPr>
                      </m:ctrlPr>
                    </m:sSubPr>
                    <m:e>
                      <m:r>
                        <w:rPr>
                          <w:rFonts w:ascii="Cambria Math" w:hAnsi="Cambria Math"/>
                        </w:rPr>
                        <m:t>C</m:t>
                      </m:r>
                    </m:e>
                    <m:sub>
                      <m:r>
                        <m:rPr>
                          <m:sty m:val="p"/>
                        </m:rPr>
                        <w:rPr>
                          <w:rFonts w:ascii="Cambria Math" w:hAnsi="Cambria Math"/>
                        </w:rPr>
                        <m:t>0</m:t>
                      </m:r>
                    </m:sub>
                  </m:sSub>
                </m:den>
              </m:f>
            </m:e>
          </m:d>
        </m:oMath>
      </m:oMathPara>
    </w:p>
    <w:p w:rsidR="00DD07AF" w:rsidRPr="001B1E85" w:rsidRDefault="00DD07AF" w:rsidP="00967143">
      <w:pPr>
        <w:pStyle w:val="BRNormal"/>
      </w:pPr>
      <w:proofErr w:type="gramStart"/>
      <w:r>
        <w:t>where</w:t>
      </w:r>
      <w:proofErr w:type="gramEnd"/>
      <w:r>
        <w:t xml:space="preserve"> </w:t>
      </w:r>
      <w:r>
        <w:rPr>
          <w:i/>
        </w:rPr>
        <w:t>C</w:t>
      </w:r>
      <w:r w:rsidRPr="000A4070">
        <w:rPr>
          <w:i/>
          <w:vertAlign w:val="subscript"/>
        </w:rPr>
        <w:t>0</w:t>
      </w:r>
      <w:r>
        <w:rPr>
          <w:i/>
          <w:vertAlign w:val="subscript"/>
        </w:rPr>
        <w:t xml:space="preserve"> </w:t>
      </w:r>
      <w:r>
        <w:t xml:space="preserve">and </w:t>
      </w:r>
      <w:r w:rsidRPr="000A4070">
        <w:rPr>
          <w:i/>
        </w:rPr>
        <w:t>C</w:t>
      </w:r>
      <w:r>
        <w:t xml:space="preserve"> are the initial and measured concentrations and λ is the known decay constant for the radioactive tracer</w:t>
      </w:r>
      <w:r w:rsidR="00967143">
        <w:t xml:space="preserve"> (</w:t>
      </w:r>
      <w:r w:rsidR="00967143" w:rsidRPr="00967143">
        <w:t>Cook &amp; Böhlke</w:t>
      </w:r>
      <w:r w:rsidR="00967143">
        <w:t xml:space="preserve"> 2000)</w:t>
      </w:r>
      <w:r>
        <w:t>. Each radioact</w:t>
      </w:r>
      <w:r w:rsidR="00D04A68">
        <w:t>ive tracer has a different time</w:t>
      </w:r>
      <w:r>
        <w:t>frame over which it can be used, based on the decay constant.</w:t>
      </w:r>
      <w:r w:rsidR="00E30C1F">
        <w:t xml:space="preserve"> F</w:t>
      </w:r>
      <w:r>
        <w:t xml:space="preserve">or example, </w:t>
      </w:r>
      <w:r w:rsidR="00E30C1F">
        <w:rPr>
          <w:vertAlign w:val="superscript"/>
        </w:rPr>
        <w:t>14</w:t>
      </w:r>
      <w:r w:rsidR="00E30C1F">
        <w:t xml:space="preserve">C </w:t>
      </w:r>
      <w:r>
        <w:t>has a half-life of 5730 years and can be used to date groundwater up to about 30</w:t>
      </w:r>
      <w:r w:rsidR="00E30C1F">
        <w:t> </w:t>
      </w:r>
      <w:r>
        <w:t xml:space="preserve">000 years old </w:t>
      </w:r>
      <w:r w:rsidR="00967143">
        <w:t>(Clark &amp; Fitz 1997)</w:t>
      </w:r>
      <w:r w:rsidR="00E23933">
        <w:fldChar w:fldCharType="begin"/>
      </w:r>
      <w:r>
        <w:instrText xml:space="preserve"> ADDIN EN.CITE &lt;EndNote&gt;&lt;Cite&gt;&lt;Author&gt;Clark&lt;/Author&gt;&lt;Year&gt;1997&lt;/Year&gt;&lt;RecNum&gt;64&lt;/RecNum&gt;&lt;DisplayText&gt;(Clark and Fritz, 1997)&lt;/DisplayText&gt;&lt;record&gt;&lt;rec-number&gt;64&lt;/rec-number&gt;&lt;foreign-keys&gt;&lt;key app="EN" db-id="wa9rd29dodp0zrewxd75t9ebw0wa2psv90re"&gt;64&lt;/key&gt;&lt;/foreign-keys&gt;&lt;ref-type name="Book"&gt;6&lt;/ref-type&gt;&lt;contributors&gt;&lt;authors&gt;&lt;author&gt;Clark, I.D.&lt;/author&gt;&lt;author&gt;Fritz, P.&lt;/author&gt;&lt;/authors&gt;&lt;/contributors&gt;&lt;titles&gt;&lt;title&gt;Environmental isotopes in hydrogeology&lt;/title&gt;&lt;/titles&gt;&lt;dates&gt;&lt;year&gt;1997&lt;/year&gt;&lt;/dates&gt;&lt;pub-location&gt;Boca Raton&lt;/pub-location&gt;&lt;publisher&gt;Lewis Publishers&lt;/publisher&gt;&lt;urls&gt;&lt;/urls&gt;&lt;/record&gt;&lt;/Cite&gt;&lt;/EndNote&gt;</w:instrText>
      </w:r>
      <w:r w:rsidR="00E23933">
        <w:fldChar w:fldCharType="end"/>
      </w:r>
      <w:r>
        <w:t>, where</w:t>
      </w:r>
      <w:r w:rsidR="00E30C1F">
        <w:t>as</w:t>
      </w:r>
      <w:r>
        <w:t xml:space="preserve"> </w:t>
      </w:r>
      <w:r>
        <w:rPr>
          <w:vertAlign w:val="superscript"/>
        </w:rPr>
        <w:t>36</w:t>
      </w:r>
      <w:r>
        <w:t>Cl has a half-life of 301 000 years and can be used to date groundwater up to a million years old</w:t>
      </w:r>
      <w:r w:rsidR="00967143">
        <w:t xml:space="preserve"> (Phillips 2000).</w:t>
      </w:r>
      <w:r>
        <w:t xml:space="preserve"> Wassenaar and Hendry </w:t>
      </w:r>
      <w:r w:rsidR="00CD06ED">
        <w:t>(2000)</w:t>
      </w:r>
      <w:r>
        <w:t xml:space="preserve"> used a depth profile of </w:t>
      </w:r>
      <w:r>
        <w:rPr>
          <w:vertAlign w:val="superscript"/>
        </w:rPr>
        <w:t>14</w:t>
      </w:r>
      <w:r>
        <w:t>C to charac</w:t>
      </w:r>
      <w:r w:rsidR="00C36BC7">
        <w:t>teris</w:t>
      </w:r>
      <w:r w:rsidR="004946C2">
        <w:t xml:space="preserve">e the transport of carbon </w:t>
      </w:r>
      <w:r>
        <w:t>and to estimate the age of groundwater thro</w:t>
      </w:r>
      <w:r w:rsidR="004946C2">
        <w:t xml:space="preserve">ugh a surficial till aquitard. </w:t>
      </w:r>
      <w:r>
        <w:t>Their findings indicate that diffusion is the dominant transport mechanism and that the groundwater between 29 and 37 m bel</w:t>
      </w:r>
      <w:r w:rsidR="005719E8">
        <w:t>ow ground surface is between 25 000 and 31 </w:t>
      </w:r>
      <w:r>
        <w:t xml:space="preserve">000 years old, the approximate age of the till, indicating very low fluid flux through the aquitard.  </w:t>
      </w:r>
    </w:p>
    <w:p w:rsidR="00DD07AF" w:rsidRPr="002964D4" w:rsidRDefault="00DD07AF" w:rsidP="004946C2">
      <w:pPr>
        <w:pStyle w:val="BRNormal"/>
      </w:pPr>
      <w:r>
        <w:t>Radiogenic isotopes, which accumulate in the subsurface due to radioactive decay, are referr</w:t>
      </w:r>
      <w:r w:rsidR="004946C2">
        <w:t xml:space="preserve">ed to as accumulating tracers. </w:t>
      </w:r>
      <w:r>
        <w:t>Longer residence times of groundwater in the subsurface result in higher concentrations of radiogenic isotopes, thus this method is best applied in groundwater systems with r</w:t>
      </w:r>
      <w:r w:rsidR="004946C2">
        <w:t>elatively long residence times.</w:t>
      </w:r>
      <w:r>
        <w:t xml:space="preserve"> The most commonly used accumulation tracer is </w:t>
      </w:r>
      <w:r w:rsidR="005A3281">
        <w:t>Helium-4 (</w:t>
      </w:r>
      <w:r>
        <w:rPr>
          <w:vertAlign w:val="superscript"/>
        </w:rPr>
        <w:t>4</w:t>
      </w:r>
      <w:r>
        <w:t>He</w:t>
      </w:r>
      <w:r w:rsidR="005A3281">
        <w:t>)</w:t>
      </w:r>
      <w:r>
        <w:t>, which is produced from the radioactive decay of U</w:t>
      </w:r>
      <w:r w:rsidR="005A3281">
        <w:t>ranium (U)</w:t>
      </w:r>
      <w:r>
        <w:t xml:space="preserve"> and Th</w:t>
      </w:r>
      <w:r w:rsidR="005A3281">
        <w:t>orium (Th)</w:t>
      </w:r>
      <w:r w:rsidR="004946C2">
        <w:t xml:space="preserve"> in aquifer/aquitard minerals.</w:t>
      </w:r>
      <w:r>
        <w:t xml:space="preserve"> </w:t>
      </w:r>
      <w:r>
        <w:rPr>
          <w:vertAlign w:val="superscript"/>
        </w:rPr>
        <w:t>4</w:t>
      </w:r>
      <w:r>
        <w:t>He is non-radioactive, so the concentration of t</w:t>
      </w:r>
      <w:r w:rsidR="004946C2">
        <w:t>his tracer increases with time.</w:t>
      </w:r>
      <w:r>
        <w:t xml:space="preserve"> </w:t>
      </w:r>
      <w:r>
        <w:rPr>
          <w:vertAlign w:val="superscript"/>
        </w:rPr>
        <w:t>222</w:t>
      </w:r>
      <w:r>
        <w:t xml:space="preserve">Rn, which is also produced by the radioactive decay of U and Th, is itself radioactive, with a short half-life of 3.8 days, so it reaches </w:t>
      </w:r>
      <w:proofErr w:type="gramStart"/>
      <w:r>
        <w:t>an equilibrium</w:t>
      </w:r>
      <w:proofErr w:type="gramEnd"/>
      <w:r>
        <w:t xml:space="preserve"> between production and decay quickly (~30 days) and is therefore not useful for age dating older waters</w:t>
      </w:r>
      <w:r w:rsidR="004946C2">
        <w:t xml:space="preserve"> (</w:t>
      </w:r>
      <w:r w:rsidR="004946C2" w:rsidRPr="00967143">
        <w:t>Cook &amp; Böhlke</w:t>
      </w:r>
      <w:r w:rsidR="004946C2">
        <w:t xml:space="preserve"> 2000). </w:t>
      </w:r>
      <w:r>
        <w:t>Hendry et al</w:t>
      </w:r>
      <w:r w:rsidR="004946C2">
        <w:t>. (2005)</w:t>
      </w:r>
      <w:r>
        <w:t xml:space="preserve"> measured the increase in concentration with depth of </w:t>
      </w:r>
      <w:r>
        <w:rPr>
          <w:vertAlign w:val="superscript"/>
        </w:rPr>
        <w:t>4</w:t>
      </w:r>
      <w:r>
        <w:t>He fro</w:t>
      </w:r>
      <w:r w:rsidR="004946C2">
        <w:t xml:space="preserve">m a surficial aquitard system. </w:t>
      </w:r>
      <w:r>
        <w:t xml:space="preserve">Their findings indicate that the concentration of </w:t>
      </w:r>
      <w:r>
        <w:rPr>
          <w:vertAlign w:val="superscript"/>
        </w:rPr>
        <w:t>4</w:t>
      </w:r>
      <w:r>
        <w:t xml:space="preserve">He exceeded that which would occur solely from U and Th decay in the aquitard, and that some </w:t>
      </w:r>
      <w:r>
        <w:rPr>
          <w:vertAlign w:val="superscript"/>
        </w:rPr>
        <w:t>4</w:t>
      </w:r>
      <w:r>
        <w:t>He was ascending</w:t>
      </w:r>
      <w:r w:rsidR="004946C2">
        <w:t xml:space="preserve"> from the underlying aquitard. </w:t>
      </w:r>
      <w:r>
        <w:t xml:space="preserve">More recently, </w:t>
      </w:r>
      <w:r w:rsidRPr="008A3E76">
        <w:t>Gardner et al.</w:t>
      </w:r>
      <w:r w:rsidR="004946C2">
        <w:t xml:space="preserve"> (2012)</w:t>
      </w:r>
      <w:r>
        <w:t xml:space="preserve"> have used </w:t>
      </w:r>
      <w:r w:rsidRPr="00473BD2">
        <w:rPr>
          <w:vertAlign w:val="superscript"/>
        </w:rPr>
        <w:t>4</w:t>
      </w:r>
      <w:r>
        <w:t xml:space="preserve">He measurements from the Bulldog Shale aquitard in the western </w:t>
      </w:r>
      <w:r w:rsidR="000C6964">
        <w:t>GAB</w:t>
      </w:r>
      <w:r>
        <w:t xml:space="preserve"> to understand mechanisms and quantify rates of natural upward leakage from the underlying artesian aquifer. Their work provided the first true estimates of formation-scale aquitard permeability in this part of the basin, and revealed a combination of relatively low diffuse discharge through massive sections of shale operating alongside much higher, preferential discharge (connectivity) through faults.</w:t>
      </w:r>
    </w:p>
    <w:p w:rsidR="00DD07AF" w:rsidRDefault="00DD07AF" w:rsidP="004946C2">
      <w:pPr>
        <w:pStyle w:val="BRNormal"/>
      </w:pPr>
      <w:r>
        <w:t>Event markers are a special type of environmental tracer, where the concentration in the past has</w:t>
      </w:r>
      <w:r w:rsidR="004946C2">
        <w:t xml:space="preserve"> been variable but well known. </w:t>
      </w:r>
      <w:r>
        <w:t>During the mid-20</w:t>
      </w:r>
      <w:r w:rsidRPr="00FC30B3">
        <w:rPr>
          <w:vertAlign w:val="superscript"/>
        </w:rPr>
        <w:t>th</w:t>
      </w:r>
      <w:r>
        <w:t xml:space="preserve"> century the atmospheric concentrations of </w:t>
      </w:r>
      <w:r w:rsidRPr="00FC30B3">
        <w:rPr>
          <w:vertAlign w:val="superscript"/>
        </w:rPr>
        <w:t>3</w:t>
      </w:r>
      <w:r>
        <w:t xml:space="preserve">H, </w:t>
      </w:r>
      <w:r w:rsidRPr="00FC30B3">
        <w:rPr>
          <w:vertAlign w:val="superscript"/>
        </w:rPr>
        <w:t>14</w:t>
      </w:r>
      <w:r>
        <w:t xml:space="preserve">C and </w:t>
      </w:r>
      <w:r w:rsidRPr="00FC30B3">
        <w:rPr>
          <w:vertAlign w:val="superscript"/>
        </w:rPr>
        <w:t>36</w:t>
      </w:r>
      <w:r>
        <w:t>Cl increased dramatica</w:t>
      </w:r>
      <w:r w:rsidR="005719E8">
        <w:t>lly due to nuclear bomb testing</w:t>
      </w:r>
      <w:r>
        <w:t xml:space="preserve"> and have since been decr</w:t>
      </w:r>
      <w:r w:rsidR="004946C2">
        <w:t xml:space="preserve">easing back to natural levels. </w:t>
      </w:r>
      <w:r>
        <w:t xml:space="preserve">The increasing and decreasing concentration of these tracers can lead to two possible </w:t>
      </w:r>
      <w:r w:rsidR="004946C2">
        <w:t xml:space="preserve">ages for a groundwater sample. </w:t>
      </w:r>
      <w:r>
        <w:t>Over the same time period, the atmospheric concentrations of chlorofluorocarbons (CFCs), SF</w:t>
      </w:r>
      <w:r>
        <w:rPr>
          <w:vertAlign w:val="subscript"/>
        </w:rPr>
        <w:t>6</w:t>
      </w:r>
      <w:r>
        <w:t xml:space="preserve"> </w:t>
      </w:r>
      <w:r>
        <w:lastRenderedPageBreak/>
        <w:t xml:space="preserve">and </w:t>
      </w:r>
      <w:r w:rsidRPr="00B02A16">
        <w:rPr>
          <w:vertAlign w:val="superscript"/>
        </w:rPr>
        <w:t>85</w:t>
      </w:r>
      <w:r>
        <w:t>Kr have been gradually increasing due to industrial development</w:t>
      </w:r>
      <w:r w:rsidR="004946C2">
        <w:t xml:space="preserve">s and use of nuclear reactors. </w:t>
      </w:r>
      <w:r>
        <w:t>These tracers can be more unique, providing only one possible age for the groundwater, although CFC concentrations have also started to decrease</w:t>
      </w:r>
      <w:r w:rsidR="00B72490">
        <w:t xml:space="preserve"> and are prone to degradation in some geologic environments</w:t>
      </w:r>
      <w:r w:rsidR="004946C2">
        <w:t>.</w:t>
      </w:r>
      <w:r>
        <w:t xml:space="preserve"> Event marker tracers are thus limited in use to dating groundwater that has entered the subsurface since the mid-20</w:t>
      </w:r>
      <w:r w:rsidRPr="00B02A16">
        <w:rPr>
          <w:vertAlign w:val="superscript"/>
        </w:rPr>
        <w:t>th</w:t>
      </w:r>
      <w:r>
        <w:t xml:space="preserve"> century</w:t>
      </w:r>
      <w:r w:rsidR="004946C2">
        <w:t xml:space="preserve"> (</w:t>
      </w:r>
      <w:r w:rsidR="004946C2" w:rsidRPr="00967143">
        <w:t>Cook &amp; Böhlke</w:t>
      </w:r>
      <w:r w:rsidR="004946C2">
        <w:t xml:space="preserve"> 2000)</w:t>
      </w:r>
      <w:r>
        <w:t xml:space="preserve">.  </w:t>
      </w:r>
    </w:p>
    <w:p w:rsidR="00DD07AF" w:rsidRDefault="00DD07AF" w:rsidP="004946C2">
      <w:pPr>
        <w:pStyle w:val="BRNormal"/>
      </w:pPr>
      <w:r>
        <w:t>Stable isotopes of hydrogen and oxygen in water molecules have been used for decade</w:t>
      </w:r>
      <w:r w:rsidR="004946C2">
        <w:t>s in hydrologic investigations.</w:t>
      </w:r>
      <w:r>
        <w:t xml:space="preserve"> In the context of inter-aquifer connectivity, vertical depth profiles of the stable H/O isotope ratios in aquitard pore water have been used to provide information on groundwater flow velocity, hydraulic conductivity, solute transport mechanisms and climate and geologic events</w:t>
      </w:r>
      <w:r w:rsidR="004946C2">
        <w:t xml:space="preserve"> (Hendry et al. 2011; Hendry &amp; Wassenaar 2009; Hendry et al. 2004; Hendry &amp; Wassenaar 1999; Remenda et al. 1996; Desaulniers et al. 1981). </w:t>
      </w:r>
      <w:r>
        <w:t xml:space="preserve">Hydrogen has two stable isotopes, </w:t>
      </w:r>
      <w:r>
        <w:rPr>
          <w:vertAlign w:val="superscript"/>
        </w:rPr>
        <w:t>1</w:t>
      </w:r>
      <w:r>
        <w:t xml:space="preserve">H and </w:t>
      </w:r>
      <w:r>
        <w:rPr>
          <w:vertAlign w:val="superscript"/>
        </w:rPr>
        <w:t>2</w:t>
      </w:r>
      <w:r>
        <w:t xml:space="preserve">H, and oxygen has three, </w:t>
      </w:r>
      <w:r>
        <w:rPr>
          <w:vertAlign w:val="superscript"/>
        </w:rPr>
        <w:t>16</w:t>
      </w:r>
      <w:r>
        <w:t xml:space="preserve">O, </w:t>
      </w:r>
      <w:r>
        <w:rPr>
          <w:vertAlign w:val="superscript"/>
        </w:rPr>
        <w:t>17</w:t>
      </w:r>
      <w:r>
        <w:t xml:space="preserve">O, and </w:t>
      </w:r>
      <w:r>
        <w:rPr>
          <w:vertAlign w:val="superscript"/>
        </w:rPr>
        <w:t>18</w:t>
      </w:r>
      <w:r w:rsidR="004946C2">
        <w:t xml:space="preserve">O, each with a different abundance. </w:t>
      </w:r>
      <w:r>
        <w:t xml:space="preserve">The ratio of the heavy isotope to the light isotope (typically </w:t>
      </w:r>
      <w:r>
        <w:rPr>
          <w:vertAlign w:val="superscript"/>
        </w:rPr>
        <w:t>2</w:t>
      </w:r>
      <w:r>
        <w:t>H/</w:t>
      </w:r>
      <w:r>
        <w:rPr>
          <w:vertAlign w:val="superscript"/>
        </w:rPr>
        <w:t>1</w:t>
      </w:r>
      <w:r>
        <w:t xml:space="preserve">H, and </w:t>
      </w:r>
      <w:r>
        <w:rPr>
          <w:vertAlign w:val="superscript"/>
        </w:rPr>
        <w:t>18</w:t>
      </w:r>
      <w:r>
        <w:t>O/</w:t>
      </w:r>
      <w:r>
        <w:rPr>
          <w:vertAlign w:val="superscript"/>
        </w:rPr>
        <w:t>16</w:t>
      </w:r>
      <w:r>
        <w:t>O) of water is particularly sensitive to changes in temperature and humidity, and this refl</w:t>
      </w:r>
      <w:r w:rsidR="004946C2">
        <w:t xml:space="preserve">ects changes in climate. </w:t>
      </w:r>
      <w:r>
        <w:t xml:space="preserve">At decreasing temperatures, glaciation for instance, the precipitation (and thus recharge) </w:t>
      </w:r>
      <w:r w:rsidR="004946C2">
        <w:t xml:space="preserve">has less of the heavy isotope. </w:t>
      </w:r>
      <w:r>
        <w:t xml:space="preserve">The stable isotopic ratio of water recharged during such times therefore has a distinct signature which acts as a tracer and allows the study of transport and fluid flux through aquitards.     </w:t>
      </w:r>
    </w:p>
    <w:p w:rsidR="00DD07AF" w:rsidRDefault="00DD07AF" w:rsidP="004946C2">
      <w:pPr>
        <w:pStyle w:val="BRNormal"/>
      </w:pPr>
      <w:r>
        <w:t>The chemical signature of groundwater can also be used in aqu</w:t>
      </w:r>
      <w:r w:rsidR="004946C2">
        <w:t xml:space="preserve">ifer connectivity assessments. </w:t>
      </w:r>
      <w:r>
        <w:t>Chloride (Cl</w:t>
      </w:r>
      <w:r>
        <w:rPr>
          <w:vertAlign w:val="superscript"/>
        </w:rPr>
        <w:t>-</w:t>
      </w:r>
      <w:r>
        <w:t>), a conservative element that is highly soluble and is not involved in the geochemical reactions commonly occurring in aqu</w:t>
      </w:r>
      <w:r w:rsidR="004946C2">
        <w:t xml:space="preserve">ifers, is particularly useful. </w:t>
      </w:r>
      <w:r>
        <w:t>For example, the degree of mixing between two aquifers with different chemical signatures can be estimated using Cl</w:t>
      </w:r>
      <w:r>
        <w:rPr>
          <w:vertAlign w:val="superscript"/>
        </w:rPr>
        <w:t>-</w:t>
      </w:r>
      <w:r>
        <w:t xml:space="preserve"> concentrations and a mass balance approach:</w:t>
      </w:r>
    </w:p>
    <w:p w:rsidR="00DD07AF" w:rsidRPr="004946C2" w:rsidRDefault="00E23933" w:rsidP="002E7ECD">
      <w:pPr>
        <w:pStyle w:val="BRNormal"/>
      </w:pPr>
      <m:oMathPara>
        <m:oMathParaPr>
          <m:jc m:val="center"/>
        </m:oMathParaPr>
        <m:oMath>
          <m:sSub>
            <m:sSubPr>
              <m:ctrlPr>
                <w:rPr>
                  <w:rFonts w:ascii="Cambria Math" w:hAnsi="Cambria Math"/>
                </w:rPr>
              </m:ctrlPr>
            </m:sSubPr>
            <m:e>
              <m:r>
                <m:rPr>
                  <m:sty m:val="p"/>
                </m:rPr>
                <w:rPr>
                  <w:rFonts w:ascii="Cambria Math" w:hAnsi="Cambria Math"/>
                </w:rPr>
                <m:t>[</m:t>
              </m:r>
              <m:r>
                <w:rPr>
                  <w:rFonts w:ascii="Cambria Math" w:hAnsi="Cambria Math"/>
                </w:rPr>
                <m:t>Cl</m:t>
              </m:r>
              <m:r>
                <m:rPr>
                  <m:sty m:val="p"/>
                </m:rPr>
                <w:rPr>
                  <w:rFonts w:ascii="Cambria Math" w:hAnsi="Cambria Math"/>
                </w:rPr>
                <m:t>]</m:t>
              </m:r>
            </m:e>
            <m:sub>
              <m:r>
                <w:rPr>
                  <w:rFonts w:ascii="Cambria Math" w:hAnsi="Cambria Math"/>
                </w:rPr>
                <m:t>M</m:t>
              </m:r>
            </m:sub>
          </m:sSub>
          <m:r>
            <m:rPr>
              <m:sty m:val="p"/>
            </m:rPr>
            <w:rPr>
              <w:rFonts w:ascii="Cambria Math" w:hAnsi="Cambria Math"/>
            </w:rPr>
            <m:t>=</m:t>
          </m:r>
          <m:r>
            <w:rPr>
              <w:rFonts w:ascii="Cambria Math" w:hAnsi="Cambria Math"/>
            </w:rPr>
            <m:t>x</m:t>
          </m:r>
          <m:r>
            <m:rPr>
              <m:sty m:val="p"/>
            </m:rPr>
            <w:rPr>
              <w:rFonts w:ascii="Cambria Math" w:hAnsi="Cambria Math"/>
            </w:rPr>
            <m:t>×</m:t>
          </m:r>
          <m:sSub>
            <m:sSubPr>
              <m:ctrlPr>
                <w:rPr>
                  <w:rFonts w:ascii="Cambria Math" w:hAnsi="Cambria Math"/>
                </w:rPr>
              </m:ctrlPr>
            </m:sSubPr>
            <m:e>
              <m:r>
                <m:rPr>
                  <m:sty m:val="p"/>
                </m:rPr>
                <w:rPr>
                  <w:rFonts w:ascii="Cambria Math" w:hAnsi="Cambria Math"/>
                </w:rPr>
                <m:t>[</m:t>
              </m:r>
              <m:r>
                <w:rPr>
                  <w:rFonts w:ascii="Cambria Math" w:hAnsi="Cambria Math"/>
                </w:rPr>
                <m:t>Cl</m:t>
              </m:r>
              <m:r>
                <m:rPr>
                  <m:sty m:val="p"/>
                </m:rPr>
                <w:rPr>
                  <w:rFonts w:ascii="Cambria Math" w:hAnsi="Cambria Math"/>
                </w:rPr>
                <m:t>]</m:t>
              </m:r>
            </m:e>
            <m:sub>
              <m:r>
                <w:rPr>
                  <w:rFonts w:ascii="Cambria Math" w:hAnsi="Cambria Math"/>
                </w:rPr>
                <m:t>A</m:t>
              </m:r>
            </m:sub>
          </m:sSub>
          <m:r>
            <m:rPr>
              <m:sty m:val="p"/>
            </m:rPr>
            <w:rPr>
              <w:rFonts w:ascii="Cambria Math" w:hAnsi="Cambria Math"/>
            </w:rPr>
            <m:t>+(1-</m:t>
          </m:r>
          <m:r>
            <w:rPr>
              <w:rFonts w:ascii="Cambria Math" w:hAnsi="Cambria Math"/>
            </w:rPr>
            <m:t>x</m:t>
          </m:r>
          <m:r>
            <m:rPr>
              <m:sty m:val="p"/>
            </m:rPr>
            <w:rPr>
              <w:rFonts w:ascii="Cambria Math" w:hAnsi="Cambria Math"/>
            </w:rPr>
            <m:t>)×</m:t>
          </m:r>
          <m:sSub>
            <m:sSubPr>
              <m:ctrlPr>
                <w:rPr>
                  <w:rFonts w:ascii="Cambria Math" w:hAnsi="Cambria Math"/>
                </w:rPr>
              </m:ctrlPr>
            </m:sSubPr>
            <m:e>
              <m:r>
                <m:rPr>
                  <m:sty m:val="p"/>
                </m:rPr>
                <w:rPr>
                  <w:rFonts w:ascii="Cambria Math" w:hAnsi="Cambria Math"/>
                </w:rPr>
                <m:t>[</m:t>
              </m:r>
              <m:r>
                <w:rPr>
                  <w:rFonts w:ascii="Cambria Math" w:hAnsi="Cambria Math"/>
                </w:rPr>
                <m:t>Cl</m:t>
              </m:r>
              <m:r>
                <m:rPr>
                  <m:sty m:val="p"/>
                </m:rPr>
                <w:rPr>
                  <w:rFonts w:ascii="Cambria Math" w:hAnsi="Cambria Math"/>
                </w:rPr>
                <m:t>]</m:t>
              </m:r>
            </m:e>
            <m:sub>
              <m:r>
                <w:rPr>
                  <w:rFonts w:ascii="Cambria Math" w:hAnsi="Cambria Math"/>
                </w:rPr>
                <m:t>B</m:t>
              </m:r>
            </m:sub>
          </m:sSub>
        </m:oMath>
      </m:oMathPara>
    </w:p>
    <w:p w:rsidR="00DD07AF" w:rsidRPr="00CD087A" w:rsidRDefault="00DD07AF" w:rsidP="004946C2">
      <w:pPr>
        <w:pStyle w:val="BRNormal"/>
      </w:pPr>
      <w:r>
        <w:t>where [</w:t>
      </w:r>
      <w:r>
        <w:rPr>
          <w:i/>
        </w:rPr>
        <w:t>Cl</w:t>
      </w:r>
      <w:r>
        <w:t>]</w:t>
      </w:r>
      <w:r>
        <w:rPr>
          <w:i/>
          <w:vertAlign w:val="subscript"/>
        </w:rPr>
        <w:t>M</w:t>
      </w:r>
      <w:r>
        <w:t>, [</w:t>
      </w:r>
      <w:r>
        <w:rPr>
          <w:i/>
        </w:rPr>
        <w:t>Cl</w:t>
      </w:r>
      <w:r>
        <w:t>]</w:t>
      </w:r>
      <w:r>
        <w:rPr>
          <w:i/>
          <w:vertAlign w:val="subscript"/>
        </w:rPr>
        <w:t>A</w:t>
      </w:r>
      <w:r w:rsidRPr="00A62FA0">
        <w:t xml:space="preserve">, </w:t>
      </w:r>
      <w:r>
        <w:t>[</w:t>
      </w:r>
      <w:r>
        <w:rPr>
          <w:i/>
        </w:rPr>
        <w:t>Cl</w:t>
      </w:r>
      <w:r>
        <w:t>]</w:t>
      </w:r>
      <w:r>
        <w:rPr>
          <w:i/>
          <w:vertAlign w:val="subscript"/>
        </w:rPr>
        <w:t>B</w:t>
      </w:r>
      <w:r>
        <w:t xml:space="preserve"> are the Cl</w:t>
      </w:r>
      <w:r>
        <w:rPr>
          <w:vertAlign w:val="superscript"/>
        </w:rPr>
        <w:t>-</w:t>
      </w:r>
      <w:r>
        <w:t xml:space="preserve"> concentration in the mixture, aquifer A and aquifer B, respectively, and </w:t>
      </w:r>
      <w:r>
        <w:rPr>
          <w:i/>
        </w:rPr>
        <w:t xml:space="preserve">x </w:t>
      </w:r>
      <w:r>
        <w:t>is the fraction of water from aquifer A, and 1-</w:t>
      </w:r>
      <w:r>
        <w:rPr>
          <w:i/>
        </w:rPr>
        <w:t>x</w:t>
      </w:r>
      <w:r>
        <w:t xml:space="preserve"> is the fraction from aquifer B</w:t>
      </w:r>
      <w:r w:rsidR="004946C2">
        <w:t xml:space="preserve"> (Herczeg &amp; Edmunds 2000)</w:t>
      </w:r>
      <w:r>
        <w:t>. Vertical profiles of Cl</w:t>
      </w:r>
      <w:r>
        <w:rPr>
          <w:vertAlign w:val="superscript"/>
        </w:rPr>
        <w:t>-</w:t>
      </w:r>
      <w:r>
        <w:t xml:space="preserve"> concentration in aquitard pore water can also be used to interpret inter-aquifer leakage, mixing</w:t>
      </w:r>
      <w:r w:rsidR="009F30FD">
        <w:t xml:space="preserve"> </w:t>
      </w:r>
      <w:r>
        <w:t>and historical changes in aquifer chemistry and hydraulics</w:t>
      </w:r>
      <w:r w:rsidR="004946C2">
        <w:t xml:space="preserve"> (Harrington et al. 2013; Hendry et al. 2000)</w:t>
      </w:r>
      <w:r>
        <w:t>. Finally, Cl</w:t>
      </w:r>
      <w:r w:rsidRPr="007306A8">
        <w:rPr>
          <w:vertAlign w:val="superscript"/>
        </w:rPr>
        <w:t>-</w:t>
      </w:r>
      <w:r>
        <w:t xml:space="preserve"> and other e</w:t>
      </w:r>
      <w:r w:rsidRPr="007306A8">
        <w:t>nvironmental tracers can be used to reveal preferential flow features such as fractures and sand layers</w:t>
      </w:r>
      <w:r>
        <w:t xml:space="preserve"> in what are otherwise very low-permeability aqui</w:t>
      </w:r>
      <w:r w:rsidR="007F239E">
        <w:t>tards</w:t>
      </w:r>
      <w:r w:rsidR="004946C2">
        <w:t xml:space="preserve"> (Harrington et al. 2007; Hendry et al. 2004; Gerber et al. 2001).</w:t>
      </w:r>
    </w:p>
    <w:p w:rsidR="00DD07AF" w:rsidRDefault="00DD07AF" w:rsidP="007B3AED">
      <w:pPr>
        <w:pStyle w:val="BRNormal"/>
      </w:pPr>
      <w:r>
        <w:t>Limitations associated with using environmental tracers to interpret aquifer connectivity arise from the fact that as groundwater moves through the subsurface it often mixes with other groundwater sources (from aquitards for instance) or interacts with the host rock itself.  If these interactions are not identified and accounted for, then estimates of groundwater age, and co</w:t>
      </w:r>
      <w:r w:rsidR="007B3AED">
        <w:t xml:space="preserve">nnectivity, can be misleading. </w:t>
      </w:r>
      <w:r>
        <w:t>If possible, the use of multiple environmental tracers togethe</w:t>
      </w:r>
      <w:r w:rsidR="007B3AED">
        <w:t xml:space="preserve">r can reduce this uncertainty. </w:t>
      </w:r>
      <w:r>
        <w:t xml:space="preserve">Likewise, incorporating hydraulic methods and any other methods deemed appropriate to a particular problem will increase the confidence associated with an interpretation. </w:t>
      </w:r>
    </w:p>
    <w:p w:rsidR="00DD07AF" w:rsidRDefault="00DD07AF" w:rsidP="005F6513">
      <w:pPr>
        <w:pStyle w:val="Heading2"/>
      </w:pPr>
      <w:bookmarkStart w:id="508" w:name="_Toc381961102"/>
      <w:bookmarkStart w:id="509" w:name="_Toc389055221"/>
      <w:r>
        <w:t>Modelling</w:t>
      </w:r>
      <w:bookmarkEnd w:id="508"/>
      <w:bookmarkEnd w:id="509"/>
    </w:p>
    <w:p w:rsidR="00DD07AF" w:rsidRDefault="00DD07AF" w:rsidP="005F6513">
      <w:pPr>
        <w:pStyle w:val="Heading3"/>
      </w:pPr>
      <w:bookmarkStart w:id="510" w:name="_Toc381961103"/>
      <w:r>
        <w:t xml:space="preserve">What is a </w:t>
      </w:r>
      <w:r w:rsidR="007B3AED">
        <w:t>g</w:t>
      </w:r>
      <w:r w:rsidR="001D767A">
        <w:t xml:space="preserve">roundwater </w:t>
      </w:r>
      <w:r w:rsidR="007B3AED">
        <w:t>m</w:t>
      </w:r>
      <w:r>
        <w:t>odel?</w:t>
      </w:r>
      <w:bookmarkEnd w:id="510"/>
    </w:p>
    <w:p w:rsidR="00DD07AF" w:rsidRPr="00EB103D" w:rsidRDefault="00DD07AF" w:rsidP="0038540D">
      <w:pPr>
        <w:pStyle w:val="BRNormal"/>
      </w:pPr>
      <w:r>
        <w:t>A groundwater model is a tool used to represent a simplified groundwate</w:t>
      </w:r>
      <w:r w:rsidR="0038540D">
        <w:t xml:space="preserve">r system, or one of its parts. </w:t>
      </w:r>
      <w:r>
        <w:t>This can be done in one of two ways, either</w:t>
      </w:r>
      <w:r w:rsidR="0038540D">
        <w:t xml:space="preserve"> physically or mathematically. </w:t>
      </w:r>
      <w:r>
        <w:t xml:space="preserve">Physical models are real representations of a system, such as a sand tank filled with water, and can </w:t>
      </w:r>
      <w:r>
        <w:lastRenderedPageBreak/>
        <w:t xml:space="preserve">simulate groundwater flow </w:t>
      </w:r>
      <w:r w:rsidR="0038540D">
        <w:t xml:space="preserve">and solute transport directly. </w:t>
      </w:r>
      <w:r>
        <w:t>Physical models, typically constructed in the laboratory, are necessarily limited in their size and represent a miniature groundw</w:t>
      </w:r>
      <w:r w:rsidR="0038540D">
        <w:t xml:space="preserve">ater system of limited extent. </w:t>
      </w:r>
      <w:r>
        <w:t xml:space="preserve">It is possible to subject a physical model to various stresses (e.g. pumping) however the difficulty associated with recreating a </w:t>
      </w:r>
      <w:r w:rsidRPr="008017DB">
        <w:t>more</w:t>
      </w:r>
      <w:r>
        <w:t xml:space="preserve"> complex multi-layer aquifer/aquitard system with various forms of recharge (precipitation, stream flow, inter-aquifer flow) and discharge (pumping, stream) </w:t>
      </w:r>
      <w:r w:rsidRPr="00EB103D">
        <w:t>along with possible spatial changes in properties can limit the practical use of physi</w:t>
      </w:r>
      <w:r w:rsidR="0038540D">
        <w:t>cal models.</w:t>
      </w:r>
      <w:r w:rsidRPr="00EB103D">
        <w:t xml:space="preserve"> </w:t>
      </w:r>
      <w:r w:rsidR="009F30FD">
        <w:t>A physical model</w:t>
      </w:r>
      <w:r w:rsidRPr="00EB103D">
        <w:t xml:space="preserve"> is thus typically limited to education and demonstration purposes.</w:t>
      </w:r>
    </w:p>
    <w:p w:rsidR="00A4407F" w:rsidRDefault="00DD07AF" w:rsidP="0038540D">
      <w:pPr>
        <w:pStyle w:val="BRNormal"/>
      </w:pPr>
      <w:r>
        <w:t xml:space="preserve">Mathematical models simulate groundwater flow indirectly by solving a series of equations </w:t>
      </w:r>
      <w:r w:rsidR="00A4407F">
        <w:t>that</w:t>
      </w:r>
      <w:r>
        <w:t xml:space="preserve"> describe the physical processes and boundaries of a groundwater</w:t>
      </w:r>
      <w:r w:rsidR="0038540D">
        <w:t xml:space="preserve"> system. </w:t>
      </w:r>
      <w:r>
        <w:t>There are two ways to solve mathematical models, eithe</w:t>
      </w:r>
      <w:r w:rsidR="0038540D">
        <w:t xml:space="preserve">r analytically or numerically. </w:t>
      </w:r>
    </w:p>
    <w:p w:rsidR="00DD07AF" w:rsidRDefault="00DD07AF" w:rsidP="00A4407F">
      <w:pPr>
        <w:pStyle w:val="BRdotpoints"/>
      </w:pPr>
      <w:r>
        <w:t xml:space="preserve">Analytical models are an exact solution of the groundwater flow equations but they require the user to make numerous simplifying assumptions about the groundwater system, </w:t>
      </w:r>
      <w:r w:rsidR="005F3C90">
        <w:t>in particular</w:t>
      </w:r>
      <w:r>
        <w:t xml:space="preserve"> </w:t>
      </w:r>
      <w:r w:rsidR="007B5A99">
        <w:t xml:space="preserve">the boundary conditions and </w:t>
      </w:r>
      <w:r>
        <w:t xml:space="preserve">that the aquifer properties </w:t>
      </w:r>
      <w:r w:rsidR="007B5A99">
        <w:t xml:space="preserve">need to be </w:t>
      </w:r>
      <w:r w:rsidR="0038540D">
        <w:t xml:space="preserve">constant in space and time. </w:t>
      </w:r>
      <w:r>
        <w:t>Analytical models are available for many different hydrogeological problems and may be solved rapidly, either by hand or with a compute</w:t>
      </w:r>
      <w:r w:rsidR="0038540D">
        <w:t>r.</w:t>
      </w:r>
      <w:r>
        <w:t xml:space="preserve"> </w:t>
      </w:r>
      <w:r w:rsidR="003614FB" w:rsidRPr="003614FB">
        <w:t>If the groundwater system being modelled is too complex and the simplifying assumptions cannot be applied, then it becomes necessary to use a numerical model</w:t>
      </w:r>
      <w:r>
        <w:t>.</w:t>
      </w:r>
    </w:p>
    <w:p w:rsidR="00DD07AF" w:rsidRDefault="00DD07AF" w:rsidP="00A4407F">
      <w:pPr>
        <w:pStyle w:val="BRdotpoints"/>
      </w:pPr>
      <w:r>
        <w:t xml:space="preserve">In a numerical model, space and time are subdivided into discrete segments for each of which a solution to the groundwater </w:t>
      </w:r>
      <w:r w:rsidR="0038540D">
        <w:t xml:space="preserve">flow equation is approximated. </w:t>
      </w:r>
      <w:r>
        <w:t>Numerical models are not subject to the same simplifying as</w:t>
      </w:r>
      <w:r w:rsidR="0038540D">
        <w:t>sumptions as analytical models.</w:t>
      </w:r>
      <w:r>
        <w:t xml:space="preserve"> It is possible for the parameters of the model (coefficients of the model that describe the hydrogeological properties and boundaries of the system) to vary in space and time, allowing the user to accommodate variability in aquifer geometry, pump</w:t>
      </w:r>
      <w:r w:rsidR="0038540D">
        <w:t xml:space="preserve">ing, and hydraulic properties. </w:t>
      </w:r>
      <w:r>
        <w:t xml:space="preserve">These models are more computationally intensive and are solved by computers.   </w:t>
      </w:r>
    </w:p>
    <w:p w:rsidR="00DD07AF" w:rsidRDefault="00DD07AF" w:rsidP="0038540D">
      <w:pPr>
        <w:pStyle w:val="BRNormal"/>
      </w:pPr>
      <w:r>
        <w:t>The remainder of this section will focus on numerical modelling techniques and how they may be used to i</w:t>
      </w:r>
      <w:r w:rsidR="0038540D">
        <w:t xml:space="preserve">nterpret aquifer connectivity. </w:t>
      </w:r>
      <w:r>
        <w:t>The use of numerical models has grown considerably in recent years due to increased computational pow</w:t>
      </w:r>
      <w:r w:rsidR="00A4407F">
        <w:t>er, the availability of user-</w:t>
      </w:r>
      <w:r>
        <w:t>friendly software packag</w:t>
      </w:r>
      <w:r w:rsidR="0038540D">
        <w:t>es and new solution techniques.</w:t>
      </w:r>
      <w:r>
        <w:t xml:space="preserve"> In addition, numerical models are capable of representing the groundwater system in three dimensions (if needed) and can incorporate aquifer heterogeneity allowing a more realistic representatio</w:t>
      </w:r>
      <w:r w:rsidR="0038540D">
        <w:t>n of the system being modelled.</w:t>
      </w:r>
      <w:r>
        <w:t xml:space="preserve"> Unless otherwise referenced, the material presented in th</w:t>
      </w:r>
      <w:r w:rsidR="00A4407F">
        <w:t>is</w:t>
      </w:r>
      <w:r>
        <w:t xml:space="preserve"> section is from </w:t>
      </w:r>
      <w:r w:rsidR="0038540D">
        <w:t xml:space="preserve">Barnett et al. (2012), Kresic (2007) and </w:t>
      </w:r>
      <w:r>
        <w:t>Anderson and Woessner</w:t>
      </w:r>
      <w:r w:rsidR="0038540D">
        <w:t xml:space="preserve"> (1992).</w:t>
      </w:r>
    </w:p>
    <w:p w:rsidR="00DD07AF" w:rsidRDefault="0038540D" w:rsidP="005F6513">
      <w:pPr>
        <w:pStyle w:val="Heading3"/>
      </w:pPr>
      <w:bookmarkStart w:id="511" w:name="_Toc381961104"/>
      <w:r>
        <w:t>Why m</w:t>
      </w:r>
      <w:r w:rsidR="00DD07AF">
        <w:t>odel?</w:t>
      </w:r>
      <w:bookmarkEnd w:id="511"/>
      <w:r w:rsidR="00DD07AF">
        <w:t xml:space="preserve">   </w:t>
      </w:r>
    </w:p>
    <w:p w:rsidR="00DD07AF" w:rsidRDefault="00DD07AF" w:rsidP="0038540D">
      <w:pPr>
        <w:pStyle w:val="BRNormal"/>
      </w:pPr>
      <w:r>
        <w:t>There are two broad types of groundwater models: groundwater flow model</w:t>
      </w:r>
      <w:r w:rsidR="0038540D">
        <w:t xml:space="preserve">s and solute transport models. </w:t>
      </w:r>
      <w:r>
        <w:t>A groundwater flow model simulates hydraulic heads and flow rates within the model and across its boundaries, whereas a solute transport model simulates the concentration of solutes and their migration in the subsurface and across model boundaries.  Groundwater models can be used to measure the fluid and solute exchange between the modelled system and the surface, boreholes</w:t>
      </w:r>
      <w:r w:rsidR="0038540D">
        <w:t xml:space="preserve"> or other groundwater systems. </w:t>
      </w:r>
      <w:r>
        <w:t>They can be solved for steady-state flow conditions where the magnitude and flow of groundwater is constant with time throughout the modelled domain, or for transient flow conditions where these can change with time.  In a steady-state flow simulation the hydraulic head in the model does not change with time, but can in transient simulations.</w:t>
      </w:r>
    </w:p>
    <w:p w:rsidR="00DD07AF" w:rsidRDefault="00DD07AF" w:rsidP="0038540D">
      <w:pPr>
        <w:pStyle w:val="BRNormal"/>
      </w:pPr>
      <w:r>
        <w:lastRenderedPageBreak/>
        <w:t xml:space="preserve">Groundwater models are generally created for </w:t>
      </w:r>
      <w:r w:rsidR="0038540D">
        <w:t xml:space="preserve">one of three purposes. </w:t>
      </w:r>
      <w:r>
        <w:t>The first group is predictive models, which are used to forecast either natural or art</w:t>
      </w:r>
      <w:r w:rsidR="0038540D">
        <w:t xml:space="preserve">ificial changes to the system. </w:t>
      </w:r>
      <w:r>
        <w:t>Groundwater models may also be used for interpretive or descriptive purposes, which allow the user to test various assumptions, to better understand the system dyna</w:t>
      </w:r>
      <w:r w:rsidR="0038540D">
        <w:t xml:space="preserve">mics and identify future work. </w:t>
      </w:r>
      <w:r>
        <w:t>The final group of models includes those which are generic and used to analyse hyp</w:t>
      </w:r>
      <w:r w:rsidR="0038540D">
        <w:t xml:space="preserve">othetical groundwater systems. </w:t>
      </w:r>
      <w:r>
        <w:t>This group is used to study the principles of groundwater flow and solute transport without the need for site-specific data.</w:t>
      </w:r>
    </w:p>
    <w:p w:rsidR="00DD07AF" w:rsidRDefault="00DD07AF" w:rsidP="0038540D">
      <w:pPr>
        <w:pStyle w:val="BRNormal"/>
      </w:pPr>
      <w:r>
        <w:t>There is no such</w:t>
      </w:r>
      <w:r w:rsidR="0038540D">
        <w:t xml:space="preserve"> thing as an all-purpose model.</w:t>
      </w:r>
      <w:r>
        <w:t xml:space="preserve"> It is crucial at the initial stages of project development that the purpos</w:t>
      </w:r>
      <w:r w:rsidR="0038540D">
        <w:t xml:space="preserve">e of the model be established. </w:t>
      </w:r>
      <w:r>
        <w:t xml:space="preserve">Why is the model being developed, what questions need to be </w:t>
      </w:r>
      <w:r w:rsidR="0038540D">
        <w:t xml:space="preserve">answered, what can be learned? </w:t>
      </w:r>
      <w:r>
        <w:t>Can the answers to these questions be obtai</w:t>
      </w:r>
      <w:r w:rsidR="0038540D">
        <w:t xml:space="preserve">ned through analytical models? </w:t>
      </w:r>
      <w:r>
        <w:t>The answers to these questions will determine the type of model</w:t>
      </w:r>
      <w:r w:rsidR="001F5BA5">
        <w:t xml:space="preserve"> that</w:t>
      </w:r>
      <w:r>
        <w:t xml:space="preserve"> is to be produced, and the effort needed to obtain the </w:t>
      </w:r>
      <w:r w:rsidR="0038540D">
        <w:t xml:space="preserve">desired results. </w:t>
      </w:r>
      <w:r>
        <w:t>This is the first step in in the planning stage of groundwater modelling (Section 3.3.3)</w:t>
      </w:r>
      <w:r w:rsidR="0038540D">
        <w:t xml:space="preserve"> (Barnett et al. 2012; Kresic 2007; Anderson &amp; Woessner 1992).</w:t>
      </w:r>
    </w:p>
    <w:p w:rsidR="00DD07AF" w:rsidRDefault="00DD07AF" w:rsidP="0038540D">
      <w:pPr>
        <w:pStyle w:val="BRNormal"/>
      </w:pPr>
      <w:r>
        <w:t>Groundwater models vary i</w:t>
      </w:r>
      <w:r w:rsidR="001F5BA5">
        <w:t>n complexity from simple idealis</w:t>
      </w:r>
      <w:r>
        <w:t>ed groundwater systems, to intricate models incorporating many aspects of the subsurface. The level of complexity that a model will incorporate should be decided upon e</w:t>
      </w:r>
      <w:r w:rsidR="0038540D">
        <w:t xml:space="preserve">arly in the modelling process. </w:t>
      </w:r>
      <w:r>
        <w:t>There are two common approaches used, one where all the available d</w:t>
      </w:r>
      <w:r w:rsidR="001F5BA5">
        <w:t>ata possible is incorporated in</w:t>
      </w:r>
      <w:r>
        <w:t>to the model (complex), and the other where the initial model design is simple and additional levels of complexity are only added as need</w:t>
      </w:r>
      <w:r w:rsidR="0038540D">
        <w:t xml:space="preserve">ed to test various hypotheses. </w:t>
      </w:r>
      <w:r>
        <w:t>Although a more complex model can simulate more processes, it requires more input data to specify the parameter</w:t>
      </w:r>
      <w:r w:rsidR="001F5BA5">
        <w:t>s of the model and higher skill-</w:t>
      </w:r>
      <w:r>
        <w:t>level of the</w:t>
      </w:r>
      <w:r w:rsidR="0038540D">
        <w:t xml:space="preserve"> modeller.</w:t>
      </w:r>
      <w:r>
        <w:t xml:space="preserve"> If a simpler model is chosen, it does not</w:t>
      </w:r>
      <w:r w:rsidR="007B5A99">
        <w:t xml:space="preserve"> necessarily</w:t>
      </w:r>
      <w:r>
        <w:t xml:space="preserve"> preclude the modeller from increasing the complexity should additional data become available</w:t>
      </w:r>
      <w:r w:rsidR="001F5BA5">
        <w:t>;</w:t>
      </w:r>
      <w:r w:rsidR="00FB68BD">
        <w:t xml:space="preserve"> however</w:t>
      </w:r>
      <w:r w:rsidR="001F5BA5">
        <w:t>,</w:t>
      </w:r>
      <w:r w:rsidR="00FB68BD">
        <w:t xml:space="preserve"> changes </w:t>
      </w:r>
      <w:r w:rsidR="00041306">
        <w:t xml:space="preserve">in approach </w:t>
      </w:r>
      <w:r w:rsidR="00FB68BD">
        <w:t>may involve time, computational capacity and additional analysis dependent on the type of model. For example, a conceptual model may be readily updated, a stratigraphic model may take many weeks or months to update and an existing 2D model would need to be discarde</w:t>
      </w:r>
      <w:r w:rsidR="0038540D">
        <w:t xml:space="preserve">d to transition to a 3D model. </w:t>
      </w:r>
      <w:r w:rsidR="00FB68BD">
        <w:t>Likewise a 3D model may need to be rebuilt if the stratigraphy changes</w:t>
      </w:r>
      <w:r>
        <w:t xml:space="preserve">. </w:t>
      </w:r>
    </w:p>
    <w:p w:rsidR="00DD07AF" w:rsidRDefault="0038540D" w:rsidP="005F6513">
      <w:pPr>
        <w:pStyle w:val="Heading3"/>
      </w:pPr>
      <w:bookmarkStart w:id="512" w:name="_Toc381961105"/>
      <w:r>
        <w:t>Groundwater m</w:t>
      </w:r>
      <w:r w:rsidR="00DD07AF">
        <w:t xml:space="preserve">odelling </w:t>
      </w:r>
      <w:r>
        <w:t>p</w:t>
      </w:r>
      <w:r w:rsidR="007B5A99">
        <w:t>rocess</w:t>
      </w:r>
      <w:bookmarkEnd w:id="512"/>
    </w:p>
    <w:p w:rsidR="00DD07AF" w:rsidRDefault="00DD07AF" w:rsidP="00152118">
      <w:pPr>
        <w:pStyle w:val="BRNormal"/>
      </w:pPr>
      <w:r>
        <w:t>The Australian groundwater modelling guidelines</w:t>
      </w:r>
      <w:r w:rsidR="00152118">
        <w:t xml:space="preserve"> (Barnett et al. 2012), </w:t>
      </w:r>
      <w:r>
        <w:t xml:space="preserve">commissioned by the National Water Commission, provide </w:t>
      </w:r>
      <w:r w:rsidR="007B5A99">
        <w:t>guidance</w:t>
      </w:r>
      <w:r>
        <w:t xml:space="preserve"> for the development, application and use of groundwater flow and solute transport models</w:t>
      </w:r>
      <w:r w:rsidR="007B5A99">
        <w:t>, built upon the experience of groundwater modellers in academia and industry within the Australian context</w:t>
      </w:r>
      <w:r w:rsidR="00152118">
        <w:t>.</w:t>
      </w:r>
      <w:r>
        <w:t xml:space="preserve"> The guidelines suggest an approach to model development that uses a series of interdependent steps with regular opportunities for feedback into earlier steps, accompanied by regular reporting and review </w:t>
      </w:r>
      <w:r w:rsidR="008A5D76">
        <w:t>(Figure 10)</w:t>
      </w:r>
      <w:r>
        <w:t>.</w:t>
      </w:r>
    </w:p>
    <w:p w:rsidR="003E452F" w:rsidRDefault="003E452F" w:rsidP="003E452F">
      <w:pPr>
        <w:pStyle w:val="BRNormal"/>
      </w:pPr>
      <w:r>
        <w:t xml:space="preserve">The initial step of model development involves </w:t>
      </w:r>
      <w:r w:rsidRPr="001A4B4D">
        <w:rPr>
          <w:b/>
        </w:rPr>
        <w:t>planning</w:t>
      </w:r>
      <w:r>
        <w:t xml:space="preserve">, which requires the modellers and stakeholders to agree on objectives and intended use of the model and the type of model to be developed. The next step is model </w:t>
      </w:r>
      <w:r>
        <w:rPr>
          <w:b/>
        </w:rPr>
        <w:t>conceptualis</w:t>
      </w:r>
      <w:r w:rsidRPr="009A69FC">
        <w:rPr>
          <w:b/>
        </w:rPr>
        <w:t>ation</w:t>
      </w:r>
      <w:r>
        <w:t xml:space="preserve">, where all the available data and knowledge of the study area are used to identify and describe the physical features and groundwater flow of the hydrogeologic system. It is important that the conceptual model be able to explain all process occurring in the system under consideration, and it is possible that alternative conceptual models will be equally able to explain all the processes. A conceptual model is often represented pictorially in the form of a cross-section or block diagram, or through more advanced 3D visualisation software. The conceptual model should be re-visited regularly throughout model development and refinements made if necessary.    </w:t>
      </w:r>
    </w:p>
    <w:p w:rsidR="004B54F4" w:rsidRDefault="004B54F4" w:rsidP="004B54F4">
      <w:pPr>
        <w:pStyle w:val="BRNormal"/>
      </w:pPr>
      <w:r>
        <w:t xml:space="preserve">Model conceptualisation is then implemented through </w:t>
      </w:r>
      <w:r w:rsidRPr="00986EAB">
        <w:rPr>
          <w:b/>
        </w:rPr>
        <w:t>model design</w:t>
      </w:r>
      <w:r>
        <w:t xml:space="preserve"> and </w:t>
      </w:r>
      <w:r w:rsidRPr="00986EAB">
        <w:rPr>
          <w:b/>
        </w:rPr>
        <w:t>construction</w:t>
      </w:r>
      <w:r>
        <w:t xml:space="preserve">. In the design stage the numerical method and modelling software is chosen as are the model </w:t>
      </w:r>
      <w:r>
        <w:lastRenderedPageBreak/>
        <w:t>dimensions, extent, layer structure and the spatial and temporal discretisation (size of blocks and time segments for which the groundwater flow equations will be solved). Model developers are encouraged to use simpler modelling approaches where applicable – for example, 2D rather than 3D, steady-state rather than transient, and the use of analytical methods if possible. These decisions are then applied through model construction using the chosen software.</w:t>
      </w:r>
    </w:p>
    <w:p w:rsidR="00DD07AF" w:rsidRDefault="00DD07AF" w:rsidP="001C3374">
      <w:r>
        <w:rPr>
          <w:noProof/>
          <w:lang w:val="en-AU" w:eastAsia="en-AU"/>
        </w:rPr>
        <w:drawing>
          <wp:inline distT="0" distB="0" distL="0" distR="0">
            <wp:extent cx="4190337" cy="7185893"/>
            <wp:effectExtent l="0" t="0" r="127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 cstate="email"/>
                    <a:srcRect/>
                    <a:stretch/>
                  </pic:blipFill>
                  <pic:spPr bwMode="auto">
                    <a:xfrm>
                      <a:off x="0" y="0"/>
                      <a:ext cx="4217478" cy="7232437"/>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DD07AF" w:rsidRDefault="00152118" w:rsidP="00152118">
      <w:pPr>
        <w:pStyle w:val="Caption"/>
      </w:pPr>
      <w:bookmarkStart w:id="513" w:name="_Ref332882829"/>
      <w:r w:rsidRPr="00152118">
        <w:t xml:space="preserve">Figure </w:t>
      </w:r>
      <w:r w:rsidR="00E23933" w:rsidRPr="00152118">
        <w:fldChar w:fldCharType="begin"/>
      </w:r>
      <w:r w:rsidRPr="00152118">
        <w:instrText xml:space="preserve"> SEQ Figure \* ARABIC </w:instrText>
      </w:r>
      <w:r w:rsidR="00E23933" w:rsidRPr="00152118">
        <w:fldChar w:fldCharType="separate"/>
      </w:r>
      <w:r>
        <w:t>10</w:t>
      </w:r>
      <w:r w:rsidR="00E23933" w:rsidRPr="00152118">
        <w:fldChar w:fldCharType="end"/>
      </w:r>
      <w:bookmarkEnd w:id="513"/>
      <w:r w:rsidR="00DD07AF">
        <w:t xml:space="preserve"> Groundwater modelling process</w:t>
      </w:r>
      <w:r>
        <w:t xml:space="preserve"> (</w:t>
      </w:r>
      <w:r w:rsidR="00F976E1">
        <w:t>©</w:t>
      </w:r>
      <w:r w:rsidR="001F5BA5">
        <w:t xml:space="preserve"> Copyright, </w:t>
      </w:r>
      <w:r>
        <w:t>Barnett et al. 2012)</w:t>
      </w:r>
      <w:r w:rsidR="00DD07AF">
        <w:t>.</w:t>
      </w:r>
    </w:p>
    <w:p w:rsidR="008A5D76" w:rsidRDefault="008A5D76" w:rsidP="008A5D76">
      <w:pPr>
        <w:pStyle w:val="BRNormal"/>
      </w:pPr>
      <w:r>
        <w:lastRenderedPageBreak/>
        <w:t xml:space="preserve">Once the model design has been implemented, the model may undergo </w:t>
      </w:r>
      <w:r w:rsidRPr="000F13A5">
        <w:rPr>
          <w:b/>
        </w:rPr>
        <w:t>calibration</w:t>
      </w:r>
      <w:r>
        <w:t xml:space="preserve"> and </w:t>
      </w:r>
      <w:r w:rsidRPr="000F13A5">
        <w:rPr>
          <w:b/>
        </w:rPr>
        <w:t>sensitivity analyses</w:t>
      </w:r>
      <w:r>
        <w:t xml:space="preserve">. Model parameters that were implemented in the construction phase are adjusted until model simulations agree with historical data. This process can be done using a manual trial-and-error technique or through automated parameter estimation software.  </w:t>
      </w:r>
    </w:p>
    <w:p w:rsidR="008A5D76" w:rsidRDefault="008A5D76" w:rsidP="008A5D76">
      <w:pPr>
        <w:pStyle w:val="BRNormal"/>
      </w:pPr>
      <w:r>
        <w:t xml:space="preserve">Following calibration, the model may be used to make </w:t>
      </w:r>
      <w:r w:rsidRPr="00E33319">
        <w:rPr>
          <w:b/>
        </w:rPr>
        <w:t>predictions</w:t>
      </w:r>
      <w:r>
        <w:t xml:space="preserve"> that address the questions initially outlined in the modelling objectives (stage 1). Here it is possible to simulate the response to numerous stresses such as pumping, climate change, and solute migration, among others. Given that all modelling predictions are to some degree uncertain, it is necessary at this stage to describe the level of </w:t>
      </w:r>
      <w:r w:rsidRPr="002F7CF5">
        <w:rPr>
          <w:b/>
        </w:rPr>
        <w:t>uncertainty</w:t>
      </w:r>
      <w:r>
        <w:t xml:space="preserve"> (Section 3.3.4) and present it along with model predictions.</w:t>
      </w:r>
    </w:p>
    <w:p w:rsidR="008A5D76" w:rsidRDefault="008A5D76" w:rsidP="008A5D76">
      <w:pPr>
        <w:pStyle w:val="BRNormal"/>
      </w:pPr>
      <w:r>
        <w:t xml:space="preserve">In addition to regular </w:t>
      </w:r>
      <w:r w:rsidRPr="003F7837">
        <w:rPr>
          <w:b/>
        </w:rPr>
        <w:t>reporting and review</w:t>
      </w:r>
      <w:r>
        <w:t xml:space="preserve"> throughout model development, a final report detailing the modelling process, data collection and outputs should be produced and critically reviewed by experienced peers as well as a non-technical audience. Subsequently, a post-audit should be conducted when new data becomes available.</w:t>
      </w:r>
    </w:p>
    <w:p w:rsidR="00DD07AF" w:rsidRDefault="00DD07AF" w:rsidP="005F6513">
      <w:pPr>
        <w:pStyle w:val="Heading3"/>
      </w:pPr>
      <w:bookmarkStart w:id="514" w:name="_Toc381961106"/>
      <w:r>
        <w:t>Uncertainty</w:t>
      </w:r>
      <w:bookmarkEnd w:id="514"/>
    </w:p>
    <w:p w:rsidR="00DD07AF" w:rsidRDefault="00DD07AF" w:rsidP="00F3084B">
      <w:pPr>
        <w:pStyle w:val="BRNormal"/>
      </w:pPr>
      <w:r>
        <w:t>All groundwater models are a simpl</w:t>
      </w:r>
      <w:r w:rsidR="00F3084B">
        <w:t>ification of the natural world.</w:t>
      </w:r>
      <w:r w:rsidR="0032170B">
        <w:t xml:space="preserve"> In the conceptualis</w:t>
      </w:r>
      <w:r>
        <w:t>ation and design of a model, decisions must be made on how an inherently complex system will be simplified and reproduced in</w:t>
      </w:r>
      <w:r w:rsidR="00F3084B">
        <w:t xml:space="preserve"> the form of a numerical model.</w:t>
      </w:r>
      <w:r>
        <w:t xml:space="preserve"> There is no single true or unique groundwater model and as such any predictions mad</w:t>
      </w:r>
      <w:r w:rsidR="00F3084B">
        <w:t>e are to some degree uncertain.</w:t>
      </w:r>
      <w:r>
        <w:t xml:space="preserve"> It is therefore necessary, when presenting any modelling results, to include estimates of predictive uncertainty.</w:t>
      </w:r>
    </w:p>
    <w:p w:rsidR="00DD07AF" w:rsidRDefault="00DD07AF" w:rsidP="00F3084B">
      <w:pPr>
        <w:pStyle w:val="BRNormal"/>
      </w:pPr>
      <w:r>
        <w:t>The uncertainty associated with predictive models stems from two main sources: fie</w:t>
      </w:r>
      <w:r w:rsidR="00F3084B">
        <w:t xml:space="preserve">ld measurements and the model. </w:t>
      </w:r>
      <w:r>
        <w:t>The field observations that are used to constrain and calibrate the model are inherently uncertain due to the errors associated</w:t>
      </w:r>
      <w:r w:rsidR="00F3084B">
        <w:t xml:space="preserve"> with the measurement methods. </w:t>
      </w:r>
      <w:r>
        <w:t>Although this error can be reduced through improved field techniques and frequency of data collec</w:t>
      </w:r>
      <w:r w:rsidR="00F3084B">
        <w:t xml:space="preserve">tion, it cannot be eliminated. </w:t>
      </w:r>
      <w:r>
        <w:t>Uncertainty associated with the model stems from our inability to exactly represent the complexity of the natur</w:t>
      </w:r>
      <w:r w:rsidR="00F3084B">
        <w:t xml:space="preserve">al world in a numerical model. </w:t>
      </w:r>
      <w:r>
        <w:t>This uncertainty is rarely a limitation of the model itself, arising instead because the modeller is unable to provide detailed parameter values at the spatial and temporal scales that the</w:t>
      </w:r>
      <w:r w:rsidR="00F3084B">
        <w:t xml:space="preserve"> model is able to accommodate. </w:t>
      </w:r>
      <w:r w:rsidR="001D767A">
        <w:t>Additional uncertainty can arise from errors made by the model programmer, or with the modelling program itself</w:t>
      </w:r>
      <w:r w:rsidR="00DE54C8">
        <w:t xml:space="preserve"> (cod</w:t>
      </w:r>
      <w:r w:rsidR="001D767A">
        <w:t>e errors, version).</w:t>
      </w:r>
    </w:p>
    <w:p w:rsidR="00DD07AF" w:rsidRDefault="00DD07AF" w:rsidP="00F3084B">
      <w:pPr>
        <w:pStyle w:val="BRNormal"/>
      </w:pPr>
      <w:r>
        <w:t>The approaches used to conduct an uncertainty analysis can vary widely from qualitative to much more comprehensive,</w:t>
      </w:r>
      <w:r w:rsidR="00F3084B">
        <w:t xml:space="preserve"> statistics-based, techniques. </w:t>
      </w:r>
      <w:r>
        <w:t>The complexity of uncertainty analysis to be conducted will depend on the risk being managed and impacts of decisions bein</w:t>
      </w:r>
      <w:r w:rsidR="00F3084B">
        <w:t xml:space="preserve">g made based on the modelling. </w:t>
      </w:r>
      <w:r>
        <w:t xml:space="preserve">If the risks and impacts are considered to be low, the qualitative or heuristic approach, where the prediction uncertainty is based on trial and error and the modeller’s </w:t>
      </w:r>
      <w:r w:rsidR="00F3084B">
        <w:t xml:space="preserve">experience, may be sufficient. </w:t>
      </w:r>
      <w:r>
        <w:t>Where the risks and impacts are deemed to be greater, then a more detailed, robust and mathematically intens</w:t>
      </w:r>
      <w:r w:rsidR="00F3084B">
        <w:t>ive approach becomes necessary.</w:t>
      </w:r>
      <w:r>
        <w:t xml:space="preserve"> It is beyond the scope of this work to describe in detail these techniques, but the reader is directed to Barnett et al.</w:t>
      </w:r>
      <w:r w:rsidR="00F3084B">
        <w:t xml:space="preserve"> (2012)</w:t>
      </w:r>
      <w:r>
        <w:t xml:space="preserve"> and Doherty et al.</w:t>
      </w:r>
      <w:r w:rsidR="00F3084B">
        <w:t xml:space="preserve"> (2010)</w:t>
      </w:r>
      <w:r>
        <w:t xml:space="preserve"> for additional information.</w:t>
      </w:r>
    </w:p>
    <w:p w:rsidR="00DD07AF" w:rsidRDefault="00DD07AF" w:rsidP="00F3084B">
      <w:pPr>
        <w:pStyle w:val="BRNormal"/>
      </w:pPr>
      <w:r>
        <w:t>A desirable outcome of uncertainty analyses is the identification of the features that are most responsible f</w:t>
      </w:r>
      <w:r w:rsidR="00F3084B">
        <w:t xml:space="preserve">or the prediction uncertainty. </w:t>
      </w:r>
      <w:r>
        <w:t>This allows the modeller to identify data gaps or modelling methods that can best redu</w:t>
      </w:r>
      <w:r w:rsidR="00F3084B">
        <w:t xml:space="preserve">ce the predictive uncertainty. </w:t>
      </w:r>
      <w:r>
        <w:t xml:space="preserve">Additionally, the uncertainty analysis allows the modeller to communicate to decision makers the probability that a </w:t>
      </w:r>
      <w:r w:rsidR="00F3084B">
        <w:t xml:space="preserve">particular outcome will occur. </w:t>
      </w:r>
      <w:r>
        <w:t xml:space="preserve">Through visual aids (figures and graphs), the modeller </w:t>
      </w:r>
      <w:r>
        <w:lastRenderedPageBreak/>
        <w:t>should communicate that the model prediction is based on numerous model outcomes and thereby acknowledge the non-uniqueness of all models</w:t>
      </w:r>
      <w:r w:rsidR="00F3084B">
        <w:t xml:space="preserve"> (Barnett et al. 2012)</w:t>
      </w:r>
      <w:r>
        <w:t xml:space="preserve">.  </w:t>
      </w:r>
    </w:p>
    <w:p w:rsidR="00DD07AF" w:rsidRDefault="00F3084B" w:rsidP="005F6513">
      <w:pPr>
        <w:pStyle w:val="Heading3"/>
      </w:pPr>
      <w:bookmarkStart w:id="515" w:name="_Toc381961107"/>
      <w:r>
        <w:t>Application for aquifer c</w:t>
      </w:r>
      <w:r w:rsidR="00DD07AF">
        <w:t>onnectivity</w:t>
      </w:r>
      <w:bookmarkEnd w:id="515"/>
    </w:p>
    <w:p w:rsidR="00DD07AF" w:rsidRDefault="00DD07AF" w:rsidP="006B3418">
      <w:pPr>
        <w:pStyle w:val="BRNormal"/>
      </w:pPr>
      <w:r>
        <w:t>Numerical groundwater modelling is a powerful tool at t</w:t>
      </w:r>
      <w:r w:rsidR="006B3418">
        <w:t>he disposal of hydrogeologists.</w:t>
      </w:r>
      <w:r>
        <w:t xml:space="preserve"> It is the nature of the subsurface that we are unable to access, observe, and make measurements at every </w:t>
      </w:r>
      <w:r w:rsidR="006B3418">
        <w:t xml:space="preserve">point in a groundwater system. </w:t>
      </w:r>
      <w:r>
        <w:t>Nu</w:t>
      </w:r>
      <w:r w:rsidR="009078BE">
        <w:t>merical modelling allows us to ‘fill in the blanks’</w:t>
      </w:r>
      <w:r>
        <w:t xml:space="preserve"> between observation points (e.g. boreholes), make predictions based on future scenarios (e.g. increased pumping, climate change)</w:t>
      </w:r>
      <w:r w:rsidR="001D3BCA">
        <w:t xml:space="preserve">, and test various hypotheses. </w:t>
      </w:r>
    </w:p>
    <w:p w:rsidR="00833EA5" w:rsidRDefault="00DD07AF" w:rsidP="006B3418">
      <w:pPr>
        <w:pStyle w:val="BRNormal"/>
        <w:spacing w:before="240"/>
      </w:pPr>
      <w:r>
        <w:t xml:space="preserve">The use of numerical models when investigating aquifer connectivity can be very informative.  Numerical models can be used to </w:t>
      </w:r>
      <w:r w:rsidR="00896ABD">
        <w:t xml:space="preserve">inversely </w:t>
      </w:r>
      <w:r w:rsidR="00196FC6">
        <w:t xml:space="preserve">estimate </w:t>
      </w:r>
      <w:r>
        <w:t>the hydraulic properties of an aquitar</w:t>
      </w:r>
      <w:r w:rsidR="006B3418">
        <w:t xml:space="preserve">d that separates two aquifers. </w:t>
      </w:r>
      <w:r>
        <w:t xml:space="preserve">Given the difficulties associated with measuring the regional hydraulic properties of aquitards, numerical models can be used to better </w:t>
      </w:r>
      <w:r w:rsidR="007B5A99">
        <w:t xml:space="preserve">simulate </w:t>
      </w:r>
      <w:r>
        <w:t xml:space="preserve">these parameters. </w:t>
      </w:r>
      <w:r w:rsidR="007B5A99" w:rsidRPr="007B5A99">
        <w:t>This provides an alternative method for estimating the regional hydraulic properties of aquitards by calibrating models to comprehensi</w:t>
      </w:r>
      <w:r w:rsidR="006B3418">
        <w:t xml:space="preserve">ve water level monitoring data. </w:t>
      </w:r>
      <w:r w:rsidR="007B5A99" w:rsidRPr="007B5A99">
        <w:t>Detailed geological model data, point scale hydraulic conductivity data and up-scaling algorithms can further support these estimates by providing information on the potential bounds and spatial variability of the subsurface hydraulic properties</w:t>
      </w:r>
      <w:r w:rsidR="007B5A99">
        <w:t>.</w:t>
      </w:r>
      <w:r>
        <w:t xml:space="preserve"> For example, if a large production bore is installed in a confined aquifer (below an aquitard) and observation wells are installed in the overlying aquifer, a numerical model may be able to estimate the bulk hydraulic properties of the aquitard and estimate the fluid flux across the aquitard, thereby</w:t>
      </w:r>
      <w:r w:rsidR="00833EA5">
        <w:t xml:space="preserve"> providing information on inter-</w:t>
      </w:r>
      <w:r>
        <w:t>aquifer</w:t>
      </w:r>
      <w:r w:rsidR="006B3418">
        <w:t xml:space="preserve"> connectivity.</w:t>
      </w:r>
      <w:r>
        <w:t xml:space="preserve"> </w:t>
      </w:r>
      <w:r w:rsidR="007B5A99">
        <w:t>The number of observation wells needed</w:t>
      </w:r>
      <w:r w:rsidR="003653DD">
        <w:t xml:space="preserve"> for such an interpretation</w:t>
      </w:r>
      <w:r w:rsidR="007B5A99">
        <w:t xml:space="preserve"> is problem specific</w:t>
      </w:r>
      <w:r w:rsidR="003653DD">
        <w:t xml:space="preserve"> and depends on the spatial configuration of the existing moni</w:t>
      </w:r>
      <w:r w:rsidR="00833EA5">
        <w:t>toring network. With less than three</w:t>
      </w:r>
      <w:r w:rsidR="003653DD">
        <w:t xml:space="preserve"> observation wells however, it is not possible to make a reliable interpretation.</w:t>
      </w:r>
      <w:r w:rsidR="007B5A99">
        <w:t xml:space="preserve"> </w:t>
      </w:r>
    </w:p>
    <w:p w:rsidR="00DD07AF" w:rsidRDefault="00DD07AF" w:rsidP="006B3418">
      <w:pPr>
        <w:pStyle w:val="BRNormal"/>
        <w:spacing w:before="240"/>
      </w:pPr>
      <w:r>
        <w:t>Hart et al. (2006) used a regional groundwater flow model to estimate the vertical hydraulic conductivity (Kv) of a shale aquitard separating a confined pumped aquifer from an overlying aquifer. They showed that the calibrated regional flow model required a Kv several orders of magnitude higher than those measured in the laboratory, indicating the presence of preferential flow pathways, eithe</w:t>
      </w:r>
      <w:r w:rsidR="006B3418">
        <w:t xml:space="preserve">r fractures or open boreholes. </w:t>
      </w:r>
      <w:r>
        <w:t>Likewise, numerical models may be able to estimate changes in the hydraulic properties that occur within an aquifer</w:t>
      </w:r>
      <w:r w:rsidR="006B3418">
        <w:t xml:space="preserve"> (intra</w:t>
      </w:r>
      <w:r w:rsidR="00651F0C">
        <w:t>-</w:t>
      </w:r>
      <w:r w:rsidR="006B3418">
        <w:t xml:space="preserve">aquifer connectivity). </w:t>
      </w:r>
      <w:r>
        <w:t>This is particularly important as most aquifers/</w:t>
      </w:r>
      <w:r w:rsidR="001F5BA5">
        <w:t>aquitards do not fit the idealis</w:t>
      </w:r>
      <w:r>
        <w:t>ed layer cake model of uniform thickness and homogeneous (uniform throughout) hydraulic prope</w:t>
      </w:r>
      <w:r w:rsidR="00AD6698">
        <w:t>rties.</w:t>
      </w:r>
    </w:p>
    <w:p w:rsidR="00DD07AF" w:rsidRDefault="00DD07AF" w:rsidP="006B3418">
      <w:pPr>
        <w:pStyle w:val="BRNormal"/>
      </w:pPr>
      <w:r>
        <w:t>Numerical models can also be a useful way of interpreting different types of data, such as envir</w:t>
      </w:r>
      <w:r w:rsidR="006B3418">
        <w:t xml:space="preserve">onmental tracer distributions. </w:t>
      </w:r>
      <w:r>
        <w:t>Mazurek et al.</w:t>
      </w:r>
      <w:r w:rsidR="006B3418">
        <w:t xml:space="preserve"> (2011)</w:t>
      </w:r>
      <w:r>
        <w:t xml:space="preserve"> used numerical methods to interpret the environmental tracer profiles from nine sites in central Europe and interpreted transport times across the aquitard of several thousand to millions of years.</w:t>
      </w:r>
    </w:p>
    <w:p w:rsidR="00DD07AF" w:rsidRDefault="00DD07AF" w:rsidP="006B3418">
      <w:pPr>
        <w:pStyle w:val="BRNormal"/>
      </w:pPr>
      <w:r>
        <w:t xml:space="preserve">Equally powerful, a calibrated numerical groundwater model can be used to make predictions into the future based on either natural or current conditions, or given </w:t>
      </w:r>
      <w:r w:rsidR="00514B80">
        <w:t>some induced stress (e.g. large-</w:t>
      </w:r>
      <w:r>
        <w:t>scale aquifer pumpi</w:t>
      </w:r>
      <w:r w:rsidR="006B3418">
        <w:t xml:space="preserve">ng, carbon dioxide injection). </w:t>
      </w:r>
      <w:r>
        <w:t>This ability for testing future scenarios can provide information on how aquifer connectivity might be impacted (</w:t>
      </w:r>
      <w:r w:rsidR="00514B80">
        <w:t xml:space="preserve">e.g. </w:t>
      </w:r>
      <w:r>
        <w:t>increase flux across an aquitard) by various stresses and inform management decisio</w:t>
      </w:r>
      <w:r w:rsidR="006B3418">
        <w:t xml:space="preserve">ns on groundwater development. </w:t>
      </w:r>
      <w:r>
        <w:t>Noy et al.</w:t>
      </w:r>
      <w:r w:rsidR="006B3418">
        <w:t xml:space="preserve"> (2012)</w:t>
      </w:r>
      <w:r>
        <w:t xml:space="preserve"> used numerical methods to simulate carbon dioxide injection into a sandstone aq</w:t>
      </w:r>
      <w:r w:rsidR="00514B80">
        <w:t>uifer and make predictions 3000 </w:t>
      </w:r>
      <w:r>
        <w:t>years into the f</w:t>
      </w:r>
      <w:r w:rsidR="006B3418">
        <w:t xml:space="preserve">uture. </w:t>
      </w:r>
      <w:r>
        <w:t xml:space="preserve">They were able to estimate how much carbon dioxide could be stored per year without the pore pressure exceeding a certain limit, but also found that this would cause significant fluxes of native pore water to the sea where the sandstone crops out beneath the seabed.  </w:t>
      </w:r>
    </w:p>
    <w:p w:rsidR="00DD07AF" w:rsidRDefault="00DD07AF" w:rsidP="006B3418">
      <w:pPr>
        <w:pStyle w:val="BRNormal"/>
      </w:pPr>
      <w:r>
        <w:lastRenderedPageBreak/>
        <w:t xml:space="preserve">Depending on the groundwater system being modelled, consideration might have to be given to the density and temperature of the water, the presence of fractures and to multi-phase flow. </w:t>
      </w:r>
      <w:r w:rsidR="000D401A">
        <w:t>G</w:t>
      </w:r>
      <w:r>
        <w:t>roundwater flow models</w:t>
      </w:r>
      <w:r w:rsidR="003653DD">
        <w:t xml:space="preserve"> such </w:t>
      </w:r>
      <w:r w:rsidR="003653DD" w:rsidRPr="00526F71">
        <w:t>as MODFLOW</w:t>
      </w:r>
      <w:r w:rsidR="005279DC" w:rsidRPr="00526F71">
        <w:t>, which</w:t>
      </w:r>
      <w:r w:rsidR="005279DC" w:rsidRPr="006B3418">
        <w:t xml:space="preserve"> is commonly used by industry</w:t>
      </w:r>
      <w:r w:rsidR="003653DD" w:rsidRPr="006B3418">
        <w:t>,</w:t>
      </w:r>
      <w:r w:rsidRPr="006B3418">
        <w:t xml:space="preserve"> assume that the density of water is constant </w:t>
      </w:r>
      <w:r w:rsidR="00514B80">
        <w:t>and use a default value of 1000 </w:t>
      </w:r>
      <w:r w:rsidRPr="006B3418">
        <w:t>kg/m</w:t>
      </w:r>
      <w:r w:rsidRPr="006B3418">
        <w:rPr>
          <w:vertAlign w:val="superscript"/>
        </w:rPr>
        <w:t>3</w:t>
      </w:r>
      <w:r w:rsidRPr="006B3418">
        <w:t>, which is approximately the density of pure water at 4</w:t>
      </w:r>
      <w:r w:rsidRPr="006B3418">
        <w:rPr>
          <w:rFonts w:cstheme="minorHAnsi"/>
        </w:rPr>
        <w:t>°</w:t>
      </w:r>
      <w:r w:rsidRPr="006B3418">
        <w:t>C (its maximum density).</w:t>
      </w:r>
      <w:r>
        <w:t xml:space="preserve"> The density decreases both as the temperature of the water increases and decreases from 4</w:t>
      </w:r>
      <w:r>
        <w:rPr>
          <w:rFonts w:cstheme="minorHAnsi"/>
        </w:rPr>
        <w:t>°</w:t>
      </w:r>
      <w:r w:rsidR="006B3418">
        <w:t>C.</w:t>
      </w:r>
      <w:r>
        <w:t xml:space="preserve"> Although this assumption is valid for near surface aquifers with low values of dissolves solids, it is not valid at greater depths (increasing temperature) or for water with high concentrations of dissolved solids, which </w:t>
      </w:r>
      <w:r w:rsidR="00514B80">
        <w:t>has an increased</w:t>
      </w:r>
      <w:r>
        <w:t xml:space="preserve"> density</w:t>
      </w:r>
      <w:r w:rsidR="006B3418">
        <w:t xml:space="preserve"> (Anderson &amp; Woessner 1992). </w:t>
      </w:r>
      <w:r>
        <w:t>If it is not possible to assume a constant density and temperature of water for the groundwater system of interest, then it is necessary to modify the groundwater models to include these differences.</w:t>
      </w:r>
    </w:p>
    <w:p w:rsidR="00DD07AF" w:rsidRDefault="00DD07AF" w:rsidP="009677C9">
      <w:pPr>
        <w:pStyle w:val="BRNormal"/>
      </w:pPr>
      <w:r>
        <w:t>Many groundwater flow models are designed to simulate flow in porous media (flow through interconnected pore spaces) and may or may not be able to simulate flow in fractures. Fractures can significantly increase the permeability of a material, be it rock or sediments (e.g. clays), and considerably alter groundwater flow and</w:t>
      </w:r>
      <w:r w:rsidR="009677C9">
        <w:t xml:space="preserve"> solute transport (Chapter 2). </w:t>
      </w:r>
      <w:r>
        <w:t>The most common approach used to incorporate fracture permeability into numerical models is through the use of a Representative Elementary Volume (REV) as defined i</w:t>
      </w:r>
      <w:r w:rsidR="009677C9">
        <w:t xml:space="preserve">n section 2.2.1. </w:t>
      </w:r>
      <w:r>
        <w:t>Although this approach may be valid for use in regional groundwater flow models, it does not work we</w:t>
      </w:r>
      <w:r w:rsidR="009677C9">
        <w:t>ll for solute transport models.</w:t>
      </w:r>
      <w:r>
        <w:t xml:space="preserve"> This is because solute will move much faster along preferential pathways</w:t>
      </w:r>
      <w:r w:rsidR="001035AE">
        <w:t xml:space="preserve"> (e.g. fractures, faults and</w:t>
      </w:r>
      <w:r w:rsidR="00B41D78">
        <w:t xml:space="preserve"> high conductivity</w:t>
      </w:r>
      <w:r>
        <w:t xml:space="preserve"> lenses) than in a media with homogenized properties, thus this rapid trans</w:t>
      </w:r>
      <w:r w:rsidR="009677C9">
        <w:t>port is lost when using an REV.</w:t>
      </w:r>
      <w:r>
        <w:t xml:space="preserve"> Alternatively, it is possible to represent discrete fractures in a model, but thi</w:t>
      </w:r>
      <w:r w:rsidR="008C6965">
        <w:t>s requires excellent characteris</w:t>
      </w:r>
      <w:r>
        <w:t>ation of the fracture network, an inherently hard task to accomplish, particularly on the regional scale.</w:t>
      </w:r>
    </w:p>
    <w:p w:rsidR="00DD07AF" w:rsidRDefault="00DD07AF" w:rsidP="009677C9">
      <w:pPr>
        <w:pStyle w:val="BRNormal"/>
      </w:pPr>
      <w:r>
        <w:t xml:space="preserve">Multi-phase flow occurs when more than one fluid phase is present in the subsurface, be it air, water </w:t>
      </w:r>
      <w:r w:rsidR="009677C9">
        <w:t>or other fluid such as gas/oil.</w:t>
      </w:r>
      <w:r>
        <w:t xml:space="preserve"> The multi-phase flow problem can arise from temperature or pressure changes in an aquifer, resulting in a phase change (e.g. pressure decrease in</w:t>
      </w:r>
      <w:r w:rsidR="009677C9">
        <w:t xml:space="preserve"> coal seams releases methane). </w:t>
      </w:r>
      <w:r>
        <w:t>The occurrence of more than one phase effectively reduces the pore space available for each of the phases to flow and retards its movement</w:t>
      </w:r>
      <w:r w:rsidR="009677C9">
        <w:t xml:space="preserve"> (Barnett et al. 2012). </w:t>
      </w:r>
      <w:r>
        <w:t>The use and development of multi-phase models is largely driven by the need to investigate the movement of contaminants in saturated and unsaturated subsurface zones</w:t>
      </w:r>
      <w:r w:rsidR="009677C9">
        <w:t xml:space="preserve"> (Yu et al. 2009)</w:t>
      </w:r>
      <w:r>
        <w:t>, the subsurface sequestration of carbon dioxide</w:t>
      </w:r>
      <w:r w:rsidR="009677C9">
        <w:t xml:space="preserve"> (Noy et al. 2012; Bickle 2009)</w:t>
      </w:r>
      <w:r>
        <w:t>, for engineering applications in geothermal reservoirs and for the recovery of oil and gas from hydrocarbon reservoirs</w:t>
      </w:r>
      <w:r w:rsidR="009677C9">
        <w:t xml:space="preserve"> (Geiger et al. 2012)</w:t>
      </w:r>
      <w:r>
        <w:t xml:space="preserve"> and in coal bed methane development</w:t>
      </w:r>
      <w:r w:rsidR="009677C9">
        <w:t xml:space="preserve"> (Zarrouk &amp; Moore 2009)</w:t>
      </w:r>
      <w:r>
        <w:t>. Although most of the modelling codes generally used by the groundwater industry are not designed to handle multi-phase flow, codes developed by other industries that can handle phase changes and flow retardation should be considered if more than one fluid phase will be present in an aquifer</w:t>
      </w:r>
      <w:r w:rsidR="009677C9">
        <w:t xml:space="preserve"> (Barnett et al. 2012).</w:t>
      </w:r>
    </w:p>
    <w:p w:rsidR="00DD07AF" w:rsidRDefault="00DD07AF" w:rsidP="00BA0BD4">
      <w:pPr>
        <w:pStyle w:val="BRNormal"/>
      </w:pPr>
      <w:r>
        <w:t>These considerations are especially relevant in the context of coal seam gas wher</w:t>
      </w:r>
      <w:r w:rsidR="00626238">
        <w:t>e the water quality is variable</w:t>
      </w:r>
      <w:r>
        <w:t xml:space="preserve"> and </w:t>
      </w:r>
      <w:r w:rsidR="00626238">
        <w:t>may be high in dissolved solids</w:t>
      </w:r>
      <w:r>
        <w:t xml:space="preserve"> and/or be at elevated temperatures due </w:t>
      </w:r>
      <w:r w:rsidR="00BA0BD4">
        <w:t>to the depths of the aquifers.</w:t>
      </w:r>
      <w:r>
        <w:t xml:space="preserve"> In order to properly simulate the groundwater environment and interpret aquifer connectivity, it is important that these factors be considered and, if needed, incorporated into the model </w:t>
      </w:r>
      <w:r w:rsidR="00BA0BD4">
        <w:t>development and code selection.</w:t>
      </w:r>
      <w:r>
        <w:t xml:space="preserve"> For instance, one might need to consider dual-phase flow when simul</w:t>
      </w:r>
      <w:r w:rsidR="00626238">
        <w:t>ating the impacts of depressuris</w:t>
      </w:r>
      <w:r>
        <w:t xml:space="preserve">ing coal seams, as this is when both water and </w:t>
      </w:r>
      <w:r w:rsidR="00BA0BD4">
        <w:t xml:space="preserve">methane will flow into a well. </w:t>
      </w:r>
      <w:r>
        <w:t>Contemporary groundwater models are applicable whenever single (water only) flow is expected.</w:t>
      </w:r>
    </w:p>
    <w:p w:rsidR="005F6513" w:rsidRDefault="005F6513" w:rsidP="00BA0BD4">
      <w:pPr>
        <w:pStyle w:val="BRNormal"/>
      </w:pPr>
    </w:p>
    <w:p w:rsidR="005F6513" w:rsidRDefault="005F6513" w:rsidP="00BA0BD4">
      <w:pPr>
        <w:pStyle w:val="BRNormal"/>
      </w:pPr>
    </w:p>
    <w:p w:rsidR="00DD07AF" w:rsidRDefault="00DD07AF" w:rsidP="005F6513">
      <w:pPr>
        <w:pStyle w:val="Heading3"/>
      </w:pPr>
      <w:bookmarkStart w:id="516" w:name="_Toc381961108"/>
      <w:r>
        <w:lastRenderedPageBreak/>
        <w:t>Limitations</w:t>
      </w:r>
      <w:bookmarkEnd w:id="516"/>
    </w:p>
    <w:p w:rsidR="00F54E5F" w:rsidRDefault="00DD07AF" w:rsidP="00BA0BD4">
      <w:pPr>
        <w:pStyle w:val="BRNormal"/>
      </w:pPr>
      <w:r>
        <w:t>Numerical groundwater models are increasingly being used in projects dealing with groundwater protection, development and remediation</w:t>
      </w:r>
      <w:r w:rsidR="00BA0BD4">
        <w:t xml:space="preserve"> (Kresic 2007)</w:t>
      </w:r>
      <w:r>
        <w:t>. It is critical that the limitations associated</w:t>
      </w:r>
      <w:r w:rsidR="00777790">
        <w:t xml:space="preserve"> with modelling be recognis</w:t>
      </w:r>
      <w:r w:rsidR="00BA0BD4">
        <w:t xml:space="preserve">ed. </w:t>
      </w:r>
      <w:r>
        <w:t>As previously discussed in Section 3.3.4, the quality of the field data and the inability to determine and accurately represent field parameters in a model are t</w:t>
      </w:r>
      <w:r w:rsidR="00BA0BD4">
        <w:t xml:space="preserve">wo main causes of uncertainty. </w:t>
      </w:r>
      <w:r>
        <w:t xml:space="preserve">Even if the field data is of high quality, if the spatial and temporal distribution of the data within the study area is not </w:t>
      </w:r>
      <w:r w:rsidR="003653DD">
        <w:t xml:space="preserve">uniform </w:t>
      </w:r>
      <w:r>
        <w:t xml:space="preserve">(generally the case) then </w:t>
      </w:r>
      <w:r w:rsidR="003653DD">
        <w:t>the calibration will be not well constrained in areas with low observation density. Model outcomes in these regions will therefore have higher predictive uncertainty</w:t>
      </w:r>
      <w:r w:rsidR="00BA0BD4">
        <w:t xml:space="preserve">. </w:t>
      </w:r>
      <w:r w:rsidR="00F54E5F">
        <w:t>Despite the availability of various mathematical interpolation methods (estimating properties between known data points; e.g. kriging) to fill in these data gaps, features could be entirely lost</w:t>
      </w:r>
      <w:r w:rsidR="001035AE">
        <w:t xml:space="preserve"> </w:t>
      </w:r>
      <w:r w:rsidR="00C32A53">
        <w:t>or created</w:t>
      </w:r>
      <w:r w:rsidR="00F54E5F">
        <w:t xml:space="preserve"> due to lack of d</w:t>
      </w:r>
      <w:r w:rsidR="00BA0BD4">
        <w:t xml:space="preserve">ata constraints. </w:t>
      </w:r>
      <w:r w:rsidR="00C32A53">
        <w:t>For example, when interpolating a surface it is possible to flatten out an existing hill or create a mound where one does not actually exist.</w:t>
      </w:r>
    </w:p>
    <w:p w:rsidR="00DD07AF" w:rsidRPr="00F1579C" w:rsidRDefault="00DD07AF" w:rsidP="00BA0BD4">
      <w:pPr>
        <w:pStyle w:val="BRNormal"/>
      </w:pPr>
      <w:r>
        <w:t xml:space="preserve">The conceptual model upon which the numerical model is built </w:t>
      </w:r>
      <w:r w:rsidR="00BA0BD4">
        <w:t xml:space="preserve">represents another limitation. </w:t>
      </w:r>
      <w:r>
        <w:t xml:space="preserve">If the conceptual model fails to incorporate all the physical features and flow processes of the groundwater system of interest, this can lead to </w:t>
      </w:r>
      <w:r w:rsidR="00BA0BD4">
        <w:t xml:space="preserve">errors in the numerical model. </w:t>
      </w:r>
      <w:r w:rsidR="005E3519" w:rsidRPr="005E3519">
        <w:t>This is why it is important to consider more than one conceptual model, if applicable, and to keep the conceptual model flexible to changes throughout the modelling process.</w:t>
      </w:r>
    </w:p>
    <w:p w:rsidR="00DD07AF" w:rsidRDefault="00DD07AF" w:rsidP="00BA0BD4">
      <w:pPr>
        <w:pStyle w:val="BRNormal"/>
      </w:pPr>
      <w:r>
        <w:t>Scale dependen</w:t>
      </w:r>
      <w:r w:rsidR="00BA0BD4">
        <w:t>cies can also present problems.</w:t>
      </w:r>
      <w:r>
        <w:t xml:space="preserve"> There are some parameters that are scale-dependent, which means their value changes based on </w:t>
      </w:r>
      <w:r w:rsidR="00BA0BD4">
        <w:t xml:space="preserve">the scale (size) of the model. </w:t>
      </w:r>
      <w:r>
        <w:t>This is particularly true for solute transport models, where the value of dispersivity (a measure of how much a solute will stray from the flow path of the groundwater) increases with the scale of the problem</w:t>
      </w:r>
      <w:r w:rsidR="00BA0BD4">
        <w:t xml:space="preserve"> (Gelhar et al. 1992).</w:t>
      </w:r>
      <w:r>
        <w:t xml:space="preserve"> It is well accepted that values of dispersivity measured in the laboratory are not applicable for analysis of field scale problems</w:t>
      </w:r>
      <w:r w:rsidR="00BA0BD4">
        <w:t xml:space="preserve"> (Freeze &amp; Cherry 1979)</w:t>
      </w:r>
      <w:r>
        <w:t xml:space="preserve">.  In cases such as these, it is up to the modeller to incorporate the scale dependencies, as the model itself cannot.  </w:t>
      </w:r>
    </w:p>
    <w:p w:rsidR="00DD07AF" w:rsidRDefault="00DD07AF" w:rsidP="00BA0BD4">
      <w:pPr>
        <w:pStyle w:val="BRNormal"/>
      </w:pPr>
      <w:r>
        <w:t>As discussed in Section 3.2, the various methods used to measure hydrologic parameters are each scale dependent, representing the area of inf</w:t>
      </w:r>
      <w:r w:rsidR="00BA0BD4">
        <w:t xml:space="preserve">luence of a particular method. </w:t>
      </w:r>
      <w:r>
        <w:t>This can become a problem when using the results from field or laboratory tests and up-scaling them for regional flow parameters where the presence of prefere</w:t>
      </w:r>
      <w:r w:rsidR="001035AE">
        <w:t>ntial flow paths (e.g. fracture and</w:t>
      </w:r>
      <w:r>
        <w:t xml:space="preserve"> faults) may not have been observed in t</w:t>
      </w:r>
      <w:r w:rsidR="00BA0BD4">
        <w:t xml:space="preserve">he smaller scale measurements. </w:t>
      </w:r>
      <w:r>
        <w:t>Again, it i</w:t>
      </w:r>
      <w:r w:rsidR="002C58BA">
        <w:t>s up to the modeller to recognis</w:t>
      </w:r>
      <w:r>
        <w:t>e the limitations of the field measurements and incorporate them accordingly.</w:t>
      </w:r>
      <w:r w:rsidR="00BA0BD4">
        <w:t xml:space="preserve"> </w:t>
      </w:r>
      <w:r w:rsidR="00DE54C8">
        <w:t>The modeller</w:t>
      </w:r>
      <w:r w:rsidR="009401DC">
        <w:t>, therefore, is</w:t>
      </w:r>
      <w:r w:rsidR="00DE54C8">
        <w:t xml:space="preserve"> a potential source of error</w:t>
      </w:r>
      <w:r w:rsidR="009401DC">
        <w:t xml:space="preserve"> throughout the modelling process</w:t>
      </w:r>
      <w:r w:rsidR="00DE54C8">
        <w:t>.</w:t>
      </w:r>
    </w:p>
    <w:p w:rsidR="00924E8E" w:rsidRDefault="00DD07AF" w:rsidP="00BA0BD4">
      <w:pPr>
        <w:pStyle w:val="BRNormal"/>
      </w:pPr>
      <w:r>
        <w:t>Despite the limitations associated with numerical modelling, it is a very useful tool so long</w:t>
      </w:r>
      <w:r w:rsidR="00777790">
        <w:t xml:space="preserve"> as the limitations are recognis</w:t>
      </w:r>
      <w:r>
        <w:t xml:space="preserve">ed and documented and uncertainties are acknowledged. </w:t>
      </w:r>
    </w:p>
    <w:p w:rsidR="00DD07AF" w:rsidRDefault="00DD07AF" w:rsidP="005F6513">
      <w:pPr>
        <w:pStyle w:val="Heading2"/>
      </w:pPr>
      <w:bookmarkStart w:id="517" w:name="_Toc381961109"/>
      <w:bookmarkStart w:id="518" w:name="_Toc389055222"/>
      <w:r>
        <w:t>Conclusions</w:t>
      </w:r>
      <w:bookmarkEnd w:id="517"/>
      <w:bookmarkEnd w:id="518"/>
    </w:p>
    <w:p w:rsidR="00DD07AF" w:rsidRDefault="00DD07AF" w:rsidP="00BA0BD4">
      <w:pPr>
        <w:pStyle w:val="BRNormal"/>
      </w:pPr>
      <w:r>
        <w:t>There are many tools in the hydrogeology toolbox, from laboratory and field-scale hydraulic tests to geophysical and geochemical methods, all of which can be used t</w:t>
      </w:r>
      <w:r w:rsidR="00C36BC7">
        <w:t>o characteris</w:t>
      </w:r>
      <w:r w:rsidR="00BA0BD4">
        <w:t xml:space="preserve">e the subsurface. </w:t>
      </w:r>
      <w:r>
        <w:t>Each of these methods provides information on a different scale</w:t>
      </w:r>
      <w:r w:rsidR="00BA0BD4">
        <w:t xml:space="preserve"> and for different purposes. </w:t>
      </w:r>
      <w:r>
        <w:t>Where laboratory tests provide estimates of hydraulic properties for the small scale core sized sample, field hydraulic tests can provide information on a scale fr</w:t>
      </w:r>
      <w:r w:rsidR="00807A2F">
        <w:t>om tens to hundreds of met</w:t>
      </w:r>
      <w:r w:rsidR="00BA0BD4">
        <w:t>r</w:t>
      </w:r>
      <w:r w:rsidR="00807A2F">
        <w:t>e</w:t>
      </w:r>
      <w:r w:rsidR="00BA0BD4">
        <w:t xml:space="preserve">s. </w:t>
      </w:r>
      <w:r>
        <w:t>Airborne and surface geophysical methods are best used to interpret the geological structure of the subsurface (layering of strata, identification of faults) and salinity distributi</w:t>
      </w:r>
      <w:r w:rsidR="00BA0BD4">
        <w:t xml:space="preserve">on, and can cover large areas. </w:t>
      </w:r>
      <w:r>
        <w:t xml:space="preserve">Borehole geophysical methods are line measurements, but they can provide quantitative information on porosity, permeability and </w:t>
      </w:r>
      <w:r w:rsidR="00BA0BD4">
        <w:lastRenderedPageBreak/>
        <w:t xml:space="preserve">thickness of permeable layers. </w:t>
      </w:r>
      <w:r>
        <w:t>Geochemical methods can provide insights into connectivity at a range of scales, from well-to-well using artificial tracers, right up to formation and regional scales usi</w:t>
      </w:r>
      <w:r w:rsidR="00BA0BD4">
        <w:t xml:space="preserve">ng environmental tracers. </w:t>
      </w:r>
      <w:r>
        <w:t>Regardless, the use of a particular method will depend on the question being ask</w:t>
      </w:r>
      <w:r w:rsidR="00BA0BD4">
        <w:t>ed, and how best to address it.</w:t>
      </w:r>
      <w:r>
        <w:t xml:space="preserve"> In order to evaluate and predict aquifer connectivity, the NRC</w:t>
      </w:r>
      <w:r w:rsidR="00777790">
        <w:t xml:space="preserve"> (2010) </w:t>
      </w:r>
      <w:r>
        <w:t>recommends the use of many different measurement methods together, which is rarely done.</w:t>
      </w:r>
    </w:p>
    <w:p w:rsidR="00DD07AF" w:rsidRDefault="00DD07AF" w:rsidP="00BA0BD4">
      <w:pPr>
        <w:pStyle w:val="BRNormal"/>
      </w:pPr>
      <w:r>
        <w:t>Another powerful tool in the hydrogeology t</w:t>
      </w:r>
      <w:r w:rsidR="00BA0BD4">
        <w:t xml:space="preserve">oolbox is numerical modelling. </w:t>
      </w:r>
      <w:r>
        <w:t>The nature of hydrogeology is that we cannot physically see what i</w:t>
      </w:r>
      <w:r w:rsidR="00BA0BD4">
        <w:t xml:space="preserve">s happening in the subsurface. </w:t>
      </w:r>
      <w:r>
        <w:t>Numerical modelling gives us the opportunity to simulate what might be happening</w:t>
      </w:r>
      <w:r w:rsidR="003653DD">
        <w:t>, provided we have an adequate conceptual model</w:t>
      </w:r>
      <w:r>
        <w:t>, and to make predictions into the fu</w:t>
      </w:r>
      <w:r w:rsidR="00BA0BD4">
        <w:t xml:space="preserve">ture given possible scenarios. </w:t>
      </w:r>
      <w:r w:rsidR="008C6965">
        <w:t>The subsurface characteris</w:t>
      </w:r>
      <w:r>
        <w:t>ation methods described provide essential i</w:t>
      </w:r>
      <w:r w:rsidR="00777790">
        <w:t>nformation used in the building</w:t>
      </w:r>
      <w:r>
        <w:t xml:space="preserve"> and</w:t>
      </w:r>
      <w:r w:rsidR="00777790">
        <w:t xml:space="preserve"> testing</w:t>
      </w:r>
      <w:r w:rsidR="00BA0BD4">
        <w:t xml:space="preserve"> of numerical models. </w:t>
      </w:r>
      <w:r>
        <w:t>Although there are limitations associated with using models, primarily associated with uncertainty, the modelling method described in Section 3.3 can lead to the development of very useful models able t</w:t>
      </w:r>
      <w:r w:rsidR="00BA0BD4">
        <w:t xml:space="preserve">o inform management decisions. </w:t>
      </w:r>
      <w:r>
        <w:t>The NRC</w:t>
      </w:r>
      <w:r w:rsidR="00777790">
        <w:t xml:space="preserve"> (2010)</w:t>
      </w:r>
      <w:r>
        <w:t xml:space="preserve"> </w:t>
      </w:r>
      <w:r w:rsidR="00777790">
        <w:t>h</w:t>
      </w:r>
      <w:r>
        <w:t>as identified, as a major data gap, the use of independent and comprehensive data (as above) with which groundwater models for coal bed methane basins can be validated.</w:t>
      </w:r>
    </w:p>
    <w:p w:rsidR="00DD07AF" w:rsidRDefault="00DD07AF" w:rsidP="001C3374">
      <w:pPr>
        <w:pStyle w:val="Body"/>
        <w:sectPr w:rsidR="00DD07AF" w:rsidSect="00A971D4">
          <w:headerReference w:type="even" r:id="rId35"/>
          <w:headerReference w:type="default" r:id="rId36"/>
          <w:pgSz w:w="11900" w:h="16840" w:code="9"/>
          <w:pgMar w:top="1952" w:right="1418" w:bottom="1418" w:left="1418" w:header="0" w:footer="549" w:gutter="0"/>
          <w:cols w:space="284"/>
          <w:noEndnote/>
          <w:docGrid w:linePitch="326"/>
        </w:sectPr>
      </w:pPr>
    </w:p>
    <w:p w:rsidR="00C26557" w:rsidRDefault="00E36200" w:rsidP="005F6513">
      <w:pPr>
        <w:pStyle w:val="Heading1"/>
      </w:pPr>
      <w:bookmarkStart w:id="519" w:name="_Toc207854827"/>
      <w:bookmarkStart w:id="520" w:name="_Toc333488963"/>
      <w:bookmarkStart w:id="521" w:name="_Toc381961110"/>
      <w:bookmarkStart w:id="522" w:name="_Toc389055223"/>
      <w:r>
        <w:lastRenderedPageBreak/>
        <w:t>Changes in aquifer c</w:t>
      </w:r>
      <w:r w:rsidR="00C26557">
        <w:t>onnectivity</w:t>
      </w:r>
      <w:bookmarkEnd w:id="519"/>
      <w:bookmarkEnd w:id="520"/>
      <w:bookmarkEnd w:id="521"/>
      <w:bookmarkEnd w:id="522"/>
    </w:p>
    <w:p w:rsidR="00C26557" w:rsidRDefault="00C26557" w:rsidP="005F6513">
      <w:pPr>
        <w:pStyle w:val="Heading2"/>
      </w:pPr>
      <w:bookmarkStart w:id="523" w:name="_Toc207854828"/>
      <w:bookmarkStart w:id="524" w:name="_Toc333488964"/>
      <w:bookmarkStart w:id="525" w:name="_Toc381961111"/>
      <w:bookmarkStart w:id="526" w:name="_Toc389055224"/>
      <w:r>
        <w:t>Introduction</w:t>
      </w:r>
      <w:bookmarkEnd w:id="523"/>
      <w:bookmarkEnd w:id="524"/>
      <w:bookmarkEnd w:id="525"/>
      <w:bookmarkEnd w:id="526"/>
    </w:p>
    <w:p w:rsidR="00C26557" w:rsidRDefault="00C26557" w:rsidP="00DD0108">
      <w:pPr>
        <w:pStyle w:val="BRNormal"/>
      </w:pPr>
      <w:r>
        <w:t>This chapter focuses on potential changes in aquifer connectivity resulting from coal seam g</w:t>
      </w:r>
      <w:r w:rsidR="00DD0108">
        <w:t xml:space="preserve">as and coal mining activities. </w:t>
      </w:r>
      <w:r>
        <w:t xml:space="preserve">Previous chapters have highlighted the role of aquitards </w:t>
      </w:r>
      <w:r w:rsidR="00DD0108">
        <w:t xml:space="preserve">in hydrogeology. </w:t>
      </w:r>
      <w:r>
        <w:t xml:space="preserve">Cherry et al. </w:t>
      </w:r>
      <w:r>
        <w:rPr>
          <w:noProof/>
        </w:rPr>
        <w:t>(2004)</w:t>
      </w:r>
      <w:r>
        <w:t xml:space="preserve"> stress how important aquitard integrity is to protecting underlyin</w:t>
      </w:r>
      <w:r w:rsidR="00DD0108">
        <w:t xml:space="preserve">g aquifers from contamination. </w:t>
      </w:r>
      <w:r w:rsidR="009078BE">
        <w:t>‘Aquifer connectivity’ is synonymous with ‘aquifer integrity’</w:t>
      </w:r>
      <w:r>
        <w:t xml:space="preserve"> in the context of the vertical migration of fluids and solutes in groundwater systems</w:t>
      </w:r>
      <w:r w:rsidR="00D52B61">
        <w:t>,</w:t>
      </w:r>
      <w:r>
        <w:t xml:space="preserve"> since the aquitards act as the restric</w:t>
      </w:r>
      <w:r w:rsidR="00DD0108">
        <w:t xml:space="preserve">tor between adjacent aquifers. </w:t>
      </w:r>
      <w:r>
        <w:t xml:space="preserve">Thus, as in Cherry et al. </w:t>
      </w:r>
      <w:r>
        <w:rPr>
          <w:noProof/>
        </w:rPr>
        <w:t>(2004)</w:t>
      </w:r>
      <w:r>
        <w:t>, aquifer connectivity depends on the hydraulic head distribution and the hydrogeologic characteristics of the aquitard (</w:t>
      </w:r>
      <w:r w:rsidR="00D52B61">
        <w:t xml:space="preserve">i.e. </w:t>
      </w:r>
      <w:r>
        <w:t>hydraulic conductivity, porosity, thicknes</w:t>
      </w:r>
      <w:r w:rsidR="00DD0108">
        <w:t xml:space="preserve">s, etc.). </w:t>
      </w:r>
      <w:r>
        <w:t>Cherry</w:t>
      </w:r>
      <w:r w:rsidR="002E7ECD">
        <w:t> </w:t>
      </w:r>
      <w:r>
        <w:t>et</w:t>
      </w:r>
      <w:r w:rsidR="002E7ECD">
        <w:t> </w:t>
      </w:r>
      <w:r>
        <w:t xml:space="preserve">al. </w:t>
      </w:r>
      <w:r>
        <w:rPr>
          <w:noProof/>
        </w:rPr>
        <w:t>(2004)</w:t>
      </w:r>
      <w:r>
        <w:t xml:space="preserve"> also include contaminant characteristics in their conside</w:t>
      </w:r>
      <w:r w:rsidR="00DD0108">
        <w:t xml:space="preserve">rations of aquitard integrity. </w:t>
      </w:r>
      <w:r>
        <w:t>Aquifer connectivity could be expanded to include considerations for intra-aquifer connectivity (the lateral migration of fluids and so</w:t>
      </w:r>
      <w:r w:rsidR="00DD0108">
        <w:t xml:space="preserve">lutes within an aquifer). </w:t>
      </w:r>
      <w:r>
        <w:t>The scope of this chapter is focu</w:t>
      </w:r>
      <w:r w:rsidR="001F21BF">
        <w:t>s</w:t>
      </w:r>
      <w:r>
        <w:t>ed on considerations for changes in inter-aquifer connectivity</w:t>
      </w:r>
      <w:r w:rsidR="004C32C0">
        <w:t xml:space="preserve">, </w:t>
      </w:r>
      <w:r w:rsidR="00663587">
        <w:t xml:space="preserve">the vertical, both upwards and downwards, migration of fluids between adjacent aquifers, </w:t>
      </w:r>
      <w:r w:rsidR="004C32C0">
        <w:t>as opposed to intra-</w:t>
      </w:r>
      <w:r w:rsidR="00D52B61">
        <w:t xml:space="preserve">aquifer </w:t>
      </w:r>
      <w:r w:rsidR="00E97BDB">
        <w:t>connectivity, i.e.</w:t>
      </w:r>
      <w:r w:rsidR="00D52B61">
        <w:t xml:space="preserve"> groundwater flow </w:t>
      </w:r>
      <w:r w:rsidR="004C32C0">
        <w:t>within one aquifer</w:t>
      </w:r>
      <w:r>
        <w:t>.</w:t>
      </w:r>
    </w:p>
    <w:p w:rsidR="00C26557" w:rsidRDefault="00C26557" w:rsidP="00EF0ECE">
      <w:pPr>
        <w:pStyle w:val="BRNormal"/>
      </w:pPr>
      <w:r>
        <w:t>The hydraulic head distribution in the subsurface and hydraulic conductivity is related by Darcy’s law (Chapter 2)</w:t>
      </w:r>
      <w:r w:rsidR="003653DD">
        <w:t xml:space="preserve"> and, under transient conditions, storage needs to </w:t>
      </w:r>
      <w:r w:rsidR="00896ABD">
        <w:t xml:space="preserve">be </w:t>
      </w:r>
      <w:r w:rsidR="003653DD">
        <w:t>taken into account</w:t>
      </w:r>
      <w:r>
        <w:t xml:space="preserve">. Thus, a change in aquifer connectivity is </w:t>
      </w:r>
      <w:r w:rsidR="00896ABD">
        <w:t xml:space="preserve">actually </w:t>
      </w:r>
      <w:r>
        <w:t>a change in the flux between aquifers, as controlled b</w:t>
      </w:r>
      <w:r w:rsidR="00EF0ECE">
        <w:t>y the aquitard separating them.</w:t>
      </w:r>
      <w:r>
        <w:t xml:space="preserve"> A change in </w:t>
      </w:r>
      <m:oMath>
        <m:r>
          <w:rPr>
            <w:rFonts w:ascii="Cambria Math" w:hAnsi="Cambria Math"/>
          </w:rPr>
          <m:t>q</m:t>
        </m:r>
      </m:oMath>
      <w:r>
        <w:t xml:space="preserve"> can be invoked by changing </w:t>
      </w:r>
      <m:oMath>
        <m:r>
          <w:rPr>
            <w:rFonts w:ascii="Cambria Math" w:hAnsi="Cambria Math"/>
          </w:rPr>
          <m:t>K,S</m:t>
        </m:r>
      </m:oMath>
      <w:r>
        <w:t xml:space="preserve"> or </w:t>
      </w:r>
      <m:oMath>
        <m:r>
          <m:rPr>
            <m:sty m:val="p"/>
          </m:rPr>
          <w:rPr>
            <w:rFonts w:ascii="Cambria Math" w:hAnsi="Cambria Math"/>
          </w:rPr>
          <m:t>∇</m:t>
        </m:r>
        <m:r>
          <w:rPr>
            <w:rFonts w:ascii="Cambria Math" w:hAnsi="Cambria Math"/>
          </w:rPr>
          <m:t>h</m:t>
        </m:r>
      </m:oMath>
      <w:r>
        <w:t xml:space="preserve"> independently, or by modifying </w:t>
      </w:r>
      <w:r w:rsidR="003653DD">
        <w:t xml:space="preserve">all </w:t>
      </w:r>
      <w:r>
        <w:t>at the same time.</w:t>
      </w:r>
    </w:p>
    <w:p w:rsidR="00C26557" w:rsidRDefault="00C26557" w:rsidP="00EF0ECE">
      <w:pPr>
        <w:pStyle w:val="BRNormal"/>
      </w:pPr>
      <w:r>
        <w:t>In the first case, the effects of changing the hydraulic</w:t>
      </w:r>
      <w:r w:rsidR="00EF0ECE">
        <w:t xml:space="preserve"> gradient are straightforward. </w:t>
      </w:r>
      <w:r>
        <w:t>For example, if water is extracted from an aquifer, the hydraulic head in the vicinity of the well decreases resulting in a hydraulic gradient which is the drivi</w:t>
      </w:r>
      <w:r w:rsidR="00EF0ECE">
        <w:t xml:space="preserve">ng force for groundwater flow. </w:t>
      </w:r>
      <w:r>
        <w:t>The new hydraulic head differential between the pumped aquifer and an adjacent aquifer will directly r</w:t>
      </w:r>
      <w:r w:rsidR="00EF0ECE">
        <w:t xml:space="preserve">esult in a change in the flux. </w:t>
      </w:r>
      <w:r>
        <w:t>Because flux is a vector, both its magnitude and direction are subject to change.  However, because drawdown diminishes with distance from the pumping well, so too will the induced hydraulic gradient and flux effects.</w:t>
      </w:r>
    </w:p>
    <w:p w:rsidR="00C26557" w:rsidRDefault="00C26557" w:rsidP="00EF0ECE">
      <w:pPr>
        <w:pStyle w:val="BRNormal"/>
      </w:pPr>
      <w:r>
        <w:t>Changing aquifer connectivity by modifying the fluid (dual or multi-phase flow) and/or hydrogeologic properties in t</w:t>
      </w:r>
      <w:r w:rsidR="00EF0ECE">
        <w:t xml:space="preserve">he subsurface is more complex. </w:t>
      </w:r>
      <w:r>
        <w:t xml:space="preserve">Quarrying, improper borehole construction and deformation due to pumping have the potential </w:t>
      </w:r>
      <w:r w:rsidR="00F1579C">
        <w:t xml:space="preserve">to </w:t>
      </w:r>
      <w:r>
        <w:t xml:space="preserve">undermine aquifer integrity by creating new preferential pathways in the subsurface </w:t>
      </w:r>
      <w:r w:rsidR="00EF0ECE">
        <w:rPr>
          <w:noProof/>
        </w:rPr>
        <w:t>(Hart et al. 2006; Botha &amp; Cloot 2004; Cherry et al. 2004</w:t>
      </w:r>
      <w:r>
        <w:rPr>
          <w:noProof/>
        </w:rPr>
        <w:t>)</w:t>
      </w:r>
      <w:r w:rsidR="00EF0ECE">
        <w:t xml:space="preserve">. </w:t>
      </w:r>
      <w:r>
        <w:t xml:space="preserve">This chapter primarily focuses on how the intrinsic permeability of aquitard materials can increase as the result </w:t>
      </w:r>
      <w:r w:rsidR="00F1579C">
        <w:t xml:space="preserve">of </w:t>
      </w:r>
      <w:r>
        <w:t xml:space="preserve">existing </w:t>
      </w:r>
      <w:r w:rsidR="00EF0ECE">
        <w:t xml:space="preserve">and new preferential pathways. </w:t>
      </w:r>
      <w:r>
        <w:t xml:space="preserve">This is specifically addressed in terms of mechanical deformation (Section 4.2), hydraulic fracturing and </w:t>
      </w:r>
      <w:r w:rsidRPr="00EF0ECE">
        <w:t>CSG</w:t>
      </w:r>
      <w:r>
        <w:t xml:space="preserve"> operations (Section 4.3), induced seismicity and the reactivation of faults (Section 4.4)</w:t>
      </w:r>
      <w:r w:rsidR="00EF0ECE">
        <w:t xml:space="preserve">, and boreholes (Section 4.5). </w:t>
      </w:r>
      <w:r>
        <w:t>The interplay between changing hydraulic conditions, in situ stress, mechanical deformation,</w:t>
      </w:r>
      <w:r w:rsidR="005B4A76">
        <w:t xml:space="preserve"> fluid properties (single, dual or multi-phase)</w:t>
      </w:r>
      <w:r>
        <w:t xml:space="preserve"> and hydrogeologic characteristics adds a level of complexity that is not generally or sufficiently addressed in current groundwater investigations.</w:t>
      </w:r>
    </w:p>
    <w:p w:rsidR="00C26557" w:rsidRDefault="00C26557" w:rsidP="005F6513">
      <w:pPr>
        <w:pStyle w:val="Heading2"/>
      </w:pPr>
      <w:bookmarkStart w:id="527" w:name="_Toc207854829"/>
      <w:bookmarkStart w:id="528" w:name="_Toc333488965"/>
      <w:bookmarkStart w:id="529" w:name="_Toc381961112"/>
      <w:bookmarkStart w:id="530" w:name="_Toc389055225"/>
      <w:r>
        <w:t>Mech</w:t>
      </w:r>
      <w:r w:rsidR="00E36200">
        <w:t>anical d</w:t>
      </w:r>
      <w:r>
        <w:t>eformation</w:t>
      </w:r>
      <w:bookmarkEnd w:id="527"/>
      <w:bookmarkEnd w:id="528"/>
      <w:bookmarkEnd w:id="529"/>
      <w:bookmarkEnd w:id="530"/>
    </w:p>
    <w:p w:rsidR="00C26557" w:rsidRDefault="00C26557" w:rsidP="00EF0ECE">
      <w:pPr>
        <w:pStyle w:val="BRNormal"/>
      </w:pPr>
      <w:r>
        <w:t>The Earth’s crust is continually being deformed due to slow but persistent in situ stresses.  Example causes for compressive (acts to reduce the volume) and tensile (acts to stretch) stresses in the natural environment include: the weight of overl</w:t>
      </w:r>
      <w:r w:rsidR="005B4A76">
        <w:t xml:space="preserve">ying strata, the intrusion of a </w:t>
      </w:r>
      <w:r w:rsidR="005B4A76">
        <w:lastRenderedPageBreak/>
        <w:t>magma body,</w:t>
      </w:r>
      <w:r>
        <w:t xml:space="preserve"> cooling process</w:t>
      </w:r>
      <w:r w:rsidR="005B4A76">
        <w:t>es in the case of igneous rocks,</w:t>
      </w:r>
      <w:r>
        <w:t xml:space="preserve"> and convergence, divergence and slip at plate boun</w:t>
      </w:r>
      <w:r w:rsidR="005B4A76">
        <w:t>daries (plate tectonics)</w:t>
      </w:r>
      <w:r w:rsidR="00EF0ECE">
        <w:t xml:space="preserve">. </w:t>
      </w:r>
      <w:r>
        <w:t xml:space="preserve">Changes in the Australian continental-scale stress field over time are well documented in Müller et al. </w:t>
      </w:r>
      <w:r>
        <w:rPr>
          <w:noProof/>
        </w:rPr>
        <w:t>(2012)</w:t>
      </w:r>
      <w:r>
        <w:t>.</w:t>
      </w:r>
    </w:p>
    <w:p w:rsidR="005B4A76" w:rsidRDefault="00C26557" w:rsidP="00EF0ECE">
      <w:pPr>
        <w:pStyle w:val="BRNormal"/>
      </w:pPr>
      <w:r>
        <w:t xml:space="preserve">The stresses acting on any point in space are vectors (having both magnitude and a direction) and can be expressed in terms of the three principal stress directions: </w:t>
      </w:r>
    </w:p>
    <w:p w:rsidR="005B4A76" w:rsidRDefault="00C26557" w:rsidP="005B4A76">
      <w:pPr>
        <w:pStyle w:val="BRnumberlist"/>
      </w:pPr>
      <w:r>
        <w:t xml:space="preserve">the axis of greatest principal stress </w:t>
      </w:r>
      <w:r>
        <w:rPr>
          <w:rFonts w:cstheme="minorHAnsi"/>
        </w:rPr>
        <w:t>σ</w:t>
      </w:r>
      <w:r>
        <w:rPr>
          <w:vertAlign w:val="subscript"/>
        </w:rPr>
        <w:t>1</w:t>
      </w:r>
    </w:p>
    <w:p w:rsidR="005B4A76" w:rsidRDefault="00C26557" w:rsidP="005B4A76">
      <w:pPr>
        <w:pStyle w:val="BRnumberlist"/>
      </w:pPr>
      <w:r>
        <w:t xml:space="preserve">the axis of intermediate principal stress </w:t>
      </w:r>
      <w:r>
        <w:rPr>
          <w:rFonts w:cstheme="minorHAnsi"/>
        </w:rPr>
        <w:t>σ</w:t>
      </w:r>
      <w:r>
        <w:rPr>
          <w:vertAlign w:val="subscript"/>
        </w:rPr>
        <w:t>2</w:t>
      </w:r>
    </w:p>
    <w:p w:rsidR="005B4A76" w:rsidRDefault="00C26557" w:rsidP="005B4A76">
      <w:pPr>
        <w:pStyle w:val="BRnumberlist"/>
      </w:pPr>
      <w:proofErr w:type="gramStart"/>
      <w:r>
        <w:t>the</w:t>
      </w:r>
      <w:proofErr w:type="gramEnd"/>
      <w:r>
        <w:t xml:space="preserve"> axis of least principal stress </w:t>
      </w:r>
      <w:r>
        <w:rPr>
          <w:rFonts w:cstheme="minorHAnsi"/>
        </w:rPr>
        <w:t>σ</w:t>
      </w:r>
      <w:r>
        <w:rPr>
          <w:vertAlign w:val="subscript"/>
        </w:rPr>
        <w:t>3</w:t>
      </w:r>
      <w:r w:rsidR="00EF0ECE">
        <w:t>.</w:t>
      </w:r>
      <w:r>
        <w:t xml:space="preserve"> </w:t>
      </w:r>
    </w:p>
    <w:p w:rsidR="00C26557" w:rsidRDefault="00C26557" w:rsidP="005B4A76">
      <w:pPr>
        <w:pStyle w:val="BRNormal"/>
      </w:pPr>
      <w:r>
        <w:t xml:space="preserve">Stresses in a two-dimensional plane are expressed in terms of </w:t>
      </w:r>
      <w:r>
        <w:rPr>
          <w:rFonts w:cstheme="minorHAnsi"/>
        </w:rPr>
        <w:t>σ</w:t>
      </w:r>
      <w:r>
        <w:rPr>
          <w:vertAlign w:val="subscript"/>
        </w:rPr>
        <w:t>1</w:t>
      </w:r>
      <w:r>
        <w:t xml:space="preserve"> and </w:t>
      </w:r>
      <w:r>
        <w:rPr>
          <w:rFonts w:cstheme="minorHAnsi"/>
        </w:rPr>
        <w:t>σ</w:t>
      </w:r>
      <w:r>
        <w:rPr>
          <w:vertAlign w:val="subscript"/>
        </w:rPr>
        <w:t>3</w:t>
      </w:r>
      <w:r>
        <w:t xml:space="preserve"> which are perpendicular and </w:t>
      </w:r>
      <w:r w:rsidR="00EF0ECE">
        <w:t xml:space="preserve">form an ellipse (Figure </w:t>
      </w:r>
      <w:r w:rsidR="00526F71">
        <w:t>11</w:t>
      </w:r>
      <w:r w:rsidR="00EF0ECE">
        <w:t xml:space="preserve">). </w:t>
      </w:r>
      <w:r>
        <w:t xml:space="preserve">The three-dimensional principal stress directions are portrayed by an ellipsoid where </w:t>
      </w:r>
      <w:r>
        <w:rPr>
          <w:rFonts w:cstheme="minorHAnsi"/>
        </w:rPr>
        <w:t>σ</w:t>
      </w:r>
      <w:r>
        <w:rPr>
          <w:vertAlign w:val="subscript"/>
        </w:rPr>
        <w:t>2</w:t>
      </w:r>
      <w:r>
        <w:t xml:space="preserve"> is perpendicular to the </w:t>
      </w:r>
      <w:r>
        <w:rPr>
          <w:rFonts w:cstheme="minorHAnsi"/>
        </w:rPr>
        <w:t>σ</w:t>
      </w:r>
      <w:r>
        <w:rPr>
          <w:vertAlign w:val="subscript"/>
        </w:rPr>
        <w:t>1</w:t>
      </w:r>
      <w:r>
        <w:t>-</w:t>
      </w:r>
      <w:r>
        <w:rPr>
          <w:rFonts w:cstheme="minorHAnsi"/>
        </w:rPr>
        <w:t>σ</w:t>
      </w:r>
      <w:r>
        <w:rPr>
          <w:vertAlign w:val="subscript"/>
        </w:rPr>
        <w:t>3</w:t>
      </w:r>
      <w:r>
        <w:t xml:space="preserve"> plane (Figure</w:t>
      </w:r>
      <w:r w:rsidR="005B4A76">
        <w:t> 11</w:t>
      </w:r>
      <w:r>
        <w:t>b).</w:t>
      </w:r>
    </w:p>
    <w:p w:rsidR="00C26557" w:rsidRDefault="00C26557" w:rsidP="001C3374">
      <w:pPr>
        <w:pStyle w:val="Body"/>
      </w:pPr>
    </w:p>
    <w:p w:rsidR="00C26557" w:rsidRDefault="00C26557" w:rsidP="001C3374">
      <w:pPr>
        <w:pStyle w:val="Body"/>
      </w:pPr>
      <w:r>
        <w:rPr>
          <w:noProof/>
          <w:lang w:val="en-AU" w:eastAsia="en-AU"/>
        </w:rPr>
        <w:drawing>
          <wp:inline distT="0" distB="0" distL="0" distR="0">
            <wp:extent cx="2693708" cy="4086225"/>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7"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96094" cy="4089845"/>
                    </a:xfrm>
                    <a:prstGeom prst="rect">
                      <a:avLst/>
                    </a:prstGeom>
                    <a:noFill/>
                    <a:ln>
                      <a:noFill/>
                    </a:ln>
                  </pic:spPr>
                </pic:pic>
              </a:graphicData>
            </a:graphic>
          </wp:inline>
        </w:drawing>
      </w:r>
    </w:p>
    <w:p w:rsidR="00C26557" w:rsidRDefault="00EF0ECE" w:rsidP="00EF0ECE">
      <w:pPr>
        <w:pStyle w:val="Caption"/>
      </w:pPr>
      <w:r w:rsidRPr="00EA5A48">
        <w:t xml:space="preserve">Figure </w:t>
      </w:r>
      <w:r w:rsidR="00E23933" w:rsidRPr="00EA5A48">
        <w:rPr>
          <w:b/>
        </w:rPr>
        <w:fldChar w:fldCharType="begin"/>
      </w:r>
      <w:r w:rsidRPr="00EA5A48">
        <w:instrText xml:space="preserve"> SEQ Figure \* ARABIC </w:instrText>
      </w:r>
      <w:r w:rsidR="00E23933" w:rsidRPr="00EA5A48">
        <w:rPr>
          <w:b/>
        </w:rPr>
        <w:fldChar w:fldCharType="separate"/>
      </w:r>
      <w:r w:rsidR="005B4A76">
        <w:t>11</w:t>
      </w:r>
      <w:r w:rsidR="00E23933" w:rsidRPr="00EA5A48">
        <w:rPr>
          <w:b/>
        </w:rPr>
        <w:fldChar w:fldCharType="end"/>
      </w:r>
      <w:r w:rsidRPr="00EA5A48">
        <w:t xml:space="preserve"> </w:t>
      </w:r>
      <w:r w:rsidR="00C26557">
        <w:t xml:space="preserve">The </w:t>
      </w:r>
      <w:r w:rsidR="005B4A76">
        <w:t>(</w:t>
      </w:r>
      <w:r w:rsidR="00C26557">
        <w:t xml:space="preserve">a) two-dimensional stress ellipse and </w:t>
      </w:r>
      <w:r w:rsidR="005B4A76">
        <w:t>(</w:t>
      </w:r>
      <w:r w:rsidR="00C26557">
        <w:t>b) three</w:t>
      </w:r>
      <w:r>
        <w:t xml:space="preserve">-dimensional stress ellipsoid. </w:t>
      </w:r>
      <w:r w:rsidR="00C26557">
        <w:t>These are visual representations of the stress tensor which show both the direction and ratios of the greatest (σ</w:t>
      </w:r>
      <w:r w:rsidR="00C26557">
        <w:rPr>
          <w:vertAlign w:val="subscript"/>
        </w:rPr>
        <w:t>1</w:t>
      </w:r>
      <w:r w:rsidR="00C26557">
        <w:t>), intermediate (σ</w:t>
      </w:r>
      <w:r w:rsidR="00C26557">
        <w:rPr>
          <w:vertAlign w:val="subscript"/>
        </w:rPr>
        <w:t>2</w:t>
      </w:r>
      <w:r w:rsidR="00C26557">
        <w:t>) and least (σ</w:t>
      </w:r>
      <w:r w:rsidR="00C26557">
        <w:rPr>
          <w:vertAlign w:val="subscript"/>
        </w:rPr>
        <w:t>3</w:t>
      </w:r>
      <w:r w:rsidR="00C26557">
        <w:t>) principal</w:t>
      </w:r>
      <w:r>
        <w:t xml:space="preserve"> stresses. </w:t>
      </w:r>
      <w:r w:rsidR="00C26557">
        <w:t xml:space="preserve">Modified from </w:t>
      </w:r>
      <w:r w:rsidR="00F976E1">
        <w:t>©</w:t>
      </w:r>
      <w:r w:rsidR="005B4A76">
        <w:t xml:space="preserve"> Copyright, </w:t>
      </w:r>
      <w:r w:rsidR="00C26557">
        <w:t>Davis and Reynolds (1996).</w:t>
      </w:r>
    </w:p>
    <w:p w:rsidR="00C26557" w:rsidRDefault="00C26557" w:rsidP="001C3374">
      <w:pPr>
        <w:pStyle w:val="Body"/>
      </w:pPr>
    </w:p>
    <w:p w:rsidR="00C26557" w:rsidRDefault="00C26557" w:rsidP="00EF0ECE">
      <w:pPr>
        <w:pStyle w:val="BRNormal"/>
      </w:pPr>
      <w:r>
        <w:t>The orientation of the stress ellipsoid depends on the</w:t>
      </w:r>
      <w:r w:rsidR="00EF0ECE">
        <w:t xml:space="preserve"> geologic conditions and depth.</w:t>
      </w:r>
      <w:r>
        <w:t xml:space="preserve"> In general, </w:t>
      </w:r>
      <w:r>
        <w:rPr>
          <w:rFonts w:cstheme="minorHAnsi"/>
        </w:rPr>
        <w:t>σ</w:t>
      </w:r>
      <w:r>
        <w:rPr>
          <w:vertAlign w:val="subscript"/>
        </w:rPr>
        <w:t>3</w:t>
      </w:r>
      <w:r>
        <w:t xml:space="preserve"> tends to be vertical at shallow depths (less than ~300 m) because the contribution of the weight of the overlying geology to the total vert</w:t>
      </w:r>
      <w:r w:rsidR="00136EB5">
        <w:t xml:space="preserve">ical stress is relatively low. </w:t>
      </w:r>
      <w:r>
        <w:lastRenderedPageBreak/>
        <w:t xml:space="preserve">At depths greater than 300 m, the direction of </w:t>
      </w:r>
      <w:r>
        <w:rPr>
          <w:rFonts w:cstheme="minorHAnsi"/>
        </w:rPr>
        <w:t>σ</w:t>
      </w:r>
      <w:r>
        <w:rPr>
          <w:vertAlign w:val="subscript"/>
        </w:rPr>
        <w:t>3</w:t>
      </w:r>
      <w:r>
        <w:t xml:space="preserve"> shifts towards the horizontal as the vertical stress from the overlying weight becomes significant (Nielson </w:t>
      </w:r>
      <w:r w:rsidR="00E76DC3">
        <w:t>&amp;</w:t>
      </w:r>
      <w:r>
        <w:t xml:space="preserve"> Hanson </w:t>
      </w:r>
      <w:r w:rsidR="008E1FF0">
        <w:rPr>
          <w:noProof/>
        </w:rPr>
        <w:t>1987,</w:t>
      </w:r>
      <w:r>
        <w:t xml:space="preserve"> as cited in US</w:t>
      </w:r>
      <w:r w:rsidR="008E1FF0">
        <w:t> </w:t>
      </w:r>
      <w:r>
        <w:t xml:space="preserve">DOE </w:t>
      </w:r>
      <w:r>
        <w:rPr>
          <w:noProof/>
        </w:rPr>
        <w:t>(</w:t>
      </w:r>
      <w:r w:rsidR="00CF78C5">
        <w:rPr>
          <w:noProof/>
        </w:rPr>
        <w:t>undated</w:t>
      </w:r>
      <w:r>
        <w:rPr>
          <w:noProof/>
        </w:rPr>
        <w:t>)</w:t>
      </w:r>
      <w:r w:rsidR="00136EB5">
        <w:t xml:space="preserve">). </w:t>
      </w:r>
      <w:proofErr w:type="gramStart"/>
      <w:r>
        <w:t xml:space="preserve">US DOE </w:t>
      </w:r>
      <w:r>
        <w:rPr>
          <w:noProof/>
        </w:rPr>
        <w:t>(</w:t>
      </w:r>
      <w:r w:rsidR="00CF78C5">
        <w:rPr>
          <w:noProof/>
        </w:rPr>
        <w:t>undated</w:t>
      </w:r>
      <w:r>
        <w:rPr>
          <w:noProof/>
        </w:rPr>
        <w:t>)</w:t>
      </w:r>
      <w:r>
        <w:t xml:space="preserve"> notes that the typical stress configuration in coalbed methane reservoirs is </w:t>
      </w:r>
      <w:r>
        <w:rPr>
          <w:rFonts w:cstheme="minorHAnsi"/>
        </w:rPr>
        <w:t>σ</w:t>
      </w:r>
      <w:r>
        <w:rPr>
          <w:vertAlign w:val="subscript"/>
        </w:rPr>
        <w:t>1</w:t>
      </w:r>
      <w:r>
        <w:t>&gt;</w:t>
      </w:r>
      <w:r>
        <w:rPr>
          <w:rFonts w:cstheme="minorHAnsi"/>
        </w:rPr>
        <w:t xml:space="preserve"> σ</w:t>
      </w:r>
      <w:r>
        <w:rPr>
          <w:vertAlign w:val="subscript"/>
        </w:rPr>
        <w:t>2</w:t>
      </w:r>
      <w:r>
        <w:t>&gt;</w:t>
      </w:r>
      <w:r>
        <w:rPr>
          <w:rFonts w:cstheme="minorHAnsi"/>
        </w:rPr>
        <w:t xml:space="preserve"> σ</w:t>
      </w:r>
      <w:r>
        <w:rPr>
          <w:vertAlign w:val="subscript"/>
        </w:rPr>
        <w:t>3</w:t>
      </w:r>
      <w:r>
        <w:t xml:space="preserve"> where</w:t>
      </w:r>
      <w:r>
        <w:rPr>
          <w:rFonts w:cstheme="minorHAnsi"/>
        </w:rPr>
        <w:t xml:space="preserve"> σ</w:t>
      </w:r>
      <w:r>
        <w:rPr>
          <w:vertAlign w:val="subscript"/>
        </w:rPr>
        <w:t>1</w:t>
      </w:r>
      <w:r>
        <w:t xml:space="preserve"> is vertical and </w:t>
      </w:r>
      <w:r>
        <w:rPr>
          <w:rFonts w:cstheme="minorHAnsi"/>
        </w:rPr>
        <w:t>σ</w:t>
      </w:r>
      <w:r>
        <w:rPr>
          <w:vertAlign w:val="subscript"/>
        </w:rPr>
        <w:t>2</w:t>
      </w:r>
      <w:r>
        <w:t xml:space="preserve"> and</w:t>
      </w:r>
      <w:r>
        <w:rPr>
          <w:rFonts w:cstheme="minorHAnsi"/>
        </w:rPr>
        <w:t xml:space="preserve"> σ</w:t>
      </w:r>
      <w:r>
        <w:rPr>
          <w:vertAlign w:val="subscript"/>
        </w:rPr>
        <w:t>3</w:t>
      </w:r>
      <w:r w:rsidR="00136EB5">
        <w:t xml:space="preserve"> are horizontal.</w:t>
      </w:r>
      <w:proofErr w:type="gramEnd"/>
      <w:r w:rsidR="00136EB5">
        <w:t xml:space="preserve"> </w:t>
      </w:r>
      <w:r>
        <w:t xml:space="preserve">These stresses are typically compressive and are spatially variable, particularly in the vertical direction from layer to layer </w:t>
      </w:r>
      <w:r w:rsidR="00E76DC3">
        <w:rPr>
          <w:noProof/>
        </w:rPr>
        <w:t>(US DOE</w:t>
      </w:r>
      <w:r>
        <w:rPr>
          <w:noProof/>
        </w:rPr>
        <w:t xml:space="preserve"> </w:t>
      </w:r>
      <w:r w:rsidR="00CF78C5">
        <w:rPr>
          <w:noProof/>
        </w:rPr>
        <w:t>undated</w:t>
      </w:r>
      <w:r>
        <w:rPr>
          <w:noProof/>
        </w:rPr>
        <w:t>)</w:t>
      </w:r>
      <w:r>
        <w:t>.</w:t>
      </w:r>
    </w:p>
    <w:p w:rsidR="00C26557" w:rsidRDefault="00C26557" w:rsidP="00136EB5">
      <w:pPr>
        <w:pStyle w:val="BRNormal"/>
      </w:pPr>
      <w:r>
        <w:t xml:space="preserve">Structural deformation occurs when an applied stress exceeds the strength of the rock (i.e. the </w:t>
      </w:r>
      <w:r w:rsidR="00E76DC3">
        <w:t xml:space="preserve">ability to resist the stress). </w:t>
      </w:r>
      <w:r>
        <w:t xml:space="preserve">The applied stress causes a change in the length, area or volume of the body by means of distortion (change in shape), dilation (change in size) and </w:t>
      </w:r>
      <w:r w:rsidR="00E76DC3">
        <w:t xml:space="preserve">rotation. </w:t>
      </w:r>
      <w:r>
        <w:t xml:space="preserve">The ratio of the altered length, area or volume to its original </w:t>
      </w:r>
      <w:r w:rsidR="00E76DC3">
        <w:t>value is referred to as strain.</w:t>
      </w:r>
      <w:r>
        <w:t xml:space="preserve"> The mode of failure will be ductile (bend) or brittle (break) depending how the in situ conditions have influenced the strength properties of the rock </w:t>
      </w:r>
      <w:r w:rsidR="00E76DC3">
        <w:rPr>
          <w:noProof/>
        </w:rPr>
        <w:t>(Davis &amp; Reynolds</w:t>
      </w:r>
      <w:r>
        <w:rPr>
          <w:noProof/>
        </w:rPr>
        <w:t xml:space="preserve"> 1996)</w:t>
      </w:r>
      <w:r w:rsidR="00E76DC3">
        <w:t xml:space="preserve">. </w:t>
      </w:r>
      <w:r>
        <w:t>Ductile deformation occurs in t</w:t>
      </w:r>
      <w:r w:rsidR="00E76DC3">
        <w:t xml:space="preserve">wo forms: elastic and plastic. </w:t>
      </w:r>
      <w:r>
        <w:t>The difference is the former results in the rock returning to its original length once the stress is removed while the latter produces a permanent change in sha</w:t>
      </w:r>
      <w:r w:rsidR="00E76DC3">
        <w:t xml:space="preserve">pe without failure or rupture. </w:t>
      </w:r>
      <w:r>
        <w:t xml:space="preserve">Brittle deformation occurs when fractures and faults form.  Brittle rocks exhibit elastic behaviour upon the initial application of a stress and can fail suddenly without evidence of plastic deformation </w:t>
      </w:r>
      <w:r>
        <w:rPr>
          <w:noProof/>
        </w:rPr>
        <w:t xml:space="preserve">(Davis </w:t>
      </w:r>
      <w:r w:rsidR="00E76DC3">
        <w:rPr>
          <w:noProof/>
        </w:rPr>
        <w:t>&amp; Reynolds</w:t>
      </w:r>
      <w:r>
        <w:rPr>
          <w:noProof/>
        </w:rPr>
        <w:t xml:space="preserve"> 1996)</w:t>
      </w:r>
      <w:r w:rsidR="00E76DC3">
        <w:t xml:space="preserve">. </w:t>
      </w:r>
      <w:r>
        <w:t>A plot of the applied differential stress versus the observed strain provides a detailed record</w:t>
      </w:r>
      <w:r w:rsidR="00E76DC3">
        <w:t xml:space="preserve"> of the deformational history. </w:t>
      </w:r>
      <w:r>
        <w:t xml:space="preserve">An example stress-strain diagram from a compression test is provided in Figure </w:t>
      </w:r>
      <w:r w:rsidR="00526F71">
        <w:t>12</w:t>
      </w:r>
      <w:r>
        <w:t xml:space="preserve"> and highlights the characteristic shape of the curve for each deformation mode and the different measures of strength (yield strength, ultimate strength and rupture strength) that can be obtain</w:t>
      </w:r>
      <w:r w:rsidR="00E76DC3">
        <w:t>ed.</w:t>
      </w:r>
      <w:r>
        <w:t xml:space="preserve"> It should be noted that the rocks are much stronger in compression than under tension </w:t>
      </w:r>
      <w:r>
        <w:rPr>
          <w:noProof/>
        </w:rPr>
        <w:t xml:space="preserve">(Davis </w:t>
      </w:r>
      <w:r w:rsidR="00E76DC3">
        <w:rPr>
          <w:noProof/>
        </w:rPr>
        <w:t>&amp; Reynolds</w:t>
      </w:r>
      <w:r>
        <w:rPr>
          <w:noProof/>
        </w:rPr>
        <w:t xml:space="preserve"> 1996)</w:t>
      </w:r>
      <w:r>
        <w:t>.</w:t>
      </w:r>
    </w:p>
    <w:p w:rsidR="00C26557" w:rsidRDefault="00C26557" w:rsidP="001C3374">
      <w:pPr>
        <w:pStyle w:val="Body"/>
      </w:pPr>
    </w:p>
    <w:p w:rsidR="00C26557" w:rsidRDefault="00C26557" w:rsidP="001C3374">
      <w:pPr>
        <w:pStyle w:val="Body"/>
      </w:pPr>
      <w:r>
        <w:rPr>
          <w:noProof/>
          <w:lang w:val="en-AU" w:eastAsia="en-AU"/>
        </w:rPr>
        <w:drawing>
          <wp:inline distT="0" distB="0" distL="0" distR="0">
            <wp:extent cx="2065020" cy="2774950"/>
            <wp:effectExtent l="0" t="0" r="0" b="635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8"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65020" cy="2774950"/>
                    </a:xfrm>
                    <a:prstGeom prst="rect">
                      <a:avLst/>
                    </a:prstGeom>
                    <a:noFill/>
                    <a:ln>
                      <a:noFill/>
                    </a:ln>
                  </pic:spPr>
                </pic:pic>
              </a:graphicData>
            </a:graphic>
          </wp:inline>
        </w:drawing>
      </w:r>
    </w:p>
    <w:p w:rsidR="00C26557" w:rsidRDefault="00E76DC3" w:rsidP="00E76DC3">
      <w:pPr>
        <w:pStyle w:val="Caption"/>
      </w:pPr>
      <w:r w:rsidRPr="00EA5A48">
        <w:t xml:space="preserve">Figure </w:t>
      </w:r>
      <w:r w:rsidR="00E23933" w:rsidRPr="00EA5A48">
        <w:rPr>
          <w:b/>
        </w:rPr>
        <w:fldChar w:fldCharType="begin"/>
      </w:r>
      <w:r w:rsidRPr="00EA5A48">
        <w:instrText xml:space="preserve"> SEQ Figure \* ARABIC </w:instrText>
      </w:r>
      <w:r w:rsidR="00E23933" w:rsidRPr="00EA5A48">
        <w:rPr>
          <w:b/>
        </w:rPr>
        <w:fldChar w:fldCharType="separate"/>
      </w:r>
      <w:r w:rsidR="00526F71">
        <w:t>12</w:t>
      </w:r>
      <w:r w:rsidR="00E23933" w:rsidRPr="00EA5A48">
        <w:rPr>
          <w:b/>
        </w:rPr>
        <w:fldChar w:fldCharType="end"/>
      </w:r>
      <w:r>
        <w:rPr>
          <w:b/>
        </w:rPr>
        <w:t xml:space="preserve"> </w:t>
      </w:r>
      <w:r w:rsidR="00C26557">
        <w:t xml:space="preserve">Hypothetical stress-strain diagram for a rock deformed under </w:t>
      </w:r>
      <w:r>
        <w:t xml:space="preserve">confining pressure conditions. </w:t>
      </w:r>
      <w:r w:rsidR="00C26557">
        <w:t>Point A marks the onset of plastic deformation which continues along the</w:t>
      </w:r>
      <w:r>
        <w:t xml:space="preserve"> curve until Point B, rupture. </w:t>
      </w:r>
      <w:r w:rsidR="00C26557">
        <w:t xml:space="preserve">Modified from </w:t>
      </w:r>
      <w:r w:rsidR="00F976E1">
        <w:t>©</w:t>
      </w:r>
      <w:r w:rsidR="008E1FF0">
        <w:t xml:space="preserve"> Copyright, </w:t>
      </w:r>
      <w:r w:rsidR="00C26557">
        <w:t>Davis and Reynolds (1996).</w:t>
      </w:r>
    </w:p>
    <w:p w:rsidR="00C26557" w:rsidRDefault="00C26557" w:rsidP="001C3374">
      <w:pPr>
        <w:pStyle w:val="Body"/>
      </w:pPr>
    </w:p>
    <w:p w:rsidR="00C26557" w:rsidRDefault="00C26557" w:rsidP="00E76DC3">
      <w:pPr>
        <w:pStyle w:val="BRNormal"/>
      </w:pPr>
      <w:r>
        <w:t>Over time, geologic structures of all scales (</w:t>
      </w:r>
      <w:r w:rsidR="002E7ECD">
        <w:t xml:space="preserve">e.g. </w:t>
      </w:r>
      <w:r>
        <w:t>folds, faults, joints, microcracks between mineral grains, etc.) form in response to stresses</w:t>
      </w:r>
      <w:r w:rsidR="00E76DC3">
        <w:t xml:space="preserve"> (local to continental scale). </w:t>
      </w:r>
      <w:r>
        <w:t xml:space="preserve">This includes the deformation of pre-existing structures which may have formed under a different (or </w:t>
      </w:r>
      <w:r>
        <w:lastRenderedPageBreak/>
        <w:t>palaeo) stress regime (such as a fault) or in a depositional environment, such as a bedd</w:t>
      </w:r>
      <w:r w:rsidR="00E76DC3">
        <w:t xml:space="preserve">ing plane in sedimentary rock. </w:t>
      </w:r>
      <w:r>
        <w:t>The coincidence of the orientation of a planar structure of interest with the princi</w:t>
      </w:r>
      <w:r w:rsidR="00E76DC3">
        <w:t xml:space="preserve">pal stress directions is rare. </w:t>
      </w:r>
      <w:r>
        <w:t xml:space="preserve">Thus, a given stress can be divided into two components: one perpendicular to the plane of interest (normal stress </w:t>
      </w:r>
      <w:proofErr w:type="gramStart"/>
      <w:r>
        <w:rPr>
          <w:rFonts w:cstheme="minorHAnsi"/>
        </w:rPr>
        <w:t>σ</w:t>
      </w:r>
      <w:r>
        <w:rPr>
          <w:vertAlign w:val="subscript"/>
        </w:rPr>
        <w:t>N</w:t>
      </w:r>
      <w:proofErr w:type="gramEnd"/>
      <w:r>
        <w:t xml:space="preserve">) and one parallel to the plane (shear stress </w:t>
      </w:r>
      <w:r>
        <w:rPr>
          <w:rFonts w:cstheme="minorHAnsi"/>
        </w:rPr>
        <w:t>σ</w:t>
      </w:r>
      <w:r>
        <w:rPr>
          <w:vertAlign w:val="subscript"/>
        </w:rPr>
        <w:t>S</w:t>
      </w:r>
      <w:r>
        <w:t>).</w:t>
      </w:r>
    </w:p>
    <w:p w:rsidR="00C26557" w:rsidRDefault="00C26557" w:rsidP="00E76DC3">
      <w:pPr>
        <w:pStyle w:val="BRNormal"/>
      </w:pPr>
      <w:r>
        <w:t xml:space="preserve">The following is a brief summary of the factors that influence rock strength and ductility from Davis and Reynolds </w:t>
      </w:r>
      <w:r>
        <w:rPr>
          <w:noProof/>
        </w:rPr>
        <w:t>(1996)</w:t>
      </w:r>
      <w:r>
        <w:t>:</w:t>
      </w:r>
    </w:p>
    <w:p w:rsidR="00C26557" w:rsidRDefault="00C26557" w:rsidP="00E76DC3">
      <w:pPr>
        <w:pStyle w:val="Bulletpoint"/>
      </w:pPr>
      <w:r w:rsidRPr="00D40B43">
        <w:t>Lithology</w:t>
      </w:r>
      <w:r w:rsidR="00E76DC3">
        <w:t>:</w:t>
      </w:r>
      <w:r w:rsidR="008A0413">
        <w:t xml:space="preserve"> s</w:t>
      </w:r>
      <w:r>
        <w:t>trength is in</w:t>
      </w:r>
      <w:r w:rsidR="008A0413">
        <w:t>fluenced by mineralogy, texture</w:t>
      </w:r>
      <w:r>
        <w:t xml:space="preserve"> and the nature and orientation of mechanical heterogeneities present (</w:t>
      </w:r>
      <w:r w:rsidR="008A0413">
        <w:t xml:space="preserve">i.e. </w:t>
      </w:r>
      <w:r>
        <w:t>fractures, layers and foliations).</w:t>
      </w:r>
    </w:p>
    <w:p w:rsidR="00C26557" w:rsidRDefault="00C26557" w:rsidP="00E76DC3">
      <w:pPr>
        <w:pStyle w:val="Bulletpoint"/>
      </w:pPr>
      <w:r w:rsidRPr="00D40B43">
        <w:t>Confining pressure</w:t>
      </w:r>
      <w:r w:rsidR="00E76DC3">
        <w:t>:</w:t>
      </w:r>
      <w:r w:rsidR="008A0413">
        <w:t xml:space="preserve"> y</w:t>
      </w:r>
      <w:r>
        <w:t>ield strength, ulti</w:t>
      </w:r>
      <w:r w:rsidR="008A0413">
        <w:t>mate strength, rupture strength</w:t>
      </w:r>
      <w:r>
        <w:t xml:space="preserve"> and ductility increase to greater values with </w:t>
      </w:r>
      <w:r w:rsidR="00E76DC3">
        <w:t xml:space="preserve">increasing confining pressure. </w:t>
      </w:r>
      <w:r>
        <w:t>This can be offset if the pore fluids are higher pressure than they should be for a given burial depth (</w:t>
      </w:r>
      <w:r w:rsidR="007C5CB5">
        <w:t xml:space="preserve">i.e. </w:t>
      </w:r>
      <w:r>
        <w:t>effective pressure = confining p</w:t>
      </w:r>
      <w:r w:rsidR="00E76DC3">
        <w:t>ressure – pore water pressure).</w:t>
      </w:r>
      <w:r w:rsidR="007C5CB5">
        <w:t xml:space="preserve"> Note: ‘</w:t>
      </w:r>
      <w:r>
        <w:t>stress</w:t>
      </w:r>
      <w:r w:rsidR="007C5CB5">
        <w:t>’ and ‘pressure’</w:t>
      </w:r>
      <w:r>
        <w:t xml:space="preserve"> are the terms describing the intensity of force acting upon a body of solid or liquid as </w:t>
      </w:r>
      <w:r w:rsidR="00F1579C">
        <w:t xml:space="preserve">a </w:t>
      </w:r>
      <w:r>
        <w:t>functi</w:t>
      </w:r>
      <w:r w:rsidR="007C5CB5">
        <w:t>on of its area, respectively.</w:t>
      </w:r>
      <w:r w:rsidR="00E76DC3">
        <w:t xml:space="preserve"> </w:t>
      </w:r>
      <w:r>
        <w:t xml:space="preserve">This means a deeply buried rock with high pore pressures will deform </w:t>
      </w:r>
      <w:r w:rsidR="008A0413">
        <w:t>similarly to</w:t>
      </w:r>
      <w:r>
        <w:t xml:space="preserve"> one in a shallower setting w</w:t>
      </w:r>
      <w:r w:rsidR="00E76DC3">
        <w:t xml:space="preserve">ith lower confining pressures. </w:t>
      </w:r>
      <w:r>
        <w:t>The fluid pressure is typically scaled by Biot’s constant (</w:t>
      </w:r>
      <m:oMath>
        <m:r>
          <w:rPr>
            <w:rFonts w:ascii="Cambria Math" w:hAnsi="Cambria Math"/>
          </w:rPr>
          <m:t>α</m:t>
        </m:r>
      </m:oMath>
      <w:proofErr w:type="gramStart"/>
      <w:r>
        <w:t>,</w:t>
      </w:r>
      <w:proofErr w:type="gramEnd"/>
      <w:r>
        <w:t xml:space="preserve"> a correction factor from poroelastic theory that accounts for the efficiency with which internal pore pressure offsets the externally applied total vertical stress). </w:t>
      </w:r>
    </w:p>
    <w:p w:rsidR="00C26557" w:rsidRDefault="00C26557" w:rsidP="00E76DC3">
      <w:pPr>
        <w:pStyle w:val="Bulletpoint"/>
      </w:pPr>
      <w:r w:rsidRPr="00D40B43">
        <w:t>Temperature</w:t>
      </w:r>
      <w:r w:rsidR="00E76DC3">
        <w:t xml:space="preserve">: </w:t>
      </w:r>
      <w:r w:rsidR="008A0413">
        <w:t>i</w:t>
      </w:r>
      <w:r>
        <w:t>ncreasing temperature generally reduces yield strength and ultimate strength, and increases ductility.</w:t>
      </w:r>
    </w:p>
    <w:p w:rsidR="00C26557" w:rsidRDefault="00C26557" w:rsidP="00E76DC3">
      <w:pPr>
        <w:pStyle w:val="Bulletpoint"/>
      </w:pPr>
      <w:r w:rsidRPr="00D40B43">
        <w:t>Strain rate</w:t>
      </w:r>
      <w:r w:rsidR="00E76DC3">
        <w:t xml:space="preserve">: </w:t>
      </w:r>
      <w:r w:rsidR="008A0413">
        <w:t>r</w:t>
      </w:r>
      <w:r>
        <w:t>ock strength decreases during periods of prolonged stress due to eventual fatigue.</w:t>
      </w:r>
    </w:p>
    <w:p w:rsidR="00C26557" w:rsidRDefault="00C26557" w:rsidP="00E76DC3">
      <w:pPr>
        <w:pStyle w:val="Bulletpoint"/>
      </w:pPr>
      <w:r w:rsidRPr="00D40B43">
        <w:t>Time</w:t>
      </w:r>
      <w:r w:rsidR="00E76DC3">
        <w:t xml:space="preserve">: </w:t>
      </w:r>
      <w:r w:rsidR="008A0413">
        <w:t>r</w:t>
      </w:r>
      <w:r w:rsidR="00777790">
        <w:t>ecognis</w:t>
      </w:r>
      <w:r>
        <w:t>ed as one of the least understood of all the independent variables influencing rock strength, particularly in the context of the geologic time scale.</w:t>
      </w:r>
    </w:p>
    <w:p w:rsidR="00C26557" w:rsidRDefault="00C26557" w:rsidP="00E76DC3">
      <w:pPr>
        <w:pStyle w:val="Bulletpoint"/>
      </w:pPr>
      <w:r w:rsidRPr="00D40B43">
        <w:t>Pre-existing weaknesses</w:t>
      </w:r>
      <w:r w:rsidR="00E76DC3">
        <w:t xml:space="preserve">: </w:t>
      </w:r>
      <w:r w:rsidR="008A0413">
        <w:t>i</w:t>
      </w:r>
      <w:r>
        <w:t>nternal flaws and weaknesses at all scales (faults, fractures, bedding planes, joints, veins, pores, and microcracks between mineral</w:t>
      </w:r>
      <w:r w:rsidR="00E76DC3">
        <w:t xml:space="preserve"> grains) reduce rock strength. </w:t>
      </w:r>
      <w:r>
        <w:t>Smaller bodies of rock are typically stronger than larger bodies because they cont</w:t>
      </w:r>
      <w:r w:rsidR="00E76DC3">
        <w:t xml:space="preserve">ain fewer of these weaknesses. </w:t>
      </w:r>
      <w:r>
        <w:t>Failure along a pre-existing plane of weakness depends on the combination of friction (dependent on the surface roughness if the normal stress is low) and normal stress (friction becomes independent of rock type when the normal stress is high).</w:t>
      </w:r>
    </w:p>
    <w:p w:rsidR="00C26557" w:rsidRDefault="00C26557" w:rsidP="00E76DC3">
      <w:pPr>
        <w:pStyle w:val="Bulletpoint"/>
      </w:pPr>
      <w:r w:rsidRPr="00D40B43">
        <w:t>Size</w:t>
      </w:r>
      <w:r w:rsidR="00E76DC3">
        <w:t xml:space="preserve">: </w:t>
      </w:r>
      <w:r w:rsidR="008A0413">
        <w:t>r</w:t>
      </w:r>
      <w:r>
        <w:t>ock strength is commonly determined experimentally on rock cores i</w:t>
      </w:r>
      <w:r w:rsidR="00E76DC3">
        <w:t xml:space="preserve">n the laboratory. </w:t>
      </w:r>
      <w:r>
        <w:t>As previously mentioned, the size of the sample greatly influences the measured strength because of the presen</w:t>
      </w:r>
      <w:r w:rsidR="00E76DC3">
        <w:t xml:space="preserve">ce of pre-existing weaknesses. </w:t>
      </w:r>
      <w:r>
        <w:t>Given the inherent heterogeneity in the properties of geologic materials and the diminishing strength of increasing volumes of rock, up-scaling rock stress-strain relationships from laboratory tests to predict mechanical deformation on a larger scale remains a challenge.</w:t>
      </w:r>
    </w:p>
    <w:p w:rsidR="00BE2903" w:rsidRDefault="00BE2903" w:rsidP="00E76DC3">
      <w:pPr>
        <w:pStyle w:val="BRNormal"/>
      </w:pPr>
      <w:r>
        <w:t xml:space="preserve">Aside </w:t>
      </w:r>
      <w:r w:rsidR="00972C12">
        <w:t xml:space="preserve">from </w:t>
      </w:r>
      <w:r>
        <w:t>these main effects, the water content and chemical reactivity of the rocks can influence their strength (</w:t>
      </w:r>
      <w:r w:rsidR="00E76DC3" w:rsidRPr="00BE2903">
        <w:rPr>
          <w:lang w:val="en-US"/>
        </w:rPr>
        <w:t xml:space="preserve">Roshan </w:t>
      </w:r>
      <w:r w:rsidR="00E76DC3">
        <w:rPr>
          <w:lang w:val="en-US"/>
        </w:rPr>
        <w:t xml:space="preserve">&amp; Oeser 2012; </w:t>
      </w:r>
      <w:r w:rsidR="00E76DC3">
        <w:t xml:space="preserve">Al-Bazali et al. 2008; </w:t>
      </w:r>
      <w:r w:rsidRPr="00BE2903">
        <w:rPr>
          <w:lang w:val="en-US"/>
        </w:rPr>
        <w:t xml:space="preserve">Heidug </w:t>
      </w:r>
      <w:r w:rsidR="00E76DC3">
        <w:rPr>
          <w:lang w:val="en-US"/>
        </w:rPr>
        <w:t>&amp; Wong</w:t>
      </w:r>
      <w:r w:rsidRPr="00BE2903">
        <w:rPr>
          <w:lang w:val="en-US"/>
        </w:rPr>
        <w:t xml:space="preserve"> 1996</w:t>
      </w:r>
      <w:r>
        <w:t>)</w:t>
      </w:r>
      <w:r w:rsidR="00E76DC3">
        <w:t>.</w:t>
      </w:r>
    </w:p>
    <w:p w:rsidR="00C26557" w:rsidRDefault="007C5CB5" w:rsidP="00E76DC3">
      <w:pPr>
        <w:pStyle w:val="BRNormal"/>
      </w:pPr>
      <w:r>
        <w:t>The terms ‘brittle’ and ‘ductile’</w:t>
      </w:r>
      <w:r w:rsidR="00C26557">
        <w:t xml:space="preserve"> are very mu</w:t>
      </w:r>
      <w:r w:rsidR="00E76DC3">
        <w:t xml:space="preserve">ch geared towards strain only. </w:t>
      </w:r>
      <w:r w:rsidR="00C26557">
        <w:t xml:space="preserve">Models of elastic, plastic and viscous behaviour better encapsulate the full stress-strain relationship </w:t>
      </w:r>
      <w:r w:rsidR="00E76DC3">
        <w:rPr>
          <w:noProof/>
        </w:rPr>
        <w:t>(Davis &amp; Reynolds</w:t>
      </w:r>
      <w:r w:rsidR="00C26557">
        <w:rPr>
          <w:noProof/>
        </w:rPr>
        <w:t xml:space="preserve"> 1996)</w:t>
      </w:r>
      <w:r w:rsidR="00E76DC3">
        <w:t xml:space="preserve">. </w:t>
      </w:r>
      <w:r w:rsidR="00C26557">
        <w:t>For the case of elastic behaviour (linear elastic deformation theory), four additional parameters are used: Young’s modulus (measure of stiffness), Poisson’s ratio (</w:t>
      </w:r>
      <m:oMath>
        <m:r>
          <w:rPr>
            <w:rFonts w:ascii="Cambria Math" w:hAnsi="Cambria Math"/>
          </w:rPr>
          <m:t>υ</m:t>
        </m:r>
      </m:oMath>
      <w:r w:rsidR="00C26557">
        <w:t xml:space="preserve">, </w:t>
      </w:r>
      <w:r w:rsidR="00C26557">
        <w:lastRenderedPageBreak/>
        <w:t>the degree to which a rock core bulges as it shortens), bulk modulus (resistance of an elast</w:t>
      </w:r>
      <w:r>
        <w:t>ic solid to a change in volume)</w:t>
      </w:r>
      <w:r w:rsidR="00C26557">
        <w:t xml:space="preserve"> and shear modulus (resistance of an elastic solid to the shearing of planes past each other).</w:t>
      </w:r>
    </w:p>
    <w:p w:rsidR="00C26557" w:rsidRDefault="00C26557" w:rsidP="00E76DC3">
      <w:pPr>
        <w:pStyle w:val="BRNormal"/>
      </w:pPr>
      <w:r>
        <w:t xml:space="preserve">As cited in US DOE </w:t>
      </w:r>
      <w:r>
        <w:rPr>
          <w:noProof/>
        </w:rPr>
        <w:t>(</w:t>
      </w:r>
      <w:r w:rsidR="00CF78C5">
        <w:rPr>
          <w:noProof/>
        </w:rPr>
        <w:t>undated</w:t>
      </w:r>
      <w:r>
        <w:rPr>
          <w:noProof/>
        </w:rPr>
        <w:t>)</w:t>
      </w:r>
      <w:r>
        <w:t xml:space="preserve">, Gidley et al. </w:t>
      </w:r>
      <w:r>
        <w:rPr>
          <w:noProof/>
        </w:rPr>
        <w:t>(1989)</w:t>
      </w:r>
      <w:r>
        <w:t xml:space="preserve"> assert the best and most reliable way to measure in situ stress is by pumping into a formation, creating a fracture, stopping the pumping, and observing the pressure</w:t>
      </w:r>
      <w:r w:rsidR="009267A5">
        <w:t xml:space="preserve"> at which the fracture closes. </w:t>
      </w:r>
      <w:r>
        <w:t>Assuming the aforementioned typical stress configuration in coal seams (</w:t>
      </w:r>
      <w:r>
        <w:rPr>
          <w:rFonts w:cstheme="minorHAnsi"/>
        </w:rPr>
        <w:t>σ</w:t>
      </w:r>
      <w:r>
        <w:rPr>
          <w:vertAlign w:val="subscript"/>
        </w:rPr>
        <w:t>1</w:t>
      </w:r>
      <w:r>
        <w:t>&gt;</w:t>
      </w:r>
      <w:r>
        <w:rPr>
          <w:rFonts w:cstheme="minorHAnsi"/>
        </w:rPr>
        <w:t xml:space="preserve"> σ</w:t>
      </w:r>
      <w:r>
        <w:rPr>
          <w:vertAlign w:val="subscript"/>
        </w:rPr>
        <w:t>2</w:t>
      </w:r>
      <w:r>
        <w:t>&gt;</w:t>
      </w:r>
      <w:r>
        <w:rPr>
          <w:rFonts w:cstheme="minorHAnsi"/>
        </w:rPr>
        <w:t xml:space="preserve"> σ</w:t>
      </w:r>
      <w:r>
        <w:rPr>
          <w:vertAlign w:val="subscript"/>
        </w:rPr>
        <w:t>3</w:t>
      </w:r>
      <w:r>
        <w:t xml:space="preserve"> where</w:t>
      </w:r>
      <w:r>
        <w:rPr>
          <w:rFonts w:cstheme="minorHAnsi"/>
        </w:rPr>
        <w:t xml:space="preserve"> σ</w:t>
      </w:r>
      <w:r>
        <w:rPr>
          <w:vertAlign w:val="subscript"/>
        </w:rPr>
        <w:t>1</w:t>
      </w:r>
      <w:r>
        <w:t xml:space="preserve"> is vertical and </w:t>
      </w:r>
      <w:r>
        <w:rPr>
          <w:rFonts w:cstheme="minorHAnsi"/>
        </w:rPr>
        <w:t>σ</w:t>
      </w:r>
      <w:r>
        <w:rPr>
          <w:vertAlign w:val="subscript"/>
        </w:rPr>
        <w:t>2</w:t>
      </w:r>
      <w:r>
        <w:t xml:space="preserve"> and</w:t>
      </w:r>
      <w:r>
        <w:rPr>
          <w:rFonts w:cstheme="minorHAnsi"/>
        </w:rPr>
        <w:t xml:space="preserve"> σ</w:t>
      </w:r>
      <w:r>
        <w:rPr>
          <w:vertAlign w:val="subscript"/>
        </w:rPr>
        <w:t>3</w:t>
      </w:r>
      <w:r>
        <w:t xml:space="preserve"> are horizontal), the fracture closing pressure is the minimum horizontal stress (i.e. </w:t>
      </w:r>
      <w:r>
        <w:rPr>
          <w:rFonts w:cstheme="minorHAnsi"/>
        </w:rPr>
        <w:t>σ</w:t>
      </w:r>
      <w:r>
        <w:rPr>
          <w:vertAlign w:val="subscript"/>
        </w:rPr>
        <w:t>min</w:t>
      </w:r>
      <w:r>
        <w:t xml:space="preserve"> = </w:t>
      </w:r>
      <w:r>
        <w:rPr>
          <w:rFonts w:cstheme="minorHAnsi"/>
        </w:rPr>
        <w:t>σ</w:t>
      </w:r>
      <w:r>
        <w:rPr>
          <w:vertAlign w:val="subscript"/>
        </w:rPr>
        <w:t>3</w:t>
      </w:r>
      <w:r w:rsidR="009267A5">
        <w:t xml:space="preserve">). </w:t>
      </w:r>
      <w:r>
        <w:t xml:space="preserve">The orientation of the induced fracture will be vertical (propagation </w:t>
      </w:r>
      <w:proofErr w:type="gramStart"/>
      <w:r>
        <w:t>occurs</w:t>
      </w:r>
      <w:proofErr w:type="gramEnd"/>
      <w:r>
        <w:t xml:space="preserve"> perpendicular to </w:t>
      </w:r>
      <w:r>
        <w:rPr>
          <w:rFonts w:cstheme="minorHAnsi"/>
        </w:rPr>
        <w:t>σ</w:t>
      </w:r>
      <w:r>
        <w:rPr>
          <w:vertAlign w:val="subscript"/>
        </w:rPr>
        <w:t>3</w:t>
      </w:r>
      <w:r>
        <w:t xml:space="preserve">, see Section 4.3 for a more detailed explanation) and the minimum horizontal stress profile with depth can be estimated using </w:t>
      </w:r>
      <w:r w:rsidR="00CF78C5">
        <w:rPr>
          <w:noProof/>
        </w:rPr>
        <w:t>(US DOE</w:t>
      </w:r>
      <w:r>
        <w:rPr>
          <w:noProof/>
        </w:rPr>
        <w:t xml:space="preserve"> </w:t>
      </w:r>
      <w:r w:rsidR="008A0413">
        <w:rPr>
          <w:noProof/>
        </w:rPr>
        <w:t>undated</w:t>
      </w:r>
      <w:r>
        <w:rPr>
          <w:noProof/>
        </w:rPr>
        <w:t>)</w:t>
      </w:r>
      <w:r>
        <w:t>:</w:t>
      </w:r>
    </w:p>
    <w:p w:rsidR="00C26557" w:rsidRPr="002E7ECD" w:rsidRDefault="00E23933" w:rsidP="001C3374">
      <w:pPr>
        <w:rPr>
          <w:rStyle w:val="BRNormalChar"/>
        </w:rPr>
      </w:pPr>
      <m:oMathPara>
        <m:oMathParaPr>
          <m:jc m:val="center"/>
        </m:oMathParaPr>
        <m:oMath>
          <m:sSub>
            <m:sSubPr>
              <m:ctrlPr>
                <w:rPr>
                  <w:rStyle w:val="BRNormalChar"/>
                  <w:rFonts w:ascii="Cambria Math" w:hAnsi="Cambria Math"/>
                  <w:i/>
                </w:rPr>
              </m:ctrlPr>
            </m:sSubPr>
            <m:e>
              <m:r>
                <w:rPr>
                  <w:rStyle w:val="BRNormalChar"/>
                  <w:rFonts w:ascii="Cambria Math" w:hAnsi="Cambria Math"/>
                </w:rPr>
                <m:t>σ</m:t>
              </m:r>
            </m:e>
            <m:sub>
              <m:r>
                <m:rPr>
                  <m:nor/>
                </m:rPr>
                <w:rPr>
                  <w:rStyle w:val="BRNormalChar"/>
                </w:rPr>
                <m:t>min</m:t>
              </m:r>
            </m:sub>
          </m:sSub>
          <m:r>
            <w:rPr>
              <w:rStyle w:val="BRNormalChar"/>
              <w:rFonts w:ascii="Cambria Math" w:hAnsi="Cambria Math"/>
            </w:rPr>
            <m:t>≅</m:t>
          </m:r>
          <m:limLow>
            <m:limLowPr>
              <m:ctrlPr>
                <w:rPr>
                  <w:rStyle w:val="BRNormalChar"/>
                  <w:rFonts w:ascii="Cambria Math" w:hAnsi="Cambria Math"/>
                  <w:i/>
                </w:rPr>
              </m:ctrlPr>
            </m:limLowPr>
            <m:e>
              <m:groupChr>
                <m:groupChrPr>
                  <m:ctrlPr>
                    <w:rPr>
                      <w:rStyle w:val="BRNormalChar"/>
                      <w:rFonts w:ascii="Cambria Math" w:hAnsi="Cambria Math"/>
                      <w:i/>
                    </w:rPr>
                  </m:ctrlPr>
                </m:groupChrPr>
                <m:e>
                  <m:f>
                    <m:fPr>
                      <m:ctrlPr>
                        <w:rPr>
                          <w:rStyle w:val="BRNormalChar"/>
                          <w:rFonts w:ascii="Cambria Math" w:hAnsi="Cambria Math"/>
                          <w:i/>
                        </w:rPr>
                      </m:ctrlPr>
                    </m:fPr>
                    <m:num>
                      <m:r>
                        <w:rPr>
                          <w:rStyle w:val="BRNormalChar"/>
                          <w:rFonts w:ascii="Cambria Math" w:hAnsi="Cambria Math"/>
                        </w:rPr>
                        <m:t>υ</m:t>
                      </m:r>
                    </m:num>
                    <m:den>
                      <m:r>
                        <w:rPr>
                          <w:rStyle w:val="BRNormalChar"/>
                          <w:rFonts w:ascii="Cambria Math" w:hAnsi="Cambria Math"/>
                        </w:rPr>
                        <m:t>1-υ</m:t>
                      </m:r>
                    </m:den>
                  </m:f>
                  <m:d>
                    <m:dPr>
                      <m:ctrlPr>
                        <w:rPr>
                          <w:rStyle w:val="BRNormalChar"/>
                          <w:rFonts w:ascii="Cambria Math" w:hAnsi="Cambria Math"/>
                          <w:i/>
                        </w:rPr>
                      </m:ctrlPr>
                    </m:dPr>
                    <m:e>
                      <m:sSub>
                        <m:sSubPr>
                          <m:ctrlPr>
                            <w:rPr>
                              <w:rStyle w:val="BRNormalChar"/>
                              <w:rFonts w:ascii="Cambria Math" w:hAnsi="Cambria Math"/>
                              <w:i/>
                            </w:rPr>
                          </m:ctrlPr>
                        </m:sSubPr>
                        <m:e>
                          <m:r>
                            <w:rPr>
                              <w:rStyle w:val="BRNormalChar"/>
                              <w:rFonts w:ascii="Cambria Math" w:hAnsi="Cambria Math"/>
                            </w:rPr>
                            <m:t>σ</m:t>
                          </m:r>
                        </m:e>
                        <m:sub>
                          <m:r>
                            <m:rPr>
                              <m:sty m:val="p"/>
                            </m:rPr>
                            <w:rPr>
                              <w:rStyle w:val="BRNormalChar"/>
                              <w:rFonts w:ascii="Cambria Math" w:hAnsi="Cambria Math"/>
                            </w:rPr>
                            <m:t>ob</m:t>
                          </m:r>
                        </m:sub>
                      </m:sSub>
                      <m:r>
                        <w:rPr>
                          <w:rStyle w:val="BRNormalChar"/>
                          <w:rFonts w:ascii="Cambria Math" w:hAnsi="Cambria Math"/>
                        </w:rPr>
                        <m:t>-α</m:t>
                      </m:r>
                      <m:sSub>
                        <m:sSubPr>
                          <m:ctrlPr>
                            <w:rPr>
                              <w:rStyle w:val="BRNormalChar"/>
                              <w:rFonts w:ascii="Cambria Math" w:hAnsi="Cambria Math"/>
                              <w:i/>
                            </w:rPr>
                          </m:ctrlPr>
                        </m:sSubPr>
                        <m:e>
                          <m:r>
                            <w:rPr>
                              <w:rStyle w:val="BRNormalChar"/>
                              <w:rFonts w:ascii="Cambria Math" w:hAnsi="Cambria Math"/>
                            </w:rPr>
                            <m:t>σ</m:t>
                          </m:r>
                        </m:e>
                        <m:sub>
                          <m:r>
                            <m:rPr>
                              <m:sty m:val="p"/>
                            </m:rPr>
                            <w:rPr>
                              <w:rStyle w:val="BRNormalChar"/>
                              <w:rFonts w:ascii="Cambria Math" w:hAnsi="Cambria Math"/>
                            </w:rPr>
                            <m:t>p</m:t>
                          </m:r>
                        </m:sub>
                      </m:sSub>
                    </m:e>
                  </m:d>
                  <m:r>
                    <w:rPr>
                      <w:rStyle w:val="BRNormalChar"/>
                      <w:rFonts w:ascii="Cambria Math" w:hAnsi="Cambria Math"/>
                    </w:rPr>
                    <m:t>+α</m:t>
                  </m:r>
                  <m:sSub>
                    <m:sSubPr>
                      <m:ctrlPr>
                        <w:rPr>
                          <w:rStyle w:val="BRNormalChar"/>
                          <w:rFonts w:ascii="Cambria Math" w:hAnsi="Cambria Math"/>
                          <w:i/>
                        </w:rPr>
                      </m:ctrlPr>
                    </m:sSubPr>
                    <m:e>
                      <m:r>
                        <w:rPr>
                          <w:rStyle w:val="BRNormalChar"/>
                          <w:rFonts w:ascii="Cambria Math" w:hAnsi="Cambria Math"/>
                        </w:rPr>
                        <m:t>σ</m:t>
                      </m:r>
                    </m:e>
                    <m:sub>
                      <m:r>
                        <m:rPr>
                          <m:sty m:val="p"/>
                        </m:rPr>
                        <w:rPr>
                          <w:rStyle w:val="BRNormalChar"/>
                          <w:rFonts w:ascii="Cambria Math" w:hAnsi="Cambria Math"/>
                        </w:rPr>
                        <m:t>p</m:t>
                      </m:r>
                    </m:sub>
                  </m:sSub>
                </m:e>
              </m:groupChr>
            </m:e>
            <m:lim>
              <m:eqArr>
                <m:eqArrPr>
                  <m:ctrlPr>
                    <w:rPr>
                      <w:rStyle w:val="BRNormalChar"/>
                      <w:rFonts w:ascii="Cambria Math" w:hAnsi="Cambria Math"/>
                    </w:rPr>
                  </m:ctrlPr>
                </m:eqArrPr>
                <m:e>
                  <m:r>
                    <m:rPr>
                      <m:sty m:val="p"/>
                    </m:rPr>
                    <w:rPr>
                      <w:rStyle w:val="BRNormalChar"/>
                      <w:rFonts w:ascii="Cambria Math" w:hAnsi="Cambria Math"/>
                    </w:rPr>
                    <m:t>horizontal stress from the vertical</m:t>
                  </m:r>
                </m:e>
                <m:e>
                  <m:r>
                    <m:rPr>
                      <m:sty m:val="p"/>
                    </m:rPr>
                    <w:rPr>
                      <w:rStyle w:val="BRNormalChar"/>
                      <w:rFonts w:ascii="Cambria Math" w:hAnsi="Cambria Math"/>
                    </w:rPr>
                    <m:t>stress and the poroelastic</m:t>
                  </m:r>
                </m:e>
                <m:e>
                  <m:r>
                    <m:rPr>
                      <m:sty m:val="p"/>
                    </m:rPr>
                    <w:rPr>
                      <w:rStyle w:val="BRNormalChar"/>
                      <w:rFonts w:ascii="Cambria Math" w:hAnsi="Cambria Math"/>
                    </w:rPr>
                    <m:t>behaviour of the formation</m:t>
                  </m:r>
                </m:e>
              </m:eqArr>
            </m:lim>
          </m:limLow>
          <m:r>
            <w:rPr>
              <w:rStyle w:val="BRNormalChar"/>
              <w:rFonts w:ascii="Cambria Math" w:hAnsi="Cambria Math"/>
            </w:rPr>
            <m:t>+</m:t>
          </m:r>
          <m:sSub>
            <m:sSubPr>
              <m:ctrlPr>
                <w:rPr>
                  <w:rStyle w:val="BRNormalChar"/>
                  <w:rFonts w:ascii="Cambria Math" w:hAnsi="Cambria Math"/>
                  <w:i/>
                </w:rPr>
              </m:ctrlPr>
            </m:sSubPr>
            <m:e>
              <m:r>
                <w:rPr>
                  <w:rStyle w:val="BRNormalChar"/>
                  <w:rFonts w:ascii="Cambria Math" w:hAnsi="Cambria Math"/>
                </w:rPr>
                <m:t>σ</m:t>
              </m:r>
            </m:e>
            <m:sub>
              <m:r>
                <m:rPr>
                  <m:sty m:val="p"/>
                </m:rPr>
                <w:rPr>
                  <w:rStyle w:val="BRNormalChar"/>
                  <w:rFonts w:ascii="Cambria Math" w:hAnsi="Cambria Math"/>
                </w:rPr>
                <m:t>ext</m:t>
              </m:r>
            </m:sub>
          </m:sSub>
        </m:oMath>
      </m:oMathPara>
    </w:p>
    <w:p w:rsidR="00C26557" w:rsidRPr="00897DA1" w:rsidRDefault="009C28DE" w:rsidP="009267A5">
      <w:pPr>
        <w:pStyle w:val="BRNormal"/>
      </w:pPr>
      <w:proofErr w:type="gramStart"/>
      <w:r>
        <w:t>w</w:t>
      </w:r>
      <w:r w:rsidR="00C26557" w:rsidRPr="00897DA1">
        <w:t>here</w:t>
      </w:r>
      <w:proofErr w:type="gramEnd"/>
      <w:r>
        <w:t xml:space="preserve"> </w:t>
      </w:r>
      <w:r w:rsidR="00C26557" w:rsidRPr="00897DA1">
        <w:t xml:space="preserve"> </w:t>
      </w:r>
      <m:oMath>
        <m:sSub>
          <m:sSubPr>
            <m:ctrlPr>
              <w:rPr>
                <w:rFonts w:ascii="Cambria Math" w:hAnsi="Cambria Math"/>
              </w:rPr>
            </m:ctrlPr>
          </m:sSubPr>
          <m:e>
            <m:r>
              <w:rPr>
                <w:rFonts w:ascii="Cambria Math" w:hAnsi="Cambria Math"/>
              </w:rPr>
              <m:t>σ</m:t>
            </m:r>
          </m:e>
          <m:sub>
            <m:r>
              <m:rPr>
                <m:sty m:val="p"/>
              </m:rPr>
              <w:rPr>
                <w:rFonts w:ascii="Cambria Math" w:hAnsi="Cambria Math"/>
              </w:rPr>
              <m:t>ob</m:t>
            </m:r>
          </m:sub>
        </m:sSub>
      </m:oMath>
      <w:r w:rsidR="00C26557" w:rsidRPr="00897DA1">
        <w:t xml:space="preserve"> is the overburden stress (a function of depth), </w:t>
      </w:r>
      <m:oMath>
        <m:sSub>
          <m:sSubPr>
            <m:ctrlPr>
              <w:rPr>
                <w:rFonts w:ascii="Cambria Math" w:hAnsi="Cambria Math"/>
              </w:rPr>
            </m:ctrlPr>
          </m:sSubPr>
          <m:e>
            <m:r>
              <w:rPr>
                <w:rFonts w:ascii="Cambria Math" w:hAnsi="Cambria Math"/>
              </w:rPr>
              <m:t>σ</m:t>
            </m:r>
          </m:e>
          <m:sub>
            <m:r>
              <m:rPr>
                <m:sty m:val="p"/>
              </m:rPr>
              <w:rPr>
                <w:rFonts w:ascii="Cambria Math" w:hAnsi="Cambria Math"/>
              </w:rPr>
              <m:t>p</m:t>
            </m:r>
          </m:sub>
        </m:sSub>
      </m:oMath>
      <w:r w:rsidR="00C26557" w:rsidRPr="00897DA1">
        <w:t xml:space="preserve"> is the pore pressure, and </w:t>
      </w:r>
      <m:oMath>
        <m:sSub>
          <m:sSubPr>
            <m:ctrlPr>
              <w:rPr>
                <w:rFonts w:ascii="Cambria Math" w:hAnsi="Cambria Math"/>
              </w:rPr>
            </m:ctrlPr>
          </m:sSubPr>
          <m:e>
            <m:r>
              <w:rPr>
                <w:rFonts w:ascii="Cambria Math" w:hAnsi="Cambria Math"/>
              </w:rPr>
              <m:t>σ</m:t>
            </m:r>
          </m:e>
          <m:sub>
            <m:r>
              <m:rPr>
                <m:sty m:val="p"/>
              </m:rPr>
              <w:rPr>
                <w:rFonts w:ascii="Cambria Math" w:hAnsi="Cambria Math"/>
              </w:rPr>
              <m:t>ext</m:t>
            </m:r>
          </m:sub>
        </m:sSub>
      </m:oMath>
      <w:r w:rsidR="009267A5">
        <w:t xml:space="preserve"> is the tectonic stress.</w:t>
      </w:r>
    </w:p>
    <w:p w:rsidR="00C26557" w:rsidRDefault="00C26557" w:rsidP="009267A5">
      <w:pPr>
        <w:pStyle w:val="BRNormal"/>
      </w:pPr>
      <w:r w:rsidRPr="00897DA1">
        <w:t>Coal seam depressurisation, co-produced wat</w:t>
      </w:r>
      <w:r w:rsidR="00A255D4">
        <w:t>er reinjection, mine dewatering</w:t>
      </w:r>
      <w:r w:rsidRPr="00897DA1">
        <w:t xml:space="preserve"> and rock mass removal during coal mining all have the potential to alter in situ stress from natural conditions by changing pore pressures and overburden stre</w:t>
      </w:r>
      <w:r w:rsidR="009267A5">
        <w:t xml:space="preserve">ss in both time and space. </w:t>
      </w:r>
      <w:r w:rsidRPr="00484198">
        <w:t>The magnitude and timescale (including rate of change) of the pressure perturbation is an important component in predicting long-term and transient mechanical deformation, particularl</w:t>
      </w:r>
      <w:r w:rsidR="009267A5">
        <w:t xml:space="preserve">y in brittle confining layers. </w:t>
      </w:r>
      <w:r w:rsidRPr="00484198">
        <w:t>Any assessmen</w:t>
      </w:r>
      <w:r w:rsidRPr="00C63050">
        <w:t>t of the effects of pumping on deformation should also include the post-production period since rock mass strength and stiffness are a function of time and the rebound of pressures back to pre-development conditions (or to the new steady-state conditions) may be</w:t>
      </w:r>
      <w:r>
        <w:t xml:space="preserve"> prolonged and altered by any modifications to the intrinsic permeability of the strata.</w:t>
      </w:r>
    </w:p>
    <w:p w:rsidR="009267A5" w:rsidRDefault="00C26557" w:rsidP="009267A5">
      <w:pPr>
        <w:pStyle w:val="BRNormal"/>
      </w:pPr>
      <w:r>
        <w:t xml:space="preserve">Finally, Botha and Cloot </w:t>
      </w:r>
      <w:r>
        <w:rPr>
          <w:noProof/>
        </w:rPr>
        <w:t>(2004)</w:t>
      </w:r>
      <w:r>
        <w:t xml:space="preserve"> call attention to their observations that aquifer deformation is regularly neglected in groundwater studies despite being recognised in the literature as far back as Meizner </w:t>
      </w:r>
      <w:r>
        <w:rPr>
          <w:noProof/>
        </w:rPr>
        <w:t>(1928)</w:t>
      </w:r>
      <w:r>
        <w:t xml:space="preserve"> and Biot </w:t>
      </w:r>
      <w:r>
        <w:rPr>
          <w:noProof/>
        </w:rPr>
        <w:t>(1941)</w:t>
      </w:r>
      <w:r w:rsidR="009267A5">
        <w:t xml:space="preserve">. </w:t>
      </w:r>
      <w:r>
        <w:t>They observed the effects of non-linear deformation in stressed aquifers (the theory presented earlier in this section is for linear elastic deformation) and that hydraulic conductivity and specific storativity are not independent param</w:t>
      </w:r>
      <w:r w:rsidR="009267A5">
        <w:t xml:space="preserve">eters as is typically assumed. </w:t>
      </w:r>
      <w:r>
        <w:t xml:space="preserve">Botha and Cloot </w:t>
      </w:r>
      <w:r>
        <w:rPr>
          <w:noProof/>
        </w:rPr>
        <w:t>(2004)</w:t>
      </w:r>
      <w:r>
        <w:t xml:space="preserve"> conclude that following factors are the key controls on groundwater flow in stressed aquifers: </w:t>
      </w:r>
    </w:p>
    <w:p w:rsidR="009267A5" w:rsidRDefault="00C26557" w:rsidP="00A255D4">
      <w:pPr>
        <w:pStyle w:val="BRdotpoints"/>
      </w:pPr>
      <w:r>
        <w:t xml:space="preserve">the rate </w:t>
      </w:r>
      <w:r w:rsidR="009267A5">
        <w:t>at which the aquifer is pumped</w:t>
      </w:r>
    </w:p>
    <w:p w:rsidR="009267A5" w:rsidRDefault="00C26557" w:rsidP="00A255D4">
      <w:pPr>
        <w:pStyle w:val="BRdotpoints"/>
      </w:pPr>
      <w:r>
        <w:t>the mechanical properties of the aquifer (Young’</w:t>
      </w:r>
      <w:r w:rsidR="009267A5">
        <w:t>s modulus and Poisson’s ratio)</w:t>
      </w:r>
    </w:p>
    <w:p w:rsidR="009267A5" w:rsidRDefault="00C26557" w:rsidP="00A255D4">
      <w:pPr>
        <w:pStyle w:val="BRdotpoints"/>
      </w:pPr>
      <w:r>
        <w:t>factors controll</w:t>
      </w:r>
      <w:r w:rsidR="009267A5">
        <w:t>ing the isotropy of the aquifer</w:t>
      </w:r>
    </w:p>
    <w:p w:rsidR="009267A5" w:rsidRDefault="00C26557" w:rsidP="00A255D4">
      <w:pPr>
        <w:pStyle w:val="BRdotpoints"/>
      </w:pPr>
      <w:proofErr w:type="gramStart"/>
      <w:r>
        <w:t>linear</w:t>
      </w:r>
      <w:proofErr w:type="gramEnd"/>
      <w:r>
        <w:t xml:space="preserve"> or non-linear deformation.  </w:t>
      </w:r>
    </w:p>
    <w:p w:rsidR="00C26557" w:rsidRDefault="00C26557" w:rsidP="009267A5">
      <w:pPr>
        <w:pStyle w:val="BRNormal"/>
      </w:pPr>
      <w:r>
        <w:t xml:space="preserve">Botha and Cloot </w:t>
      </w:r>
      <w:r>
        <w:rPr>
          <w:noProof/>
        </w:rPr>
        <w:t>(2004)</w:t>
      </w:r>
      <w:r>
        <w:t xml:space="preserve"> attribute the general lack of consideration for deformation effects in groundwater studies to the long timeframes over which the deformations are realised and the inability to measure such small changes with current technology.</w:t>
      </w:r>
    </w:p>
    <w:p w:rsidR="00C26557" w:rsidRDefault="00E36200" w:rsidP="005F6513">
      <w:pPr>
        <w:pStyle w:val="Heading2"/>
      </w:pPr>
      <w:bookmarkStart w:id="531" w:name="_Toc207854830"/>
      <w:bookmarkStart w:id="532" w:name="_Toc333488966"/>
      <w:bookmarkStart w:id="533" w:name="_Toc381961113"/>
      <w:bookmarkStart w:id="534" w:name="_Toc389055226"/>
      <w:r>
        <w:t>Hydraulic fracturing and coal seam gas o</w:t>
      </w:r>
      <w:r w:rsidR="00C26557">
        <w:t>perations</w:t>
      </w:r>
      <w:bookmarkEnd w:id="531"/>
      <w:bookmarkEnd w:id="532"/>
      <w:bookmarkEnd w:id="533"/>
      <w:bookmarkEnd w:id="534"/>
    </w:p>
    <w:p w:rsidR="00C26557" w:rsidRDefault="00C26557" w:rsidP="009267A5">
      <w:pPr>
        <w:pStyle w:val="BRNormal"/>
      </w:pPr>
      <w:r>
        <w:t>Hydraulic fracturing has become a standard method in enhancing the production/efficiency of oil</w:t>
      </w:r>
      <w:r w:rsidR="00E36200">
        <w:t xml:space="preserve"> and gas and geothermal wells. </w:t>
      </w:r>
      <w:r>
        <w:t>The first recorded case in the United States</w:t>
      </w:r>
      <w:r w:rsidR="00374C76">
        <w:t xml:space="preserve"> (US)</w:t>
      </w:r>
      <w:r>
        <w:t xml:space="preserve"> was an </w:t>
      </w:r>
      <w:r>
        <w:lastRenderedPageBreak/>
        <w:t xml:space="preserve">experimental case in Kansas in 1947 </w:t>
      </w:r>
      <w:r w:rsidR="00E36200">
        <w:rPr>
          <w:noProof/>
        </w:rPr>
        <w:t>(US DOE un</w:t>
      </w:r>
      <w:r>
        <w:rPr>
          <w:noProof/>
        </w:rPr>
        <w:t>date</w:t>
      </w:r>
      <w:r w:rsidR="00E36200">
        <w:rPr>
          <w:noProof/>
        </w:rPr>
        <w:t>d</w:t>
      </w:r>
      <w:r>
        <w:rPr>
          <w:noProof/>
        </w:rPr>
        <w:t>)</w:t>
      </w:r>
      <w:r>
        <w:t xml:space="preserve"> with commercial application to fo</w:t>
      </w:r>
      <w:r w:rsidR="00E36200">
        <w:t xml:space="preserve">llow two years later in Texas. </w:t>
      </w:r>
      <w:r>
        <w:t xml:space="preserve">One of the concerns with hydraulic fracturing in the context of coal seam gas extraction is that the target horizons are much shallower and proximal to aquifers used as drinking water resources than conventional oil and gas wells </w:t>
      </w:r>
      <w:r w:rsidR="00E36200">
        <w:rPr>
          <w:noProof/>
        </w:rPr>
        <w:t>(US EPA</w:t>
      </w:r>
      <w:r>
        <w:rPr>
          <w:noProof/>
        </w:rPr>
        <w:t xml:space="preserve"> 2004)</w:t>
      </w:r>
      <w:r>
        <w:t>.</w:t>
      </w:r>
      <w:r w:rsidR="00056B34">
        <w:t xml:space="preserve"> </w:t>
      </w:r>
      <w:r w:rsidR="000B5A9B" w:rsidRPr="000B5A9B">
        <w:t>Coal seam gas extraction does not always involve</w:t>
      </w:r>
      <w:r w:rsidR="00374C76">
        <w:t xml:space="preserve"> hydraulic fracturing; of the 1</w:t>
      </w:r>
      <w:r w:rsidR="000B5A9B" w:rsidRPr="000B5A9B">
        <w:t>844 coal seam gas wells drilled in Australia over 1</w:t>
      </w:r>
      <w:r w:rsidR="00374C76">
        <w:t>5 months during 2012 and 2013, only six</w:t>
      </w:r>
      <w:r w:rsidR="007472B5">
        <w:t xml:space="preserve"> per</w:t>
      </w:r>
      <w:r w:rsidR="00E36200">
        <w:t xml:space="preserve"> </w:t>
      </w:r>
      <w:r w:rsidR="007472B5">
        <w:t>cent</w:t>
      </w:r>
      <w:r w:rsidR="000B5A9B" w:rsidRPr="000B5A9B">
        <w:t xml:space="preserve"> were subject</w:t>
      </w:r>
      <w:r w:rsidR="00E36200">
        <w:t xml:space="preserve"> to hydraulic fracturing (APPEA</w:t>
      </w:r>
      <w:r w:rsidR="000B5A9B" w:rsidRPr="000B5A9B">
        <w:t xml:space="preserve"> 2013). In Queensland, this proportion could increase to 10-40 per ce</w:t>
      </w:r>
      <w:r w:rsidR="00E36200">
        <w:t>nt as the industry expands (</w:t>
      </w:r>
      <w:r w:rsidR="00AE02EF">
        <w:t>D</w:t>
      </w:r>
      <w:r w:rsidR="00E36200">
        <w:t>EHP</w:t>
      </w:r>
      <w:r w:rsidR="000B5A9B" w:rsidRPr="000B5A9B">
        <w:t xml:space="preserve"> 2013).</w:t>
      </w:r>
    </w:p>
    <w:p w:rsidR="007052AC" w:rsidRDefault="00C26557" w:rsidP="00E04FB5">
      <w:pPr>
        <w:pStyle w:val="BRNormal"/>
      </w:pPr>
      <w:r>
        <w:t>Hydraulic fracturing</w:t>
      </w:r>
      <w:r w:rsidR="00972C12">
        <w:t xml:space="preserve"> in the coal seam gas industry</w:t>
      </w:r>
      <w:r>
        <w:t xml:space="preserve"> is commonly used to hydraulically connect the borehole to the coalbed and enhance methane desorption fro</w:t>
      </w:r>
      <w:r w:rsidR="007052AC">
        <w:t xml:space="preserve">m the surface of the coalbeds. </w:t>
      </w:r>
      <w:r>
        <w:t>Coal is generally very weak (</w:t>
      </w:r>
      <w:r w:rsidR="00374C76">
        <w:t xml:space="preserve">i.e. </w:t>
      </w:r>
      <w:r>
        <w:t>low Young’s modulus) and fractures easily</w:t>
      </w:r>
      <w:r w:rsidR="00374C76">
        <w:t>. F</w:t>
      </w:r>
      <w:r>
        <w:t>ractures are naturally prevalent in coal and are typically referred</w:t>
      </w:r>
      <w:r w:rsidR="00374C76">
        <w:t xml:space="preserve"> to as ‘cleats’.</w:t>
      </w:r>
      <w:r>
        <w:t xml:space="preserve"> The objective of hydraulic fracturing is to enlarge existing fractures or create new fractures to increa</w:t>
      </w:r>
      <w:r w:rsidR="007052AC">
        <w:t xml:space="preserve">se the secondary permeability. </w:t>
      </w:r>
      <w:r>
        <w:t xml:space="preserve">This is achieved by </w:t>
      </w:r>
      <w:r w:rsidR="007052AC">
        <w:rPr>
          <w:noProof/>
        </w:rPr>
        <w:t xml:space="preserve">(US EPA </w:t>
      </w:r>
      <w:r>
        <w:rPr>
          <w:noProof/>
        </w:rPr>
        <w:t>2004)</w:t>
      </w:r>
      <w:r w:rsidR="00E04FB5">
        <w:t xml:space="preserve"> </w:t>
      </w:r>
      <w:r w:rsidR="00374C76">
        <w:t xml:space="preserve">pumping </w:t>
      </w:r>
      <w:r>
        <w:t xml:space="preserve">a </w:t>
      </w:r>
      <w:r w:rsidR="00374C76">
        <w:t>thick fluid (water, foam or oil-</w:t>
      </w:r>
      <w:r>
        <w:t>based) into the coal seam</w:t>
      </w:r>
      <w:r w:rsidR="00374C76">
        <w:t>,</w:t>
      </w:r>
      <w:r>
        <w:t xml:space="preserve"> via a well from </w:t>
      </w:r>
      <w:r w:rsidR="00374C76">
        <w:t xml:space="preserve">the </w:t>
      </w:r>
      <w:r>
        <w:t>surface</w:t>
      </w:r>
      <w:r w:rsidR="00374C76">
        <w:t>,</w:t>
      </w:r>
      <w:r>
        <w:t xml:space="preserve"> to </w:t>
      </w:r>
      <w:r w:rsidR="007052AC">
        <w:t>induce an increase in pressure</w:t>
      </w:r>
      <w:r w:rsidR="00E04FB5">
        <w:t xml:space="preserve"> and cause:</w:t>
      </w:r>
    </w:p>
    <w:p w:rsidR="007052AC" w:rsidRDefault="00C26557" w:rsidP="00374C76">
      <w:pPr>
        <w:pStyle w:val="BRdotpoints"/>
      </w:pPr>
      <w:r>
        <w:t xml:space="preserve">fractures </w:t>
      </w:r>
      <w:r w:rsidR="00E04FB5">
        <w:t xml:space="preserve">to </w:t>
      </w:r>
      <w:r>
        <w:t>form</w:t>
      </w:r>
      <w:r w:rsidR="00E04FB5">
        <w:t>/propagate</w:t>
      </w:r>
      <w:r>
        <w:t xml:space="preserve"> once the induced pressure exceeds the ability of the </w:t>
      </w:r>
      <w:r w:rsidR="007052AC">
        <w:t>coal seem to resist the stress</w:t>
      </w:r>
    </w:p>
    <w:p w:rsidR="007052AC" w:rsidRDefault="00C26557" w:rsidP="00374C76">
      <w:pPr>
        <w:pStyle w:val="BRdotpoints"/>
      </w:pPr>
      <w:r>
        <w:t xml:space="preserve">proppants in the injected fluid </w:t>
      </w:r>
      <w:r w:rsidR="00E04FB5">
        <w:t xml:space="preserve">to </w:t>
      </w:r>
      <w:r>
        <w:t>enter the fractures and hold the fracture open when the high fractur</w:t>
      </w:r>
      <w:r w:rsidR="007052AC">
        <w:t>ing pressures are released</w:t>
      </w:r>
    </w:p>
    <w:p w:rsidR="007052AC" w:rsidRDefault="00E04FB5" w:rsidP="00374C76">
      <w:pPr>
        <w:pStyle w:val="BRdotpoints"/>
      </w:pPr>
      <w:proofErr w:type="gramStart"/>
      <w:r>
        <w:t>open</w:t>
      </w:r>
      <w:proofErr w:type="gramEnd"/>
      <w:r>
        <w:t xml:space="preserve"> fractures to provide</w:t>
      </w:r>
      <w:r w:rsidR="00C26557">
        <w:t xml:space="preserve"> conduits for groundwater and fracturing fluids to be extracted from the coal seam.</w:t>
      </w:r>
    </w:p>
    <w:p w:rsidR="007052AC" w:rsidRDefault="00C26557" w:rsidP="007052AC">
      <w:pPr>
        <w:pStyle w:val="BRNormal"/>
      </w:pPr>
      <w:r>
        <w:t xml:space="preserve">Two potential threats to groundwater resources due to hydraulic fracturing are recognised by US EPA </w:t>
      </w:r>
      <w:r>
        <w:rPr>
          <w:noProof/>
        </w:rPr>
        <w:t>(2004)</w:t>
      </w:r>
      <w:r w:rsidR="00E04FB5">
        <w:rPr>
          <w:noProof/>
        </w:rPr>
        <w:t>, which are</w:t>
      </w:r>
      <w:r>
        <w:t xml:space="preserve">:  </w:t>
      </w:r>
    </w:p>
    <w:p w:rsidR="007052AC" w:rsidRDefault="00C26557" w:rsidP="00E04FB5">
      <w:pPr>
        <w:pStyle w:val="BRdotpoints"/>
      </w:pPr>
      <w:r>
        <w:t>water quality impacts from hydraulic fracturing fluids being injected into aquifers or into coal seams with existing direct hydraulic connecti</w:t>
      </w:r>
      <w:r w:rsidR="007052AC">
        <w:t>ons with adjacent aquifers</w:t>
      </w:r>
    </w:p>
    <w:p w:rsidR="007052AC" w:rsidRDefault="00C26557" w:rsidP="00E04FB5">
      <w:pPr>
        <w:pStyle w:val="BRdotpoints"/>
      </w:pPr>
      <w:proofErr w:type="gramStart"/>
      <w:r>
        <w:t>the</w:t>
      </w:r>
      <w:proofErr w:type="gramEnd"/>
      <w:r>
        <w:t xml:space="preserve"> formation of new hydraulic connections between the coal seams and aquifers.  </w:t>
      </w:r>
    </w:p>
    <w:p w:rsidR="00C26557" w:rsidRDefault="00C26557" w:rsidP="007052AC">
      <w:pPr>
        <w:pStyle w:val="BRNormal"/>
      </w:pPr>
      <w:r>
        <w:t>Not all of the hydraulic fracturing fluid can be recovered by pumping post-fracturing and it has the poten</w:t>
      </w:r>
      <w:r w:rsidR="007052AC">
        <w:t>tial to migrate post-production;</w:t>
      </w:r>
      <w:r>
        <w:t xml:space="preserve"> however, US EPA </w:t>
      </w:r>
      <w:r>
        <w:rPr>
          <w:noProof/>
        </w:rPr>
        <w:t>(2004)</w:t>
      </w:r>
      <w:r>
        <w:t xml:space="preserve"> concluded that hydraulic fluids pose little threat to water qual</w:t>
      </w:r>
      <w:r w:rsidR="007052AC">
        <w:t xml:space="preserve">ity. </w:t>
      </w:r>
      <w:r>
        <w:t xml:space="preserve">This is attributed to the combined mitigating effects of high volume pumping during methane extraction, and dilution, dispersion, adsorption and (potential) biodegradation in the subsurface </w:t>
      </w:r>
      <w:r w:rsidR="007052AC">
        <w:rPr>
          <w:noProof/>
        </w:rPr>
        <w:t>(US EPA</w:t>
      </w:r>
      <w:r>
        <w:rPr>
          <w:noProof/>
        </w:rPr>
        <w:t xml:space="preserve"> 2004)</w:t>
      </w:r>
      <w:r>
        <w:t>.</w:t>
      </w:r>
    </w:p>
    <w:p w:rsidR="00C26557" w:rsidRDefault="00C26557" w:rsidP="007052AC">
      <w:pPr>
        <w:pStyle w:val="BRNormal"/>
      </w:pPr>
      <w:r>
        <w:t>The formation of new subsurface connections is more important</w:t>
      </w:r>
      <w:r w:rsidR="007052AC">
        <w:t xml:space="preserve"> for the scope of this report. </w:t>
      </w:r>
      <w:r>
        <w:t xml:space="preserve">The US EPA </w:t>
      </w:r>
      <w:r>
        <w:rPr>
          <w:noProof/>
        </w:rPr>
        <w:t>(2004)</w:t>
      </w:r>
      <w:r>
        <w:t xml:space="preserve"> and US DOE </w:t>
      </w:r>
      <w:r w:rsidR="007052AC">
        <w:rPr>
          <w:noProof/>
        </w:rPr>
        <w:t>(un</w:t>
      </w:r>
      <w:r>
        <w:rPr>
          <w:noProof/>
        </w:rPr>
        <w:t>date</w:t>
      </w:r>
      <w:r w:rsidR="007052AC">
        <w:rPr>
          <w:noProof/>
        </w:rPr>
        <w:t>d</w:t>
      </w:r>
      <w:r>
        <w:rPr>
          <w:noProof/>
        </w:rPr>
        <w:t>)</w:t>
      </w:r>
      <w:r>
        <w:t xml:space="preserve"> exhaustively review</w:t>
      </w:r>
      <w:r w:rsidR="00E04FB5">
        <w:t>ed</w:t>
      </w:r>
      <w:r>
        <w:t xml:space="preserve"> and discuss</w:t>
      </w:r>
      <w:r w:rsidR="00E04FB5">
        <w:t>ed</w:t>
      </w:r>
      <w:r>
        <w:t xml:space="preserve"> the controls on the fractures that are cr</w:t>
      </w:r>
      <w:r w:rsidR="007052AC">
        <w:t xml:space="preserve">eated by hydraulic fracturing. </w:t>
      </w:r>
      <w:r>
        <w:t>The following is a brief summary of the key points:</w:t>
      </w:r>
    </w:p>
    <w:p w:rsidR="00C26557" w:rsidRDefault="00C26557" w:rsidP="002E7ECD">
      <w:pPr>
        <w:pStyle w:val="BRdotpoints"/>
      </w:pPr>
      <w:r>
        <w:t>At depths less than 300 m, the direction of the least principal stress tends to be vertical because of the relatively low weight of th</w:t>
      </w:r>
      <w:r w:rsidR="00E04FB5">
        <w:t xml:space="preserve">e overlying geologic material. </w:t>
      </w:r>
      <w:r>
        <w:t>The hydraulically induced pressure forces the walls of the fracture apart in the direction of the least stress (which is vertical), resulting in the formation o</w:t>
      </w:r>
      <w:r w:rsidR="00E04FB5">
        <w:t>f a horizontal fracture.</w:t>
      </w:r>
      <w:r>
        <w:t xml:space="preserve"> Hydraulically induced vertical fractures at shallow depths initiate from existing vertical fractures. Genera</w:t>
      </w:r>
      <w:r w:rsidR="00E04FB5">
        <w:t>lly, at depths greater than 300 </w:t>
      </w:r>
      <w:r>
        <w:t>m (as is the case for coal seam targets in Australia), the direction of the least principal stress becomes horizontal (</w:t>
      </w:r>
      <w:r w:rsidR="003F172F">
        <w:t xml:space="preserve">i.e. </w:t>
      </w:r>
      <w:r>
        <w:t xml:space="preserve">the weight of the overlying geologic material acting in the </w:t>
      </w:r>
      <w:r w:rsidR="00E04FB5">
        <w:t xml:space="preserve">vertical becomes significant). </w:t>
      </w:r>
      <w:r>
        <w:t>Thus, the orientation of the hydraulically induced fractures tend to be vertical (</w:t>
      </w:r>
      <w:r w:rsidR="003F172F">
        <w:t xml:space="preserve">i.e. </w:t>
      </w:r>
      <w:r>
        <w:t xml:space="preserve">the walls of the </w:t>
      </w:r>
      <w:r>
        <w:lastRenderedPageBreak/>
        <w:t>fracture are pushed open in the hor</w:t>
      </w:r>
      <w:r w:rsidR="00E04FB5">
        <w:t xml:space="preserve">izontal direction). </w:t>
      </w:r>
      <w:r>
        <w:t xml:space="preserve">A vertical fracture initiated at these greater depths could propagate vertically to shallower depths and develop a horizontal component. </w:t>
      </w:r>
    </w:p>
    <w:p w:rsidR="00C26557" w:rsidRDefault="00C26557" w:rsidP="002E7ECD">
      <w:pPr>
        <w:pStyle w:val="BRdotpoints"/>
      </w:pPr>
      <w:r>
        <w:t>The pressure will opportunistically dissipate via the path(s) of least resistance (i.e. pre-existing fractures/cleats and other structural flaws in the coalbed).</w:t>
      </w:r>
    </w:p>
    <w:p w:rsidR="00C26557" w:rsidRDefault="00C26557" w:rsidP="002E7ECD">
      <w:pPr>
        <w:pStyle w:val="BRdotpoints"/>
      </w:pPr>
      <w:r>
        <w:t>Increased connectivity is dominated by the extension of the natural fractures, not by the creation of new fractures.</w:t>
      </w:r>
    </w:p>
    <w:p w:rsidR="00C26557" w:rsidRDefault="00C26557" w:rsidP="002E7ECD">
      <w:pPr>
        <w:pStyle w:val="BRdotpoints"/>
      </w:pPr>
      <w:r>
        <w:t>The extent of the induced fracturing depends on the properties of adjacent strata (</w:t>
      </w:r>
      <w:r w:rsidR="00E04FB5">
        <w:t xml:space="preserve">i.e. </w:t>
      </w:r>
      <w:r>
        <w:t xml:space="preserve">thickness, in situ stress differences, </w:t>
      </w:r>
      <w:proofErr w:type="gramStart"/>
      <w:r>
        <w:t>stress</w:t>
      </w:r>
      <w:proofErr w:type="gramEnd"/>
      <w:r>
        <w:t>-strain characteristics), the presence of natural fractures, the type of fracturing fluid being used, the injection pressure and the target dep</w:t>
      </w:r>
      <w:r w:rsidR="007052AC">
        <w:t xml:space="preserve">th. </w:t>
      </w:r>
      <w:r>
        <w:t>High stress contrasts between strata act as a barrier to fracture propagation.</w:t>
      </w:r>
    </w:p>
    <w:p w:rsidR="00C26557" w:rsidRPr="00D40B43" w:rsidRDefault="00B32025" w:rsidP="002E7ECD">
      <w:pPr>
        <w:pStyle w:val="BRdotpoints"/>
      </w:pPr>
      <w:r w:rsidRPr="00D40B43">
        <w:t xml:space="preserve">The </w:t>
      </w:r>
      <w:r w:rsidR="003614FB" w:rsidRPr="00D40B43">
        <w:t xml:space="preserve">US EPA (2004) </w:t>
      </w:r>
      <w:r w:rsidRPr="00D40B43">
        <w:t>cites examples of sa</w:t>
      </w:r>
      <w:r w:rsidR="003F172F">
        <w:t>nd proppant extending up to 160 </w:t>
      </w:r>
      <w:r w:rsidR="007052AC">
        <w:t>m</w:t>
      </w:r>
      <w:r w:rsidRPr="00D40B43">
        <w:t xml:space="preserve"> from coal seam gas</w:t>
      </w:r>
      <w:r w:rsidR="003F172F">
        <w:t xml:space="preserve"> bores within induced fractures</w:t>
      </w:r>
      <w:r w:rsidRPr="00D40B43">
        <w:t xml:space="preserve"> and induced fracturing generally e</w:t>
      </w:r>
      <w:r w:rsidR="003F172F">
        <w:t>xtending an additional 60 to 90 </w:t>
      </w:r>
      <w:r w:rsidR="007052AC">
        <w:t>m</w:t>
      </w:r>
      <w:r w:rsidRPr="00D40B43">
        <w:t>.</w:t>
      </w:r>
    </w:p>
    <w:p w:rsidR="00C26557" w:rsidRDefault="00C26557" w:rsidP="002E7ECD">
      <w:pPr>
        <w:pStyle w:val="BRdotpoints"/>
      </w:pPr>
      <w:r>
        <w:t xml:space="preserve">Fracture dimensions can be estimated using direct, indirect and numerical modelling methods. Direct methods include observations of fractures </w:t>
      </w:r>
      <w:r w:rsidR="003F172F">
        <w:t>within</w:t>
      </w:r>
      <w:r>
        <w:t xml:space="preserve"> mining coal seams that were previously hydraulica</w:t>
      </w:r>
      <w:r w:rsidR="003F172F">
        <w:t>lly fractured (termed ‘mineback’ or ‘mine-through’</w:t>
      </w:r>
      <w:r>
        <w:t xml:space="preserve"> mapping</w:t>
      </w:r>
      <w:r w:rsidR="003F172F">
        <w:t>), dye tracing,</w:t>
      </w:r>
      <w:r>
        <w:t xml:space="preserve"> downhole camera observation</w:t>
      </w:r>
      <w:r w:rsidR="003F172F">
        <w:t>s,</w:t>
      </w:r>
      <w:r>
        <w:t xml:space="preserve"> </w:t>
      </w:r>
      <w:r w:rsidR="003F172F">
        <w:t>surface and downhole tiltmeters</w:t>
      </w:r>
      <w:r>
        <w:t xml:space="preserve"> and microseismic monitoring. Indirect me</w:t>
      </w:r>
      <w:r w:rsidR="00CD4F96">
        <w:t>thods include pressure analyses</w:t>
      </w:r>
      <w:r w:rsidR="001722AD">
        <w:t xml:space="preserve"> and radioactive tracing. </w:t>
      </w:r>
      <w:r>
        <w:t xml:space="preserve">Differences between modelled hydraulic fracture geometry and mineback observations were noted in Jeffrey and Settari </w:t>
      </w:r>
      <w:r>
        <w:rPr>
          <w:noProof/>
        </w:rPr>
        <w:t>(1995)</w:t>
      </w:r>
      <w:r w:rsidR="007052AC">
        <w:t>.</w:t>
      </w:r>
      <w:r>
        <w:t xml:space="preserve"> This was attributed to non-unique simulation interpretations that were base</w:t>
      </w:r>
      <w:r w:rsidR="00D9035C">
        <w:t>d solely on field pressure data</w:t>
      </w:r>
      <w:r>
        <w:t xml:space="preserve"> and the asymmetric distribution of proppants in the induced fractures.</w:t>
      </w:r>
    </w:p>
    <w:p w:rsidR="001722AD" w:rsidRDefault="00C26557" w:rsidP="007052AC">
      <w:pPr>
        <w:pStyle w:val="BRNormal"/>
      </w:pPr>
      <w:r>
        <w:t xml:space="preserve">It is important to note that while hydraulic fracturing is needed to ensure and enhance the hydraulic connection between the </w:t>
      </w:r>
      <w:proofErr w:type="gramStart"/>
      <w:r>
        <w:t>extraction</w:t>
      </w:r>
      <w:proofErr w:type="gramEnd"/>
      <w:r>
        <w:t xml:space="preserve"> well and the coal seam, it is not in the best interest of the operator to in</w:t>
      </w:r>
      <w:r w:rsidR="00D9035C">
        <w:t>duce large-</w:t>
      </w:r>
      <w:r w:rsidR="007052AC">
        <w:t xml:space="preserve">scale connectivity. </w:t>
      </w:r>
      <w:r>
        <w:t xml:space="preserve">US EPA </w:t>
      </w:r>
      <w:proofErr w:type="gramStart"/>
      <w:r>
        <w:t>describe</w:t>
      </w:r>
      <w:proofErr w:type="gramEnd"/>
      <w:r>
        <w:t xml:space="preserve"> these as</w:t>
      </w:r>
      <w:r w:rsidR="001722AD">
        <w:t>:</w:t>
      </w:r>
    </w:p>
    <w:p w:rsidR="001722AD" w:rsidRDefault="00CB2FBB" w:rsidP="001722AD">
      <w:pPr>
        <w:pStyle w:val="BRQuote"/>
      </w:pPr>
      <w:proofErr w:type="gramStart"/>
      <w:r>
        <w:t>‘…</w:t>
      </w:r>
      <w:r w:rsidR="00C26557">
        <w:t>financial incentives … [to reduce] expenditures on hydraulic horsepower, fr</w:t>
      </w:r>
      <w:r>
        <w:t>acturing fluids and proppants.’</w:t>
      </w:r>
      <w:proofErr w:type="gramEnd"/>
    </w:p>
    <w:p w:rsidR="001722AD" w:rsidRPr="001722AD" w:rsidRDefault="00F976E1" w:rsidP="001722AD">
      <w:pPr>
        <w:pStyle w:val="BRQuote"/>
        <w:rPr>
          <w:i w:val="0"/>
        </w:rPr>
      </w:pPr>
      <w:r>
        <w:rPr>
          <w:i w:val="0"/>
        </w:rPr>
        <w:t>©</w:t>
      </w:r>
      <w:r w:rsidR="00CB2FBB">
        <w:rPr>
          <w:i w:val="0"/>
        </w:rPr>
        <w:t xml:space="preserve"> Copyright, US EPA (2004)</w:t>
      </w:r>
    </w:p>
    <w:p w:rsidR="00C26557" w:rsidRDefault="00C26557" w:rsidP="001722AD">
      <w:pPr>
        <w:pStyle w:val="BRNormal"/>
      </w:pPr>
      <w:r>
        <w:t>Increased connectivity with adjacent units (</w:t>
      </w:r>
      <w:r w:rsidR="001722AD">
        <w:t xml:space="preserve">i.e. </w:t>
      </w:r>
      <w:r>
        <w:t xml:space="preserve">comprised aquitard integrity) could also escalate the required amount </w:t>
      </w:r>
      <w:r w:rsidR="001722AD">
        <w:t>of pumping needed to depressuris</w:t>
      </w:r>
      <w:r>
        <w:t>e the coal seam for economic methane extraction and the costs associated with co</w:t>
      </w:r>
      <w:r w:rsidR="00CF78C5">
        <w:t>-</w:t>
      </w:r>
      <w:r>
        <w:t>produced water treatment and disposal.</w:t>
      </w:r>
    </w:p>
    <w:p w:rsidR="00C26557" w:rsidRDefault="00C26557" w:rsidP="007052AC">
      <w:pPr>
        <w:pStyle w:val="BRNormal"/>
      </w:pPr>
      <w:r>
        <w:t>The permeability of coal reservoirs can also change quite significantly during production (in addition to the reduction in hydraulic conductivity resulting from the co-presence of gases with</w:t>
      </w:r>
      <w:r w:rsidR="007052AC">
        <w:t xml:space="preserve"> the fluid in the pore space). </w:t>
      </w:r>
      <w:r>
        <w:t xml:space="preserve">Pan and Connell </w:t>
      </w:r>
      <w:r>
        <w:rPr>
          <w:noProof/>
        </w:rPr>
        <w:t>(2012)</w:t>
      </w:r>
      <w:r>
        <w:t xml:space="preserve"> provide a detailed review of </w:t>
      </w:r>
      <w:r w:rsidR="002B7FA6">
        <w:t>this phenomenon</w:t>
      </w:r>
      <w:r>
        <w:t xml:space="preserve"> and the various reservoir engineering models devel</w:t>
      </w:r>
      <w:r w:rsidR="007052AC">
        <w:t xml:space="preserve">oped to predict the behaviour. </w:t>
      </w:r>
      <w:r>
        <w:t>During initial pumping it is most often observed that the permeability of the coal decreases exponentially due to the cleat compression that occurs in response to the increase in effective stress (</w:t>
      </w:r>
      <w:r w:rsidR="001722AD">
        <w:t>which is</w:t>
      </w:r>
      <w:r>
        <w:t xml:space="preserve"> the typical behav</w:t>
      </w:r>
      <w:r w:rsidR="007052AC">
        <w:t xml:space="preserve">iour in fractured reservoirs). </w:t>
      </w:r>
      <w:r>
        <w:t>However, as methane is desorbed, the coal matrix shrink</w:t>
      </w:r>
      <w:r w:rsidR="001722AD">
        <w:t>s</w:t>
      </w:r>
      <w:r>
        <w:t xml:space="preserve"> and result</w:t>
      </w:r>
      <w:r w:rsidR="001722AD">
        <w:t>s</w:t>
      </w:r>
      <w:r>
        <w:t xml:space="preserve"> in a net increase in permeability </w:t>
      </w:r>
      <w:r w:rsidR="007052AC">
        <w:rPr>
          <w:noProof/>
        </w:rPr>
        <w:t>(Gray</w:t>
      </w:r>
      <w:r>
        <w:rPr>
          <w:noProof/>
        </w:rPr>
        <w:t xml:space="preserve"> 1987</w:t>
      </w:r>
      <w:r w:rsidR="0008536C">
        <w:rPr>
          <w:noProof/>
        </w:rPr>
        <w:t>a; Gray 1987b</w:t>
      </w:r>
      <w:r>
        <w:rPr>
          <w:noProof/>
        </w:rPr>
        <w:t>)</w:t>
      </w:r>
      <w:r w:rsidR="007052AC">
        <w:t xml:space="preserve">. </w:t>
      </w:r>
      <w:r>
        <w:t>The permeability may decrease again if carbon dioxide is used during enha</w:t>
      </w:r>
      <w:r w:rsidR="007052AC">
        <w:t xml:space="preserve">nced coalbed methane recovery. </w:t>
      </w:r>
      <w:r>
        <w:t>The carbon dioxide adsorbs to the</w:t>
      </w:r>
      <w:r w:rsidR="0008536C">
        <w:t xml:space="preserve"> coal surface </w:t>
      </w:r>
      <w:r w:rsidR="0008536C">
        <w:lastRenderedPageBreak/>
        <w:t>causing it to swe</w:t>
      </w:r>
      <w:r>
        <w:t xml:space="preserve">ll and the cleat apertures to reduce </w:t>
      </w:r>
      <w:r w:rsidR="007052AC">
        <w:rPr>
          <w:noProof/>
        </w:rPr>
        <w:t>(van Bergen et al.</w:t>
      </w:r>
      <w:r>
        <w:rPr>
          <w:noProof/>
        </w:rPr>
        <w:t xml:space="preserve"> 2006)</w:t>
      </w:r>
      <w:r w:rsidR="007052AC">
        <w:t xml:space="preserve">. </w:t>
      </w:r>
      <w:r>
        <w:t>Thus, aquifer connectivity may be transient in this respect.</w:t>
      </w:r>
    </w:p>
    <w:p w:rsidR="00C26557" w:rsidRDefault="00C26557" w:rsidP="007052AC">
      <w:pPr>
        <w:pStyle w:val="BRNormal"/>
      </w:pPr>
      <w:r>
        <w:t>In conclusion, it is clear from the examples and theory that pre-existing weaknesses (</w:t>
      </w:r>
      <w:r w:rsidR="001722AD">
        <w:t xml:space="preserve">i.e. </w:t>
      </w:r>
      <w:r>
        <w:t>cleats, fractures, faults, et</w:t>
      </w:r>
      <w:r w:rsidR="001722AD">
        <w:t>c.), the properties of the coal,</w:t>
      </w:r>
      <w:r>
        <w:t xml:space="preserve"> and property contrasts between the coal measures and the adjacent stratigraphic units control the connectivity created by hydraulic fracturing and p</w:t>
      </w:r>
      <w:r w:rsidR="007052AC">
        <w:t xml:space="preserve">ermeability during production. </w:t>
      </w:r>
      <w:r>
        <w:t>Unfortunately, natural discrete fractures, fracture networks and the resultant flow system are often complex and heterogeneous and dif</w:t>
      </w:r>
      <w:r w:rsidR="00C36BC7">
        <w:t>ficult to locate and characteris</w:t>
      </w:r>
      <w:r>
        <w:t xml:space="preserve">e in the subsurface, particularly those relevant at different scales </w:t>
      </w:r>
      <w:r w:rsidR="001722AD">
        <w:rPr>
          <w:noProof/>
        </w:rPr>
        <w:t>(Novakowski et al.</w:t>
      </w:r>
      <w:r>
        <w:rPr>
          <w:noProof/>
        </w:rPr>
        <w:t xml:space="preserve"> 2006)</w:t>
      </w:r>
      <w:r w:rsidR="007052AC">
        <w:t xml:space="preserve">. </w:t>
      </w:r>
      <w:r>
        <w:t>This difficulty would carry forward into the ultimate determination of changes in aquifer connectivity resulting from coal seam gas and coal mining operations.</w:t>
      </w:r>
    </w:p>
    <w:p w:rsidR="00C26557" w:rsidRDefault="007052AC" w:rsidP="005F6513">
      <w:pPr>
        <w:pStyle w:val="Heading2"/>
      </w:pPr>
      <w:bookmarkStart w:id="535" w:name="_Toc207854831"/>
      <w:bookmarkStart w:id="536" w:name="_Toc333488967"/>
      <w:bookmarkStart w:id="537" w:name="_Toc381961114"/>
      <w:bookmarkStart w:id="538" w:name="_Toc389055227"/>
      <w:r>
        <w:t>Induced seismicity and the reactivation of f</w:t>
      </w:r>
      <w:r w:rsidR="00C26557">
        <w:t>aults</w:t>
      </w:r>
      <w:bookmarkEnd w:id="535"/>
      <w:bookmarkEnd w:id="536"/>
      <w:bookmarkEnd w:id="537"/>
      <w:bookmarkEnd w:id="538"/>
    </w:p>
    <w:p w:rsidR="00C26557" w:rsidRDefault="00C26557" w:rsidP="007052AC">
      <w:pPr>
        <w:pStyle w:val="BRNormal"/>
      </w:pPr>
      <w:r>
        <w:t xml:space="preserve">Faults (and other pre-existing weaknesses) have previously been identified in Sections 4.2 and 4.3 as features that can reduce rock mass strength and offer a path of least resistance for the propagation of </w:t>
      </w:r>
      <w:r w:rsidR="007052AC">
        <w:t>connectivity in the subsurface.</w:t>
      </w:r>
      <w:r w:rsidR="001722AD">
        <w:t xml:space="preserve"> Faults can become ‘lubricated’</w:t>
      </w:r>
      <w:r>
        <w:t xml:space="preserve"> by the injected w</w:t>
      </w:r>
      <w:r w:rsidR="007052AC">
        <w:t xml:space="preserve">ater that can flow along them. </w:t>
      </w:r>
      <w:r>
        <w:t>The injected water increases the pore pressure in the fault</w:t>
      </w:r>
      <w:r w:rsidR="001722AD">
        <w:t>,</w:t>
      </w:r>
      <w:r>
        <w:t xml:space="preserve"> which acts to reduce the effective stress (termed stress relief), decrease the frictional res</w:t>
      </w:r>
      <w:r w:rsidR="00F41F92">
        <w:t>istance</w:t>
      </w:r>
      <w:r w:rsidR="007052AC">
        <w:t xml:space="preserve"> and can lead to slip. </w:t>
      </w:r>
      <w:r>
        <w:t xml:space="preserve">Failure at a fault is dependent on its orientation relative to the existing state of stress </w:t>
      </w:r>
      <w:r>
        <w:rPr>
          <w:noProof/>
        </w:rPr>
        <w:t xml:space="preserve">(Nicholson </w:t>
      </w:r>
      <w:r w:rsidR="007052AC">
        <w:rPr>
          <w:noProof/>
        </w:rPr>
        <w:t>&amp; Wesson</w:t>
      </w:r>
      <w:r>
        <w:rPr>
          <w:noProof/>
        </w:rPr>
        <w:t xml:space="preserve"> 1990)</w:t>
      </w:r>
      <w:r>
        <w:t>.</w:t>
      </w:r>
    </w:p>
    <w:p w:rsidR="00C26557" w:rsidRDefault="00C26557" w:rsidP="007052AC">
      <w:pPr>
        <w:pStyle w:val="BRNormal"/>
      </w:pPr>
      <w:r>
        <w:t>Tectonic reactivation in sedimentary basins and fold belts is on-going throughout Australia as a result of high-contrasting properties between proximal stratigraphic units and geologic struc</w:t>
      </w:r>
      <w:r w:rsidR="00F41F92">
        <w:t xml:space="preserve">tures and the effects of larger </w:t>
      </w:r>
      <w:r>
        <w:t xml:space="preserve">scale forces acting at the crustal plate boundaries </w:t>
      </w:r>
      <w:r w:rsidR="007052AC">
        <w:rPr>
          <w:noProof/>
        </w:rPr>
        <w:t>(Müller et al.</w:t>
      </w:r>
      <w:r>
        <w:rPr>
          <w:noProof/>
        </w:rPr>
        <w:t xml:space="preserve"> 2012)</w:t>
      </w:r>
      <w:r w:rsidR="007052AC">
        <w:t xml:space="preserve">. </w:t>
      </w:r>
      <w:r>
        <w:t xml:space="preserve">Lineaments </w:t>
      </w:r>
      <w:r w:rsidR="00F41F92">
        <w:t xml:space="preserve">(i.e. </w:t>
      </w:r>
      <w:r>
        <w:t>linear surface expressions of su</w:t>
      </w:r>
      <w:r w:rsidR="00F41F92">
        <w:t>bsurface fracture zones, faults</w:t>
      </w:r>
      <w:r>
        <w:t xml:space="preserve"> and geological contacts) are generally assumed to be highly permeable conduits for recharge and groundwater flow </w:t>
      </w:r>
      <w:r>
        <w:rPr>
          <w:noProof/>
        </w:rPr>
        <w:t>(</w:t>
      </w:r>
      <w:r w:rsidR="007052AC">
        <w:rPr>
          <w:noProof/>
        </w:rPr>
        <w:t>Shaban et al. 2006; Sener et al. 2005; Krishnamurthy et al. 2000</w:t>
      </w:r>
      <w:r>
        <w:rPr>
          <w:noProof/>
        </w:rPr>
        <w:t>)</w:t>
      </w:r>
      <w:r w:rsidR="009406E5">
        <w:t xml:space="preserve">. </w:t>
      </w:r>
      <w:r>
        <w:t xml:space="preserve">However, Gleeson and Novakowski </w:t>
      </w:r>
      <w:r>
        <w:rPr>
          <w:noProof/>
        </w:rPr>
        <w:t>(2009)</w:t>
      </w:r>
      <w:r>
        <w:t xml:space="preserve"> conclude</w:t>
      </w:r>
      <w:r w:rsidR="00F41F92">
        <w:t>d that</w:t>
      </w:r>
      <w:r>
        <w:t xml:space="preserve"> this is not always the case in a watershed-scale study conducted in a Precamb</w:t>
      </w:r>
      <w:r w:rsidR="009406E5">
        <w:t xml:space="preserve">rian crystalline rock setting. </w:t>
      </w:r>
      <w:r w:rsidR="00F41F92">
        <w:t>Brecciation, cataclasis</w:t>
      </w:r>
      <w:r>
        <w:t xml:space="preserve"> and clay-rich gouge zones can contribute to permeability reduction in faults </w:t>
      </w:r>
      <w:r>
        <w:rPr>
          <w:noProof/>
        </w:rPr>
        <w:t>(</w:t>
      </w:r>
      <w:r w:rsidR="00F41F92">
        <w:rPr>
          <w:noProof/>
        </w:rPr>
        <w:t>Caine &amp; Forster</w:t>
      </w:r>
      <w:r w:rsidR="009406E5">
        <w:rPr>
          <w:noProof/>
        </w:rPr>
        <w:t xml:space="preserve"> 1999; Caine et al. 1996; Goddard &amp; Evans 1995; Evans 1988</w:t>
      </w:r>
      <w:r>
        <w:rPr>
          <w:noProof/>
        </w:rPr>
        <w:t>)</w:t>
      </w:r>
      <w:r w:rsidR="009406E5">
        <w:t xml:space="preserve">. </w:t>
      </w:r>
      <w:r>
        <w:t>Such conditions can result in a reduction of recharge and flow and the (someti</w:t>
      </w:r>
      <w:r w:rsidR="0032170B">
        <w:t>mes anisotropic) compartmentalis</w:t>
      </w:r>
      <w:r>
        <w:t xml:space="preserve">ation of flow systems </w:t>
      </w:r>
      <w:r>
        <w:rPr>
          <w:noProof/>
        </w:rPr>
        <w:t>(</w:t>
      </w:r>
      <w:r w:rsidR="009406E5">
        <w:rPr>
          <w:noProof/>
        </w:rPr>
        <w:t>Bense &amp;</w:t>
      </w:r>
      <w:r w:rsidR="006D645A">
        <w:rPr>
          <w:noProof/>
        </w:rPr>
        <w:t xml:space="preserve"> Person</w:t>
      </w:r>
      <w:r w:rsidR="009406E5">
        <w:rPr>
          <w:noProof/>
        </w:rPr>
        <w:t xml:space="preserve"> 2006; Seaton &amp;</w:t>
      </w:r>
      <w:r w:rsidR="006D645A">
        <w:rPr>
          <w:noProof/>
        </w:rPr>
        <w:t xml:space="preserve"> Burbey</w:t>
      </w:r>
      <w:r w:rsidR="009406E5">
        <w:rPr>
          <w:noProof/>
        </w:rPr>
        <w:t xml:space="preserve"> 2005; </w:t>
      </w:r>
      <w:r w:rsidR="006D645A">
        <w:rPr>
          <w:noProof/>
        </w:rPr>
        <w:t>Ferrill</w:t>
      </w:r>
      <w:r w:rsidR="00F41F92">
        <w:rPr>
          <w:noProof/>
        </w:rPr>
        <w:t> </w:t>
      </w:r>
      <w:r w:rsidR="006D645A">
        <w:rPr>
          <w:noProof/>
        </w:rPr>
        <w:t>et al.</w:t>
      </w:r>
      <w:r w:rsidR="009406E5">
        <w:rPr>
          <w:noProof/>
        </w:rPr>
        <w:t xml:space="preserve"> 2004; Marler &amp;</w:t>
      </w:r>
      <w:r w:rsidR="006D645A">
        <w:rPr>
          <w:noProof/>
        </w:rPr>
        <w:t xml:space="preserve"> Ge</w:t>
      </w:r>
      <w:r w:rsidR="009406E5">
        <w:rPr>
          <w:noProof/>
        </w:rPr>
        <w:t xml:space="preserve"> 2003</w:t>
      </w:r>
      <w:r>
        <w:rPr>
          <w:noProof/>
        </w:rPr>
        <w:t>)</w:t>
      </w:r>
      <w:r>
        <w:t>.</w:t>
      </w:r>
    </w:p>
    <w:p w:rsidR="00C26557" w:rsidRDefault="00C26557" w:rsidP="00790666">
      <w:pPr>
        <w:pStyle w:val="BRNormal"/>
      </w:pPr>
      <w:r>
        <w:t xml:space="preserve">The </w:t>
      </w:r>
      <w:r w:rsidR="00F41F92">
        <w:t>British Columbia (</w:t>
      </w:r>
      <w:r>
        <w:t>BC</w:t>
      </w:r>
      <w:r w:rsidR="00F41F92">
        <w:t>)</w:t>
      </w:r>
      <w:r>
        <w:t xml:space="preserve"> Oil and Gas Commission </w:t>
      </w:r>
      <w:r>
        <w:rPr>
          <w:noProof/>
        </w:rPr>
        <w:t>(2012)</w:t>
      </w:r>
      <w:r>
        <w:t xml:space="preserve"> </w:t>
      </w:r>
      <w:r w:rsidR="00F41F92">
        <w:t>found</w:t>
      </w:r>
      <w:r>
        <w:t xml:space="preserve"> direct correlation between hydraulic fracturing and seismic events in the Horn River Basin located in north</w:t>
      </w:r>
      <w:r w:rsidR="00F41F92">
        <w:t>-</w:t>
      </w:r>
      <w:r w:rsidR="00790666">
        <w:t xml:space="preserve">east </w:t>
      </w:r>
      <w:r w:rsidR="00F41F92">
        <w:t>BC</w:t>
      </w:r>
      <w:r w:rsidR="00790666">
        <w:t xml:space="preserve">, Canada. </w:t>
      </w:r>
      <w:r>
        <w:t>The seismic activity was not found to impact shallow aquifers or the environment and only one of the measured events was large enough to be felt at ground surface.</w:t>
      </w:r>
    </w:p>
    <w:p w:rsidR="00C26557" w:rsidRDefault="00C26557" w:rsidP="00790666">
      <w:pPr>
        <w:pStyle w:val="BRNormal"/>
      </w:pPr>
      <w:r>
        <w:t xml:space="preserve">A conference abstract by Ellsworth et al. </w:t>
      </w:r>
      <w:r>
        <w:rPr>
          <w:noProof/>
        </w:rPr>
        <w:t>(2012)</w:t>
      </w:r>
      <w:r>
        <w:t xml:space="preserve"> on increased seismicity observed in the mid</w:t>
      </w:r>
      <w:r w:rsidR="00F41F92">
        <w:noBreakHyphen/>
      </w:r>
      <w:r>
        <w:t xml:space="preserve">continent of the </w:t>
      </w:r>
      <w:r w:rsidR="00374C76">
        <w:t>US</w:t>
      </w:r>
      <w:r>
        <w:t xml:space="preserve"> attracted wide media attention because it </w:t>
      </w:r>
      <w:r w:rsidR="00F41F92">
        <w:t>alluded</w:t>
      </w:r>
      <w:r>
        <w:t xml:space="preserve"> to a relationship between these events (</w:t>
      </w:r>
      <w:r w:rsidR="00F41F92">
        <w:t xml:space="preserve">i.e. </w:t>
      </w:r>
      <w:r>
        <w:t>earthquakes) and coal seam gas and conventional oi</w:t>
      </w:r>
      <w:r w:rsidR="00790666">
        <w:t xml:space="preserve">l and gas industry activities. </w:t>
      </w:r>
      <w:r>
        <w:t>David H</w:t>
      </w:r>
      <w:r w:rsidR="00F41F92">
        <w:t>ayes, Deputy Secretary of the U</w:t>
      </w:r>
      <w:r>
        <w:t xml:space="preserve">S Department of the Interior, later released an online statement </w:t>
      </w:r>
      <w:r w:rsidR="00790666">
        <w:t>to clarify the message</w:t>
      </w:r>
      <w:r w:rsidR="00F41F92">
        <w:t xml:space="preserve"> </w:t>
      </w:r>
      <w:r w:rsidR="00F41F92">
        <w:rPr>
          <w:noProof/>
        </w:rPr>
        <w:t>(Hayes 2012)</w:t>
      </w:r>
      <w:r w:rsidR="00790666">
        <w:t xml:space="preserve">. </w:t>
      </w:r>
      <w:r>
        <w:t xml:space="preserve">Both Hayes </w:t>
      </w:r>
      <w:r>
        <w:rPr>
          <w:noProof/>
        </w:rPr>
        <w:t>(2012)</w:t>
      </w:r>
      <w:r>
        <w:t xml:space="preserve"> and </w:t>
      </w:r>
      <w:r w:rsidR="00443DD0">
        <w:t>earlier research (</w:t>
      </w:r>
      <w:r>
        <w:t xml:space="preserve">Leith </w:t>
      </w:r>
      <w:r>
        <w:rPr>
          <w:noProof/>
        </w:rPr>
        <w:t>2011)</w:t>
      </w:r>
      <w:r>
        <w:t xml:space="preserve"> affirm</w:t>
      </w:r>
      <w:r w:rsidR="00F41F92">
        <w:t>ed</w:t>
      </w:r>
      <w:r>
        <w:t xml:space="preserve"> that the results </w:t>
      </w:r>
      <w:r w:rsidR="00F41F92">
        <w:t>did</w:t>
      </w:r>
      <w:r>
        <w:t xml:space="preserve"> not suggest</w:t>
      </w:r>
      <w:r w:rsidR="00F41F92">
        <w:t xml:space="preserve"> that</w:t>
      </w:r>
      <w:r w:rsidR="00443DD0">
        <w:t xml:space="preserve"> hydraulic fracturing wa</w:t>
      </w:r>
      <w:r>
        <w:t>s the cause of the increased rate of earthquakes</w:t>
      </w:r>
      <w:r w:rsidR="00790666">
        <w:t xml:space="preserve">. </w:t>
      </w:r>
      <w:r>
        <w:t>Rather, in many cas</w:t>
      </w:r>
      <w:r w:rsidR="00443DD0">
        <w:t>es, the increase in seismicity wa</w:t>
      </w:r>
      <w:r>
        <w:t>s shown to coincide with the injection of wastewater in deep disposal well</w:t>
      </w:r>
      <w:r w:rsidR="00443DD0">
        <w:t>s (which had</w:t>
      </w:r>
      <w:r w:rsidR="00790666">
        <w:t xml:space="preserve"> long been known). </w:t>
      </w:r>
      <w:r>
        <w:t>Co</w:t>
      </w:r>
      <w:r w:rsidR="00790666">
        <w:t>-</w:t>
      </w:r>
      <w:r>
        <w:t xml:space="preserve">produced water from an extraction well field is often reinjected via a single or limited number of disposal wells </w:t>
      </w:r>
      <w:r w:rsidR="00790666">
        <w:rPr>
          <w:noProof/>
        </w:rPr>
        <w:t>(Hayes</w:t>
      </w:r>
      <w:r>
        <w:rPr>
          <w:noProof/>
        </w:rPr>
        <w:t xml:space="preserve"> 2012)</w:t>
      </w:r>
      <w:r w:rsidR="00790666">
        <w:t xml:space="preserve">. </w:t>
      </w:r>
      <w:r>
        <w:t xml:space="preserve">According to Hayes </w:t>
      </w:r>
      <w:r>
        <w:rPr>
          <w:noProof/>
        </w:rPr>
        <w:t>(2012)</w:t>
      </w:r>
      <w:r>
        <w:t>, the siting of these reinjection wells tends to be in the mid</w:t>
      </w:r>
      <w:r w:rsidR="00443DD0">
        <w:noBreakHyphen/>
      </w:r>
      <w:r>
        <w:t>continent – Colorado, Texas</w:t>
      </w:r>
      <w:r w:rsidR="00790666">
        <w:t xml:space="preserve">, Arkansas, Oklahoma and Ohio. </w:t>
      </w:r>
      <w:r>
        <w:t xml:space="preserve">The largest induced earthquake (magnitude 5.3) was </w:t>
      </w:r>
      <w:r>
        <w:lastRenderedPageBreak/>
        <w:t>observed at the Rocky Mountain Arsenal well in Colorado in 1967 followi</w:t>
      </w:r>
      <w:r w:rsidR="00443DD0">
        <w:t xml:space="preserve">ng the reinjection of large volumes of wastewater </w:t>
      </w:r>
      <w:r>
        <w:t>from the manufacture a</w:t>
      </w:r>
      <w:r w:rsidR="00443DD0">
        <w:t>nd disposal of chemical weapons</w:t>
      </w:r>
      <w:r>
        <w:t xml:space="preserve"> between 1962 and 1966 </w:t>
      </w:r>
      <w:r w:rsidR="00D63BDC">
        <w:rPr>
          <w:noProof/>
        </w:rPr>
        <w:t>(Hayes 2012; Leith</w:t>
      </w:r>
      <w:r>
        <w:rPr>
          <w:noProof/>
        </w:rPr>
        <w:t xml:space="preserve"> 2011)</w:t>
      </w:r>
      <w:r>
        <w:t>.</w:t>
      </w:r>
    </w:p>
    <w:p w:rsidR="00C26557" w:rsidRDefault="00C26557" w:rsidP="00D63BDC">
      <w:pPr>
        <w:pStyle w:val="BRNormal"/>
      </w:pPr>
      <w:r>
        <w:t xml:space="preserve">Figure </w:t>
      </w:r>
      <w:r w:rsidR="00526F71">
        <w:t>13</w:t>
      </w:r>
      <w:r>
        <w:t xml:space="preserve"> provides worldwide localities of known induced seismicity resulting from different types of energy technologies and the measured</w:t>
      </w:r>
      <w:r w:rsidR="00F15E76">
        <w:t xml:space="preserve"> maximum earthquake magnitude. </w:t>
      </w:r>
      <w:r>
        <w:t xml:space="preserve">Leith </w:t>
      </w:r>
      <w:r>
        <w:rPr>
          <w:noProof/>
        </w:rPr>
        <w:t>(2011)</w:t>
      </w:r>
      <w:r>
        <w:t xml:space="preserve"> notes that induced earthquakes occur in settings with pre-existing natural faults that are capable</w:t>
      </w:r>
      <w:r w:rsidR="00183208">
        <w:t xml:space="preserve"> of generating earthquakes. </w:t>
      </w:r>
      <w:r>
        <w:t xml:space="preserve">A positive correlation between earthquake magnitude and total volume injected has been observed in historical data; the influence of injection pressure and injection rate on earthquake magnitude is still being investigated </w:t>
      </w:r>
      <w:r>
        <w:rPr>
          <w:noProof/>
        </w:rPr>
        <w:t>(Hay</w:t>
      </w:r>
      <w:r w:rsidR="00183208">
        <w:rPr>
          <w:noProof/>
        </w:rPr>
        <w:t>es 2012; NRC</w:t>
      </w:r>
      <w:r>
        <w:rPr>
          <w:noProof/>
        </w:rPr>
        <w:t xml:space="preserve"> 2012)</w:t>
      </w:r>
      <w:r w:rsidR="00183208">
        <w:t>.</w:t>
      </w:r>
      <w:r>
        <w:t xml:space="preserve"> Hayes </w:t>
      </w:r>
      <w:r>
        <w:rPr>
          <w:noProof/>
        </w:rPr>
        <w:t>(2012)</w:t>
      </w:r>
      <w:r>
        <w:t xml:space="preserve"> notes t</w:t>
      </w:r>
      <w:r w:rsidR="00A54552">
        <w:t>hat separation distances up to six </w:t>
      </w:r>
      <w:r>
        <w:t>miles (10</w:t>
      </w:r>
      <w:r w:rsidR="00A54552">
        <w:t> </w:t>
      </w:r>
      <w:r>
        <w:t xml:space="preserve">km) between the </w:t>
      </w:r>
      <w:proofErr w:type="gramStart"/>
      <w:r>
        <w:t>injection</w:t>
      </w:r>
      <w:proofErr w:type="gramEnd"/>
      <w:r>
        <w:t xml:space="preserve"> well and the induced </w:t>
      </w:r>
      <w:r w:rsidR="00183208">
        <w:t xml:space="preserve">earthquake have been observed. </w:t>
      </w:r>
      <w:r>
        <w:t>This furthers the concept that su</w:t>
      </w:r>
      <w:r w:rsidRPr="000D0982">
        <w:t xml:space="preserve">ch seemingly local anthropogenic activities can have a large pressure </w:t>
      </w:r>
      <w:r w:rsidR="00A54552">
        <w:t>‘footprint’</w:t>
      </w:r>
      <w:r w:rsidR="00183208">
        <w:t xml:space="preserve"> in the subsurface. </w:t>
      </w:r>
      <w:r w:rsidRPr="000D0982">
        <w:t xml:space="preserve">The three Australian cases shown in Figure </w:t>
      </w:r>
      <w:r w:rsidR="00526F71">
        <w:t>13</w:t>
      </w:r>
      <w:r w:rsidRPr="000D0982">
        <w:t xml:space="preserve"> are from surface water reservoirs in </w:t>
      </w:r>
      <w:r w:rsidR="00183208">
        <w:t>Varragamba and Eucumbene (Guha</w:t>
      </w:r>
      <w:r w:rsidRPr="0030371F">
        <w:t xml:space="preserve"> 2001) and geothermal systems in</w:t>
      </w:r>
      <w:r w:rsidR="00183208">
        <w:t xml:space="preserve"> the Cooper Basin (Majer et al.</w:t>
      </w:r>
      <w:r w:rsidRPr="0030371F">
        <w:t xml:space="preserve"> 2007)</w:t>
      </w:r>
    </w:p>
    <w:p w:rsidR="00183208" w:rsidRDefault="00A54552" w:rsidP="00183208">
      <w:pPr>
        <w:pStyle w:val="BRNormal"/>
      </w:pPr>
      <w:r>
        <w:t xml:space="preserve">In their evaluation entitled </w:t>
      </w:r>
      <w:r w:rsidR="00C26557" w:rsidRPr="00A54552">
        <w:rPr>
          <w:i/>
        </w:rPr>
        <w:t>Induced Seismicity Potential in Energy Technologies</w:t>
      </w:r>
      <w:r w:rsidR="00C26557">
        <w:t xml:space="preserve"> </w:t>
      </w:r>
      <w:r>
        <w:t>(</w:t>
      </w:r>
      <w:r w:rsidR="00C26557">
        <w:t xml:space="preserve">NRC </w:t>
      </w:r>
      <w:r w:rsidR="00C26557">
        <w:rPr>
          <w:noProof/>
        </w:rPr>
        <w:t>2012)</w:t>
      </w:r>
      <w:r>
        <w:rPr>
          <w:noProof/>
        </w:rPr>
        <w:t>, NRC</w:t>
      </w:r>
      <w:r w:rsidR="00C26557">
        <w:t xml:space="preserve"> came to the following conclusions regarding the potential risk of induced seismicity:</w:t>
      </w:r>
    </w:p>
    <w:p w:rsidR="00C26557" w:rsidRPr="00526F71" w:rsidRDefault="00183208" w:rsidP="000D1C58">
      <w:pPr>
        <w:pStyle w:val="BRdotpoints"/>
      </w:pPr>
      <w:r w:rsidRPr="00526F71">
        <w:t>t</w:t>
      </w:r>
      <w:r w:rsidR="00C26557" w:rsidRPr="00526F71">
        <w:t>he process of hydraulic</w:t>
      </w:r>
      <w:r w:rsidR="009738A8">
        <w:t>ally</w:t>
      </w:r>
      <w:r w:rsidR="00C26557" w:rsidRPr="00526F71">
        <w:t xml:space="preserve"> fracturing a well as presently implemented for </w:t>
      </w:r>
      <w:r w:rsidR="00C26557" w:rsidRPr="000D1C58">
        <w:t>shale</w:t>
      </w:r>
      <w:r w:rsidR="00C26557" w:rsidRPr="00526F71">
        <w:t xml:space="preserve"> gas recovery does not pose a high risk f</w:t>
      </w:r>
      <w:r w:rsidRPr="00526F71">
        <w:t>or inducing felt seismic events</w:t>
      </w:r>
    </w:p>
    <w:p w:rsidR="00C26557" w:rsidRPr="00526F71" w:rsidRDefault="00183208" w:rsidP="00A54552">
      <w:pPr>
        <w:pStyle w:val="BRdotpoints"/>
      </w:pPr>
      <w:r w:rsidRPr="00526F71">
        <w:t>i</w:t>
      </w:r>
      <w:r w:rsidR="00C26557" w:rsidRPr="00526F71">
        <w:t xml:space="preserve">njection for disposal of waste water derived from energy technologies into the subsurface does pose a risk for induced seismicity, but very few events have been documented over the past several decades relative to the large number of </w:t>
      </w:r>
      <w:r w:rsidRPr="00526F71">
        <w:t>disposal wells in operation</w:t>
      </w:r>
    </w:p>
    <w:p w:rsidR="00C26557" w:rsidRPr="00526F71" w:rsidRDefault="00183208" w:rsidP="00A54552">
      <w:pPr>
        <w:pStyle w:val="BRdotpoints"/>
      </w:pPr>
      <w:proofErr w:type="gramStart"/>
      <w:r w:rsidRPr="00526F71">
        <w:t>c</w:t>
      </w:r>
      <w:r w:rsidR="00C26557" w:rsidRPr="00526F71">
        <w:t>arbon</w:t>
      </w:r>
      <w:proofErr w:type="gramEnd"/>
      <w:r w:rsidR="00C26557" w:rsidRPr="00526F71">
        <w:t xml:space="preserve"> capture and storage, due to the large net volumes of injected fluids, may have the potential for </w:t>
      </w:r>
      <w:r w:rsidR="009738A8">
        <w:t>inducing larger seismic events.</w:t>
      </w:r>
    </w:p>
    <w:p w:rsidR="00C26557" w:rsidRDefault="00C26557" w:rsidP="00183208">
      <w:pPr>
        <w:pStyle w:val="BRNormal"/>
      </w:pPr>
      <w:r>
        <w:t>The risks from wastewater injection are deemed manageable through engineering controls (injection pressures and volumes can be with modified according to the ca</w:t>
      </w:r>
      <w:r w:rsidR="00183208">
        <w:t xml:space="preserve">pacity of the target aquifer). </w:t>
      </w:r>
      <w:r>
        <w:t xml:space="preserve">However, it is not known what impact a significant increase in the number of injection wells will have on induced seismicity over the long term </w:t>
      </w:r>
      <w:r w:rsidR="00183208">
        <w:rPr>
          <w:noProof/>
        </w:rPr>
        <w:t>(NRC</w:t>
      </w:r>
      <w:r>
        <w:rPr>
          <w:noProof/>
        </w:rPr>
        <w:t xml:space="preserve"> 2012)</w:t>
      </w:r>
      <w:r>
        <w:t>.</w:t>
      </w:r>
    </w:p>
    <w:p w:rsidR="00C26557" w:rsidRDefault="00C26557" w:rsidP="00183208">
      <w:pPr>
        <w:pStyle w:val="BRNormal"/>
      </w:pPr>
      <w:r>
        <w:t>Apart from the induced pressure gradients and flow rates acting to change the dynamics of the flow system, subsurface connectivity could be altered at a fault by the offset of th</w:t>
      </w:r>
      <w:r w:rsidR="00183208">
        <w:t xml:space="preserve">e aquifer and aquitard layers. </w:t>
      </w:r>
      <w:r>
        <w:t xml:space="preserve">The permeability of the fault may also change following an earthquake </w:t>
      </w:r>
      <w:r w:rsidR="00183208">
        <w:t xml:space="preserve">for reasons mentioned earlier. </w:t>
      </w:r>
      <w:r>
        <w:t>In addition, aquitard integrity may be decreased as the result of brittle deformation in the vicinity of the fault following displacement.</w:t>
      </w:r>
    </w:p>
    <w:p w:rsidR="00C26557" w:rsidRDefault="00C26557" w:rsidP="001C3374">
      <w:pPr>
        <w:pStyle w:val="Body"/>
      </w:pPr>
      <w:r>
        <w:rPr>
          <w:noProof/>
          <w:lang w:val="en-AU" w:eastAsia="en-AU"/>
        </w:rPr>
        <w:lastRenderedPageBreak/>
        <w:drawing>
          <wp:inline distT="0" distB="0" distL="0" distR="0">
            <wp:extent cx="5722620" cy="4509135"/>
            <wp:effectExtent l="0" t="0" r="0" b="571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9"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22620" cy="4509135"/>
                    </a:xfrm>
                    <a:prstGeom prst="rect">
                      <a:avLst/>
                    </a:prstGeom>
                    <a:noFill/>
                    <a:ln>
                      <a:noFill/>
                    </a:ln>
                  </pic:spPr>
                </pic:pic>
              </a:graphicData>
            </a:graphic>
          </wp:inline>
        </w:drawing>
      </w:r>
    </w:p>
    <w:p w:rsidR="00C26557" w:rsidRDefault="00183208" w:rsidP="00183208">
      <w:pPr>
        <w:pStyle w:val="Caption"/>
      </w:pPr>
      <w:r w:rsidRPr="00EA5A48">
        <w:t xml:space="preserve">Figure </w:t>
      </w:r>
      <w:r w:rsidR="00E23933" w:rsidRPr="00EA5A48">
        <w:rPr>
          <w:b/>
        </w:rPr>
        <w:fldChar w:fldCharType="begin"/>
      </w:r>
      <w:r w:rsidRPr="00EA5A48">
        <w:instrText xml:space="preserve"> SEQ Figure \* ARABIC </w:instrText>
      </w:r>
      <w:r w:rsidR="00E23933" w:rsidRPr="00EA5A48">
        <w:rPr>
          <w:b/>
        </w:rPr>
        <w:fldChar w:fldCharType="separate"/>
      </w:r>
      <w:r w:rsidR="00526F71">
        <w:t>13</w:t>
      </w:r>
      <w:r w:rsidR="00E23933" w:rsidRPr="00EA5A48">
        <w:rPr>
          <w:b/>
        </w:rPr>
        <w:fldChar w:fldCharType="end"/>
      </w:r>
      <w:r w:rsidR="00C26557">
        <w:t xml:space="preserve"> Locations of known or suspected induced seismicity </w:t>
      </w:r>
      <w:r>
        <w:t xml:space="preserve">from anthropogenic activities. </w:t>
      </w:r>
      <w:r w:rsidR="00C26557">
        <w:t>The size of the symbol at each site corresponds to the measured maximu</w:t>
      </w:r>
      <w:r w:rsidR="009738A8">
        <w:t>m earthquake magnitude reported</w:t>
      </w:r>
      <w:r w:rsidR="00C26557">
        <w:t xml:space="preserve"> </w:t>
      </w:r>
      <w:r w:rsidR="009738A8">
        <w:t>(</w:t>
      </w:r>
      <w:r w:rsidR="00F976E1">
        <w:t>© </w:t>
      </w:r>
      <w:r w:rsidR="009738A8">
        <w:t xml:space="preserve">Copyright, </w:t>
      </w:r>
      <w:r w:rsidR="00C26557">
        <w:t>NRC 2012).</w:t>
      </w:r>
    </w:p>
    <w:p w:rsidR="00183208" w:rsidRPr="00183208" w:rsidRDefault="00183208" w:rsidP="00183208">
      <w:pPr>
        <w:rPr>
          <w:lang w:val="en-AU" w:eastAsia="en-AU"/>
        </w:rPr>
      </w:pPr>
    </w:p>
    <w:p w:rsidR="00C26557" w:rsidRDefault="00C26557" w:rsidP="005F6513">
      <w:pPr>
        <w:pStyle w:val="Heading2"/>
      </w:pPr>
      <w:bookmarkStart w:id="539" w:name="_Toc207854832"/>
      <w:bookmarkStart w:id="540" w:name="_Toc333488968"/>
      <w:bookmarkStart w:id="541" w:name="_Toc381961115"/>
      <w:bookmarkStart w:id="542" w:name="_Toc389055228"/>
      <w:r>
        <w:t>Boreholes</w:t>
      </w:r>
      <w:bookmarkEnd w:id="539"/>
      <w:bookmarkEnd w:id="540"/>
      <w:bookmarkEnd w:id="541"/>
      <w:bookmarkEnd w:id="542"/>
    </w:p>
    <w:p w:rsidR="00C26557" w:rsidRDefault="00C26557" w:rsidP="00183208">
      <w:pPr>
        <w:pStyle w:val="BRNormal"/>
      </w:pPr>
      <w:r>
        <w:t>Boreholes can provide a direct conduit for flow and solute transport between what may otherwise be disc</w:t>
      </w:r>
      <w:r w:rsidR="00183208">
        <w:t>onnected aquifers (</w:t>
      </w:r>
      <w:r w:rsidR="009738A8">
        <w:t>Chapter</w:t>
      </w:r>
      <w:r w:rsidR="00183208">
        <w:t xml:space="preserve"> 2). </w:t>
      </w:r>
      <w:r>
        <w:t xml:space="preserve">The integrity of aquitards can be compromised by quarries, unsealed bores, abandoned bores or multi-aquifer wells </w:t>
      </w:r>
      <w:r w:rsidR="00183208">
        <w:rPr>
          <w:noProof/>
        </w:rPr>
        <w:t>(Cherry</w:t>
      </w:r>
      <w:r w:rsidR="009738A8">
        <w:rPr>
          <w:noProof/>
        </w:rPr>
        <w:t> </w:t>
      </w:r>
      <w:r w:rsidR="00183208">
        <w:rPr>
          <w:noProof/>
        </w:rPr>
        <w:t>et</w:t>
      </w:r>
      <w:r w:rsidR="009738A8">
        <w:rPr>
          <w:noProof/>
        </w:rPr>
        <w:t> </w:t>
      </w:r>
      <w:r w:rsidR="00183208">
        <w:rPr>
          <w:noProof/>
        </w:rPr>
        <w:t>al. 2004; Lacombe et al.</w:t>
      </w:r>
      <w:r>
        <w:rPr>
          <w:noProof/>
        </w:rPr>
        <w:t xml:space="preserve"> 1995)</w:t>
      </w:r>
      <w:r w:rsidR="00183208">
        <w:t xml:space="preserve">. </w:t>
      </w:r>
      <w:r>
        <w:t xml:space="preserve">All of these can provide a new pathway or create </w:t>
      </w:r>
      <w:proofErr w:type="gramStart"/>
      <w:r>
        <w:t>a sh</w:t>
      </w:r>
      <w:r w:rsidR="00183208">
        <w:t>ort-circuit</w:t>
      </w:r>
      <w:proofErr w:type="gramEnd"/>
      <w:r w:rsidR="00183208">
        <w:t xml:space="preserve"> in the subsurface. </w:t>
      </w:r>
      <w:r>
        <w:t>A short-circuit refers to the case where water flows between aquifers with different hydraulic heads via the borehole or a preferential pathway associated with the construction of the borehole (fracture or void in the grout in the annular space).</w:t>
      </w:r>
    </w:p>
    <w:p w:rsidR="00C26557" w:rsidRDefault="00C26557" w:rsidP="00183208">
      <w:pPr>
        <w:pStyle w:val="BRNormal"/>
      </w:pPr>
      <w:r>
        <w:t xml:space="preserve">The hydraulic conductivity of a well </w:t>
      </w:r>
      <m:oMath>
        <m:sSub>
          <m:sSubPr>
            <m:ctrlPr>
              <w:rPr>
                <w:rFonts w:ascii="Cambria Math" w:hAnsi="Cambria Math"/>
                <w:i/>
              </w:rPr>
            </m:ctrlPr>
          </m:sSubPr>
          <m:e>
            <m:r>
              <w:rPr>
                <w:rFonts w:ascii="Cambria Math" w:hAnsi="Cambria Math"/>
              </w:rPr>
              <m:t>K</m:t>
            </m:r>
          </m:e>
          <m:sub>
            <m:r>
              <w:rPr>
                <w:rFonts w:ascii="Cambria Math" w:hAnsi="Cambria Math"/>
              </w:rPr>
              <m:t>w</m:t>
            </m:r>
          </m:sub>
        </m:sSub>
      </m:oMath>
      <w:r>
        <w:t xml:space="preserve"> is written as </w:t>
      </w:r>
      <w:r>
        <w:rPr>
          <w:noProof/>
        </w:rPr>
        <w:t>(Sudicky et al. 1995)</w:t>
      </w:r>
      <w:r>
        <w:t>:</w:t>
      </w:r>
    </w:p>
    <w:p w:rsidR="00C26557" w:rsidRPr="00183208" w:rsidRDefault="00E23933" w:rsidP="002E7ECD">
      <w:pPr>
        <w:pStyle w:val="BRNormal"/>
      </w:pPr>
      <m:oMathPara>
        <m:oMathParaPr>
          <m:jc m:val="center"/>
        </m:oMathParaPr>
        <m:oMath>
          <m:sSub>
            <m:sSubPr>
              <m:ctrlPr>
                <w:rPr>
                  <w:rFonts w:ascii="Cambria Math" w:hAnsi="Cambria Math"/>
                </w:rPr>
              </m:ctrlPr>
            </m:sSubPr>
            <m:e>
              <m:r>
                <w:rPr>
                  <w:rFonts w:ascii="Cambria Math" w:hAnsi="Cambria Math"/>
                </w:rPr>
                <m:t>K</m:t>
              </m:r>
            </m:e>
            <m:sub>
              <m:r>
                <w:rPr>
                  <w:rFonts w:ascii="Cambria Math" w:hAnsi="Cambria Math"/>
                </w:rPr>
                <m:t>w</m:t>
              </m:r>
            </m:sub>
          </m:sSub>
          <m:r>
            <m:rPr>
              <m:sty m:val="p"/>
            </m:rPr>
            <w:rPr>
              <w:rFonts w:ascii="Cambria Math" w:hAnsi="Cambria Math"/>
            </w:rPr>
            <m:t>=</m:t>
          </m:r>
          <m:f>
            <m:fPr>
              <m:ctrlPr>
                <w:rPr>
                  <w:rFonts w:ascii="Cambria Math" w:hAnsi="Cambria Math"/>
                </w:rPr>
              </m:ctrlPr>
            </m:fPr>
            <m:num>
              <m:sSubSup>
                <m:sSubSupPr>
                  <m:ctrlPr>
                    <w:rPr>
                      <w:rFonts w:ascii="Cambria Math" w:hAnsi="Cambria Math"/>
                    </w:rPr>
                  </m:ctrlPr>
                </m:sSubSupPr>
                <m:e>
                  <m:r>
                    <w:rPr>
                      <w:rFonts w:ascii="Cambria Math" w:hAnsi="Cambria Math"/>
                    </w:rPr>
                    <m:t>r</m:t>
                  </m:r>
                </m:e>
                <m:sub>
                  <m:r>
                    <w:rPr>
                      <w:rFonts w:ascii="Cambria Math" w:hAnsi="Cambria Math"/>
                    </w:rPr>
                    <m:t>s</m:t>
                  </m:r>
                </m:sub>
                <m:sup>
                  <m:r>
                    <m:rPr>
                      <m:sty m:val="p"/>
                    </m:rPr>
                    <w:rPr>
                      <w:rFonts w:ascii="Cambria Math" w:hAnsi="Cambria Math"/>
                    </w:rPr>
                    <m:t>2</m:t>
                  </m:r>
                </m:sup>
              </m:sSubSup>
              <m:r>
                <w:rPr>
                  <w:rFonts w:ascii="Cambria Math" w:hAnsi="Cambria Math"/>
                </w:rPr>
                <m:t>ρg</m:t>
              </m:r>
            </m:num>
            <m:den>
              <m:r>
                <m:rPr>
                  <m:sty m:val="p"/>
                </m:rPr>
                <w:rPr>
                  <w:rFonts w:ascii="Cambria Math" w:hAnsi="Cambria Math"/>
                </w:rPr>
                <m:t>8</m:t>
              </m:r>
              <m:r>
                <w:rPr>
                  <w:rFonts w:ascii="Cambria Math" w:hAnsi="Cambria Math"/>
                </w:rPr>
                <m:t>μ</m:t>
              </m:r>
            </m:den>
          </m:f>
        </m:oMath>
      </m:oMathPara>
    </w:p>
    <w:p w:rsidR="00C26557" w:rsidRDefault="00C26557" w:rsidP="00183208">
      <w:pPr>
        <w:pStyle w:val="BRNormal"/>
      </w:pPr>
      <w:proofErr w:type="gramStart"/>
      <w:r>
        <w:t>where</w:t>
      </w:r>
      <m:oMath>
        <w:proofErr w:type="gramEnd"/>
        <m:r>
          <w:rPr>
            <w:rFonts w:ascii="Cambria Math" w:hAnsi="Cambria Math"/>
          </w:rPr>
          <m:t xml:space="preserve"> </m:t>
        </m:r>
        <m:sSub>
          <m:sSubPr>
            <m:ctrlPr>
              <w:rPr>
                <w:rFonts w:ascii="Cambria Math" w:hAnsi="Cambria Math"/>
                <w:i/>
              </w:rPr>
            </m:ctrlPr>
          </m:sSubPr>
          <m:e>
            <m:r>
              <w:rPr>
                <w:rFonts w:ascii="Cambria Math" w:hAnsi="Cambria Math"/>
              </w:rPr>
              <m:t>r</m:t>
            </m:r>
          </m:e>
          <m:sub>
            <m:r>
              <w:rPr>
                <w:rFonts w:ascii="Cambria Math" w:hAnsi="Cambria Math"/>
              </w:rPr>
              <m:t>s</m:t>
            </m:r>
          </m:sub>
        </m:sSub>
      </m:oMath>
      <w:r>
        <w:t xml:space="preserve"> </w:t>
      </w:r>
      <w:r w:rsidR="00183208">
        <w:t xml:space="preserve">is the radius of the well [L]. </w:t>
      </w:r>
      <w:r>
        <w:t>The other terms are defined in C</w:t>
      </w:r>
      <w:r w:rsidR="00183208">
        <w:t>hapter 2</w:t>
      </w:r>
      <w:r w:rsidR="009738A8">
        <w:t xml:space="preserve"> and the Abbreviations list</w:t>
      </w:r>
      <w:r w:rsidR="00183208">
        <w:t xml:space="preserve">. </w:t>
      </w:r>
      <w:r>
        <w:t>Consider a 10.16</w:t>
      </w:r>
      <w:r w:rsidR="009738A8">
        <w:t> cm-diameter well (i.e. four</w:t>
      </w:r>
      <w:r>
        <w:t xml:space="preserve"> inches, typica</w:t>
      </w:r>
      <w:r w:rsidR="00183208">
        <w:t xml:space="preserve">l size for a monitoring well). </w:t>
      </w:r>
      <w:r>
        <w:t>Using the equation, the hydraulic conductivity of the well (flow is along the axis of the well) is approximately 2.4x10</w:t>
      </w:r>
      <w:r>
        <w:rPr>
          <w:vertAlign w:val="superscript"/>
        </w:rPr>
        <w:t>8</w:t>
      </w:r>
      <w:r w:rsidR="00183208">
        <w:t xml:space="preserve"> m/d. </w:t>
      </w:r>
      <w:r>
        <w:t xml:space="preserve">The hydraulic conductivity of a </w:t>
      </w:r>
      <w:r>
        <w:lastRenderedPageBreak/>
        <w:t>15.24</w:t>
      </w:r>
      <w:r w:rsidR="005C1350">
        <w:t> </w:t>
      </w:r>
      <w:r>
        <w:t>cm</w:t>
      </w:r>
      <w:r w:rsidR="005C1350">
        <w:noBreakHyphen/>
        <w:t>diameter well (six</w:t>
      </w:r>
      <w:r>
        <w:t xml:space="preserve"> inches, typical size for a residential drinking water supply well) is approximately 5.5x10</w:t>
      </w:r>
      <w:r>
        <w:rPr>
          <w:vertAlign w:val="superscript"/>
        </w:rPr>
        <w:t>8</w:t>
      </w:r>
      <w:r w:rsidR="00183208">
        <w:t xml:space="preserve"> m/d.</w:t>
      </w:r>
      <w:r>
        <w:t xml:space="preserve"> From these examples it is quite clear how many orders of magnitude greater the hydraulic conductivity of an open well can be compared to the geologic materials in which they ar</w:t>
      </w:r>
      <w:r w:rsidR="002E6C1D">
        <w:t xml:space="preserve">e constructed (see Table </w:t>
      </w:r>
      <w:r w:rsidR="00183208">
        <w:t xml:space="preserve">1). </w:t>
      </w:r>
      <w:r>
        <w:t>Thus, even small-diameter bores can have a significant impact on the effective vertical hydraulic conductivity of an aquitard.</w:t>
      </w:r>
    </w:p>
    <w:p w:rsidR="00C26557" w:rsidRDefault="00C26557" w:rsidP="00183208">
      <w:pPr>
        <w:pStyle w:val="BRNormal"/>
      </w:pPr>
      <w:r>
        <w:t xml:space="preserve">Hart el al. </w:t>
      </w:r>
      <w:r>
        <w:rPr>
          <w:noProof/>
        </w:rPr>
        <w:t>(2006)</w:t>
      </w:r>
      <w:r>
        <w:t xml:space="preserve"> note</w:t>
      </w:r>
      <w:r w:rsidR="005C1350">
        <w:t>d</w:t>
      </w:r>
      <w:r>
        <w:t xml:space="preserve"> that their laboratory measurements of vertical hydraulic conductivity in a shale aquitard </w:t>
      </w:r>
      <w:r w:rsidR="005C1350">
        <w:t>was</w:t>
      </w:r>
      <w:r>
        <w:t xml:space="preserve"> one to three orders of magnitude lower than the values needed for the same unit to calibrate flow in their regiona</w:t>
      </w:r>
      <w:r w:rsidR="00183208">
        <w:t xml:space="preserve">l-scale numerical simulations. </w:t>
      </w:r>
      <w:r>
        <w:t>The bulk vertical hydraulic conductivity of the shale could be increased from laboratory values to model estimates by:</w:t>
      </w:r>
      <w:r w:rsidR="005C1350">
        <w:t xml:space="preserve"> (i) 50 micron fractures spaced 5 </w:t>
      </w:r>
      <w:r>
        <w:t>km apart that extend the ent</w:t>
      </w:r>
      <w:r w:rsidR="005C1350">
        <w:t>ire thickness of the shale, or (ii</w:t>
      </w:r>
      <w:r>
        <w:t>) 50 wells of 0.1 m radius through the sha</w:t>
      </w:r>
      <w:r w:rsidR="005C1350">
        <w:t>le and evenly spaced by 10 </w:t>
      </w:r>
      <w:r w:rsidR="00183208">
        <w:t xml:space="preserve">km. </w:t>
      </w:r>
      <w:r>
        <w:t>In both cases, it is clear that i</w:t>
      </w:r>
      <w:r w:rsidR="00A1594C">
        <w:t>t</w:t>
      </w:r>
      <w:r>
        <w:t xml:space="preserve"> only takes a few small preferential pathways to have a significant impact o</w:t>
      </w:r>
      <w:r w:rsidR="00183208">
        <w:t xml:space="preserve">n permeability of an aquitard. </w:t>
      </w:r>
      <w:r w:rsidR="003614FB" w:rsidRPr="009C28DE">
        <w:t xml:space="preserve">Unfortunately, the </w:t>
      </w:r>
      <w:r w:rsidR="00A1594C" w:rsidRPr="009C28DE">
        <w:t xml:space="preserve">extent and </w:t>
      </w:r>
      <w:r w:rsidR="003614FB" w:rsidRPr="009C28DE">
        <w:t>quality of data from well records</w:t>
      </w:r>
      <w:r w:rsidR="00B04AF6" w:rsidRPr="009C28DE">
        <w:t xml:space="preserve"> </w:t>
      </w:r>
      <w:r w:rsidR="003614FB" w:rsidRPr="009C28DE">
        <w:t>(location, construction details, geology, etc.)</w:t>
      </w:r>
      <w:r w:rsidR="00B04AF6" w:rsidRPr="009C28DE">
        <w:t xml:space="preserve"> i</w:t>
      </w:r>
      <w:r w:rsidR="008849A7" w:rsidRPr="009C28DE">
        <w:t xml:space="preserve">s not always sufficient to determine their </w:t>
      </w:r>
      <w:r w:rsidRPr="009C28DE">
        <w:t>contribution</w:t>
      </w:r>
      <w:r>
        <w:t xml:space="preserve"> to increased aquitard permeability</w:t>
      </w:r>
      <w:r w:rsidR="00183208">
        <w:t xml:space="preserve">. </w:t>
      </w:r>
      <w:r w:rsidR="008849A7">
        <w:t>Rather, this</w:t>
      </w:r>
      <w:r>
        <w:t xml:space="preserve"> is often postulated in groundwater studies but cannot be definitively distinguished from other forms of preferential pathways </w:t>
      </w:r>
      <w:r w:rsidR="00183208">
        <w:rPr>
          <w:noProof/>
        </w:rPr>
        <w:t>(Hart et al.</w:t>
      </w:r>
      <w:r>
        <w:rPr>
          <w:noProof/>
        </w:rPr>
        <w:t xml:space="preserve"> 2006)</w:t>
      </w:r>
      <w:r>
        <w:t xml:space="preserve">. Numerous analytical models have been developed to help estimate the influence of borehole leakage effects on pressure responses and solute transport </w:t>
      </w:r>
      <w:r>
        <w:rPr>
          <w:noProof/>
        </w:rPr>
        <w:t xml:space="preserve">(e.g. </w:t>
      </w:r>
      <w:r w:rsidR="00183208">
        <w:rPr>
          <w:noProof/>
        </w:rPr>
        <w:t>Celia et al. 2011; Cihan et al. 2011; Javandel et al. 1988</w:t>
      </w:r>
      <w:r>
        <w:rPr>
          <w:noProof/>
        </w:rPr>
        <w:t>)</w:t>
      </w:r>
      <w:r>
        <w:t>.</w:t>
      </w:r>
    </w:p>
    <w:p w:rsidR="00C26557" w:rsidRDefault="00C26557" w:rsidP="00183208">
      <w:pPr>
        <w:pStyle w:val="BRNormal"/>
      </w:pPr>
      <w:r>
        <w:t>Improper construction of new wells also increases the risk o</w:t>
      </w:r>
      <w:r w:rsidR="00B16A85">
        <w:t xml:space="preserve">f reducing aquitard integrity. </w:t>
      </w:r>
      <w:r>
        <w:t xml:space="preserve">There is also concern about the performance of existing wells given the integrity of steel casing over time, changes in grouting technologies and previous regulations or lack thereof </w:t>
      </w:r>
      <w:r>
        <w:rPr>
          <w:noProof/>
        </w:rPr>
        <w:t xml:space="preserve">(Watson </w:t>
      </w:r>
      <w:r w:rsidR="00C72CD1">
        <w:rPr>
          <w:noProof/>
        </w:rPr>
        <w:t>&amp; Bachu</w:t>
      </w:r>
      <w:r>
        <w:rPr>
          <w:noProof/>
        </w:rPr>
        <w:t xml:space="preserve"> 2009)</w:t>
      </w:r>
      <w:r w:rsidR="00B16A85">
        <w:t xml:space="preserve">. </w:t>
      </w:r>
      <w:r>
        <w:t>Grout is used to fill and seal the annular space between the drilled hole and the we</w:t>
      </w:r>
      <w:r w:rsidR="005C1350">
        <w:t>ll casing and to fill and ‘plug’</w:t>
      </w:r>
      <w:r>
        <w:t xml:space="preserve"> the well in the </w:t>
      </w:r>
      <w:r w:rsidR="00B16A85">
        <w:t xml:space="preserve">case of a decommissioned well. </w:t>
      </w:r>
      <w:r>
        <w:t>An ideal seal would be one that serves to maintain the subsurface conditions as if the well were not even</w:t>
      </w:r>
      <w:r w:rsidR="00B16A85">
        <w:t xml:space="preserve"> there. </w:t>
      </w:r>
      <w:r>
        <w:t>Grout is typically a mix of cement, bentonite clay and water – the ratios of which determine its hydraulic, strength an</w:t>
      </w:r>
      <w:r w:rsidR="00B16A85">
        <w:t xml:space="preserve">d deformation characteristics. </w:t>
      </w:r>
      <w:r>
        <w:t>Grouts, like aquitard materials, are not impervious by nature but can ideally be appropriately d</w:t>
      </w:r>
      <w:r w:rsidR="00B16A85">
        <w:t xml:space="preserve">esigned for the application. </w:t>
      </w:r>
      <w:r>
        <w:t>In practice, cement bond logs can be used to interpret the integrity of the grout seal in the annulus around the well casing during construction.</w:t>
      </w:r>
    </w:p>
    <w:p w:rsidR="00C26557" w:rsidRDefault="00C26557" w:rsidP="00C72CD1">
      <w:pPr>
        <w:pStyle w:val="BRNormal"/>
      </w:pPr>
      <w:r>
        <w:t xml:space="preserve">The Nebraska Grout Study </w:t>
      </w:r>
      <w:r w:rsidR="00C72CD1">
        <w:rPr>
          <w:noProof/>
        </w:rPr>
        <w:t>(Lackey et al. 2009; Ross</w:t>
      </w:r>
      <w:r>
        <w:rPr>
          <w:noProof/>
        </w:rPr>
        <w:t xml:space="preserve"> 2010)</w:t>
      </w:r>
      <w:r>
        <w:t xml:space="preserve"> was the first of its kind to rigorously evaluate the performance of various grouting methods used in domestic well </w:t>
      </w:r>
      <w:r w:rsidR="00C72CD1">
        <w:t xml:space="preserve">construction in Nebraska, US. </w:t>
      </w:r>
      <w:r>
        <w:t>Between 2001 and 2007, 63 observation wells located at five sites were constructed under the guidance of representatives from the Nebraska Well Drillers Association, the Nebraska Department of Health and Human Services, the Conservation and Survey Division, the Nebraska Department of Environmental Quality,</w:t>
      </w:r>
      <w:r w:rsidR="00C72CD1">
        <w:t xml:space="preserve"> and industry grout suppliers. </w:t>
      </w:r>
      <w:r>
        <w:t>The goal wa</w:t>
      </w:r>
      <w:r w:rsidR="005C1350">
        <w:t>s to make the ‘</w:t>
      </w:r>
      <w:r w:rsidR="00C72CD1">
        <w:t>ultimate well</w:t>
      </w:r>
      <w:r w:rsidR="005C1350">
        <w:t>’</w:t>
      </w:r>
      <w:r w:rsidR="00C72CD1">
        <w:t xml:space="preserve">. </w:t>
      </w:r>
      <w:r>
        <w:t>Wells were constructed to certain specifications u</w:t>
      </w:r>
      <w:r w:rsidR="00C72CD1">
        <w:t xml:space="preserve">sing different grout mixtures. </w:t>
      </w:r>
      <w:r>
        <w:t xml:space="preserve">Clear PVC casing was used to allow for observations to be </w:t>
      </w:r>
      <w:r w:rsidR="00C72CD1">
        <w:t xml:space="preserve">made from within the borehole. </w:t>
      </w:r>
      <w:r>
        <w:t xml:space="preserve">Video surveys of the grout were performed on a regular basis and were also used during dye tests conducted two </w:t>
      </w:r>
      <w:r w:rsidR="00C72CD1">
        <w:t xml:space="preserve">years after well construction. </w:t>
      </w:r>
      <w:r>
        <w:t>In short, the tests showed that the grouts performed worse than expected in the unsaturated zone due to the formation of voids and preferential pathways (the most important place to prevent surface contamination from short-ci</w:t>
      </w:r>
      <w:r w:rsidR="00C72CD1">
        <w:t xml:space="preserve">rcuiting into the subsurface). </w:t>
      </w:r>
      <w:r>
        <w:t>In general, grouts performed as expected below the water table.</w:t>
      </w:r>
    </w:p>
    <w:p w:rsidR="00C26557" w:rsidRDefault="00C26557" w:rsidP="00C72CD1">
      <w:pPr>
        <w:pStyle w:val="BRNormal"/>
      </w:pPr>
      <w:r>
        <w:t>In conclusion, the drastic difference in hydraulic conductivity between wells and geologic media results in only a few, small-diameter boreholes through an aquitard being needed to significantly increase its bulk ve</w:t>
      </w:r>
      <w:r w:rsidR="00C72CD1">
        <w:t xml:space="preserve">rtical hydraulic conductivity. </w:t>
      </w:r>
      <w:r>
        <w:t>Similarly, leaky grout seals my acts as preferential flow paths from the su</w:t>
      </w:r>
      <w:r w:rsidR="00C72CD1">
        <w:t xml:space="preserve">rface and/or between aquifers. </w:t>
      </w:r>
      <w:r>
        <w:t xml:space="preserve">The establishment </w:t>
      </w:r>
      <w:r>
        <w:lastRenderedPageBreak/>
        <w:t xml:space="preserve">of best practices and regulations will help to mitigate some of the associated problems with wells needed for large-scale hydrocarbon extraction </w:t>
      </w:r>
      <w:r w:rsidR="00C72CD1">
        <w:t>and co</w:t>
      </w:r>
      <w:r w:rsidR="00CF78C5">
        <w:t>-</w:t>
      </w:r>
      <w:r w:rsidR="00C72CD1">
        <w:t xml:space="preserve">produced water disposal. </w:t>
      </w:r>
      <w:r>
        <w:t xml:space="preserve">However, as the Nebraska Grout Study </w:t>
      </w:r>
      <w:r w:rsidR="00C72CD1">
        <w:rPr>
          <w:noProof/>
        </w:rPr>
        <w:t>(Lackey et al.</w:t>
      </w:r>
      <w:r>
        <w:rPr>
          <w:noProof/>
        </w:rPr>
        <w:t xml:space="preserve"> 2009)</w:t>
      </w:r>
      <w:r>
        <w:t xml:space="preserve"> showed, grout technologies are still developing and there is a lack of data to validat</w:t>
      </w:r>
      <w:r w:rsidR="00C72CD1">
        <w:t xml:space="preserve">e their long-term performance. </w:t>
      </w:r>
      <w:r>
        <w:t>These issues in combination with the proposed density of coal seam gas extraction wells (and potentially co</w:t>
      </w:r>
      <w:r w:rsidR="008849A7">
        <w:t>-</w:t>
      </w:r>
      <w:r>
        <w:t xml:space="preserve">produced water injection wells) being installed by different operators increases the uncertainty of changes in aquifer connectivity </w:t>
      </w:r>
      <w:r w:rsidR="00C72CD1">
        <w:t xml:space="preserve">both syn- and post-production. </w:t>
      </w:r>
      <w:r w:rsidR="00FB5A67">
        <w:t>Publically available</w:t>
      </w:r>
      <w:r>
        <w:t xml:space="preserve"> </w:t>
      </w:r>
      <w:r w:rsidR="008849A7">
        <w:t xml:space="preserve">bore integrity information, such as </w:t>
      </w:r>
      <w:r>
        <w:t>cement bond logs</w:t>
      </w:r>
      <w:r w:rsidR="008849A7">
        <w:t>,</w:t>
      </w:r>
      <w:r>
        <w:t xml:space="preserve"> would be useful for investigati</w:t>
      </w:r>
      <w:r w:rsidR="008849A7">
        <w:t>ng and</w:t>
      </w:r>
      <w:r>
        <w:t xml:space="preserve"> evaluating changes in aquifer connectivity due to leaky grout seals.</w:t>
      </w:r>
    </w:p>
    <w:p w:rsidR="00C26557" w:rsidRDefault="00C72CD1" w:rsidP="005F6513">
      <w:pPr>
        <w:pStyle w:val="Heading2"/>
      </w:pPr>
      <w:bookmarkStart w:id="543" w:name="_Toc207854833"/>
      <w:bookmarkStart w:id="544" w:name="_Toc333488969"/>
      <w:bookmarkStart w:id="545" w:name="_Toc381961116"/>
      <w:bookmarkStart w:id="546" w:name="_Toc389055229"/>
      <w:r>
        <w:t>Discussion and c</w:t>
      </w:r>
      <w:r w:rsidR="00C26557">
        <w:t>onclusions</w:t>
      </w:r>
      <w:bookmarkEnd w:id="543"/>
      <w:bookmarkEnd w:id="544"/>
      <w:bookmarkEnd w:id="545"/>
      <w:bookmarkEnd w:id="546"/>
    </w:p>
    <w:p w:rsidR="00C26557" w:rsidRDefault="00C26557" w:rsidP="00C72CD1">
      <w:pPr>
        <w:pStyle w:val="BRNormal"/>
      </w:pPr>
      <w:r>
        <w:t>This chapter highlighted the significant contribution that natural (</w:t>
      </w:r>
      <w:r w:rsidR="005C1350">
        <w:t xml:space="preserve">i.e. </w:t>
      </w:r>
      <w:r>
        <w:t>fractures and faults) and manmade (</w:t>
      </w:r>
      <w:r w:rsidR="005C1350">
        <w:t xml:space="preserve">i.e. </w:t>
      </w:r>
      <w:r>
        <w:t>boreholes) structures can make to increasing aquifer connectivity because they can act as preferential pathways for f</w:t>
      </w:r>
      <w:r w:rsidR="00C72CD1">
        <w:t xml:space="preserve">low and contaminant transport. </w:t>
      </w:r>
      <w:r>
        <w:t>An overview of mechanical deformation mechanisms and hydraulic</w:t>
      </w:r>
      <w:r w:rsidR="00C72CD1">
        <w:t xml:space="preserve"> fracturing were also provided.</w:t>
      </w:r>
      <w:r>
        <w:t xml:space="preserve"> The hydraulic characterisation of natural fracture networks at all scales is challenging </w:t>
      </w:r>
      <w:r w:rsidR="005C1350">
        <w:t>as</w:t>
      </w:r>
      <w:r>
        <w:t xml:space="preserve"> their loc</w:t>
      </w:r>
      <w:r w:rsidR="00C72CD1">
        <w:t xml:space="preserve">ations are not easy to predict. </w:t>
      </w:r>
      <w:r>
        <w:t>The same degree of difficulty would be incurred when assessing changes in aquifer connectivity from coal seam gas and coal mining operations since most of the induced fractures are propagated extensions of the natural fracture network.</w:t>
      </w:r>
    </w:p>
    <w:p w:rsidR="00C26557" w:rsidRDefault="00C26557" w:rsidP="00C72CD1">
      <w:pPr>
        <w:pStyle w:val="BRNormal"/>
      </w:pPr>
      <w:r>
        <w:t xml:space="preserve">The NRC </w:t>
      </w:r>
      <w:r>
        <w:rPr>
          <w:noProof/>
        </w:rPr>
        <w:t>(2010)</w:t>
      </w:r>
      <w:r>
        <w:t xml:space="preserve"> </w:t>
      </w:r>
      <w:r w:rsidR="005C1350">
        <w:t xml:space="preserve">report highlights ‘connectivity’ in this context as a </w:t>
      </w:r>
      <w:r>
        <w:t>ma</w:t>
      </w:r>
      <w:r w:rsidR="005C1350">
        <w:t>jor data gap and uncertainty.</w:t>
      </w:r>
      <w:r w:rsidR="00C72CD1">
        <w:t xml:space="preserve"> </w:t>
      </w:r>
      <w:r>
        <w:t>The research and findings summarised in this chapter support this conclusion and reiterate the</w:t>
      </w:r>
      <w:r w:rsidR="005C1350">
        <w:t xml:space="preserve"> same for the consideration of </w:t>
      </w:r>
      <w:r>
        <w:t>cha</w:t>
      </w:r>
      <w:r w:rsidR="005C1350">
        <w:t>nges in aquifer connectivity.</w:t>
      </w:r>
      <w:r w:rsidR="00C72CD1">
        <w:t xml:space="preserve"> </w:t>
      </w:r>
      <w:r>
        <w:t>Part</w:t>
      </w:r>
      <w:r w:rsidR="005C1350">
        <w:t xml:space="preserve"> of this is due to the typical ‘model rich, data poor’</w:t>
      </w:r>
      <w:r>
        <w:t xml:space="preserve"> issues ofte</w:t>
      </w:r>
      <w:r w:rsidR="00C72CD1">
        <w:t xml:space="preserve">n faced in hydrologic studies. </w:t>
      </w:r>
      <w:r>
        <w:t xml:space="preserve">The lack of consideration for deformation mechanisms in groundwater modelling noted by Botha and Cloot </w:t>
      </w:r>
      <w:r>
        <w:rPr>
          <w:noProof/>
        </w:rPr>
        <w:t>(2004)</w:t>
      </w:r>
      <w:r>
        <w:t xml:space="preserve"> suggests that</w:t>
      </w:r>
      <w:r w:rsidR="00CD56AF">
        <w:t xml:space="preserve"> the science might actually be ‘model poor, data poor’</w:t>
      </w:r>
      <w:r>
        <w:t xml:space="preserve"> in this respect.</w:t>
      </w:r>
    </w:p>
    <w:p w:rsidR="00C26557" w:rsidRDefault="00C26557" w:rsidP="00C72CD1">
      <w:pPr>
        <w:pStyle w:val="BRNormal"/>
      </w:pPr>
      <w:r>
        <w:t>As demonstrated, aquifer connectivity, expressed in terms of flux, can change from natural conditions solely by ch</w:t>
      </w:r>
      <w:r w:rsidR="00C72CD1">
        <w:t xml:space="preserve">anging the hydraulic gradient. </w:t>
      </w:r>
      <w:r>
        <w:t>Mine dewater</w:t>
      </w:r>
      <w:r w:rsidR="00CD56AF">
        <w:t>ing, coal seam depressurisation</w:t>
      </w:r>
      <w:r>
        <w:t xml:space="preserve"> and co</w:t>
      </w:r>
      <w:r w:rsidR="00CF78C5">
        <w:t>-</w:t>
      </w:r>
      <w:r>
        <w:t xml:space="preserve">produced water reinjection are all examples of how this could be </w:t>
      </w:r>
      <w:r w:rsidR="00C72CD1">
        <w:t xml:space="preserve">achieved in the given context. </w:t>
      </w:r>
      <w:r>
        <w:t>Uncertainty lies in what happens to the natural system as operations come online over time (</w:t>
      </w:r>
      <w:r w:rsidR="00CD56AF">
        <w:t xml:space="preserve">i.e. </w:t>
      </w:r>
      <w:r>
        <w:t>cumulative impact) and after the resources have been exhausted and the infrastructure is decommissioned. This is particularly the case for the situation where aquifer connectivity has been enhanced by the creation of new preferential pathways (</w:t>
      </w:r>
      <w:r w:rsidR="00CD56AF">
        <w:t xml:space="preserve">i.e. </w:t>
      </w:r>
      <w:r>
        <w:t>fractures in aquitards, leaking borehole seals, reactivated faults, etc.) that will re</w:t>
      </w:r>
      <w:r w:rsidR="00C72CD1">
        <w:t xml:space="preserve">main in place post-production. </w:t>
      </w:r>
      <w:r>
        <w:t xml:space="preserve">Finally, a better understanding of the interplay between changing hydraulic conditions, in situ stress, mechanical deformation, fluid properties and hydrogeologic characteristics and the subsequent implications for changes in aquifer connectivity is needed. </w:t>
      </w:r>
    </w:p>
    <w:p w:rsidR="00C26557" w:rsidRDefault="00C26557" w:rsidP="001C3374">
      <w:pPr>
        <w:rPr>
          <w:rFonts w:ascii="Calibri" w:hAnsi="Calibri" w:cs="Calibri"/>
          <w:sz w:val="18"/>
          <w:szCs w:val="18"/>
        </w:rPr>
      </w:pPr>
      <w:r>
        <w:br w:type="page"/>
      </w:r>
    </w:p>
    <w:p w:rsidR="00DD07AF" w:rsidRDefault="00DD07AF" w:rsidP="005F6513">
      <w:pPr>
        <w:pStyle w:val="Heading1"/>
      </w:pPr>
      <w:bookmarkStart w:id="547" w:name="_Toc381961117"/>
      <w:bookmarkStart w:id="548" w:name="_Toc389055230"/>
      <w:bookmarkStart w:id="549" w:name="_Toc332180052"/>
      <w:r>
        <w:lastRenderedPageBreak/>
        <w:t>Aquifer connectivity in the Great Artesian Basin</w:t>
      </w:r>
      <w:bookmarkEnd w:id="547"/>
      <w:bookmarkEnd w:id="548"/>
    </w:p>
    <w:p w:rsidR="00DD07AF" w:rsidRPr="00302084" w:rsidRDefault="00DD07AF" w:rsidP="005F6513">
      <w:pPr>
        <w:pStyle w:val="Heading2"/>
      </w:pPr>
      <w:bookmarkStart w:id="550" w:name="_Toc381961118"/>
      <w:bookmarkStart w:id="551" w:name="_Toc389055231"/>
      <w:r w:rsidRPr="00302084">
        <w:t>Introduction</w:t>
      </w:r>
      <w:bookmarkEnd w:id="549"/>
      <w:bookmarkEnd w:id="550"/>
      <w:bookmarkEnd w:id="551"/>
    </w:p>
    <w:p w:rsidR="00DD07AF" w:rsidRDefault="00DD07AF" w:rsidP="00C72CD1">
      <w:pPr>
        <w:pStyle w:val="BRNormal"/>
      </w:pPr>
      <w:r w:rsidRPr="00302084">
        <w:t xml:space="preserve">The </w:t>
      </w:r>
      <w:r>
        <w:t>GAB</w:t>
      </w:r>
      <w:r w:rsidRPr="00302084">
        <w:t xml:space="preserve"> is a complex </w:t>
      </w:r>
      <w:r>
        <w:t xml:space="preserve">hydrogeological </w:t>
      </w:r>
      <w:r w:rsidRPr="00302084">
        <w:t>system of aquifers and aquitards of mostly continental Jurassic and Cretaceous deposits stretching across the arid and semi-arid interior of Queensland, New South Wales, South Australia and the Northern Territory</w:t>
      </w:r>
      <w:r w:rsidR="003B42BA">
        <w:t xml:space="preserve"> (Figure</w:t>
      </w:r>
      <w:r w:rsidR="002E7ECD">
        <w:t> </w:t>
      </w:r>
      <w:r w:rsidR="003B42BA">
        <w:t>1)</w:t>
      </w:r>
      <w:r w:rsidRPr="00302084">
        <w:t>.</w:t>
      </w:r>
      <w:r w:rsidRPr="00272992">
        <w:t xml:space="preserve"> </w:t>
      </w:r>
    </w:p>
    <w:p w:rsidR="00DD07AF" w:rsidRDefault="00DD07AF" w:rsidP="00C72CD1">
      <w:pPr>
        <w:pStyle w:val="BRNormal"/>
      </w:pPr>
      <w:r w:rsidRPr="0098505A">
        <w:t xml:space="preserve">The GAB </w:t>
      </w:r>
      <w:r w:rsidR="008A3429">
        <w:t>is a</w:t>
      </w:r>
      <w:r w:rsidR="00A14DC2">
        <w:t xml:space="preserve"> groundwater</w:t>
      </w:r>
      <w:r w:rsidR="008A3429">
        <w:t xml:space="preserve"> basin</w:t>
      </w:r>
      <w:r w:rsidR="00A14DC2">
        <w:t>, with its boundaries defined by groundwater conditions as well as g</w:t>
      </w:r>
      <w:r w:rsidR="00C72CD1">
        <w:t>eology (Smerdon et al.</w:t>
      </w:r>
      <w:r w:rsidR="00A14DC2">
        <w:t xml:space="preserve"> 2012). It</w:t>
      </w:r>
      <w:r w:rsidR="008A3429">
        <w:t xml:space="preserve"> </w:t>
      </w:r>
      <w:r w:rsidR="002B7FA6">
        <w:t>encompasses</w:t>
      </w:r>
      <w:r w:rsidRPr="0098505A">
        <w:t xml:space="preserve"> several geological basins which are </w:t>
      </w:r>
      <w:r>
        <w:t xml:space="preserve">generally </w:t>
      </w:r>
      <w:r w:rsidRPr="0098505A">
        <w:t xml:space="preserve">separated from each other </w:t>
      </w:r>
      <w:r>
        <w:t>by</w:t>
      </w:r>
      <w:r w:rsidRPr="0098505A">
        <w:t xml:space="preserve"> </w:t>
      </w:r>
      <w:r>
        <w:t xml:space="preserve">major geological structures (e.g. arches, </w:t>
      </w:r>
      <w:r w:rsidRPr="0098505A">
        <w:t>rises or ridges</w:t>
      </w:r>
      <w:r>
        <w:t>)</w:t>
      </w:r>
      <w:r w:rsidRPr="0098505A">
        <w:t xml:space="preserve"> (Fig</w:t>
      </w:r>
      <w:r>
        <w:t>ure</w:t>
      </w:r>
      <w:r w:rsidRPr="0098505A">
        <w:t xml:space="preserve"> </w:t>
      </w:r>
      <w:r w:rsidR="00526F71">
        <w:t>14</w:t>
      </w:r>
      <w:r w:rsidRPr="0098505A">
        <w:t xml:space="preserve">). The most important </w:t>
      </w:r>
      <w:r>
        <w:t xml:space="preserve">geological </w:t>
      </w:r>
      <w:r w:rsidRPr="0098505A">
        <w:t xml:space="preserve">basins in the GAB are the </w:t>
      </w:r>
      <w:r>
        <w:t>c</w:t>
      </w:r>
      <w:r w:rsidRPr="0098505A">
        <w:t>entral</w:t>
      </w:r>
      <w:r>
        <w:t xml:space="preserve">ly-located </w:t>
      </w:r>
      <w:r w:rsidRPr="0098505A">
        <w:t xml:space="preserve">Eromanga </w:t>
      </w:r>
      <w:r>
        <w:t>Basin</w:t>
      </w:r>
      <w:r w:rsidRPr="0098505A">
        <w:t xml:space="preserve">, the Carpentaria </w:t>
      </w:r>
      <w:r>
        <w:t>B</w:t>
      </w:r>
      <w:r w:rsidRPr="0098505A">
        <w:t>asin in the north and the Surat Basin in the east. The most eastern part of the GAB is the Clarence-Moreton Basin. The upper and lower stratigraphic boundaries of t</w:t>
      </w:r>
      <w:r w:rsidR="003B42BA">
        <w:t>he GAB are major unconformities (</w:t>
      </w:r>
      <w:r>
        <w:t xml:space="preserve">i.e. </w:t>
      </w:r>
      <w:r w:rsidRPr="0098505A">
        <w:t>prolonged periods of erosion without deposition of sediments</w:t>
      </w:r>
      <w:r w:rsidR="003B42BA">
        <w:t>)</w:t>
      </w:r>
      <w:r w:rsidRPr="0098505A">
        <w:t xml:space="preserve">. </w:t>
      </w:r>
    </w:p>
    <w:p w:rsidR="00960B67" w:rsidRPr="0098505A" w:rsidRDefault="00960B67" w:rsidP="00C72CD1">
      <w:pPr>
        <w:pStyle w:val="BRNormal"/>
      </w:pPr>
      <w:r w:rsidRPr="0098505A">
        <w:t>As these basins were situated on the Eastern Plate boundary of Australia during the Mesozoic era, it is not surprising that</w:t>
      </w:r>
      <w:r>
        <w:t xml:space="preserve"> </w:t>
      </w:r>
      <w:r w:rsidRPr="0098505A">
        <w:t xml:space="preserve">the depositional and tectonic evolution </w:t>
      </w:r>
      <w:r>
        <w:t>of</w:t>
      </w:r>
      <w:r w:rsidRPr="0098505A">
        <w:t xml:space="preserve"> these basins is very similar. There are however distinct differences in</w:t>
      </w:r>
      <w:r>
        <w:t xml:space="preserve"> the</w:t>
      </w:r>
      <w:r w:rsidRPr="0098505A">
        <w:t xml:space="preserve"> timing of subsidence, sedimentation and uplift between the basins</w:t>
      </w:r>
      <w:r w:rsidR="003B42BA">
        <w:t>,</w:t>
      </w:r>
      <w:r w:rsidRPr="0098505A">
        <w:t xml:space="preserve"> which are mostly due to structural features </w:t>
      </w:r>
      <w:r>
        <w:t>inherited</w:t>
      </w:r>
      <w:r w:rsidRPr="0098505A">
        <w:t xml:space="preserve"> from the underlying basins</w:t>
      </w:r>
      <w:r w:rsidR="00C72CD1">
        <w:t xml:space="preserve"> (CSIRO 2012a; CSIRO 2012</w:t>
      </w:r>
      <w:r>
        <w:t>b</w:t>
      </w:r>
      <w:r w:rsidR="00C72CD1">
        <w:t>; CSIRO 2012</w:t>
      </w:r>
      <w:r w:rsidR="00167E75">
        <w:t>c</w:t>
      </w:r>
      <w:r>
        <w:t>)</w:t>
      </w:r>
      <w:r w:rsidRPr="0098505A">
        <w:t>.</w:t>
      </w:r>
    </w:p>
    <w:p w:rsidR="00960B67" w:rsidRPr="0098505A" w:rsidRDefault="00960B67" w:rsidP="00C72CD1">
      <w:pPr>
        <w:pStyle w:val="BRNormal"/>
      </w:pPr>
      <w:r w:rsidRPr="0098505A">
        <w:t xml:space="preserve">Traditionally, some of these older underlying basins, such as the </w:t>
      </w:r>
      <w:r w:rsidR="001D7247">
        <w:t>Permien</w:t>
      </w:r>
      <w:r w:rsidR="001D7247" w:rsidRPr="0098505A">
        <w:t xml:space="preserve"> </w:t>
      </w:r>
      <w:r w:rsidR="003B42BA">
        <w:t>age Galilee Basin and Bowen B</w:t>
      </w:r>
      <w:r>
        <w:t>asin</w:t>
      </w:r>
      <w:r w:rsidRPr="0098505A">
        <w:t>, were considered as integral part</w:t>
      </w:r>
      <w:r>
        <w:t>s</w:t>
      </w:r>
      <w:r w:rsidR="00DE637B">
        <w:t xml:space="preserve"> of the GAB (Habermehl</w:t>
      </w:r>
      <w:r w:rsidRPr="0098505A">
        <w:t xml:space="preserve"> 1980), mostly because of the good hydraulic connection with </w:t>
      </w:r>
      <w:r>
        <w:t xml:space="preserve">some sections </w:t>
      </w:r>
      <w:r w:rsidRPr="0098505A">
        <w:t>of the GAB. In this study</w:t>
      </w:r>
      <w:r w:rsidR="008A3429">
        <w:t>,</w:t>
      </w:r>
      <w:r w:rsidRPr="0098505A">
        <w:t xml:space="preserve"> </w:t>
      </w:r>
      <w:r w:rsidR="00F84E73">
        <w:t>for</w:t>
      </w:r>
      <w:r w:rsidR="00F84E73" w:rsidRPr="0098505A">
        <w:t xml:space="preserve"> </w:t>
      </w:r>
      <w:r w:rsidR="00F84E73">
        <w:t>modelling purposes</w:t>
      </w:r>
      <w:r w:rsidR="003B42BA">
        <w:t>,</w:t>
      </w:r>
      <w:r w:rsidR="00F84E73">
        <w:t xml:space="preserve"> the</w:t>
      </w:r>
      <w:r w:rsidRPr="0098505A">
        <w:t xml:space="preserve"> GAB </w:t>
      </w:r>
      <w:r w:rsidR="00F84E73">
        <w:t>assessment has focu</w:t>
      </w:r>
      <w:r w:rsidR="001F21BF">
        <w:t>s</w:t>
      </w:r>
      <w:r w:rsidR="00F84E73">
        <w:t xml:space="preserve">ed on aquifers of the </w:t>
      </w:r>
      <w:r w:rsidRPr="0098505A">
        <w:t xml:space="preserve">Jurassic and Cretaceous </w:t>
      </w:r>
      <w:r w:rsidR="00F84E73">
        <w:t>period</w:t>
      </w:r>
      <w:r w:rsidR="00F114D6">
        <w:t>,</w:t>
      </w:r>
      <w:r w:rsidR="00F84E73">
        <w:t xml:space="preserve"> which comprise the major part of the GAB and</w:t>
      </w:r>
      <w:r w:rsidR="00F114D6">
        <w:t xml:space="preserve"> are present across the entire B</w:t>
      </w:r>
      <w:r w:rsidR="00F84E73">
        <w:t>asin</w:t>
      </w:r>
      <w:r w:rsidRPr="0098505A">
        <w:t xml:space="preserve"> (</w:t>
      </w:r>
      <w:r w:rsidR="00DE637B">
        <w:t>CSIRO 2012a; CSIRO 2012b; CSIRO 2012c</w:t>
      </w:r>
      <w:r w:rsidRPr="0098505A">
        <w:t>).</w:t>
      </w:r>
      <w:r w:rsidR="005D7701">
        <w:t xml:space="preserve"> Other geological formations within the GAB, such as certain Tria</w:t>
      </w:r>
      <w:r w:rsidR="00880755">
        <w:t>ssic sediments may represent significant groundwater resources and are managed under the Queensland GAB Water Resource Plan</w:t>
      </w:r>
      <w:r w:rsidR="00DE637B">
        <w:t xml:space="preserve"> </w:t>
      </w:r>
      <w:r w:rsidR="00DE35D6">
        <w:t>(</w:t>
      </w:r>
      <w:r w:rsidR="00254550">
        <w:t>DNRM 2014</w:t>
      </w:r>
      <w:r w:rsidR="00AE02EF">
        <w:t>a</w:t>
      </w:r>
      <w:r w:rsidR="00DE35D6">
        <w:t>).</w:t>
      </w:r>
      <w:r w:rsidR="00880755" w:rsidRPr="00880755">
        <w:t xml:space="preserve"> </w:t>
      </w:r>
    </w:p>
    <w:p w:rsidR="00960B67" w:rsidRPr="0098505A" w:rsidRDefault="00960B67" w:rsidP="00021A8D">
      <w:pPr>
        <w:pStyle w:val="BRNormal"/>
      </w:pPr>
      <w:r w:rsidRPr="0098505A">
        <w:t xml:space="preserve">This </w:t>
      </w:r>
      <w:r w:rsidR="00F114D6">
        <w:t>chapter</w:t>
      </w:r>
      <w:r w:rsidRPr="0098505A">
        <w:t xml:space="preserve"> will </w:t>
      </w:r>
      <w:r w:rsidR="00F114D6">
        <w:t>describe</w:t>
      </w:r>
      <w:r w:rsidRPr="0098505A">
        <w:t xml:space="preserve"> the GAB, </w:t>
      </w:r>
      <w:r w:rsidRPr="00526F71">
        <w:t xml:space="preserve">while chapter 7 and </w:t>
      </w:r>
      <w:r w:rsidR="00F114D6">
        <w:t xml:space="preserve">chapter </w:t>
      </w:r>
      <w:r w:rsidRPr="00526F71">
        <w:t xml:space="preserve">8 describe in detail the aquifer connectivity </w:t>
      </w:r>
      <w:r w:rsidR="008A3429" w:rsidRPr="00526F71">
        <w:t>with and with</w:t>
      </w:r>
      <w:r w:rsidR="00F114D6">
        <w:t>in the Galilee and Bowen B</w:t>
      </w:r>
      <w:r w:rsidRPr="00526F71">
        <w:t xml:space="preserve">asins. </w:t>
      </w:r>
      <w:r w:rsidR="00F114D6">
        <w:t>T</w:t>
      </w:r>
      <w:r w:rsidR="00F114D6" w:rsidRPr="00526F71">
        <w:t>he Surat Basin</w:t>
      </w:r>
      <w:r w:rsidR="00F114D6">
        <w:t>,</w:t>
      </w:r>
      <w:r w:rsidR="00F114D6" w:rsidRPr="00526F71">
        <w:t xml:space="preserve"> </w:t>
      </w:r>
      <w:r w:rsidR="00C3694D" w:rsidRPr="00526F71">
        <w:t>an</w:t>
      </w:r>
      <w:r w:rsidRPr="00526F71">
        <w:t xml:space="preserve"> integral part of the GAB</w:t>
      </w:r>
      <w:r w:rsidR="00F114D6">
        <w:t xml:space="preserve"> and a </w:t>
      </w:r>
      <w:r w:rsidR="00F114D6" w:rsidRPr="00526F71">
        <w:t>high potential for coal m</w:t>
      </w:r>
      <w:r w:rsidR="00F114D6" w:rsidRPr="0098505A">
        <w:t xml:space="preserve">ining and </w:t>
      </w:r>
      <w:r w:rsidR="00F114D6">
        <w:t>coal seam gas d</w:t>
      </w:r>
      <w:r w:rsidR="00F114D6" w:rsidRPr="0098505A">
        <w:t>evelopment</w:t>
      </w:r>
      <w:r w:rsidRPr="00526F71">
        <w:t xml:space="preserve">, will be </w:t>
      </w:r>
      <w:r w:rsidR="00F114D6">
        <w:t>described</w:t>
      </w:r>
      <w:r w:rsidRPr="00526F71">
        <w:t xml:space="preserve"> separately in more detail in chapter 6</w:t>
      </w:r>
      <w:r w:rsidRPr="0098505A">
        <w:t>.</w:t>
      </w:r>
    </w:p>
    <w:p w:rsidR="00960B67" w:rsidRPr="0098505A" w:rsidRDefault="00960B67" w:rsidP="00021A8D">
      <w:pPr>
        <w:pStyle w:val="BRNormal"/>
      </w:pPr>
      <w:r w:rsidRPr="0098505A">
        <w:t>To understand aquifer connectivity in the GAB and the potential impacts of CSG development or coal mining, it is essential to have a thorough understanding on how the geological evolution of the basin affects the stratigraphy and structural geology</w:t>
      </w:r>
      <w:r>
        <w:t xml:space="preserve"> (summarised below from CSIRO</w:t>
      </w:r>
      <w:r w:rsidR="00021A8D">
        <w:t xml:space="preserve"> (2012a), CSIRO (2012b) and CSIRO (2012c))</w:t>
      </w:r>
      <w:r w:rsidRPr="0098505A">
        <w:t>. After describing these, more attention will be devoted to the hydrogeological aspects related to aquifer connectivity such as the aquifer and aquitard hydraulic and geomechanical properties as well as the current understanding of recharge and hydrochemistry. An overview is also presented of current and past groundwater modelling of the GAB.</w:t>
      </w:r>
    </w:p>
    <w:p w:rsidR="00DD07AF" w:rsidRPr="00302084" w:rsidRDefault="00DD07AF" w:rsidP="001C3374">
      <w:r w:rsidRPr="00EB7411">
        <w:rPr>
          <w:noProof/>
          <w:lang w:val="en-AU" w:eastAsia="en-AU"/>
        </w:rPr>
        <w:lastRenderedPageBreak/>
        <w:drawing>
          <wp:inline distT="0" distB="0" distL="0" distR="0">
            <wp:extent cx="5760000" cy="6858000"/>
            <wp:effectExtent l="19050" t="0" r="0" b="0"/>
            <wp:docPr id="25" name="Picture 7" descr="GABWRA106-1"/>
            <wp:cNvGraphicFramePr/>
            <a:graphic xmlns:a="http://schemas.openxmlformats.org/drawingml/2006/main">
              <a:graphicData uri="http://schemas.openxmlformats.org/drawingml/2006/picture">
                <pic:pic xmlns:pic="http://schemas.openxmlformats.org/drawingml/2006/picture">
                  <pic:nvPicPr>
                    <pic:cNvPr id="3106" name="Picture 34" descr="GABWRA106-1"/>
                    <pic:cNvPicPr>
                      <a:picLocks noChangeAspect="1" noChangeArrowheads="1"/>
                    </pic:cNvPicPr>
                  </pic:nvPicPr>
                  <pic:blipFill>
                    <a:blip r:embed="rId40" cstate="email"/>
                    <a:srcRect/>
                    <a:stretch>
                      <a:fillRect/>
                    </a:stretch>
                  </pic:blipFill>
                  <pic:spPr bwMode="auto">
                    <a:xfrm>
                      <a:off x="0" y="0"/>
                      <a:ext cx="5760000" cy="6858000"/>
                    </a:xfrm>
                    <a:prstGeom prst="rect">
                      <a:avLst/>
                    </a:prstGeom>
                    <a:noFill/>
                  </pic:spPr>
                </pic:pic>
              </a:graphicData>
            </a:graphic>
          </wp:inline>
        </w:drawing>
      </w:r>
    </w:p>
    <w:p w:rsidR="00DD07AF" w:rsidRDefault="00021A8D" w:rsidP="00021A8D">
      <w:pPr>
        <w:pStyle w:val="Caption"/>
      </w:pPr>
      <w:r w:rsidRPr="00EA5A48">
        <w:t xml:space="preserve">Figure </w:t>
      </w:r>
      <w:r w:rsidR="00E23933" w:rsidRPr="00EA5A48">
        <w:rPr>
          <w:b/>
        </w:rPr>
        <w:fldChar w:fldCharType="begin"/>
      </w:r>
      <w:r w:rsidRPr="00EA5A48">
        <w:instrText xml:space="preserve"> SEQ Figure \* ARABIC </w:instrText>
      </w:r>
      <w:r w:rsidR="00E23933" w:rsidRPr="00EA5A48">
        <w:rPr>
          <w:b/>
        </w:rPr>
        <w:fldChar w:fldCharType="separate"/>
      </w:r>
      <w:r w:rsidR="00526F71">
        <w:t>14</w:t>
      </w:r>
      <w:r w:rsidR="00E23933" w:rsidRPr="00EA5A48">
        <w:rPr>
          <w:b/>
        </w:rPr>
        <w:fldChar w:fldCharType="end"/>
      </w:r>
      <w:r w:rsidRPr="00EA5A48">
        <w:t xml:space="preserve"> </w:t>
      </w:r>
      <w:r w:rsidR="00DD07AF" w:rsidRPr="003F024E">
        <w:t xml:space="preserve">Structural features of the </w:t>
      </w:r>
      <w:r w:rsidR="00DD07AF">
        <w:t xml:space="preserve">central part of the </w:t>
      </w:r>
      <w:r w:rsidR="00DD07AF" w:rsidRPr="003F024E">
        <w:t xml:space="preserve">Eromanga geological </w:t>
      </w:r>
      <w:r w:rsidR="00DD07AF">
        <w:t>Basin</w:t>
      </w:r>
      <w:r w:rsidR="00DD07AF" w:rsidRPr="003F024E">
        <w:t xml:space="preserve"> of the Great Artesian Basin hydrogeological system (</w:t>
      </w:r>
      <w:r w:rsidR="00F976E1">
        <w:t>©</w:t>
      </w:r>
      <w:r w:rsidR="002F0DB7">
        <w:t xml:space="preserve"> Copyright, </w:t>
      </w:r>
      <w:r w:rsidR="00DD07AF" w:rsidRPr="003F024E">
        <w:t xml:space="preserve">CSIRO </w:t>
      </w:r>
      <w:r w:rsidR="00DD07AF">
        <w:t>2012b</w:t>
      </w:r>
      <w:r w:rsidR="00DD07AF" w:rsidRPr="003F024E">
        <w:t>)</w:t>
      </w:r>
      <w:r>
        <w:t>.</w:t>
      </w:r>
    </w:p>
    <w:p w:rsidR="00DD07AF" w:rsidRPr="0098505A" w:rsidRDefault="00DD07AF" w:rsidP="001C3374">
      <w:pPr>
        <w:pStyle w:val="Body"/>
      </w:pPr>
      <w:r w:rsidRPr="0098505A">
        <w:t xml:space="preserve"> </w:t>
      </w:r>
    </w:p>
    <w:p w:rsidR="00DD07AF" w:rsidRPr="0098505A" w:rsidRDefault="00DD07AF" w:rsidP="005F6513">
      <w:pPr>
        <w:pStyle w:val="Heading3"/>
      </w:pPr>
      <w:bookmarkStart w:id="552" w:name="_Toc381961119"/>
      <w:r w:rsidRPr="0098505A">
        <w:t>Geology</w:t>
      </w:r>
      <w:bookmarkEnd w:id="552"/>
    </w:p>
    <w:p w:rsidR="00DD07AF" w:rsidRPr="0098505A" w:rsidRDefault="00DD07AF" w:rsidP="00021A8D">
      <w:pPr>
        <w:pStyle w:val="BRNormal"/>
      </w:pPr>
      <w:r w:rsidRPr="0098505A">
        <w:t>At the end of the Triassic</w:t>
      </w:r>
      <w:r>
        <w:t xml:space="preserve"> period </w:t>
      </w:r>
      <w:r w:rsidRPr="0098505A">
        <w:t xml:space="preserve">around 200 Ma, eastern Australia was subject to </w:t>
      </w:r>
      <w:r>
        <w:t xml:space="preserve">gradual and </w:t>
      </w:r>
      <w:r w:rsidRPr="0098505A">
        <w:t>extensive erosion</w:t>
      </w:r>
      <w:r w:rsidR="00AA7BE8">
        <w:t>,</w:t>
      </w:r>
      <w:r w:rsidRPr="0098505A">
        <w:t xml:space="preserve"> which led to </w:t>
      </w:r>
      <w:r>
        <w:t>the development of a large area of slight topographic relief</w:t>
      </w:r>
      <w:r w:rsidRPr="0098505A">
        <w:t xml:space="preserve">. </w:t>
      </w:r>
      <w:proofErr w:type="gramStart"/>
      <w:r w:rsidRPr="0098505A">
        <w:t>In the early Jurassic</w:t>
      </w:r>
      <w:r w:rsidR="007A0E4E">
        <w:t xml:space="preserve"> period</w:t>
      </w:r>
      <w:r w:rsidRPr="0098505A">
        <w:t xml:space="preserve">, intracratonic subsidence commenced in eastern Australia, </w:t>
      </w:r>
      <w:r w:rsidRPr="0098505A">
        <w:lastRenderedPageBreak/>
        <w:t>initiating sedimentation in the Claren</w:t>
      </w:r>
      <w:r w:rsidR="00AA7BE8">
        <w:t>ce-Moreton, Surat and Eromanga Basins.</w:t>
      </w:r>
      <w:proofErr w:type="gramEnd"/>
      <w:r w:rsidR="00AA7BE8">
        <w:t xml:space="preserve"> The subsidence wa</w:t>
      </w:r>
      <w:r w:rsidRPr="0098505A">
        <w:t xml:space="preserve">s linked to westward-directed subduction under eastern Australia. </w:t>
      </w:r>
      <w:r>
        <w:t>S</w:t>
      </w:r>
      <w:r w:rsidRPr="0098505A">
        <w:t>ubsidence</w:t>
      </w:r>
      <w:r>
        <w:t>,</w:t>
      </w:r>
      <w:r w:rsidRPr="0098505A">
        <w:t xml:space="preserve"> in combination with subduction, resulted in a basin with a cratonic source of mostly coarse quart</w:t>
      </w:r>
      <w:r>
        <w:t>z</w:t>
      </w:r>
      <w:r w:rsidRPr="0098505A">
        <w:t>o</w:t>
      </w:r>
      <w:r>
        <w:t>s</w:t>
      </w:r>
      <w:r w:rsidR="00AA7BE8">
        <w:t>e sediments in the south-</w:t>
      </w:r>
      <w:r w:rsidRPr="0098505A">
        <w:t xml:space="preserve">west and a volcanic source of finer sediments to the east. </w:t>
      </w:r>
    </w:p>
    <w:p w:rsidR="00DD07AF" w:rsidRPr="0098505A" w:rsidRDefault="00DD07AF" w:rsidP="00021A8D">
      <w:pPr>
        <w:pStyle w:val="BRNormal"/>
      </w:pPr>
      <w:r w:rsidRPr="0098505A">
        <w:t xml:space="preserve">A system of braided rivers that drained to inland lakes and swamps deposited relatively thin but continuous and widespread accumulations of sand-dominated sediments in the Early Jurassic. This system initiated in the east, in the Clarence-Moreton </w:t>
      </w:r>
      <w:r>
        <w:t>B</w:t>
      </w:r>
      <w:r w:rsidRPr="0098505A">
        <w:t>asin and extended westwards. The sediments covering the basal unconfor</w:t>
      </w:r>
      <w:r w:rsidR="00AA7BE8">
        <w:t>mity are therefore diachronous (</w:t>
      </w:r>
      <w:r w:rsidRPr="0098505A">
        <w:t>i.e. the same formation becomes younger towards the west</w:t>
      </w:r>
      <w:r w:rsidR="00AA7BE8">
        <w:t>)</w:t>
      </w:r>
      <w:r w:rsidRPr="0098505A">
        <w:t>.</w:t>
      </w:r>
    </w:p>
    <w:p w:rsidR="00DD07AF" w:rsidRPr="0098505A" w:rsidRDefault="00DD07AF" w:rsidP="00021A8D">
      <w:pPr>
        <w:pStyle w:val="BRNormal"/>
      </w:pPr>
      <w:r w:rsidRPr="0098505A">
        <w:t>During t</w:t>
      </w:r>
      <w:r w:rsidR="00AA7BE8">
        <w:t>he Early Cretaceous, around 110 </w:t>
      </w:r>
      <w:r w:rsidRPr="0098505A">
        <w:t>Ma, an extensive marine inundation occurred across eastern Australia due to a period of high subsidence. This lead to the deposition of a thick sequence of marine shales, interspersed with thin sandstone units from minor regressive cycles.</w:t>
      </w:r>
    </w:p>
    <w:p w:rsidR="00DD07AF" w:rsidRPr="0098505A" w:rsidRDefault="00DD07AF" w:rsidP="00021A8D">
      <w:pPr>
        <w:pStyle w:val="BRNormal"/>
      </w:pPr>
      <w:r w:rsidRPr="0098505A">
        <w:t>The eastern hig</w:t>
      </w:r>
      <w:r w:rsidR="00AA7BE8">
        <w:t xml:space="preserve">hlands started to </w:t>
      </w:r>
      <w:proofErr w:type="gramStart"/>
      <w:r w:rsidR="00AA7BE8">
        <w:t>rise</w:t>
      </w:r>
      <w:proofErr w:type="gramEnd"/>
      <w:r w:rsidR="00AA7BE8">
        <w:t xml:space="preserve"> about 90 </w:t>
      </w:r>
      <w:r w:rsidRPr="0098505A">
        <w:t xml:space="preserve">Ma in the Late Cretaceous. </w:t>
      </w:r>
      <w:r w:rsidR="00B51320">
        <w:t>This uplift i</w:t>
      </w:r>
      <w:r w:rsidRPr="0098505A">
        <w:t>ncreased</w:t>
      </w:r>
      <w:r w:rsidR="00B51320">
        <w:t xml:space="preserve"> the</w:t>
      </w:r>
      <w:r w:rsidRPr="0098505A">
        <w:t xml:space="preserve"> influx of erosional material </w:t>
      </w:r>
      <w:r w:rsidR="00B51320">
        <w:t>across eastern Australia</w:t>
      </w:r>
      <w:r w:rsidR="00AA7BE8">
        <w:t>,</w:t>
      </w:r>
      <w:r w:rsidR="00B51320">
        <w:t xml:space="preserve"> which</w:t>
      </w:r>
      <w:r w:rsidRPr="0098505A">
        <w:t xml:space="preserve"> caused a relative drop in sea-level and </w:t>
      </w:r>
      <w:r w:rsidR="00B51320">
        <w:t xml:space="preserve">the establishment </w:t>
      </w:r>
      <w:r w:rsidRPr="0098505A">
        <w:t xml:space="preserve">once again </w:t>
      </w:r>
      <w:r w:rsidR="00B51320">
        <w:t xml:space="preserve">of </w:t>
      </w:r>
      <w:r w:rsidRPr="0098505A">
        <w:t>continental conditions. These consisted of a floodbasin of coal swamps and lakes, drained by a meandering fluvial system.</w:t>
      </w:r>
    </w:p>
    <w:p w:rsidR="00DD07AF" w:rsidRPr="0098505A" w:rsidRDefault="00AA7BE8" w:rsidP="00021A8D">
      <w:pPr>
        <w:pStyle w:val="BRNormal"/>
      </w:pPr>
      <w:r>
        <w:t>The Eromanga and Surat B</w:t>
      </w:r>
      <w:r w:rsidR="00DD07AF" w:rsidRPr="0098505A">
        <w:t>asins became inverted in the Eocene t</w:t>
      </w:r>
      <w:r w:rsidR="007A0E4E">
        <w:t>h</w:t>
      </w:r>
      <w:r w:rsidR="00DD07AF" w:rsidRPr="0098505A">
        <w:t xml:space="preserve">rough reactivation of pre-existing faults in the basement. Uplift and subsequent denudation in the Surat </w:t>
      </w:r>
      <w:r w:rsidR="00DD07AF">
        <w:t>B</w:t>
      </w:r>
      <w:r w:rsidR="00DD07AF" w:rsidRPr="0098505A">
        <w:t>asi</w:t>
      </w:r>
      <w:r>
        <w:t>n was asymmetric with up to 2.5 </w:t>
      </w:r>
      <w:r w:rsidR="00DD07AF" w:rsidRPr="0098505A">
        <w:t>km of denudation in the east, while</w:t>
      </w:r>
      <w:r>
        <w:t xml:space="preserve"> this was limited to less than 1</w:t>
      </w:r>
      <w:r w:rsidR="00021A8D">
        <w:t> </w:t>
      </w:r>
      <w:r w:rsidR="00DD07AF" w:rsidRPr="0098505A">
        <w:t>km on the western side of the basin. Deformation during the uplift was mainly accommodate</w:t>
      </w:r>
      <w:r w:rsidR="00DD07AF">
        <w:t>d through folding in the Surat B</w:t>
      </w:r>
      <w:r w:rsidR="00DD07AF" w:rsidRPr="0098505A">
        <w:t xml:space="preserve">asin, while in the Eromanga </w:t>
      </w:r>
      <w:r w:rsidR="00DD07AF">
        <w:t>B</w:t>
      </w:r>
      <w:r w:rsidR="00DD07AF" w:rsidRPr="0098505A">
        <w:t xml:space="preserve">asin the deformation led to re-activation of faults across the sediment sequence. Displacements on these faults are similar or larger than the formation thicknesses. These faults therefore </w:t>
      </w:r>
      <w:r w:rsidR="00B51320">
        <w:t xml:space="preserve">can form barriers to lateral flow and thus </w:t>
      </w:r>
      <w:r w:rsidR="00DD07AF" w:rsidRPr="0098505A">
        <w:t xml:space="preserve">compromise </w:t>
      </w:r>
      <w:r w:rsidR="00B51320">
        <w:t xml:space="preserve">the </w:t>
      </w:r>
      <w:r w:rsidR="00DD07AF" w:rsidRPr="0098505A">
        <w:t>lateral continuity of the GAB aquifers, while providing vertical pathways for flow and transport across aquitards.</w:t>
      </w:r>
    </w:p>
    <w:p w:rsidR="00DD07AF" w:rsidRPr="00302084" w:rsidRDefault="00AA7BE8" w:rsidP="00021A8D">
      <w:pPr>
        <w:pStyle w:val="BRNormal"/>
      </w:pPr>
      <w:r>
        <w:t>Both B</w:t>
      </w:r>
      <w:r w:rsidR="00DD07AF" w:rsidRPr="0098505A">
        <w:t>asins were subject to a number of denudation a</w:t>
      </w:r>
      <w:r>
        <w:t>nd weathering cycles (around 60 Ma, 30 Ma and 7 </w:t>
      </w:r>
      <w:r w:rsidR="00DD07AF" w:rsidRPr="0098505A">
        <w:t>Ma) that resulted in lateritic surfaces. Compression in the Miocene reactivated several faults and culminated in the uplift of the Eastern Highlands. This created the westward tilt of the GAB and initiated the current groundwater flow patterns and artesian conditions in the GAB.</w:t>
      </w:r>
    </w:p>
    <w:p w:rsidR="00DD07AF" w:rsidRPr="00302084" w:rsidRDefault="00DD07AF" w:rsidP="005F6513">
      <w:pPr>
        <w:pStyle w:val="Heading2"/>
      </w:pPr>
      <w:bookmarkStart w:id="553" w:name="_Toc332180054"/>
      <w:bookmarkStart w:id="554" w:name="_Toc381961120"/>
      <w:bookmarkStart w:id="555" w:name="_Toc389055232"/>
      <w:r w:rsidRPr="00302084">
        <w:t xml:space="preserve">Major aquifers and </w:t>
      </w:r>
      <w:r w:rsidRPr="003964E3">
        <w:t>aquitards</w:t>
      </w:r>
      <w:bookmarkEnd w:id="553"/>
      <w:bookmarkEnd w:id="554"/>
      <w:bookmarkEnd w:id="555"/>
    </w:p>
    <w:p w:rsidR="00DD07AF" w:rsidRDefault="00DD07AF" w:rsidP="00021A8D">
      <w:pPr>
        <w:pStyle w:val="BRNormal"/>
      </w:pPr>
      <w:r w:rsidRPr="0098505A">
        <w:t xml:space="preserve">The main aquifers are situated in the Jurassic continental deposits, while the predominantly marine Cretaceous mudstones from the Rolling Downs </w:t>
      </w:r>
      <w:r>
        <w:t>G</w:t>
      </w:r>
      <w:r w:rsidRPr="0098505A">
        <w:t xml:space="preserve">roup form the main confining sequence for the GAB. Within the Rolling Downs </w:t>
      </w:r>
      <w:r>
        <w:t>G</w:t>
      </w:r>
      <w:r w:rsidRPr="0098505A">
        <w:t xml:space="preserve">roup, the permeable Winton-Mackunda </w:t>
      </w:r>
      <w:r>
        <w:t>F</w:t>
      </w:r>
      <w:r w:rsidRPr="0098505A">
        <w:t>ormations represent a return to continental conditions</w:t>
      </w:r>
      <w:r>
        <w:t>.</w:t>
      </w:r>
      <w:r w:rsidRPr="00272992">
        <w:t xml:space="preserve"> </w:t>
      </w:r>
    </w:p>
    <w:p w:rsidR="00DD07AF" w:rsidRDefault="00DD07AF" w:rsidP="00021A8D">
      <w:pPr>
        <w:pStyle w:val="BRNormal"/>
      </w:pPr>
      <w:r>
        <w:t xml:space="preserve">The hydrostratigraphy in Figure </w:t>
      </w:r>
      <w:r w:rsidR="00526F71">
        <w:t>15</w:t>
      </w:r>
      <w:r>
        <w:t xml:space="preserve"> is the most recent basin-wide interpretation of the lithostratigraphy in a more nuanced classification including aquifers, partial </w:t>
      </w:r>
      <w:r w:rsidRPr="00EB7411">
        <w:t>aquifers</w:t>
      </w:r>
      <w:r>
        <w:t xml:space="preserve">, leaky aquitards, tight aquitards and aquicludes </w:t>
      </w:r>
      <w:r w:rsidR="00E87373">
        <w:t xml:space="preserve">rather than just aquifers and aquitards </w:t>
      </w:r>
      <w:r>
        <w:t>(CSIRO 2012b).</w:t>
      </w:r>
    </w:p>
    <w:p w:rsidR="00DD07AF" w:rsidRDefault="00DD07AF" w:rsidP="001C3374">
      <w:pPr>
        <w:pStyle w:val="Body"/>
      </w:pPr>
      <w:r w:rsidRPr="00950C64">
        <w:rPr>
          <w:noProof/>
          <w:lang w:val="en-AU" w:eastAsia="en-AU"/>
        </w:rPr>
        <w:lastRenderedPageBreak/>
        <w:drawing>
          <wp:inline distT="0" distB="0" distL="0" distR="0">
            <wp:extent cx="5760000" cy="5236950"/>
            <wp:effectExtent l="19050" t="0" r="0" b="0"/>
            <wp:docPr id="94" name="Picture 2" descr="12-617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96" name="Picture 28" descr="12-6172-13"/>
                    <pic:cNvPicPr>
                      <a:picLocks noChangeAspect="1" noChangeArrowheads="1"/>
                    </pic:cNvPicPr>
                  </pic:nvPicPr>
                  <pic:blipFill>
                    <a:blip r:embed="rId41" cstate="email"/>
                    <a:srcRect/>
                    <a:stretch>
                      <a:fillRect/>
                    </a:stretch>
                  </pic:blipFill>
                  <pic:spPr bwMode="auto">
                    <a:xfrm>
                      <a:off x="0" y="0"/>
                      <a:ext cx="5760000" cy="5236950"/>
                    </a:xfrm>
                    <a:prstGeom prst="rect">
                      <a:avLst/>
                    </a:prstGeom>
                    <a:noFill/>
                  </pic:spPr>
                </pic:pic>
              </a:graphicData>
            </a:graphic>
          </wp:inline>
        </w:drawing>
      </w:r>
    </w:p>
    <w:p w:rsidR="00DD07AF" w:rsidRPr="0098505A" w:rsidRDefault="00021A8D" w:rsidP="00021A8D">
      <w:pPr>
        <w:pStyle w:val="Caption"/>
      </w:pPr>
      <w:r w:rsidRPr="00EA5A48">
        <w:t xml:space="preserve">Figure </w:t>
      </w:r>
      <w:r w:rsidR="00E23933" w:rsidRPr="00EA5A48">
        <w:rPr>
          <w:b/>
        </w:rPr>
        <w:fldChar w:fldCharType="begin"/>
      </w:r>
      <w:r w:rsidRPr="00EA5A48">
        <w:instrText xml:space="preserve"> SEQ Figure \* ARABIC </w:instrText>
      </w:r>
      <w:r w:rsidR="00E23933" w:rsidRPr="00EA5A48">
        <w:rPr>
          <w:b/>
        </w:rPr>
        <w:fldChar w:fldCharType="separate"/>
      </w:r>
      <w:r w:rsidR="00526F71">
        <w:t>15</w:t>
      </w:r>
      <w:r w:rsidR="00E23933" w:rsidRPr="00EA5A48">
        <w:rPr>
          <w:b/>
        </w:rPr>
        <w:fldChar w:fldCharType="end"/>
      </w:r>
      <w:r w:rsidR="00DD07AF">
        <w:t xml:space="preserve"> </w:t>
      </w:r>
      <w:r w:rsidR="00DD07AF" w:rsidRPr="0098505A">
        <w:t>Lithostratigraphic table of the Eromanga and Surat Basins in the G</w:t>
      </w:r>
      <w:r w:rsidR="00526F71">
        <w:t xml:space="preserve">reat </w:t>
      </w:r>
      <w:r w:rsidR="00DD07AF" w:rsidRPr="0098505A">
        <w:t>A</w:t>
      </w:r>
      <w:r w:rsidR="00526F71">
        <w:t xml:space="preserve">rtesian </w:t>
      </w:r>
      <w:r w:rsidR="00DD07AF" w:rsidRPr="0098505A">
        <w:t>B</w:t>
      </w:r>
      <w:r w:rsidR="00526F71">
        <w:t>asin</w:t>
      </w:r>
      <w:r w:rsidR="00DD07AF" w:rsidRPr="0098505A">
        <w:t xml:space="preserve"> with hydrostratigraphic interpretation (</w:t>
      </w:r>
      <w:r w:rsidR="00F976E1">
        <w:t>©</w:t>
      </w:r>
      <w:r w:rsidR="003964E3">
        <w:t xml:space="preserve"> Copyright, </w:t>
      </w:r>
      <w:r w:rsidR="00DD07AF" w:rsidRPr="0098505A">
        <w:t>CSIRO 2012b)</w:t>
      </w:r>
      <w:r>
        <w:t>.</w:t>
      </w:r>
    </w:p>
    <w:p w:rsidR="00021A8D" w:rsidRDefault="00021A8D" w:rsidP="001C3374">
      <w:pPr>
        <w:pStyle w:val="Body"/>
      </w:pPr>
    </w:p>
    <w:p w:rsidR="00DD07AF" w:rsidRDefault="003964E3" w:rsidP="00021A8D">
      <w:pPr>
        <w:pStyle w:val="BRNormal"/>
      </w:pPr>
      <w:r>
        <w:t>The</w:t>
      </w:r>
      <w:r w:rsidR="00DD07AF">
        <w:t xml:space="preserve"> GAB consists of a very complex stacking of multi-layered aquifers, separated and often only partly confined by aquitards</w:t>
      </w:r>
      <w:r>
        <w:t xml:space="preserve"> (Figure 15)</w:t>
      </w:r>
      <w:r w:rsidR="00DD07AF">
        <w:t>. The hydrogeologic characteristics of most individual aquifers are fairly uniform over large areas and they are continuous and hydraulically connected within each geological basin.</w:t>
      </w:r>
    </w:p>
    <w:p w:rsidR="00DD07AF" w:rsidRDefault="00DD07AF" w:rsidP="00021A8D">
      <w:pPr>
        <w:pStyle w:val="BRNormal"/>
      </w:pPr>
      <w:r>
        <w:t xml:space="preserve">The Clematis Sandstone is traditionally seen as the </w:t>
      </w:r>
      <w:r w:rsidR="00E17BAF">
        <w:t>deepest</w:t>
      </w:r>
      <w:r>
        <w:t xml:space="preserve"> aquifer, although it is not strictly part of the GAB since it is Triassic in age and situated below the GAB basal unconformity. The first aquifer above the unconformity is the Precipice Sandstone. Figure </w:t>
      </w:r>
      <w:r w:rsidR="00526F71">
        <w:t>15</w:t>
      </w:r>
      <w:r>
        <w:t xml:space="preserve"> </w:t>
      </w:r>
      <w:r w:rsidR="003964E3">
        <w:t xml:space="preserve">shows </w:t>
      </w:r>
      <w:r>
        <w:t>the diachronic nature of this formation; deposition started in the east in the Surat Basin and moved westwards into the central part of the Eromanga Basin</w:t>
      </w:r>
      <w:r w:rsidRPr="00B00A9B">
        <w:rPr>
          <w:color w:val="000000" w:themeColor="text1"/>
        </w:rPr>
        <w:t xml:space="preserve">. </w:t>
      </w:r>
      <w:r w:rsidR="003943E5" w:rsidRPr="00B00A9B">
        <w:rPr>
          <w:color w:val="000000" w:themeColor="text1"/>
        </w:rPr>
        <w:t>The Hutton Sandstone, separated from the Precipice Sandstone by the Evergreen Formation, is even more widespread and can also be found in the west of the Eromanga Basin.</w:t>
      </w:r>
      <w:r>
        <w:t xml:space="preserve"> These formations do not</w:t>
      </w:r>
      <w:r w:rsidR="009C10B9">
        <w:t xml:space="preserve"> occur in the Carpentaria Basin, where t</w:t>
      </w:r>
      <w:r>
        <w:t>he first aquifer above the unconformity is the Hampstead Sandstone.</w:t>
      </w:r>
    </w:p>
    <w:p w:rsidR="00DD07AF" w:rsidRDefault="00DD07AF" w:rsidP="00021A8D">
      <w:pPr>
        <w:pStyle w:val="BRNormal"/>
      </w:pPr>
      <w:r>
        <w:lastRenderedPageBreak/>
        <w:t xml:space="preserve">The Walloon Coal Measures act as a </w:t>
      </w:r>
      <w:r w:rsidR="00B51320">
        <w:t xml:space="preserve">leaky </w:t>
      </w:r>
      <w:r>
        <w:t xml:space="preserve">aquitard in </w:t>
      </w:r>
      <w:r w:rsidR="009C10B9">
        <w:t>the Surat and Clarence-Moreton B</w:t>
      </w:r>
      <w:r>
        <w:t xml:space="preserve">asins, confining the Hutton Sandstone. In the Eromanga Basin this formation is confined by the Birkhead Formation. On top of the Birkhead Formation, the Adori Sandstone forms a minor aquifer. Its equivalent in the Surat Basin is the Springbok Formation. </w:t>
      </w:r>
      <w:r w:rsidR="009C10B9">
        <w:t>In both the Eromanga and Surat B</w:t>
      </w:r>
      <w:r>
        <w:t>asins the Westbourne Formation separates these lower aquifers from the Cadna-Owie Formation and Hooray Sandstone units that form the major aquifer system in the GAB, referred to collectively here as the Cadna-Owie-Hooray aquifers.</w:t>
      </w:r>
    </w:p>
    <w:p w:rsidR="00DD07AF" w:rsidRDefault="00DD07AF" w:rsidP="00021A8D">
      <w:pPr>
        <w:pStyle w:val="BRNormal"/>
      </w:pPr>
      <w:r>
        <w:t>The Cadna-Owie-Hooray system occurs throughout the GAB, across basement highs and consists of several interconnected aquifers. Its equivalent in the Surat Basin encompasses the G</w:t>
      </w:r>
      <w:r w:rsidR="009C10B9">
        <w:t>ubberamunda, Mooga and Pilliga S</w:t>
      </w:r>
      <w:r>
        <w:t>andstone</w:t>
      </w:r>
      <w:r w:rsidR="009C10B9">
        <w:t>s,</w:t>
      </w:r>
      <w:r>
        <w:t xml:space="preserve"> while in the west of the Eromanga Basin it corresponds to Algebuckina Sandstone and in the north, in the Carpentaria Basin, to the Gilbert River Formation.</w:t>
      </w:r>
      <w:r w:rsidR="00CC2D6B">
        <w:t xml:space="preserve"> There is an unconformity below the Gilbert River Formation representing a hiatus in deposition in the Lower Cretaceous.</w:t>
      </w:r>
    </w:p>
    <w:p w:rsidR="00DD07AF" w:rsidRDefault="00DD07AF" w:rsidP="00021A8D">
      <w:pPr>
        <w:pStyle w:val="BRNormal"/>
      </w:pPr>
      <w:r>
        <w:t xml:space="preserve">The formations of the Rolling Downs Group form the confining layer for the Cadna-Owie-Hooray aquifer system, especially the Doncaster member, the Wallumbilla and Toolebuc Formations and the Allaru Mudstone. The Mackunda and Winton formations form the </w:t>
      </w:r>
      <w:r w:rsidR="00E17BAF">
        <w:t>shallowest</w:t>
      </w:r>
      <w:r>
        <w:t xml:space="preserve"> aquifer system in the Eromanga Basin but are not present in the Surat Basin.</w:t>
      </w:r>
    </w:p>
    <w:p w:rsidR="00DD07AF" w:rsidRPr="008C519A" w:rsidRDefault="00DD07AF" w:rsidP="005F6513">
      <w:pPr>
        <w:pStyle w:val="Heading2"/>
      </w:pPr>
      <w:bookmarkStart w:id="556" w:name="_Toc381961121"/>
      <w:bookmarkStart w:id="557" w:name="_Toc389055233"/>
      <w:r w:rsidRPr="008C519A">
        <w:t>Structural properties</w:t>
      </w:r>
      <w:bookmarkEnd w:id="556"/>
      <w:bookmarkEnd w:id="557"/>
    </w:p>
    <w:p w:rsidR="00DD07AF" w:rsidRPr="00CF6DE4" w:rsidRDefault="009C10B9" w:rsidP="00021A8D">
      <w:pPr>
        <w:pStyle w:val="BRNormal"/>
        <w:rPr>
          <w:color w:val="auto"/>
        </w:rPr>
      </w:pPr>
      <w:r>
        <w:t>During the Ce</w:t>
      </w:r>
      <w:r w:rsidR="00DD07AF">
        <w:t>nozoic inver</w:t>
      </w:r>
      <w:r w:rsidR="001C7D1F">
        <w:t>sion of the Eromanga and Surat B</w:t>
      </w:r>
      <w:r w:rsidR="00DD07AF">
        <w:t xml:space="preserve">asins, structural features and trends in the underlying basins were reactivated. This resulted in significant folding and faulting in the Eromanga Basin, while most of the deformation in the Surat Basin was accommodated through folding of the formations. The Eromanga Basin therefore is more structurally </w:t>
      </w:r>
      <w:r w:rsidR="00DD07AF" w:rsidRPr="00CF6DE4">
        <w:rPr>
          <w:color w:val="auto"/>
        </w:rPr>
        <w:t>compromised than the Surat Basin.</w:t>
      </w:r>
    </w:p>
    <w:p w:rsidR="00DD07AF" w:rsidRDefault="00DD07AF" w:rsidP="00021A8D">
      <w:pPr>
        <w:pStyle w:val="BRNormal"/>
      </w:pPr>
      <w:r>
        <w:t xml:space="preserve">Figure </w:t>
      </w:r>
      <w:r w:rsidR="00526F71">
        <w:t>14</w:t>
      </w:r>
      <w:r>
        <w:t xml:space="preserve"> show</w:t>
      </w:r>
      <w:r w:rsidR="001C7D1F">
        <w:t>ed</w:t>
      </w:r>
      <w:r>
        <w:t xml:space="preserve"> the main structural elements in the Eromanga basin. The disruption of the sedimentary sequence in t</w:t>
      </w:r>
      <w:r w:rsidR="001C7D1F">
        <w:t>he Eromanga Basin during the 50 </w:t>
      </w:r>
      <w:r>
        <w:t xml:space="preserve">Ma GAB </w:t>
      </w:r>
      <w:proofErr w:type="gramStart"/>
      <w:r>
        <w:t>inversion</w:t>
      </w:r>
      <w:proofErr w:type="gramEnd"/>
      <w:r>
        <w:t xml:space="preserve"> is mainly manifested through vertical displacements. These can amount to 780</w:t>
      </w:r>
      <w:r w:rsidR="001C7D1F">
        <w:t> </w:t>
      </w:r>
      <w:r>
        <w:t>m on the Curalle Dome, 400</w:t>
      </w:r>
      <w:r w:rsidR="001C7D1F">
        <w:t> </w:t>
      </w:r>
      <w:r>
        <w:t>m on the Canaway Fault, up to 300</w:t>
      </w:r>
      <w:r w:rsidR="001C7D1F">
        <w:t> </w:t>
      </w:r>
      <w:r>
        <w:t>m on the Harkaway Fault</w:t>
      </w:r>
      <w:r w:rsidR="0006689A">
        <w:t xml:space="preserve"> and</w:t>
      </w:r>
      <w:r>
        <w:t xml:space="preserve"> 420</w:t>
      </w:r>
      <w:r w:rsidR="001C7D1F">
        <w:t> </w:t>
      </w:r>
      <w:r>
        <w:t>m on the Cork Fault</w:t>
      </w:r>
      <w:r w:rsidR="001C7D1F">
        <w:t>.</w:t>
      </w:r>
      <w:r>
        <w:t xml:space="preserve"> Compared to the average thickness of the Cadna-Owie-Hooray aquifer system of about 200</w:t>
      </w:r>
      <w:r w:rsidR="001C7D1F">
        <w:t> </w:t>
      </w:r>
      <w:r>
        <w:t>m (with a maximum up to 350</w:t>
      </w:r>
      <w:r w:rsidR="001C7D1F">
        <w:t> </w:t>
      </w:r>
      <w:r>
        <w:t>m), it is clear that this episode of deformation has greatly affected fluid flow and transport. It not only affects the lateral continuity in aquifers and im</w:t>
      </w:r>
      <w:r w:rsidR="001C7D1F">
        <w:t xml:space="preserve">pedes regional groundwater </w:t>
      </w:r>
      <w:proofErr w:type="gramStart"/>
      <w:r w:rsidR="001C7D1F">
        <w:t>flow,</w:t>
      </w:r>
      <w:proofErr w:type="gramEnd"/>
      <w:r>
        <w:t xml:space="preserve"> it also creates preferred pathways of fluid migration. The effect of these faults has been documented in numerous cases through large drops in potentiometric surface and water table near these structures and the occ</w:t>
      </w:r>
      <w:r w:rsidR="00CA5875">
        <w:t>urrence of springs (CSIRO 2012a; CSIRO 2012b; CSIRO 2012</w:t>
      </w:r>
      <w:r w:rsidR="00167E75">
        <w:t>c</w:t>
      </w:r>
      <w:r w:rsidR="00CA5875">
        <w:t>;</w:t>
      </w:r>
      <w:r>
        <w:t xml:space="preserve"> Love et al. 2012).</w:t>
      </w:r>
    </w:p>
    <w:p w:rsidR="00DD07AF" w:rsidRDefault="00DD07AF" w:rsidP="00CA5875">
      <w:pPr>
        <w:pStyle w:val="BRNormal"/>
      </w:pPr>
      <w:r>
        <w:t>While not tectonic in nature, polygonal faulting represents an important phenomenon compromising the integrity of especially the confining units of the Rolling Downs Group in the Eromanga Basin. Polygonal fault systems are comprised of laterally extensive arrays of extensional faults having polygonal planform geometry (</w:t>
      </w:r>
      <w:r w:rsidRPr="00D12864">
        <w:t>Cartwright 2011</w:t>
      </w:r>
      <w:r>
        <w:t xml:space="preserve">). The genesis and mechanism of this kind of faulting are still not well understood, although the current thinking is that it is related to diagenetic changes in the mineralogy and </w:t>
      </w:r>
      <w:proofErr w:type="gramStart"/>
      <w:r>
        <w:t>pore</w:t>
      </w:r>
      <w:proofErr w:type="gramEnd"/>
      <w:r>
        <w:t xml:space="preserve"> water composition of the sediment after burial that led to dissolution of grains or alterations to mineral</w:t>
      </w:r>
      <w:r w:rsidR="001C7D1F">
        <w:noBreakHyphen/>
      </w:r>
      <w:r>
        <w:t>fluid or mineral</w:t>
      </w:r>
      <w:r w:rsidR="001C7D1F">
        <w:noBreakHyphen/>
      </w:r>
      <w:r>
        <w:t xml:space="preserve">mineral interactions. These changes at the </w:t>
      </w:r>
      <w:r w:rsidRPr="00B3442D">
        <w:t xml:space="preserve">grain </w:t>
      </w:r>
      <w:r>
        <w:t>size level can lead to shear</w:t>
      </w:r>
      <w:r w:rsidR="001C7D1F">
        <w:noBreakHyphen/>
      </w:r>
      <w:r>
        <w:t>failure of the sediment.</w:t>
      </w:r>
    </w:p>
    <w:p w:rsidR="00DD07AF" w:rsidRDefault="00DD07AF" w:rsidP="00CA5875">
      <w:pPr>
        <w:pStyle w:val="BRNormal"/>
      </w:pPr>
      <w:r>
        <w:t xml:space="preserve">Throughout the central part of the Eromanga Basin, evidence of polygonal faulting can be found as discrete, kilometre-sized basins bounded by a polygonal pattern of faulted, anticlinal ridges. </w:t>
      </w:r>
      <w:r w:rsidRPr="00351DBF">
        <w:t>The distinct polygonal planform geometry was first discovered through 3D seismic mapping (Watterson et al. 2000)</w:t>
      </w:r>
      <w:r>
        <w:t>. The throw a</w:t>
      </w:r>
      <w:r w:rsidR="005F56D1">
        <w:t>long the faults ranges up to 80 </w:t>
      </w:r>
      <w:r>
        <w:t xml:space="preserve">m and the size </w:t>
      </w:r>
      <w:r>
        <w:lastRenderedPageBreak/>
        <w:t>of the areas bounded by the faults is between 800</w:t>
      </w:r>
      <w:r w:rsidR="005F56D1">
        <w:t> </w:t>
      </w:r>
      <w:r>
        <w:t>m and 2</w:t>
      </w:r>
      <w:r w:rsidR="005F56D1">
        <w:t> </w:t>
      </w:r>
      <w:r>
        <w:t>km. While the fault gouge and slip may result in fault permeability lower than the host rock, any changes in stress fi</w:t>
      </w:r>
      <w:r w:rsidR="005F56D1">
        <w:t>eld or movement along the fault</w:t>
      </w:r>
      <w:r>
        <w:t xml:space="preserve"> can create a pathway for fluid and solute migration (</w:t>
      </w:r>
      <w:r w:rsidRPr="00D12864">
        <w:t>Cartwright 2007</w:t>
      </w:r>
      <w:r>
        <w:t>). Seeing the widespread occurrence and the density of these faults, this structural feature could potentially reduce the capability of the Rolling Downs Group to act as a barrier for flow and transport.</w:t>
      </w:r>
    </w:p>
    <w:p w:rsidR="00DD07AF" w:rsidRDefault="00DD07AF" w:rsidP="00CA5875">
      <w:pPr>
        <w:pStyle w:val="BRNormal"/>
      </w:pPr>
      <w:r>
        <w:t xml:space="preserve">While </w:t>
      </w:r>
      <w:r w:rsidR="00C3694D">
        <w:t xml:space="preserve">polygonal faulting is </w:t>
      </w:r>
      <w:r>
        <w:t xml:space="preserve">ubiquitous throughout the central part of the Eromanga Basin, no systematic mapping of </w:t>
      </w:r>
      <w:r w:rsidRPr="00B3442D">
        <w:t xml:space="preserve">polygonal faulting </w:t>
      </w:r>
      <w:r>
        <w:t>has been carried out so far, nor has polygonal faulting been identified elsewhere in the GAB.</w:t>
      </w:r>
    </w:p>
    <w:p w:rsidR="00DD07AF" w:rsidRDefault="00DD07AF" w:rsidP="005F6513">
      <w:pPr>
        <w:pStyle w:val="Heading2"/>
      </w:pPr>
      <w:bookmarkStart w:id="558" w:name="_Toc381961122"/>
      <w:bookmarkStart w:id="559" w:name="_Toc389055234"/>
      <w:r>
        <w:t>Hydraulic properties</w:t>
      </w:r>
      <w:bookmarkEnd w:id="558"/>
      <w:bookmarkEnd w:id="559"/>
    </w:p>
    <w:p w:rsidR="00DD07AF" w:rsidRDefault="00DD07AF" w:rsidP="00CA5875">
      <w:pPr>
        <w:pStyle w:val="BRNormal"/>
      </w:pPr>
      <w:r>
        <w:t xml:space="preserve">The values of hydraulic properties, such as described in chapter 2, may be obtained from core tests, from field tests such as drill stem tests, pumping tests and slug tests, or they may be estimated independently using calibrated numerical models. </w:t>
      </w:r>
      <w:r w:rsidRPr="00B46228">
        <w:t xml:space="preserve">The majority of hydrogeological knowledge relating to the GAB </w:t>
      </w:r>
      <w:r>
        <w:t xml:space="preserve">is derived </w:t>
      </w:r>
      <w:r w:rsidRPr="00B46228">
        <w:t>from the development of potable groundwater supplies</w:t>
      </w:r>
      <w:r>
        <w:t>;</w:t>
      </w:r>
      <w:r w:rsidRPr="00B46228">
        <w:t xml:space="preserve"> </w:t>
      </w:r>
      <w:r>
        <w:t>t</w:t>
      </w:r>
      <w:r w:rsidRPr="00B46228">
        <w:t>herefore</w:t>
      </w:r>
      <w:r w:rsidR="00CA5875">
        <w:t>,</w:t>
      </w:r>
      <w:r w:rsidRPr="00B46228">
        <w:t xml:space="preserve"> the </w:t>
      </w:r>
      <w:r>
        <w:t xml:space="preserve">availability of hydraulic property data </w:t>
      </w:r>
      <w:r w:rsidRPr="00B46228">
        <w:t xml:space="preserve">relating to the hydrogeological units of the GAB is inherently biased toward productive freshwater-bearing units. Conversely, the </w:t>
      </w:r>
      <w:r>
        <w:t xml:space="preserve">hydraulic properties </w:t>
      </w:r>
      <w:r w:rsidRPr="00B46228">
        <w:t xml:space="preserve">of </w:t>
      </w:r>
      <w:r>
        <w:t>lower permeability</w:t>
      </w:r>
      <w:r w:rsidRPr="00B46228">
        <w:t xml:space="preserve"> layers </w:t>
      </w:r>
      <w:r>
        <w:t xml:space="preserve">have been </w:t>
      </w:r>
      <w:r w:rsidRPr="00B46228">
        <w:t>relatively poorly characterised.</w:t>
      </w:r>
    </w:p>
    <w:p w:rsidR="00DD07AF" w:rsidRDefault="00DD07AF" w:rsidP="005F6513">
      <w:pPr>
        <w:pStyle w:val="Heading3"/>
      </w:pPr>
      <w:bookmarkStart w:id="560" w:name="_Toc381961123"/>
      <w:r>
        <w:t>Core and field-based estimates</w:t>
      </w:r>
      <w:bookmarkEnd w:id="560"/>
    </w:p>
    <w:p w:rsidR="00DD07AF" w:rsidRDefault="00DD07AF" w:rsidP="00CA5875">
      <w:pPr>
        <w:pStyle w:val="BRNormal"/>
      </w:pPr>
      <w:r>
        <w:t>As discussed in chapter 3, when reviewing measurements of the hydraulic property values of aquitards (and to a lesser extent, aquifers) it should be noted that, due to inherent difficulti</w:t>
      </w:r>
      <w:r w:rsidR="005F56D1">
        <w:t xml:space="preserve">es in obtaining measurements in </w:t>
      </w:r>
      <w:r>
        <w:t>situ, often such values will be exaggerated due to the effects of depressurisation from the removal of overburden pressure.</w:t>
      </w:r>
      <w:r w:rsidRPr="008C7B99">
        <w:t xml:space="preserve"> </w:t>
      </w:r>
      <w:r>
        <w:t>Gray et al. (1963) highlighted the relationship between permeability and overburden</w:t>
      </w:r>
      <w:r w:rsidR="00CA5875">
        <w:t xml:space="preserve"> pressure for sandstone units. More r</w:t>
      </w:r>
      <w:r>
        <w:t xml:space="preserve">ecently Gray </w:t>
      </w:r>
      <w:r w:rsidRPr="00803AD7">
        <w:t>(1987</w:t>
      </w:r>
      <w:r w:rsidR="0008536C">
        <w:t>a; 1987b</w:t>
      </w:r>
      <w:r w:rsidRPr="00803AD7">
        <w:t xml:space="preserve">) has </w:t>
      </w:r>
      <w:r>
        <w:t xml:space="preserve">drawn attention to this phenomenon in an </w:t>
      </w:r>
      <w:r w:rsidRPr="00803AD7">
        <w:t xml:space="preserve">Australian </w:t>
      </w:r>
      <w:r>
        <w:t>context, with particular attention paid to coal seams by Gray (2011).</w:t>
      </w:r>
    </w:p>
    <w:p w:rsidR="00DD07AF" w:rsidRDefault="00DD07AF" w:rsidP="00CA5875">
      <w:pPr>
        <w:pStyle w:val="BRNormal"/>
      </w:pPr>
      <w:r>
        <w:t>The foundation work of Habermehl (1980) on the Cadna-Owie-Hooray aquifer system of the GAB estimated the range of values for a number of hydraulic properties, based upon field studies undertaken by the Bureau of Mineral Resources, Geology a</w:t>
      </w:r>
      <w:r w:rsidR="00CA5875">
        <w:t>nd Geophysics from 1971 to 1979 (Table 5).</w:t>
      </w:r>
    </w:p>
    <w:p w:rsidR="00DD07AF" w:rsidRPr="00A10D77" w:rsidRDefault="00CA5875" w:rsidP="00CA5875">
      <w:pPr>
        <w:pStyle w:val="Caption"/>
      </w:pPr>
      <w:r w:rsidRPr="006F2073">
        <w:t xml:space="preserve">Table </w:t>
      </w:r>
      <w:r w:rsidR="00E23933" w:rsidRPr="006F2073">
        <w:rPr>
          <w:b/>
          <w:noProof w:val="0"/>
        </w:rPr>
        <w:fldChar w:fldCharType="begin"/>
      </w:r>
      <w:r w:rsidRPr="006F2073">
        <w:instrText xml:space="preserve"> SEQ Table \* ARABIC </w:instrText>
      </w:r>
      <w:r w:rsidR="00E23933" w:rsidRPr="006F2073">
        <w:rPr>
          <w:b/>
          <w:noProof w:val="0"/>
        </w:rPr>
        <w:fldChar w:fldCharType="separate"/>
      </w:r>
      <w:r w:rsidR="00D26D09">
        <w:t>5</w:t>
      </w:r>
      <w:r w:rsidR="00E23933" w:rsidRPr="006F2073">
        <w:rPr>
          <w:b/>
        </w:rPr>
        <w:fldChar w:fldCharType="end"/>
      </w:r>
      <w:r w:rsidR="00DD07AF">
        <w:t xml:space="preserve"> Estimated hydraulic properties of the Cadna-Owie-Hooray aquifers of the Great Artesian Basin </w:t>
      </w:r>
      <w:r w:rsidR="00DC6744">
        <w:t>(</w:t>
      </w:r>
      <w:r w:rsidR="00DD07AF">
        <w:t xml:space="preserve">from </w:t>
      </w:r>
      <w:r w:rsidR="00F976E1">
        <w:t>©</w:t>
      </w:r>
      <w:r w:rsidR="00DC6744">
        <w:t xml:space="preserve"> Copyright, </w:t>
      </w:r>
      <w:r w:rsidR="00DD07AF">
        <w:t>Habermehl 1980)</w:t>
      </w:r>
      <w:r>
        <w:t>.</w:t>
      </w:r>
    </w:p>
    <w:tbl>
      <w:tblPr>
        <w:tblStyle w:val="TableGrid"/>
        <w:tblW w:w="0" w:type="auto"/>
        <w:tblInd w:w="108" w:type="dxa"/>
        <w:tblBorders>
          <w:left w:val="none" w:sz="0" w:space="0" w:color="auto"/>
          <w:right w:val="none" w:sz="0" w:space="0" w:color="auto"/>
        </w:tblBorders>
        <w:tblLook w:val="04A0"/>
      </w:tblPr>
      <w:tblGrid>
        <w:gridCol w:w="3936"/>
        <w:gridCol w:w="1523"/>
        <w:gridCol w:w="1523"/>
        <w:gridCol w:w="1523"/>
      </w:tblGrid>
      <w:tr w:rsidR="00DD07AF" w:rsidRPr="003116D0" w:rsidTr="003116D0">
        <w:trPr>
          <w:tblHeader/>
        </w:trPr>
        <w:tc>
          <w:tcPr>
            <w:tcW w:w="3936" w:type="dxa"/>
            <w:tcBorders>
              <w:left w:val="single" w:sz="4" w:space="0" w:color="auto"/>
              <w:bottom w:val="single" w:sz="4" w:space="0" w:color="auto"/>
              <w:right w:val="single" w:sz="4" w:space="0" w:color="auto"/>
            </w:tcBorders>
            <w:shd w:val="clear" w:color="auto" w:fill="C6D9F1" w:themeFill="text2" w:themeFillTint="33"/>
            <w:vAlign w:val="center"/>
          </w:tcPr>
          <w:p w:rsidR="00DD07AF" w:rsidRPr="003116D0" w:rsidRDefault="00DD07AF" w:rsidP="007927AB">
            <w:pPr>
              <w:pStyle w:val="Tableheading"/>
            </w:pPr>
            <w:r w:rsidRPr="003116D0">
              <w:t>Property</w:t>
            </w:r>
          </w:p>
        </w:tc>
        <w:tc>
          <w:tcPr>
            <w:tcW w:w="1523" w:type="dxa"/>
            <w:tcBorders>
              <w:left w:val="single" w:sz="4" w:space="0" w:color="auto"/>
              <w:bottom w:val="single" w:sz="4" w:space="0" w:color="auto"/>
              <w:right w:val="single" w:sz="4" w:space="0" w:color="auto"/>
            </w:tcBorders>
            <w:shd w:val="clear" w:color="auto" w:fill="C6D9F1" w:themeFill="text2" w:themeFillTint="33"/>
            <w:vAlign w:val="center"/>
          </w:tcPr>
          <w:p w:rsidR="00DD07AF" w:rsidRPr="003116D0" w:rsidRDefault="00DD07AF" w:rsidP="007927AB">
            <w:pPr>
              <w:pStyle w:val="Tableheading"/>
            </w:pPr>
            <w:r w:rsidRPr="003116D0">
              <w:t>Units</w:t>
            </w:r>
          </w:p>
        </w:tc>
        <w:tc>
          <w:tcPr>
            <w:tcW w:w="1523" w:type="dxa"/>
            <w:tcBorders>
              <w:left w:val="single" w:sz="4" w:space="0" w:color="auto"/>
              <w:bottom w:val="single" w:sz="4" w:space="0" w:color="auto"/>
              <w:right w:val="single" w:sz="4" w:space="0" w:color="auto"/>
            </w:tcBorders>
            <w:shd w:val="clear" w:color="auto" w:fill="C6D9F1" w:themeFill="text2" w:themeFillTint="33"/>
            <w:vAlign w:val="center"/>
          </w:tcPr>
          <w:p w:rsidR="00DD07AF" w:rsidRPr="003116D0" w:rsidRDefault="00DD07AF" w:rsidP="007927AB">
            <w:pPr>
              <w:pStyle w:val="Tableheading"/>
            </w:pPr>
            <w:r w:rsidRPr="003116D0">
              <w:t>Minimum</w:t>
            </w:r>
          </w:p>
        </w:tc>
        <w:tc>
          <w:tcPr>
            <w:tcW w:w="1523" w:type="dxa"/>
            <w:tcBorders>
              <w:left w:val="single" w:sz="4" w:space="0" w:color="auto"/>
              <w:bottom w:val="single" w:sz="4" w:space="0" w:color="auto"/>
              <w:right w:val="single" w:sz="4" w:space="0" w:color="auto"/>
            </w:tcBorders>
            <w:shd w:val="clear" w:color="auto" w:fill="C6D9F1" w:themeFill="text2" w:themeFillTint="33"/>
            <w:vAlign w:val="center"/>
          </w:tcPr>
          <w:p w:rsidR="00DD07AF" w:rsidRPr="003116D0" w:rsidRDefault="00DD07AF" w:rsidP="007927AB">
            <w:pPr>
              <w:pStyle w:val="Tableheading"/>
            </w:pPr>
            <w:r w:rsidRPr="003116D0">
              <w:t>Maximum</w:t>
            </w:r>
          </w:p>
        </w:tc>
      </w:tr>
      <w:tr w:rsidR="00DD07AF" w:rsidRPr="00CA5875" w:rsidTr="00DC6744">
        <w:tc>
          <w:tcPr>
            <w:tcW w:w="3936" w:type="dxa"/>
            <w:tcBorders>
              <w:left w:val="single" w:sz="4" w:space="0" w:color="auto"/>
              <w:bottom w:val="single" w:sz="4" w:space="0" w:color="auto"/>
              <w:right w:val="single" w:sz="4" w:space="0" w:color="auto"/>
            </w:tcBorders>
            <w:vAlign w:val="center"/>
          </w:tcPr>
          <w:p w:rsidR="00DD07AF" w:rsidRPr="007927AB" w:rsidRDefault="00DD07AF" w:rsidP="00CB2FBB">
            <w:pPr>
              <w:pStyle w:val="Tabletext"/>
            </w:pPr>
            <w:r w:rsidRPr="007927AB">
              <w:t>intrinsic permeability</w:t>
            </w:r>
          </w:p>
        </w:tc>
        <w:tc>
          <w:tcPr>
            <w:tcW w:w="1523" w:type="dxa"/>
            <w:tcBorders>
              <w:left w:val="single" w:sz="4" w:space="0" w:color="auto"/>
              <w:bottom w:val="single" w:sz="4" w:space="0" w:color="auto"/>
              <w:right w:val="single" w:sz="4" w:space="0" w:color="auto"/>
            </w:tcBorders>
            <w:vAlign w:val="center"/>
          </w:tcPr>
          <w:p w:rsidR="00DD07AF" w:rsidRPr="007927AB" w:rsidRDefault="00DD07AF" w:rsidP="00CB2FBB">
            <w:pPr>
              <w:pStyle w:val="Tabletext"/>
            </w:pPr>
            <w:r w:rsidRPr="007927AB">
              <w:t>mD</w:t>
            </w:r>
          </w:p>
        </w:tc>
        <w:tc>
          <w:tcPr>
            <w:tcW w:w="1523" w:type="dxa"/>
            <w:tcBorders>
              <w:left w:val="single" w:sz="4" w:space="0" w:color="auto"/>
              <w:bottom w:val="single" w:sz="4" w:space="0" w:color="auto"/>
              <w:right w:val="single" w:sz="4" w:space="0" w:color="auto"/>
            </w:tcBorders>
            <w:vAlign w:val="center"/>
          </w:tcPr>
          <w:p w:rsidR="00DD07AF" w:rsidRPr="007927AB" w:rsidRDefault="00DD07AF" w:rsidP="00CB2FBB">
            <w:pPr>
              <w:pStyle w:val="Tabletext"/>
            </w:pPr>
            <w:r w:rsidRPr="007927AB">
              <w:t>10’s</w:t>
            </w:r>
          </w:p>
        </w:tc>
        <w:tc>
          <w:tcPr>
            <w:tcW w:w="1523" w:type="dxa"/>
            <w:tcBorders>
              <w:left w:val="single" w:sz="4" w:space="0" w:color="auto"/>
              <w:bottom w:val="single" w:sz="4" w:space="0" w:color="auto"/>
              <w:right w:val="single" w:sz="4" w:space="0" w:color="auto"/>
            </w:tcBorders>
            <w:vAlign w:val="center"/>
          </w:tcPr>
          <w:p w:rsidR="00DD07AF" w:rsidRPr="007927AB" w:rsidRDefault="00DD07AF" w:rsidP="00CB2FBB">
            <w:pPr>
              <w:pStyle w:val="Tabletext"/>
            </w:pPr>
            <w:r w:rsidRPr="007927AB">
              <w:t>1000’s</w:t>
            </w:r>
          </w:p>
        </w:tc>
      </w:tr>
      <w:tr w:rsidR="00DD07AF" w:rsidRPr="00CA5875" w:rsidTr="00DC6744">
        <w:tc>
          <w:tcPr>
            <w:tcW w:w="3936" w:type="dxa"/>
            <w:tcBorders>
              <w:top w:val="single" w:sz="4" w:space="0" w:color="auto"/>
              <w:left w:val="single" w:sz="4" w:space="0" w:color="auto"/>
              <w:bottom w:val="single" w:sz="4" w:space="0" w:color="auto"/>
              <w:right w:val="single" w:sz="4" w:space="0" w:color="auto"/>
            </w:tcBorders>
            <w:vAlign w:val="center"/>
          </w:tcPr>
          <w:p w:rsidR="00DD07AF" w:rsidRPr="007927AB" w:rsidRDefault="00DD07AF" w:rsidP="00CB2FBB">
            <w:pPr>
              <w:pStyle w:val="Tabletext"/>
            </w:pPr>
            <w:r w:rsidRPr="007927AB">
              <w:t>porosity</w:t>
            </w:r>
          </w:p>
        </w:tc>
        <w:tc>
          <w:tcPr>
            <w:tcW w:w="1523" w:type="dxa"/>
            <w:tcBorders>
              <w:top w:val="single" w:sz="4" w:space="0" w:color="auto"/>
              <w:left w:val="single" w:sz="4" w:space="0" w:color="auto"/>
              <w:bottom w:val="single" w:sz="4" w:space="0" w:color="auto"/>
              <w:right w:val="single" w:sz="4" w:space="0" w:color="auto"/>
            </w:tcBorders>
            <w:vAlign w:val="center"/>
          </w:tcPr>
          <w:p w:rsidR="00DD07AF" w:rsidRPr="007927AB" w:rsidRDefault="00DC6744" w:rsidP="00CB2FBB">
            <w:pPr>
              <w:pStyle w:val="Tabletext"/>
            </w:pPr>
            <w:r w:rsidRPr="007927AB">
              <w:t>%</w:t>
            </w:r>
          </w:p>
        </w:tc>
        <w:tc>
          <w:tcPr>
            <w:tcW w:w="1523" w:type="dxa"/>
            <w:tcBorders>
              <w:top w:val="single" w:sz="4" w:space="0" w:color="auto"/>
              <w:left w:val="single" w:sz="4" w:space="0" w:color="auto"/>
              <w:bottom w:val="single" w:sz="4" w:space="0" w:color="auto"/>
              <w:right w:val="single" w:sz="4" w:space="0" w:color="auto"/>
            </w:tcBorders>
            <w:vAlign w:val="center"/>
          </w:tcPr>
          <w:p w:rsidR="00DD07AF" w:rsidRPr="007927AB" w:rsidRDefault="00DD07AF" w:rsidP="00CB2FBB">
            <w:pPr>
              <w:pStyle w:val="Tabletext"/>
            </w:pPr>
            <w:r w:rsidRPr="007927AB">
              <w:t>10</w:t>
            </w:r>
          </w:p>
        </w:tc>
        <w:tc>
          <w:tcPr>
            <w:tcW w:w="1523" w:type="dxa"/>
            <w:tcBorders>
              <w:top w:val="single" w:sz="4" w:space="0" w:color="auto"/>
              <w:left w:val="single" w:sz="4" w:space="0" w:color="auto"/>
              <w:bottom w:val="single" w:sz="4" w:space="0" w:color="auto"/>
              <w:right w:val="single" w:sz="4" w:space="0" w:color="auto"/>
            </w:tcBorders>
            <w:vAlign w:val="center"/>
          </w:tcPr>
          <w:p w:rsidR="00DD07AF" w:rsidRPr="007927AB" w:rsidRDefault="00DD07AF" w:rsidP="00CB2FBB">
            <w:pPr>
              <w:pStyle w:val="Tabletext"/>
            </w:pPr>
            <w:r w:rsidRPr="007927AB">
              <w:t>30</w:t>
            </w:r>
          </w:p>
        </w:tc>
      </w:tr>
      <w:tr w:rsidR="00DD07AF" w:rsidRPr="00CA5875" w:rsidTr="00DC6744">
        <w:tc>
          <w:tcPr>
            <w:tcW w:w="3936" w:type="dxa"/>
            <w:tcBorders>
              <w:top w:val="single" w:sz="4" w:space="0" w:color="auto"/>
              <w:left w:val="single" w:sz="4" w:space="0" w:color="auto"/>
              <w:bottom w:val="single" w:sz="4" w:space="0" w:color="auto"/>
              <w:right w:val="single" w:sz="4" w:space="0" w:color="auto"/>
            </w:tcBorders>
            <w:vAlign w:val="center"/>
          </w:tcPr>
          <w:p w:rsidR="00DD07AF" w:rsidRPr="007927AB" w:rsidRDefault="00DD07AF" w:rsidP="00CB2FBB">
            <w:pPr>
              <w:pStyle w:val="Tabletext"/>
            </w:pPr>
            <w:r w:rsidRPr="007927AB">
              <w:t>horizontal hydraulic conductivity</w:t>
            </w:r>
          </w:p>
        </w:tc>
        <w:tc>
          <w:tcPr>
            <w:tcW w:w="1523" w:type="dxa"/>
            <w:tcBorders>
              <w:top w:val="single" w:sz="4" w:space="0" w:color="auto"/>
              <w:left w:val="single" w:sz="4" w:space="0" w:color="auto"/>
              <w:bottom w:val="single" w:sz="4" w:space="0" w:color="auto"/>
              <w:right w:val="single" w:sz="4" w:space="0" w:color="auto"/>
            </w:tcBorders>
            <w:vAlign w:val="center"/>
          </w:tcPr>
          <w:p w:rsidR="00DD07AF" w:rsidRPr="007927AB" w:rsidRDefault="00DD07AF" w:rsidP="00CB2FBB">
            <w:pPr>
              <w:pStyle w:val="Tabletext"/>
            </w:pPr>
            <w:r w:rsidRPr="007927AB">
              <w:t>m/d</w:t>
            </w:r>
          </w:p>
        </w:tc>
        <w:tc>
          <w:tcPr>
            <w:tcW w:w="1523" w:type="dxa"/>
            <w:tcBorders>
              <w:top w:val="single" w:sz="4" w:space="0" w:color="auto"/>
              <w:left w:val="single" w:sz="4" w:space="0" w:color="auto"/>
              <w:bottom w:val="single" w:sz="4" w:space="0" w:color="auto"/>
              <w:right w:val="single" w:sz="4" w:space="0" w:color="auto"/>
            </w:tcBorders>
            <w:vAlign w:val="center"/>
          </w:tcPr>
          <w:p w:rsidR="00DD07AF" w:rsidRPr="007927AB" w:rsidRDefault="00DD07AF" w:rsidP="00CB2FBB">
            <w:pPr>
              <w:pStyle w:val="Tabletext"/>
            </w:pPr>
            <w:r w:rsidRPr="007927AB">
              <w:t>0.1</w:t>
            </w:r>
          </w:p>
        </w:tc>
        <w:tc>
          <w:tcPr>
            <w:tcW w:w="1523" w:type="dxa"/>
            <w:tcBorders>
              <w:top w:val="single" w:sz="4" w:space="0" w:color="auto"/>
              <w:left w:val="single" w:sz="4" w:space="0" w:color="auto"/>
              <w:bottom w:val="single" w:sz="4" w:space="0" w:color="auto"/>
              <w:right w:val="single" w:sz="4" w:space="0" w:color="auto"/>
            </w:tcBorders>
            <w:vAlign w:val="center"/>
          </w:tcPr>
          <w:p w:rsidR="00DD07AF" w:rsidRPr="007927AB" w:rsidRDefault="00DD07AF" w:rsidP="00CB2FBB">
            <w:pPr>
              <w:pStyle w:val="Tabletext"/>
            </w:pPr>
            <w:r w:rsidRPr="007927AB">
              <w:t>10</w:t>
            </w:r>
          </w:p>
        </w:tc>
      </w:tr>
      <w:tr w:rsidR="00DD07AF" w:rsidRPr="00CA5875" w:rsidTr="00DC6744">
        <w:tc>
          <w:tcPr>
            <w:tcW w:w="3936" w:type="dxa"/>
            <w:tcBorders>
              <w:top w:val="single" w:sz="4" w:space="0" w:color="auto"/>
              <w:left w:val="single" w:sz="4" w:space="0" w:color="auto"/>
              <w:bottom w:val="single" w:sz="4" w:space="0" w:color="auto"/>
              <w:right w:val="single" w:sz="4" w:space="0" w:color="auto"/>
            </w:tcBorders>
            <w:vAlign w:val="center"/>
          </w:tcPr>
          <w:p w:rsidR="00DD07AF" w:rsidRPr="007927AB" w:rsidRDefault="00DD07AF" w:rsidP="00CB2FBB">
            <w:pPr>
              <w:pStyle w:val="Tabletext"/>
            </w:pPr>
            <w:r w:rsidRPr="007927AB">
              <w:t>vertical hydraulic conductivity</w:t>
            </w:r>
          </w:p>
        </w:tc>
        <w:tc>
          <w:tcPr>
            <w:tcW w:w="1523" w:type="dxa"/>
            <w:tcBorders>
              <w:top w:val="single" w:sz="4" w:space="0" w:color="auto"/>
              <w:left w:val="single" w:sz="4" w:space="0" w:color="auto"/>
              <w:bottom w:val="single" w:sz="4" w:space="0" w:color="auto"/>
              <w:right w:val="single" w:sz="4" w:space="0" w:color="auto"/>
            </w:tcBorders>
            <w:vAlign w:val="center"/>
          </w:tcPr>
          <w:p w:rsidR="00DD07AF" w:rsidRPr="007927AB" w:rsidRDefault="00DD07AF" w:rsidP="00CB2FBB">
            <w:pPr>
              <w:pStyle w:val="Tabletext"/>
            </w:pPr>
            <w:r w:rsidRPr="007927AB">
              <w:t>m/d</w:t>
            </w:r>
          </w:p>
        </w:tc>
        <w:tc>
          <w:tcPr>
            <w:tcW w:w="1523" w:type="dxa"/>
            <w:tcBorders>
              <w:top w:val="single" w:sz="4" w:space="0" w:color="auto"/>
              <w:left w:val="single" w:sz="4" w:space="0" w:color="auto"/>
              <w:bottom w:val="single" w:sz="4" w:space="0" w:color="auto"/>
              <w:right w:val="single" w:sz="4" w:space="0" w:color="auto"/>
            </w:tcBorders>
            <w:vAlign w:val="center"/>
          </w:tcPr>
          <w:p w:rsidR="00DD07AF" w:rsidRPr="007927AB" w:rsidRDefault="00C3694D" w:rsidP="00CB2FBB">
            <w:pPr>
              <w:pStyle w:val="Tabletext"/>
            </w:pPr>
            <w:r w:rsidRPr="007927AB">
              <w:t>10-4</w:t>
            </w:r>
          </w:p>
        </w:tc>
        <w:tc>
          <w:tcPr>
            <w:tcW w:w="1523" w:type="dxa"/>
            <w:tcBorders>
              <w:top w:val="single" w:sz="4" w:space="0" w:color="auto"/>
              <w:left w:val="single" w:sz="4" w:space="0" w:color="auto"/>
              <w:bottom w:val="single" w:sz="4" w:space="0" w:color="auto"/>
              <w:right w:val="single" w:sz="4" w:space="0" w:color="auto"/>
            </w:tcBorders>
            <w:vAlign w:val="center"/>
          </w:tcPr>
          <w:p w:rsidR="00DD07AF" w:rsidRPr="007927AB" w:rsidRDefault="00C3694D" w:rsidP="00CB2FBB">
            <w:pPr>
              <w:pStyle w:val="Tabletext"/>
            </w:pPr>
            <w:r w:rsidRPr="007927AB">
              <w:t>10-1</w:t>
            </w:r>
          </w:p>
        </w:tc>
      </w:tr>
      <w:tr w:rsidR="00DD07AF" w:rsidRPr="00CA5875" w:rsidTr="00DC6744">
        <w:tc>
          <w:tcPr>
            <w:tcW w:w="3936" w:type="dxa"/>
            <w:tcBorders>
              <w:top w:val="single" w:sz="4" w:space="0" w:color="auto"/>
              <w:left w:val="single" w:sz="4" w:space="0" w:color="auto"/>
              <w:bottom w:val="single" w:sz="4" w:space="0" w:color="auto"/>
              <w:right w:val="single" w:sz="4" w:space="0" w:color="auto"/>
            </w:tcBorders>
            <w:vAlign w:val="center"/>
          </w:tcPr>
          <w:p w:rsidR="00DD07AF" w:rsidRPr="007927AB" w:rsidRDefault="00DD07AF" w:rsidP="00CB2FBB">
            <w:pPr>
              <w:pStyle w:val="Tabletext"/>
            </w:pPr>
            <w:r w:rsidRPr="007927AB">
              <w:t>transmissivity</w:t>
            </w:r>
          </w:p>
        </w:tc>
        <w:tc>
          <w:tcPr>
            <w:tcW w:w="1523" w:type="dxa"/>
            <w:tcBorders>
              <w:top w:val="single" w:sz="4" w:space="0" w:color="auto"/>
              <w:left w:val="single" w:sz="4" w:space="0" w:color="auto"/>
              <w:bottom w:val="single" w:sz="4" w:space="0" w:color="auto"/>
              <w:right w:val="single" w:sz="4" w:space="0" w:color="auto"/>
            </w:tcBorders>
            <w:vAlign w:val="center"/>
          </w:tcPr>
          <w:p w:rsidR="00DD07AF" w:rsidRPr="007927AB" w:rsidRDefault="00DD07AF" w:rsidP="00CB2FBB">
            <w:pPr>
              <w:pStyle w:val="Tabletext"/>
            </w:pPr>
            <w:r w:rsidRPr="007927AB">
              <w:t>m2/d</w:t>
            </w:r>
          </w:p>
        </w:tc>
        <w:tc>
          <w:tcPr>
            <w:tcW w:w="1523" w:type="dxa"/>
            <w:tcBorders>
              <w:top w:val="single" w:sz="4" w:space="0" w:color="auto"/>
              <w:left w:val="single" w:sz="4" w:space="0" w:color="auto"/>
              <w:bottom w:val="single" w:sz="4" w:space="0" w:color="auto"/>
              <w:right w:val="single" w:sz="4" w:space="0" w:color="auto"/>
            </w:tcBorders>
            <w:vAlign w:val="center"/>
          </w:tcPr>
          <w:p w:rsidR="00DD07AF" w:rsidRPr="007927AB" w:rsidRDefault="00DD07AF" w:rsidP="00CB2FBB">
            <w:pPr>
              <w:pStyle w:val="Tabletext"/>
            </w:pPr>
            <w:r w:rsidRPr="007927AB">
              <w:t>1</w:t>
            </w:r>
          </w:p>
        </w:tc>
        <w:tc>
          <w:tcPr>
            <w:tcW w:w="1523" w:type="dxa"/>
            <w:tcBorders>
              <w:top w:val="single" w:sz="4" w:space="0" w:color="auto"/>
              <w:left w:val="single" w:sz="4" w:space="0" w:color="auto"/>
              <w:bottom w:val="single" w:sz="4" w:space="0" w:color="auto"/>
              <w:right w:val="single" w:sz="4" w:space="0" w:color="auto"/>
            </w:tcBorders>
            <w:vAlign w:val="center"/>
          </w:tcPr>
          <w:p w:rsidR="00DD07AF" w:rsidRPr="007927AB" w:rsidRDefault="00DD07AF" w:rsidP="00CB2FBB">
            <w:pPr>
              <w:pStyle w:val="Tabletext"/>
            </w:pPr>
            <w:r w:rsidRPr="007927AB">
              <w:t>2000</w:t>
            </w:r>
          </w:p>
        </w:tc>
      </w:tr>
      <w:tr w:rsidR="00DD07AF" w:rsidRPr="00CA5875" w:rsidTr="00DC6744">
        <w:tc>
          <w:tcPr>
            <w:tcW w:w="3936" w:type="dxa"/>
            <w:tcBorders>
              <w:top w:val="single" w:sz="4" w:space="0" w:color="auto"/>
              <w:left w:val="single" w:sz="4" w:space="0" w:color="auto"/>
              <w:right w:val="single" w:sz="4" w:space="0" w:color="auto"/>
            </w:tcBorders>
            <w:vAlign w:val="center"/>
          </w:tcPr>
          <w:p w:rsidR="00DD07AF" w:rsidRPr="007927AB" w:rsidRDefault="00DD07AF" w:rsidP="00CB2FBB">
            <w:pPr>
              <w:pStyle w:val="Tabletext"/>
            </w:pPr>
            <w:r w:rsidRPr="007927AB">
              <w:t>storativity</w:t>
            </w:r>
          </w:p>
        </w:tc>
        <w:tc>
          <w:tcPr>
            <w:tcW w:w="1523" w:type="dxa"/>
            <w:tcBorders>
              <w:top w:val="single" w:sz="4" w:space="0" w:color="auto"/>
              <w:left w:val="single" w:sz="4" w:space="0" w:color="auto"/>
              <w:right w:val="single" w:sz="4" w:space="0" w:color="auto"/>
            </w:tcBorders>
            <w:vAlign w:val="center"/>
          </w:tcPr>
          <w:p w:rsidR="00DD07AF" w:rsidRPr="007927AB" w:rsidRDefault="00DD07AF" w:rsidP="00CB2FBB">
            <w:pPr>
              <w:pStyle w:val="Tabletext"/>
            </w:pPr>
            <w:r w:rsidRPr="007927AB">
              <w:t>unitless</w:t>
            </w:r>
          </w:p>
        </w:tc>
        <w:tc>
          <w:tcPr>
            <w:tcW w:w="1523" w:type="dxa"/>
            <w:tcBorders>
              <w:top w:val="single" w:sz="4" w:space="0" w:color="auto"/>
              <w:left w:val="single" w:sz="4" w:space="0" w:color="auto"/>
              <w:right w:val="single" w:sz="4" w:space="0" w:color="auto"/>
            </w:tcBorders>
            <w:vAlign w:val="center"/>
          </w:tcPr>
          <w:p w:rsidR="00DD07AF" w:rsidRPr="007927AB" w:rsidRDefault="00C3694D" w:rsidP="00CB2FBB">
            <w:pPr>
              <w:pStyle w:val="Tabletext"/>
            </w:pPr>
            <w:r w:rsidRPr="007927AB">
              <w:t>10-5</w:t>
            </w:r>
          </w:p>
        </w:tc>
        <w:tc>
          <w:tcPr>
            <w:tcW w:w="1523" w:type="dxa"/>
            <w:tcBorders>
              <w:top w:val="single" w:sz="4" w:space="0" w:color="auto"/>
              <w:left w:val="single" w:sz="4" w:space="0" w:color="auto"/>
              <w:right w:val="single" w:sz="4" w:space="0" w:color="auto"/>
            </w:tcBorders>
            <w:vAlign w:val="center"/>
          </w:tcPr>
          <w:p w:rsidR="00DD07AF" w:rsidRPr="007927AB" w:rsidRDefault="00C3694D" w:rsidP="00CB2FBB">
            <w:pPr>
              <w:pStyle w:val="Tabletext"/>
            </w:pPr>
            <w:r w:rsidRPr="007927AB">
              <w:t>10-4</w:t>
            </w:r>
          </w:p>
        </w:tc>
      </w:tr>
    </w:tbl>
    <w:p w:rsidR="00F863AB" w:rsidRDefault="00F863AB" w:rsidP="001C3374">
      <w:pPr>
        <w:pStyle w:val="Body"/>
      </w:pPr>
    </w:p>
    <w:p w:rsidR="00960B67" w:rsidRPr="00272992" w:rsidRDefault="00DD07AF" w:rsidP="00CA5875">
      <w:pPr>
        <w:pStyle w:val="BRNormal"/>
      </w:pPr>
      <w:r>
        <w:t xml:space="preserve">Field-based estimates of hydraulic property values for the Cadna-Owie-Hooray aquifer from subsequent geological reports and </w:t>
      </w:r>
      <w:r w:rsidR="00110014">
        <w:t>from e</w:t>
      </w:r>
      <w:r>
        <w:t xml:space="preserve">nvironmental </w:t>
      </w:r>
      <w:r w:rsidR="003116D0">
        <w:t>assessments for proposed mines</w:t>
      </w:r>
      <w:r>
        <w:t xml:space="preserve"> are summarised</w:t>
      </w:r>
      <w:r w:rsidR="00D26D09">
        <w:t xml:space="preserve"> (after Welsh 2006) in Table 6</w:t>
      </w:r>
      <w:r>
        <w:t xml:space="preserve">. </w:t>
      </w:r>
      <w:r w:rsidR="00960B67">
        <w:t xml:space="preserve">It may be seen that storativity and porosity values </w:t>
      </w:r>
      <w:r w:rsidR="00960B67">
        <w:lastRenderedPageBreak/>
        <w:t>are within the ranges estimated by Habermehl (1980). Ranges of observed hydraulic conductivities and transmissivities are broader than estimated, but are consistent in terms of orders of magnitude.</w:t>
      </w:r>
    </w:p>
    <w:p w:rsidR="00DD07AF" w:rsidRPr="00A10D77" w:rsidRDefault="00CA5875" w:rsidP="00CA5875">
      <w:pPr>
        <w:pStyle w:val="Caption"/>
      </w:pPr>
      <w:r w:rsidRPr="006F2073">
        <w:t xml:space="preserve">Table </w:t>
      </w:r>
      <w:r w:rsidR="00E23933" w:rsidRPr="006F2073">
        <w:rPr>
          <w:b/>
          <w:noProof w:val="0"/>
        </w:rPr>
        <w:fldChar w:fldCharType="begin"/>
      </w:r>
      <w:r w:rsidRPr="006F2073">
        <w:instrText xml:space="preserve"> SEQ Table \* ARABIC </w:instrText>
      </w:r>
      <w:r w:rsidR="00E23933" w:rsidRPr="006F2073">
        <w:rPr>
          <w:b/>
          <w:noProof w:val="0"/>
        </w:rPr>
        <w:fldChar w:fldCharType="separate"/>
      </w:r>
      <w:r w:rsidR="003E27BE">
        <w:t>6</w:t>
      </w:r>
      <w:r w:rsidR="00E23933" w:rsidRPr="006F2073">
        <w:rPr>
          <w:b/>
        </w:rPr>
        <w:fldChar w:fldCharType="end"/>
      </w:r>
      <w:r w:rsidRPr="006F2073">
        <w:t xml:space="preserve"> </w:t>
      </w:r>
      <w:r w:rsidR="00DD07AF">
        <w:t xml:space="preserve">Estimated hydraulic properties of </w:t>
      </w:r>
      <w:r w:rsidR="00DD07AF" w:rsidRPr="00122345">
        <w:t>the Cadna-Owie-Hooray aquifers of the Great Artesian Basin</w:t>
      </w:r>
      <w:r w:rsidR="00DD07AF">
        <w:t xml:space="preserve"> from field tests</w:t>
      </w:r>
      <w:r w:rsidR="003116D0">
        <w:t xml:space="preserve"> (</w:t>
      </w:r>
      <w:r w:rsidR="00F976E1">
        <w:t>©</w:t>
      </w:r>
      <w:r w:rsidR="003116D0">
        <w:t xml:space="preserve"> Copyright, Welsh 2006)</w:t>
      </w:r>
      <w:r w:rsidR="003E27BE">
        <w:t>.</w:t>
      </w:r>
    </w:p>
    <w:tbl>
      <w:tblPr>
        <w:tblStyle w:val="TableGrid"/>
        <w:tblW w:w="0" w:type="auto"/>
        <w:tblInd w:w="108" w:type="dxa"/>
        <w:tblBorders>
          <w:left w:val="none" w:sz="0" w:space="0" w:color="auto"/>
          <w:right w:val="none" w:sz="0" w:space="0" w:color="auto"/>
        </w:tblBorders>
        <w:tblLook w:val="04A0"/>
      </w:tblPr>
      <w:tblGrid>
        <w:gridCol w:w="3261"/>
        <w:gridCol w:w="1488"/>
        <w:gridCol w:w="1417"/>
        <w:gridCol w:w="1417"/>
        <w:gridCol w:w="1417"/>
      </w:tblGrid>
      <w:tr w:rsidR="00DD07AF" w:rsidRPr="00CA5875" w:rsidTr="003116D0">
        <w:trPr>
          <w:tblHeader/>
        </w:trPr>
        <w:tc>
          <w:tcPr>
            <w:tcW w:w="3261"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rsidR="00DD07AF" w:rsidRPr="00CA5875" w:rsidRDefault="00DD07AF" w:rsidP="00470AD4">
            <w:pPr>
              <w:pStyle w:val="Tableheading"/>
            </w:pPr>
            <w:r w:rsidRPr="00CA5875">
              <w:t>Reference</w:t>
            </w:r>
          </w:p>
        </w:tc>
        <w:tc>
          <w:tcPr>
            <w:tcW w:w="1488"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rsidR="00DD07AF" w:rsidRPr="00CA5875" w:rsidRDefault="00DD07AF" w:rsidP="00470AD4">
            <w:pPr>
              <w:pStyle w:val="Tableheading"/>
            </w:pPr>
            <w:r w:rsidRPr="00CA5875">
              <w:rPr>
                <w:i/>
              </w:rPr>
              <w:t>K</w:t>
            </w:r>
            <w:r w:rsidRPr="00CA5875">
              <w:rPr>
                <w:i/>
                <w:vertAlign w:val="subscript"/>
              </w:rPr>
              <w:t>h</w:t>
            </w:r>
            <w:r w:rsidRPr="00CA5875">
              <w:t xml:space="preserve">  (m/d)</w:t>
            </w:r>
          </w:p>
        </w:tc>
        <w:tc>
          <w:tcPr>
            <w:tcW w:w="1417"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rsidR="00DD07AF" w:rsidRPr="00CA5875" w:rsidRDefault="00DD07AF" w:rsidP="00470AD4">
            <w:pPr>
              <w:pStyle w:val="Tableheading"/>
            </w:pPr>
            <w:r w:rsidRPr="00CA5875">
              <w:rPr>
                <w:i/>
              </w:rPr>
              <w:t>T</w:t>
            </w:r>
            <w:r w:rsidRPr="00CA5875">
              <w:t xml:space="preserve">  (m</w:t>
            </w:r>
            <w:r w:rsidRPr="00CA5875">
              <w:rPr>
                <w:vertAlign w:val="superscript"/>
              </w:rPr>
              <w:t>2</w:t>
            </w:r>
            <w:r w:rsidRPr="00CA5875">
              <w:t>/d)</w:t>
            </w:r>
          </w:p>
        </w:tc>
        <w:tc>
          <w:tcPr>
            <w:tcW w:w="1417"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rsidR="00DD07AF" w:rsidRPr="00CA5875" w:rsidRDefault="00DD07AF" w:rsidP="00470AD4">
            <w:pPr>
              <w:pStyle w:val="Tableheading"/>
              <w:rPr>
                <w:vertAlign w:val="subscript"/>
              </w:rPr>
            </w:pPr>
            <w:r w:rsidRPr="00CA5875">
              <w:t>S</w:t>
            </w:r>
          </w:p>
        </w:tc>
        <w:tc>
          <w:tcPr>
            <w:tcW w:w="1417"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rsidR="00DD07AF" w:rsidRPr="00CA5875" w:rsidRDefault="00DD07AF" w:rsidP="00470AD4">
            <w:pPr>
              <w:pStyle w:val="Tableheading"/>
              <w:rPr>
                <w:vertAlign w:val="subscript"/>
              </w:rPr>
            </w:pPr>
            <w:r w:rsidRPr="00CA5875">
              <w:t>n</w:t>
            </w:r>
            <w:r w:rsidRPr="00CA5875">
              <w:rPr>
                <w:vertAlign w:val="subscript"/>
              </w:rPr>
              <w:t>e</w:t>
            </w:r>
          </w:p>
        </w:tc>
      </w:tr>
      <w:tr w:rsidR="00DD07AF" w:rsidRPr="00CA5875" w:rsidTr="003116D0">
        <w:tc>
          <w:tcPr>
            <w:tcW w:w="3261" w:type="dxa"/>
            <w:tcBorders>
              <w:left w:val="single" w:sz="4" w:space="0" w:color="auto"/>
              <w:bottom w:val="single" w:sz="4" w:space="0" w:color="auto"/>
              <w:right w:val="single" w:sz="4" w:space="0" w:color="auto"/>
            </w:tcBorders>
            <w:shd w:val="clear" w:color="auto" w:fill="auto"/>
            <w:vAlign w:val="center"/>
          </w:tcPr>
          <w:p w:rsidR="00DD07AF" w:rsidRPr="00CA5875" w:rsidRDefault="00DD07AF" w:rsidP="00CB2FBB">
            <w:pPr>
              <w:pStyle w:val="Tabletext"/>
            </w:pPr>
            <w:r w:rsidRPr="00CA5875">
              <w:t>Audibert (1976)</w:t>
            </w:r>
          </w:p>
        </w:tc>
        <w:tc>
          <w:tcPr>
            <w:tcW w:w="1488" w:type="dxa"/>
            <w:tcBorders>
              <w:left w:val="single" w:sz="4" w:space="0" w:color="auto"/>
              <w:bottom w:val="single" w:sz="4" w:space="0" w:color="auto"/>
              <w:right w:val="single" w:sz="4" w:space="0" w:color="auto"/>
            </w:tcBorders>
            <w:shd w:val="clear" w:color="auto" w:fill="auto"/>
            <w:vAlign w:val="center"/>
          </w:tcPr>
          <w:p w:rsidR="00DD07AF" w:rsidRPr="00CA5875" w:rsidRDefault="00DD07AF" w:rsidP="00CB2FBB">
            <w:pPr>
              <w:pStyle w:val="Tabletext"/>
            </w:pPr>
            <w:r w:rsidRPr="00CA5875">
              <w:t>0.02 - 82</w:t>
            </w:r>
          </w:p>
        </w:tc>
        <w:tc>
          <w:tcPr>
            <w:tcW w:w="1417" w:type="dxa"/>
            <w:tcBorders>
              <w:left w:val="single" w:sz="4" w:space="0" w:color="auto"/>
              <w:bottom w:val="single" w:sz="4" w:space="0" w:color="auto"/>
              <w:right w:val="single" w:sz="4" w:space="0" w:color="auto"/>
            </w:tcBorders>
            <w:shd w:val="clear" w:color="auto" w:fill="auto"/>
            <w:vAlign w:val="center"/>
          </w:tcPr>
          <w:p w:rsidR="00DD07AF" w:rsidRPr="00CA5875" w:rsidRDefault="00DD07AF" w:rsidP="00CB2FBB">
            <w:pPr>
              <w:pStyle w:val="Tabletext"/>
            </w:pPr>
            <w:r w:rsidRPr="00CA5875">
              <w:t>0.1 - 2295</w:t>
            </w:r>
          </w:p>
        </w:tc>
        <w:tc>
          <w:tcPr>
            <w:tcW w:w="1417" w:type="dxa"/>
            <w:tcBorders>
              <w:left w:val="single" w:sz="4" w:space="0" w:color="auto"/>
              <w:bottom w:val="single" w:sz="4" w:space="0" w:color="auto"/>
              <w:right w:val="single" w:sz="4" w:space="0" w:color="auto"/>
            </w:tcBorders>
            <w:shd w:val="clear" w:color="auto" w:fill="auto"/>
            <w:vAlign w:val="center"/>
          </w:tcPr>
          <w:p w:rsidR="00DD07AF" w:rsidRPr="00CA5875" w:rsidRDefault="00DD07AF" w:rsidP="00CB2FBB">
            <w:pPr>
              <w:pStyle w:val="Tabletext"/>
            </w:pPr>
            <w:r w:rsidRPr="00CA5875">
              <w:t>mean = 2.5</w:t>
            </w:r>
            <w:r w:rsidR="00C3694D" w:rsidRPr="00CA5875">
              <w:t>x10</w:t>
            </w:r>
            <w:r w:rsidR="00C3694D" w:rsidRPr="00CA5875">
              <w:rPr>
                <w:vertAlign w:val="superscript"/>
              </w:rPr>
              <w:t>-4</w:t>
            </w:r>
          </w:p>
        </w:tc>
        <w:tc>
          <w:tcPr>
            <w:tcW w:w="1417" w:type="dxa"/>
            <w:tcBorders>
              <w:left w:val="single" w:sz="4" w:space="0" w:color="auto"/>
              <w:bottom w:val="single" w:sz="4" w:space="0" w:color="auto"/>
              <w:right w:val="single" w:sz="4" w:space="0" w:color="auto"/>
            </w:tcBorders>
            <w:shd w:val="clear" w:color="auto" w:fill="auto"/>
            <w:vAlign w:val="center"/>
          </w:tcPr>
          <w:p w:rsidR="00DD07AF" w:rsidRPr="00CA5875" w:rsidRDefault="00DD07AF" w:rsidP="00CB2FBB">
            <w:pPr>
              <w:pStyle w:val="Tabletext"/>
            </w:pPr>
            <w:r w:rsidRPr="00CA5875">
              <w:t>mean = 0.21</w:t>
            </w:r>
          </w:p>
        </w:tc>
      </w:tr>
      <w:tr w:rsidR="00DD07AF" w:rsidRPr="00CA5875" w:rsidTr="003116D0">
        <w:tc>
          <w:tcPr>
            <w:tcW w:w="3261" w:type="dxa"/>
            <w:tcBorders>
              <w:top w:val="single" w:sz="4" w:space="0" w:color="auto"/>
              <w:left w:val="single" w:sz="4" w:space="0" w:color="auto"/>
              <w:bottom w:val="single" w:sz="4" w:space="0" w:color="auto"/>
              <w:right w:val="single" w:sz="4" w:space="0" w:color="auto"/>
            </w:tcBorders>
            <w:shd w:val="clear" w:color="auto" w:fill="auto"/>
            <w:vAlign w:val="center"/>
          </w:tcPr>
          <w:p w:rsidR="00DD07AF" w:rsidRPr="00CA5875" w:rsidRDefault="00DD07AF" w:rsidP="00CB2FBB">
            <w:pPr>
              <w:pStyle w:val="Tabletext"/>
            </w:pPr>
            <w:r w:rsidRPr="00CA5875">
              <w:t>RUST PPK (1994)</w:t>
            </w:r>
          </w:p>
        </w:tc>
        <w:tc>
          <w:tcPr>
            <w:tcW w:w="1488" w:type="dxa"/>
            <w:tcBorders>
              <w:top w:val="single" w:sz="4" w:space="0" w:color="auto"/>
              <w:left w:val="single" w:sz="4" w:space="0" w:color="auto"/>
              <w:bottom w:val="single" w:sz="4" w:space="0" w:color="auto"/>
              <w:right w:val="single" w:sz="4" w:space="0" w:color="auto"/>
            </w:tcBorders>
            <w:shd w:val="clear" w:color="auto" w:fill="auto"/>
            <w:vAlign w:val="center"/>
          </w:tcPr>
          <w:p w:rsidR="00DD07AF" w:rsidRPr="00CA5875" w:rsidRDefault="00DD07AF" w:rsidP="00CB2FBB">
            <w:pPr>
              <w:pStyle w:val="Tabletext"/>
            </w:pPr>
            <w:r w:rsidRPr="00CA5875">
              <w:t>1 - 13.1</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DD07AF" w:rsidRPr="00CA5875" w:rsidRDefault="00DD07AF" w:rsidP="00CB2FBB">
            <w:pPr>
              <w:pStyle w:val="Tabletext"/>
            </w:pPr>
            <w:r w:rsidRPr="00CA5875">
              <w:t>-</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DD07AF" w:rsidRPr="00CA5875" w:rsidRDefault="00DD07AF" w:rsidP="00CB2FBB">
            <w:pPr>
              <w:pStyle w:val="Tabletext"/>
            </w:pPr>
            <w:r w:rsidRPr="00CA5875">
              <w:t>mean = 2.7</w:t>
            </w:r>
            <w:r w:rsidR="00C3694D" w:rsidRPr="00CA5875">
              <w:t>x10</w:t>
            </w:r>
            <w:r w:rsidR="00C3694D" w:rsidRPr="00CA5875">
              <w:rPr>
                <w:vertAlign w:val="superscript"/>
              </w:rPr>
              <w:t>-4</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DD07AF" w:rsidRPr="00CA5875" w:rsidRDefault="00DD07AF" w:rsidP="00CB2FBB">
            <w:pPr>
              <w:pStyle w:val="Tabletext"/>
            </w:pPr>
            <w:r w:rsidRPr="00CA5875">
              <w:t>-</w:t>
            </w:r>
          </w:p>
        </w:tc>
      </w:tr>
      <w:tr w:rsidR="00DD07AF" w:rsidRPr="00CA5875" w:rsidTr="003116D0">
        <w:tc>
          <w:tcPr>
            <w:tcW w:w="3261" w:type="dxa"/>
            <w:tcBorders>
              <w:top w:val="single" w:sz="4" w:space="0" w:color="auto"/>
              <w:left w:val="single" w:sz="4" w:space="0" w:color="auto"/>
              <w:bottom w:val="single" w:sz="4" w:space="0" w:color="auto"/>
              <w:right w:val="single" w:sz="4" w:space="0" w:color="auto"/>
            </w:tcBorders>
            <w:vAlign w:val="center"/>
          </w:tcPr>
          <w:p w:rsidR="00DD07AF" w:rsidRPr="00CA5875" w:rsidRDefault="00DD07AF" w:rsidP="00CB2FBB">
            <w:pPr>
              <w:pStyle w:val="Tabletext"/>
            </w:pPr>
            <w:r w:rsidRPr="00CA5875">
              <w:t xml:space="preserve">Berry </w:t>
            </w:r>
            <w:r w:rsidR="003E27BE">
              <w:t>&amp;</w:t>
            </w:r>
            <w:r w:rsidRPr="00CA5875">
              <w:t xml:space="preserve"> Armstrong (1995)</w:t>
            </w:r>
          </w:p>
        </w:tc>
        <w:tc>
          <w:tcPr>
            <w:tcW w:w="1488" w:type="dxa"/>
            <w:tcBorders>
              <w:top w:val="single" w:sz="4" w:space="0" w:color="auto"/>
              <w:left w:val="single" w:sz="4" w:space="0" w:color="auto"/>
              <w:bottom w:val="single" w:sz="4" w:space="0" w:color="auto"/>
              <w:right w:val="single" w:sz="4" w:space="0" w:color="auto"/>
            </w:tcBorders>
            <w:vAlign w:val="center"/>
          </w:tcPr>
          <w:p w:rsidR="00DD07AF" w:rsidRPr="00CA5875" w:rsidRDefault="00DD07AF" w:rsidP="00CB2FBB">
            <w:pPr>
              <w:pStyle w:val="Tabletext"/>
            </w:pPr>
            <w:r w:rsidRPr="00CA5875">
              <w:t>1.6 - 18.5</w:t>
            </w:r>
          </w:p>
        </w:tc>
        <w:tc>
          <w:tcPr>
            <w:tcW w:w="1417" w:type="dxa"/>
            <w:tcBorders>
              <w:top w:val="single" w:sz="4" w:space="0" w:color="auto"/>
              <w:left w:val="single" w:sz="4" w:space="0" w:color="auto"/>
              <w:bottom w:val="single" w:sz="4" w:space="0" w:color="auto"/>
              <w:right w:val="single" w:sz="4" w:space="0" w:color="auto"/>
            </w:tcBorders>
            <w:vAlign w:val="center"/>
          </w:tcPr>
          <w:p w:rsidR="00DD07AF" w:rsidRPr="00CA5875" w:rsidRDefault="00DD07AF" w:rsidP="00CB2FBB">
            <w:pPr>
              <w:pStyle w:val="Tabletext"/>
            </w:pPr>
            <w:r w:rsidRPr="00CA5875">
              <w:t>5 - 380</w:t>
            </w:r>
          </w:p>
        </w:tc>
        <w:tc>
          <w:tcPr>
            <w:tcW w:w="1417" w:type="dxa"/>
            <w:tcBorders>
              <w:top w:val="single" w:sz="4" w:space="0" w:color="auto"/>
              <w:left w:val="single" w:sz="4" w:space="0" w:color="auto"/>
              <w:bottom w:val="single" w:sz="4" w:space="0" w:color="auto"/>
              <w:right w:val="single" w:sz="4" w:space="0" w:color="auto"/>
            </w:tcBorders>
            <w:vAlign w:val="center"/>
          </w:tcPr>
          <w:p w:rsidR="00DD07AF" w:rsidRPr="00CA5875" w:rsidRDefault="00DD07AF" w:rsidP="00CB2FBB">
            <w:pPr>
              <w:pStyle w:val="Tabletext"/>
            </w:pPr>
            <w:r w:rsidRPr="00CA5875">
              <w:t>-</w:t>
            </w:r>
          </w:p>
        </w:tc>
        <w:tc>
          <w:tcPr>
            <w:tcW w:w="1417" w:type="dxa"/>
            <w:tcBorders>
              <w:top w:val="single" w:sz="4" w:space="0" w:color="auto"/>
              <w:left w:val="single" w:sz="4" w:space="0" w:color="auto"/>
              <w:bottom w:val="single" w:sz="4" w:space="0" w:color="auto"/>
              <w:right w:val="single" w:sz="4" w:space="0" w:color="auto"/>
            </w:tcBorders>
            <w:vAlign w:val="center"/>
          </w:tcPr>
          <w:p w:rsidR="00DD07AF" w:rsidRPr="00CA5875" w:rsidRDefault="00DD07AF" w:rsidP="00CB2FBB">
            <w:pPr>
              <w:pStyle w:val="Tabletext"/>
            </w:pPr>
            <w:r w:rsidRPr="00CA5875">
              <w:t>-</w:t>
            </w:r>
          </w:p>
        </w:tc>
      </w:tr>
      <w:tr w:rsidR="00DD07AF" w:rsidRPr="00CA5875" w:rsidTr="003116D0">
        <w:tc>
          <w:tcPr>
            <w:tcW w:w="3261" w:type="dxa"/>
            <w:tcBorders>
              <w:top w:val="single" w:sz="4" w:space="0" w:color="auto"/>
              <w:left w:val="single" w:sz="4" w:space="0" w:color="auto"/>
              <w:right w:val="single" w:sz="4" w:space="0" w:color="auto"/>
            </w:tcBorders>
            <w:vAlign w:val="center"/>
          </w:tcPr>
          <w:p w:rsidR="00DD07AF" w:rsidRPr="00CA5875" w:rsidRDefault="00DD07AF" w:rsidP="00CB2FBB">
            <w:pPr>
              <w:pStyle w:val="Tabletext"/>
            </w:pPr>
            <w:r w:rsidRPr="00CA5875">
              <w:t xml:space="preserve">Armstrong </w:t>
            </w:r>
            <w:r w:rsidR="003E27BE">
              <w:t>&amp;</w:t>
            </w:r>
            <w:r w:rsidRPr="00CA5875">
              <w:t xml:space="preserve"> Berry (1997)</w:t>
            </w:r>
          </w:p>
        </w:tc>
        <w:tc>
          <w:tcPr>
            <w:tcW w:w="1488" w:type="dxa"/>
            <w:tcBorders>
              <w:top w:val="single" w:sz="4" w:space="0" w:color="auto"/>
              <w:left w:val="single" w:sz="4" w:space="0" w:color="auto"/>
              <w:right w:val="single" w:sz="4" w:space="0" w:color="auto"/>
            </w:tcBorders>
            <w:vAlign w:val="center"/>
          </w:tcPr>
          <w:p w:rsidR="00DD07AF" w:rsidRPr="00CA5875" w:rsidRDefault="00DD07AF" w:rsidP="00CB2FBB">
            <w:pPr>
              <w:pStyle w:val="Tabletext"/>
            </w:pPr>
            <w:r w:rsidRPr="00CA5875">
              <w:t>0.5 - 22</w:t>
            </w:r>
          </w:p>
        </w:tc>
        <w:tc>
          <w:tcPr>
            <w:tcW w:w="1417" w:type="dxa"/>
            <w:tcBorders>
              <w:top w:val="single" w:sz="4" w:space="0" w:color="auto"/>
              <w:left w:val="single" w:sz="4" w:space="0" w:color="auto"/>
              <w:right w:val="single" w:sz="4" w:space="0" w:color="auto"/>
            </w:tcBorders>
            <w:vAlign w:val="center"/>
          </w:tcPr>
          <w:p w:rsidR="00DD07AF" w:rsidRPr="00CA5875" w:rsidRDefault="00DD07AF" w:rsidP="00CB2FBB">
            <w:pPr>
              <w:pStyle w:val="Tabletext"/>
            </w:pPr>
            <w:r w:rsidRPr="00CA5875">
              <w:t>0.1 - 3200</w:t>
            </w:r>
          </w:p>
        </w:tc>
        <w:tc>
          <w:tcPr>
            <w:tcW w:w="1417" w:type="dxa"/>
            <w:tcBorders>
              <w:top w:val="single" w:sz="4" w:space="0" w:color="auto"/>
              <w:left w:val="single" w:sz="4" w:space="0" w:color="auto"/>
              <w:right w:val="single" w:sz="4" w:space="0" w:color="auto"/>
            </w:tcBorders>
            <w:vAlign w:val="center"/>
          </w:tcPr>
          <w:p w:rsidR="00DD07AF" w:rsidRPr="00CA5875" w:rsidRDefault="00DD07AF" w:rsidP="00CB2FBB">
            <w:pPr>
              <w:pStyle w:val="Tabletext"/>
            </w:pPr>
            <w:r w:rsidRPr="00CA5875">
              <w:t>-</w:t>
            </w:r>
          </w:p>
        </w:tc>
        <w:tc>
          <w:tcPr>
            <w:tcW w:w="1417" w:type="dxa"/>
            <w:tcBorders>
              <w:top w:val="single" w:sz="4" w:space="0" w:color="auto"/>
              <w:left w:val="single" w:sz="4" w:space="0" w:color="auto"/>
              <w:right w:val="single" w:sz="4" w:space="0" w:color="auto"/>
            </w:tcBorders>
            <w:vAlign w:val="center"/>
          </w:tcPr>
          <w:p w:rsidR="00DD07AF" w:rsidRPr="00CA5875" w:rsidRDefault="00DD07AF" w:rsidP="00CB2FBB">
            <w:pPr>
              <w:pStyle w:val="Tabletext"/>
            </w:pPr>
            <w:r w:rsidRPr="00CA5875">
              <w:t>-</w:t>
            </w:r>
          </w:p>
        </w:tc>
      </w:tr>
    </w:tbl>
    <w:p w:rsidR="00DD07AF" w:rsidRPr="003E27BE" w:rsidRDefault="00DD07AF" w:rsidP="001C3374">
      <w:pPr>
        <w:pStyle w:val="Body"/>
        <w:rPr>
          <w:rFonts w:ascii="Arial" w:hAnsi="Arial" w:cs="Arial"/>
        </w:rPr>
      </w:pPr>
      <w:r w:rsidRPr="003E27BE">
        <w:rPr>
          <w:rFonts w:ascii="Arial" w:hAnsi="Arial" w:cs="Arial"/>
          <w:i/>
        </w:rPr>
        <w:t>K</w:t>
      </w:r>
      <w:r w:rsidRPr="003E27BE">
        <w:rPr>
          <w:rFonts w:ascii="Arial" w:hAnsi="Arial" w:cs="Arial"/>
          <w:i/>
          <w:vertAlign w:val="subscript"/>
        </w:rPr>
        <w:t>h</w:t>
      </w:r>
      <w:r w:rsidRPr="003E27BE">
        <w:rPr>
          <w:rFonts w:ascii="Arial" w:hAnsi="Arial" w:cs="Arial"/>
        </w:rPr>
        <w:t xml:space="preserve">= horizontal hydraulic conductivity, </w:t>
      </w:r>
      <w:r w:rsidRPr="003E27BE">
        <w:rPr>
          <w:rFonts w:ascii="Arial" w:hAnsi="Arial" w:cs="Arial"/>
          <w:i/>
        </w:rPr>
        <w:t>T</w:t>
      </w:r>
      <w:r w:rsidRPr="003E27BE">
        <w:rPr>
          <w:rFonts w:ascii="Arial" w:hAnsi="Arial" w:cs="Arial"/>
        </w:rPr>
        <w:t xml:space="preserve">=transmissivity, </w:t>
      </w:r>
      <w:r w:rsidRPr="003E27BE">
        <w:rPr>
          <w:rFonts w:ascii="Arial" w:hAnsi="Arial" w:cs="Arial"/>
          <w:i/>
        </w:rPr>
        <w:t>S</w:t>
      </w:r>
      <w:r w:rsidRPr="003E27BE">
        <w:rPr>
          <w:rFonts w:ascii="Arial" w:hAnsi="Arial" w:cs="Arial"/>
        </w:rPr>
        <w:t xml:space="preserve">=storativity, </w:t>
      </w:r>
      <w:r w:rsidRPr="003E27BE">
        <w:rPr>
          <w:rFonts w:ascii="Arial" w:hAnsi="Arial" w:cs="Arial"/>
          <w:i/>
        </w:rPr>
        <w:t>n</w:t>
      </w:r>
      <w:r w:rsidRPr="003E27BE">
        <w:rPr>
          <w:rFonts w:ascii="Arial" w:hAnsi="Arial" w:cs="Arial"/>
          <w:i/>
          <w:vertAlign w:val="subscript"/>
        </w:rPr>
        <w:t>e</w:t>
      </w:r>
      <w:r w:rsidR="00C935CB" w:rsidRPr="003E27BE">
        <w:rPr>
          <w:rFonts w:ascii="Arial" w:hAnsi="Arial" w:cs="Arial"/>
        </w:rPr>
        <w:t>=porosity.</w:t>
      </w:r>
    </w:p>
    <w:p w:rsidR="003E27BE" w:rsidRDefault="003E27BE" w:rsidP="003E27BE">
      <w:pPr>
        <w:pStyle w:val="Caption"/>
      </w:pPr>
    </w:p>
    <w:p w:rsidR="00DD07AF" w:rsidRDefault="00960B67" w:rsidP="003E27BE">
      <w:pPr>
        <w:pStyle w:val="BRNormal"/>
        <w:rPr>
          <w:color w:val="000000" w:themeColor="text1"/>
        </w:rPr>
      </w:pPr>
      <w:r>
        <w:t xml:space="preserve">As part of the </w:t>
      </w:r>
      <w:r w:rsidR="000C6964">
        <w:t>GAB</w:t>
      </w:r>
      <w:r>
        <w:t xml:space="preserve"> Water Resource A</w:t>
      </w:r>
      <w:r w:rsidR="003E27BE">
        <w:t>ssessment (GABWRA) (CSIRO 2012a; CSIRO 2012</w:t>
      </w:r>
      <w:r>
        <w:t>b</w:t>
      </w:r>
      <w:r w:rsidR="003E27BE">
        <w:t>; CSIRO 2012</w:t>
      </w:r>
      <w:r w:rsidR="00167E75">
        <w:t>c</w:t>
      </w:r>
      <w:r>
        <w:t xml:space="preserve">), measurements of porosity and permeability recorded in databases maintained by the state governments of Queensland and South Australia were collated and summarised. The results for the Central Eromanga region of the GABWRA are summarised in Table </w:t>
      </w:r>
      <w:r w:rsidR="00D26D09">
        <w:t>7</w:t>
      </w:r>
      <w:r>
        <w:t xml:space="preserve"> (CSIRO 2012b).</w:t>
      </w:r>
      <w:r w:rsidRPr="00F43C08">
        <w:t xml:space="preserve"> Data scarcity in both the Western Eromanga and Carpentaria regions precluded the creation of similar summaries for those regions</w:t>
      </w:r>
      <w:r w:rsidR="003E27BE">
        <w:t xml:space="preserve"> (CSIRO 2012a; CSIRO 2012c</w:t>
      </w:r>
      <w:r>
        <w:t>)</w:t>
      </w:r>
      <w:r w:rsidRPr="00F43C08">
        <w:t>.</w:t>
      </w:r>
      <w:r>
        <w:t xml:space="preserve"> </w:t>
      </w:r>
      <w:r w:rsidR="00DD07AF" w:rsidRPr="00330E20">
        <w:rPr>
          <w:color w:val="000000" w:themeColor="text1"/>
        </w:rPr>
        <w:t>Mean</w:t>
      </w:r>
      <w:r w:rsidR="00DD07AF">
        <w:rPr>
          <w:color w:val="FF0000"/>
        </w:rPr>
        <w:t xml:space="preserve"> </w:t>
      </w:r>
      <w:r w:rsidR="00DD07AF" w:rsidRPr="00330E20">
        <w:rPr>
          <w:color w:val="000000" w:themeColor="text1"/>
        </w:rPr>
        <w:t>porosit</w:t>
      </w:r>
      <w:r w:rsidR="00DD07AF">
        <w:rPr>
          <w:color w:val="000000" w:themeColor="text1"/>
        </w:rPr>
        <w:t>y values are reasonably consistent, with no apparent trend with depth. Mean pe</w:t>
      </w:r>
      <w:r w:rsidR="00AD2671">
        <w:rPr>
          <w:color w:val="000000" w:themeColor="text1"/>
        </w:rPr>
        <w:t>rmeability values range from 96 </w:t>
      </w:r>
      <w:r w:rsidR="00DD07AF">
        <w:rPr>
          <w:color w:val="000000" w:themeColor="text1"/>
        </w:rPr>
        <w:t>mD in the</w:t>
      </w:r>
      <w:r w:rsidR="00AD2671">
        <w:rPr>
          <w:color w:val="000000" w:themeColor="text1"/>
        </w:rPr>
        <w:t xml:space="preserve"> Cadna-Owie Formation up to 813 </w:t>
      </w:r>
      <w:r w:rsidR="00DD07AF">
        <w:rPr>
          <w:color w:val="000000" w:themeColor="text1"/>
        </w:rPr>
        <w:t xml:space="preserve">mD in the Adori Formation. </w:t>
      </w:r>
    </w:p>
    <w:p w:rsidR="00D26D09" w:rsidRDefault="00D26D09" w:rsidP="00D26D09">
      <w:pPr>
        <w:pStyle w:val="Caption"/>
      </w:pPr>
      <w:r w:rsidRPr="006F2073">
        <w:t xml:space="preserve">Table </w:t>
      </w:r>
      <w:r w:rsidR="00E23933" w:rsidRPr="006F2073">
        <w:rPr>
          <w:b/>
          <w:noProof w:val="0"/>
        </w:rPr>
        <w:fldChar w:fldCharType="begin"/>
      </w:r>
      <w:r w:rsidRPr="006F2073">
        <w:instrText xml:space="preserve"> SEQ Table \* ARABIC </w:instrText>
      </w:r>
      <w:r w:rsidR="00E23933" w:rsidRPr="006F2073">
        <w:rPr>
          <w:b/>
          <w:noProof w:val="0"/>
        </w:rPr>
        <w:fldChar w:fldCharType="separate"/>
      </w:r>
      <w:r>
        <w:t>7</w:t>
      </w:r>
      <w:r w:rsidR="00E23933" w:rsidRPr="006F2073">
        <w:rPr>
          <w:b/>
        </w:rPr>
        <w:fldChar w:fldCharType="end"/>
      </w:r>
      <w:r>
        <w:rPr>
          <w:b/>
        </w:rPr>
        <w:t xml:space="preserve"> </w:t>
      </w:r>
      <w:r>
        <w:t xml:space="preserve">Porosity and permeability measurements for various Great Artesian Basin units </w:t>
      </w:r>
      <w:r w:rsidR="00AD2671">
        <w:t>(</w:t>
      </w:r>
      <w:r w:rsidR="00F976E1">
        <w:t>©</w:t>
      </w:r>
      <w:r w:rsidR="00AD2671">
        <w:t xml:space="preserve"> Copyright,</w:t>
      </w:r>
      <w:r>
        <w:t xml:space="preserve"> CSIRO 2012b).</w:t>
      </w:r>
    </w:p>
    <w:tbl>
      <w:tblPr>
        <w:tblStyle w:val="TableGrid"/>
        <w:tblW w:w="8994" w:type="dxa"/>
        <w:tblInd w:w="108" w:type="dxa"/>
        <w:tblLook w:val="04A0"/>
      </w:tblPr>
      <w:tblGrid>
        <w:gridCol w:w="2579"/>
        <w:gridCol w:w="1276"/>
        <w:gridCol w:w="1276"/>
        <w:gridCol w:w="1276"/>
        <w:gridCol w:w="1276"/>
        <w:gridCol w:w="1311"/>
      </w:tblGrid>
      <w:tr w:rsidR="00D26D09" w:rsidRPr="003E27BE" w:rsidTr="00AD2671">
        <w:trPr>
          <w:tblHeader/>
        </w:trPr>
        <w:tc>
          <w:tcPr>
            <w:tcW w:w="2579" w:type="dxa"/>
            <w:tcBorders>
              <w:bottom w:val="nil"/>
            </w:tcBorders>
            <w:shd w:val="clear" w:color="auto" w:fill="C6D9F1" w:themeFill="text2" w:themeFillTint="33"/>
            <w:vAlign w:val="center"/>
          </w:tcPr>
          <w:p w:rsidR="00D26D09" w:rsidRPr="003E27BE" w:rsidRDefault="00D26D09" w:rsidP="00470AD4">
            <w:pPr>
              <w:pStyle w:val="Tableheading"/>
            </w:pPr>
            <w:r w:rsidRPr="003E27BE">
              <w:t>Unit</w:t>
            </w:r>
          </w:p>
        </w:tc>
        <w:tc>
          <w:tcPr>
            <w:tcW w:w="2552" w:type="dxa"/>
            <w:gridSpan w:val="2"/>
            <w:shd w:val="clear" w:color="auto" w:fill="C6D9F1" w:themeFill="text2" w:themeFillTint="33"/>
            <w:vAlign w:val="center"/>
          </w:tcPr>
          <w:p w:rsidR="00D26D09" w:rsidRPr="003E27BE" w:rsidRDefault="00D26D09" w:rsidP="00470AD4">
            <w:pPr>
              <w:pStyle w:val="Tableheading"/>
            </w:pPr>
            <w:r w:rsidRPr="003E27BE">
              <w:t>Porosity</w:t>
            </w:r>
          </w:p>
        </w:tc>
        <w:tc>
          <w:tcPr>
            <w:tcW w:w="3863" w:type="dxa"/>
            <w:gridSpan w:val="3"/>
            <w:shd w:val="clear" w:color="auto" w:fill="C6D9F1" w:themeFill="text2" w:themeFillTint="33"/>
            <w:vAlign w:val="center"/>
          </w:tcPr>
          <w:p w:rsidR="00D26D09" w:rsidRPr="003E27BE" w:rsidRDefault="00D26D09" w:rsidP="00470AD4">
            <w:pPr>
              <w:pStyle w:val="Tableheading"/>
            </w:pPr>
            <w:r w:rsidRPr="003E27BE">
              <w:t>Horizontal permeability</w:t>
            </w:r>
          </w:p>
        </w:tc>
      </w:tr>
      <w:tr w:rsidR="00D26D09" w:rsidRPr="003E27BE" w:rsidTr="00AD2671">
        <w:trPr>
          <w:tblHeader/>
        </w:trPr>
        <w:tc>
          <w:tcPr>
            <w:tcW w:w="2579" w:type="dxa"/>
            <w:tcBorders>
              <w:top w:val="nil"/>
            </w:tcBorders>
            <w:shd w:val="clear" w:color="auto" w:fill="C6D9F1" w:themeFill="text2" w:themeFillTint="33"/>
            <w:vAlign w:val="bottom"/>
          </w:tcPr>
          <w:p w:rsidR="00D26D09" w:rsidRPr="003E27BE" w:rsidRDefault="00D26D09" w:rsidP="00470AD4">
            <w:pPr>
              <w:pStyle w:val="Tableheading"/>
            </w:pPr>
          </w:p>
        </w:tc>
        <w:tc>
          <w:tcPr>
            <w:tcW w:w="1276" w:type="dxa"/>
            <w:shd w:val="clear" w:color="auto" w:fill="C6D9F1" w:themeFill="text2" w:themeFillTint="33"/>
            <w:vAlign w:val="bottom"/>
          </w:tcPr>
          <w:p w:rsidR="00D26D09" w:rsidRPr="003E27BE" w:rsidRDefault="00D26D09" w:rsidP="00470AD4">
            <w:pPr>
              <w:pStyle w:val="Tableheading"/>
            </w:pPr>
            <w:r w:rsidRPr="003E27BE">
              <w:t>n</w:t>
            </w:r>
          </w:p>
        </w:tc>
        <w:tc>
          <w:tcPr>
            <w:tcW w:w="1276" w:type="dxa"/>
            <w:shd w:val="clear" w:color="auto" w:fill="C6D9F1" w:themeFill="text2" w:themeFillTint="33"/>
            <w:vAlign w:val="bottom"/>
          </w:tcPr>
          <w:p w:rsidR="00D26D09" w:rsidRPr="003E27BE" w:rsidRDefault="00D26D09" w:rsidP="00470AD4">
            <w:pPr>
              <w:pStyle w:val="Tableheading"/>
            </w:pPr>
            <w:proofErr w:type="gramStart"/>
            <w:r w:rsidRPr="003E27BE">
              <w:t>mean</w:t>
            </w:r>
            <w:proofErr w:type="gramEnd"/>
            <w:r w:rsidRPr="003E27BE">
              <w:t xml:space="preserve"> (%)</w:t>
            </w:r>
          </w:p>
        </w:tc>
        <w:tc>
          <w:tcPr>
            <w:tcW w:w="1276" w:type="dxa"/>
            <w:shd w:val="clear" w:color="auto" w:fill="C6D9F1" w:themeFill="text2" w:themeFillTint="33"/>
            <w:vAlign w:val="bottom"/>
          </w:tcPr>
          <w:p w:rsidR="00D26D09" w:rsidRPr="003E27BE" w:rsidRDefault="00D26D09" w:rsidP="00470AD4">
            <w:pPr>
              <w:pStyle w:val="Tableheading"/>
            </w:pPr>
            <w:r w:rsidRPr="003E27BE">
              <w:t>n</w:t>
            </w:r>
          </w:p>
        </w:tc>
        <w:tc>
          <w:tcPr>
            <w:tcW w:w="1276" w:type="dxa"/>
            <w:shd w:val="clear" w:color="auto" w:fill="C6D9F1" w:themeFill="text2" w:themeFillTint="33"/>
            <w:vAlign w:val="bottom"/>
          </w:tcPr>
          <w:p w:rsidR="00D26D09" w:rsidRPr="003E27BE" w:rsidRDefault="00D26D09" w:rsidP="00470AD4">
            <w:pPr>
              <w:pStyle w:val="Tableheading"/>
            </w:pPr>
            <w:r w:rsidRPr="003E27BE">
              <w:t>mean  (mD)</w:t>
            </w:r>
          </w:p>
        </w:tc>
        <w:tc>
          <w:tcPr>
            <w:tcW w:w="1311" w:type="dxa"/>
            <w:shd w:val="clear" w:color="auto" w:fill="C6D9F1" w:themeFill="text2" w:themeFillTint="33"/>
            <w:vAlign w:val="bottom"/>
          </w:tcPr>
          <w:p w:rsidR="00D26D09" w:rsidRPr="003E27BE" w:rsidRDefault="00D26D09" w:rsidP="00470AD4">
            <w:pPr>
              <w:pStyle w:val="Tableheading"/>
            </w:pPr>
            <w:r w:rsidRPr="003E27BE">
              <w:t xml:space="preserve">equivalent </w:t>
            </w:r>
            <w:r w:rsidRPr="003E27BE">
              <w:rPr>
                <w:i/>
              </w:rPr>
              <w:t>K</w:t>
            </w:r>
            <w:r w:rsidRPr="003E27BE">
              <w:rPr>
                <w:i/>
                <w:vertAlign w:val="subscript"/>
              </w:rPr>
              <w:t>h</w:t>
            </w:r>
            <w:r w:rsidRPr="003E27BE">
              <w:t>*</w:t>
            </w:r>
          </w:p>
          <w:p w:rsidR="00D26D09" w:rsidRPr="003E27BE" w:rsidRDefault="00D26D09" w:rsidP="00470AD4">
            <w:pPr>
              <w:pStyle w:val="Tableheading"/>
            </w:pPr>
            <w:r w:rsidRPr="003E27BE">
              <w:t>(m/d)</w:t>
            </w:r>
          </w:p>
        </w:tc>
      </w:tr>
      <w:tr w:rsidR="00D26D09" w:rsidRPr="003E27BE" w:rsidTr="00AD2671">
        <w:tc>
          <w:tcPr>
            <w:tcW w:w="2579" w:type="dxa"/>
            <w:vAlign w:val="center"/>
          </w:tcPr>
          <w:p w:rsidR="00D26D09" w:rsidRPr="003E27BE" w:rsidRDefault="00D26D09" w:rsidP="00CB2FBB">
            <w:pPr>
              <w:pStyle w:val="Tabletext"/>
            </w:pPr>
            <w:r w:rsidRPr="003E27BE">
              <w:t>Cadna-Owie Formation</w:t>
            </w:r>
          </w:p>
        </w:tc>
        <w:tc>
          <w:tcPr>
            <w:tcW w:w="1276" w:type="dxa"/>
            <w:vAlign w:val="center"/>
          </w:tcPr>
          <w:p w:rsidR="00D26D09" w:rsidRPr="003E27BE" w:rsidRDefault="00D26D09" w:rsidP="00CB2FBB">
            <w:pPr>
              <w:pStyle w:val="Tabletext"/>
            </w:pPr>
            <w:r w:rsidRPr="003E27BE">
              <w:t>405</w:t>
            </w:r>
          </w:p>
        </w:tc>
        <w:tc>
          <w:tcPr>
            <w:tcW w:w="1276" w:type="dxa"/>
            <w:vAlign w:val="center"/>
          </w:tcPr>
          <w:p w:rsidR="00D26D09" w:rsidRPr="003E27BE" w:rsidRDefault="00D26D09" w:rsidP="00CB2FBB">
            <w:pPr>
              <w:pStyle w:val="Tabletext"/>
            </w:pPr>
            <w:r w:rsidRPr="003E27BE">
              <w:t>15</w:t>
            </w:r>
          </w:p>
        </w:tc>
        <w:tc>
          <w:tcPr>
            <w:tcW w:w="1276" w:type="dxa"/>
            <w:vAlign w:val="center"/>
          </w:tcPr>
          <w:p w:rsidR="00D26D09" w:rsidRPr="003E27BE" w:rsidRDefault="00D26D09" w:rsidP="00CB2FBB">
            <w:pPr>
              <w:pStyle w:val="Tabletext"/>
            </w:pPr>
            <w:r w:rsidRPr="003E27BE">
              <w:t>331</w:t>
            </w:r>
          </w:p>
        </w:tc>
        <w:tc>
          <w:tcPr>
            <w:tcW w:w="1276" w:type="dxa"/>
            <w:vAlign w:val="center"/>
          </w:tcPr>
          <w:p w:rsidR="00D26D09" w:rsidRPr="003E27BE" w:rsidRDefault="00D26D09" w:rsidP="00CB2FBB">
            <w:pPr>
              <w:pStyle w:val="Tabletext"/>
            </w:pPr>
            <w:r w:rsidRPr="003E27BE">
              <w:t>96</w:t>
            </w:r>
          </w:p>
        </w:tc>
        <w:tc>
          <w:tcPr>
            <w:tcW w:w="1311" w:type="dxa"/>
            <w:shd w:val="clear" w:color="auto" w:fill="auto"/>
          </w:tcPr>
          <w:p w:rsidR="00D26D09" w:rsidRPr="003E27BE" w:rsidRDefault="00D26D09" w:rsidP="00CB2FBB">
            <w:pPr>
              <w:pStyle w:val="Tabletext"/>
            </w:pPr>
            <w:r w:rsidRPr="003E27BE">
              <w:t>0.09</w:t>
            </w:r>
          </w:p>
        </w:tc>
      </w:tr>
      <w:tr w:rsidR="00D26D09" w:rsidRPr="003E27BE" w:rsidTr="00AD2671">
        <w:tc>
          <w:tcPr>
            <w:tcW w:w="2579" w:type="dxa"/>
            <w:vAlign w:val="center"/>
          </w:tcPr>
          <w:p w:rsidR="00D26D09" w:rsidRPr="003E27BE" w:rsidRDefault="00D26D09" w:rsidP="00CB2FBB">
            <w:pPr>
              <w:pStyle w:val="Tabletext"/>
            </w:pPr>
            <w:r w:rsidRPr="003E27BE">
              <w:t>Hooray Sandstone</w:t>
            </w:r>
          </w:p>
        </w:tc>
        <w:tc>
          <w:tcPr>
            <w:tcW w:w="1276" w:type="dxa"/>
            <w:vAlign w:val="center"/>
          </w:tcPr>
          <w:p w:rsidR="00D26D09" w:rsidRPr="003E27BE" w:rsidRDefault="00D26D09" w:rsidP="00CB2FBB">
            <w:pPr>
              <w:pStyle w:val="Tabletext"/>
            </w:pPr>
            <w:r w:rsidRPr="003E27BE">
              <w:t>4438</w:t>
            </w:r>
          </w:p>
        </w:tc>
        <w:tc>
          <w:tcPr>
            <w:tcW w:w="1276" w:type="dxa"/>
            <w:vAlign w:val="center"/>
          </w:tcPr>
          <w:p w:rsidR="00D26D09" w:rsidRPr="003E27BE" w:rsidRDefault="00D26D09" w:rsidP="00CB2FBB">
            <w:pPr>
              <w:pStyle w:val="Tabletext"/>
            </w:pPr>
            <w:r w:rsidRPr="003E27BE">
              <w:t>16</w:t>
            </w:r>
          </w:p>
        </w:tc>
        <w:tc>
          <w:tcPr>
            <w:tcW w:w="1276" w:type="dxa"/>
            <w:vAlign w:val="center"/>
          </w:tcPr>
          <w:p w:rsidR="00D26D09" w:rsidRPr="003E27BE" w:rsidRDefault="00D26D09" w:rsidP="00CB2FBB">
            <w:pPr>
              <w:pStyle w:val="Tabletext"/>
            </w:pPr>
            <w:r w:rsidRPr="003E27BE">
              <w:t>4222</w:t>
            </w:r>
          </w:p>
        </w:tc>
        <w:tc>
          <w:tcPr>
            <w:tcW w:w="1276" w:type="dxa"/>
            <w:vAlign w:val="center"/>
          </w:tcPr>
          <w:p w:rsidR="00D26D09" w:rsidRPr="003E27BE" w:rsidRDefault="00D26D09" w:rsidP="00CB2FBB">
            <w:pPr>
              <w:pStyle w:val="Tabletext"/>
            </w:pPr>
            <w:r w:rsidRPr="003E27BE">
              <w:t>131</w:t>
            </w:r>
          </w:p>
        </w:tc>
        <w:tc>
          <w:tcPr>
            <w:tcW w:w="1311" w:type="dxa"/>
            <w:shd w:val="clear" w:color="auto" w:fill="auto"/>
          </w:tcPr>
          <w:p w:rsidR="00D26D09" w:rsidRPr="003E27BE" w:rsidRDefault="00D26D09" w:rsidP="00CB2FBB">
            <w:pPr>
              <w:pStyle w:val="Tabletext"/>
            </w:pPr>
            <w:r w:rsidRPr="003E27BE">
              <w:t>0.12</w:t>
            </w:r>
          </w:p>
        </w:tc>
      </w:tr>
      <w:tr w:rsidR="00D26D09" w:rsidRPr="003E27BE" w:rsidTr="00AD2671">
        <w:tc>
          <w:tcPr>
            <w:tcW w:w="2579" w:type="dxa"/>
            <w:vAlign w:val="center"/>
          </w:tcPr>
          <w:p w:rsidR="00D26D09" w:rsidRPr="003E27BE" w:rsidRDefault="00D26D09" w:rsidP="00CB2FBB">
            <w:pPr>
              <w:pStyle w:val="Tabletext"/>
            </w:pPr>
            <w:r w:rsidRPr="003E27BE">
              <w:t>Westbourne Formation</w:t>
            </w:r>
          </w:p>
        </w:tc>
        <w:tc>
          <w:tcPr>
            <w:tcW w:w="1276" w:type="dxa"/>
            <w:vAlign w:val="center"/>
          </w:tcPr>
          <w:p w:rsidR="00D26D09" w:rsidRPr="003E27BE" w:rsidRDefault="00D26D09" w:rsidP="00CB2FBB">
            <w:pPr>
              <w:pStyle w:val="Tabletext"/>
            </w:pPr>
            <w:r w:rsidRPr="003E27BE">
              <w:t>951</w:t>
            </w:r>
          </w:p>
        </w:tc>
        <w:tc>
          <w:tcPr>
            <w:tcW w:w="1276" w:type="dxa"/>
            <w:vAlign w:val="center"/>
          </w:tcPr>
          <w:p w:rsidR="00D26D09" w:rsidRPr="003E27BE" w:rsidRDefault="00D26D09" w:rsidP="00CB2FBB">
            <w:pPr>
              <w:pStyle w:val="Tabletext"/>
            </w:pPr>
            <w:r w:rsidRPr="003E27BE">
              <w:t>14</w:t>
            </w:r>
          </w:p>
        </w:tc>
        <w:tc>
          <w:tcPr>
            <w:tcW w:w="1276" w:type="dxa"/>
            <w:vAlign w:val="center"/>
          </w:tcPr>
          <w:p w:rsidR="00D26D09" w:rsidRPr="003E27BE" w:rsidRDefault="00D26D09" w:rsidP="00CB2FBB">
            <w:pPr>
              <w:pStyle w:val="Tabletext"/>
            </w:pPr>
            <w:r w:rsidRPr="003E27BE">
              <w:t>896</w:t>
            </w:r>
          </w:p>
        </w:tc>
        <w:tc>
          <w:tcPr>
            <w:tcW w:w="1276" w:type="dxa"/>
            <w:vAlign w:val="center"/>
          </w:tcPr>
          <w:p w:rsidR="00D26D09" w:rsidRPr="003E27BE" w:rsidRDefault="00D26D09" w:rsidP="00CB2FBB">
            <w:pPr>
              <w:pStyle w:val="Tabletext"/>
            </w:pPr>
            <w:r w:rsidRPr="003E27BE">
              <w:t>105</w:t>
            </w:r>
          </w:p>
        </w:tc>
        <w:tc>
          <w:tcPr>
            <w:tcW w:w="1311" w:type="dxa"/>
            <w:shd w:val="clear" w:color="auto" w:fill="auto"/>
          </w:tcPr>
          <w:p w:rsidR="00D26D09" w:rsidRPr="003E27BE" w:rsidRDefault="00D26D09" w:rsidP="00CB2FBB">
            <w:pPr>
              <w:pStyle w:val="Tabletext"/>
            </w:pPr>
            <w:r w:rsidRPr="003E27BE">
              <w:t>0.10</w:t>
            </w:r>
          </w:p>
        </w:tc>
      </w:tr>
      <w:tr w:rsidR="00D26D09" w:rsidRPr="003E27BE" w:rsidTr="00AD2671">
        <w:tc>
          <w:tcPr>
            <w:tcW w:w="2579" w:type="dxa"/>
            <w:vAlign w:val="center"/>
          </w:tcPr>
          <w:p w:rsidR="00D26D09" w:rsidRPr="003E27BE" w:rsidRDefault="00D26D09" w:rsidP="00CB2FBB">
            <w:pPr>
              <w:pStyle w:val="Tabletext"/>
            </w:pPr>
            <w:r w:rsidRPr="003E27BE">
              <w:t>Adori Formation</w:t>
            </w:r>
          </w:p>
        </w:tc>
        <w:tc>
          <w:tcPr>
            <w:tcW w:w="1276" w:type="dxa"/>
            <w:vAlign w:val="center"/>
          </w:tcPr>
          <w:p w:rsidR="00D26D09" w:rsidRPr="003E27BE" w:rsidRDefault="00D26D09" w:rsidP="00CB2FBB">
            <w:pPr>
              <w:pStyle w:val="Tabletext"/>
            </w:pPr>
            <w:r w:rsidRPr="003E27BE">
              <w:t>64</w:t>
            </w:r>
          </w:p>
        </w:tc>
        <w:tc>
          <w:tcPr>
            <w:tcW w:w="1276" w:type="dxa"/>
            <w:vAlign w:val="center"/>
          </w:tcPr>
          <w:p w:rsidR="00D26D09" w:rsidRPr="003E27BE" w:rsidRDefault="00D26D09" w:rsidP="00CB2FBB">
            <w:pPr>
              <w:pStyle w:val="Tabletext"/>
            </w:pPr>
            <w:r w:rsidRPr="003E27BE">
              <w:t>22</w:t>
            </w:r>
          </w:p>
        </w:tc>
        <w:tc>
          <w:tcPr>
            <w:tcW w:w="1276" w:type="dxa"/>
            <w:vAlign w:val="center"/>
          </w:tcPr>
          <w:p w:rsidR="00D26D09" w:rsidRPr="003E27BE" w:rsidRDefault="00D26D09" w:rsidP="00CB2FBB">
            <w:pPr>
              <w:pStyle w:val="Tabletext"/>
            </w:pPr>
            <w:r w:rsidRPr="003E27BE">
              <w:t>71</w:t>
            </w:r>
          </w:p>
        </w:tc>
        <w:tc>
          <w:tcPr>
            <w:tcW w:w="1276" w:type="dxa"/>
            <w:vAlign w:val="center"/>
          </w:tcPr>
          <w:p w:rsidR="00D26D09" w:rsidRPr="003E27BE" w:rsidRDefault="00D26D09" w:rsidP="00CB2FBB">
            <w:pPr>
              <w:pStyle w:val="Tabletext"/>
            </w:pPr>
            <w:r w:rsidRPr="003E27BE">
              <w:t>813</w:t>
            </w:r>
          </w:p>
        </w:tc>
        <w:tc>
          <w:tcPr>
            <w:tcW w:w="1311" w:type="dxa"/>
            <w:shd w:val="clear" w:color="auto" w:fill="auto"/>
          </w:tcPr>
          <w:p w:rsidR="00D26D09" w:rsidRPr="003E27BE" w:rsidRDefault="00D26D09" w:rsidP="00CB2FBB">
            <w:pPr>
              <w:pStyle w:val="Tabletext"/>
            </w:pPr>
            <w:r w:rsidRPr="003E27BE">
              <w:t>0.77</w:t>
            </w:r>
          </w:p>
        </w:tc>
      </w:tr>
      <w:tr w:rsidR="00D26D09" w:rsidRPr="003E27BE" w:rsidTr="00AD2671">
        <w:tc>
          <w:tcPr>
            <w:tcW w:w="2579" w:type="dxa"/>
            <w:vAlign w:val="center"/>
          </w:tcPr>
          <w:p w:rsidR="00D26D09" w:rsidRPr="003E27BE" w:rsidRDefault="00D26D09" w:rsidP="00CB2FBB">
            <w:pPr>
              <w:pStyle w:val="Tabletext"/>
            </w:pPr>
            <w:r w:rsidRPr="003E27BE">
              <w:t>Birkhead Formation</w:t>
            </w:r>
          </w:p>
        </w:tc>
        <w:tc>
          <w:tcPr>
            <w:tcW w:w="1276" w:type="dxa"/>
            <w:vAlign w:val="center"/>
          </w:tcPr>
          <w:p w:rsidR="00D26D09" w:rsidRPr="003E27BE" w:rsidRDefault="00D26D09" w:rsidP="00CB2FBB">
            <w:pPr>
              <w:pStyle w:val="Tabletext"/>
            </w:pPr>
            <w:r w:rsidRPr="003E27BE">
              <w:t>1578</w:t>
            </w:r>
          </w:p>
        </w:tc>
        <w:tc>
          <w:tcPr>
            <w:tcW w:w="1276" w:type="dxa"/>
            <w:vAlign w:val="center"/>
          </w:tcPr>
          <w:p w:rsidR="00D26D09" w:rsidRPr="003E27BE" w:rsidRDefault="00D26D09" w:rsidP="00CB2FBB">
            <w:pPr>
              <w:pStyle w:val="Tabletext"/>
            </w:pPr>
            <w:r w:rsidRPr="003E27BE">
              <w:t>14</w:t>
            </w:r>
          </w:p>
        </w:tc>
        <w:tc>
          <w:tcPr>
            <w:tcW w:w="1276" w:type="dxa"/>
            <w:vAlign w:val="center"/>
          </w:tcPr>
          <w:p w:rsidR="00D26D09" w:rsidRPr="003E27BE" w:rsidRDefault="00D26D09" w:rsidP="00CB2FBB">
            <w:pPr>
              <w:pStyle w:val="Tabletext"/>
            </w:pPr>
            <w:r w:rsidRPr="003E27BE">
              <w:t>1348</w:t>
            </w:r>
          </w:p>
        </w:tc>
        <w:tc>
          <w:tcPr>
            <w:tcW w:w="1276" w:type="dxa"/>
            <w:vAlign w:val="center"/>
          </w:tcPr>
          <w:p w:rsidR="00D26D09" w:rsidRPr="003E27BE" w:rsidRDefault="00D26D09" w:rsidP="00CB2FBB">
            <w:pPr>
              <w:pStyle w:val="Tabletext"/>
            </w:pPr>
            <w:r w:rsidRPr="003E27BE">
              <w:t>130</w:t>
            </w:r>
          </w:p>
        </w:tc>
        <w:tc>
          <w:tcPr>
            <w:tcW w:w="1311" w:type="dxa"/>
            <w:shd w:val="clear" w:color="auto" w:fill="auto"/>
          </w:tcPr>
          <w:p w:rsidR="00D26D09" w:rsidRPr="003E27BE" w:rsidRDefault="00D26D09" w:rsidP="00CB2FBB">
            <w:pPr>
              <w:pStyle w:val="Tabletext"/>
            </w:pPr>
            <w:r w:rsidRPr="003E27BE">
              <w:t>0.12</w:t>
            </w:r>
          </w:p>
        </w:tc>
      </w:tr>
      <w:tr w:rsidR="00D26D09" w:rsidRPr="003E27BE" w:rsidTr="00AD2671">
        <w:tc>
          <w:tcPr>
            <w:tcW w:w="2579" w:type="dxa"/>
            <w:vAlign w:val="center"/>
          </w:tcPr>
          <w:p w:rsidR="00D26D09" w:rsidRPr="003E27BE" w:rsidRDefault="00D26D09" w:rsidP="00CB2FBB">
            <w:pPr>
              <w:pStyle w:val="Tabletext"/>
            </w:pPr>
            <w:r w:rsidRPr="003E27BE">
              <w:t>Hutton Sandstone</w:t>
            </w:r>
          </w:p>
        </w:tc>
        <w:tc>
          <w:tcPr>
            <w:tcW w:w="1276" w:type="dxa"/>
            <w:vAlign w:val="center"/>
          </w:tcPr>
          <w:p w:rsidR="00D26D09" w:rsidRPr="003E27BE" w:rsidRDefault="00D26D09" w:rsidP="00CB2FBB">
            <w:pPr>
              <w:pStyle w:val="Tabletext"/>
            </w:pPr>
            <w:r w:rsidRPr="003E27BE">
              <w:t>2928</w:t>
            </w:r>
          </w:p>
        </w:tc>
        <w:tc>
          <w:tcPr>
            <w:tcW w:w="1276" w:type="dxa"/>
            <w:vAlign w:val="center"/>
          </w:tcPr>
          <w:p w:rsidR="00D26D09" w:rsidRPr="003E27BE" w:rsidRDefault="00D26D09" w:rsidP="00CB2FBB">
            <w:pPr>
              <w:pStyle w:val="Tabletext"/>
            </w:pPr>
            <w:r w:rsidRPr="003E27BE">
              <w:t>17</w:t>
            </w:r>
          </w:p>
        </w:tc>
        <w:tc>
          <w:tcPr>
            <w:tcW w:w="1276" w:type="dxa"/>
            <w:vAlign w:val="center"/>
          </w:tcPr>
          <w:p w:rsidR="00D26D09" w:rsidRPr="003E27BE" w:rsidRDefault="00D26D09" w:rsidP="00CB2FBB">
            <w:pPr>
              <w:pStyle w:val="Tabletext"/>
            </w:pPr>
            <w:r w:rsidRPr="003E27BE">
              <w:t>2687</w:t>
            </w:r>
          </w:p>
        </w:tc>
        <w:tc>
          <w:tcPr>
            <w:tcW w:w="1276" w:type="dxa"/>
            <w:vAlign w:val="center"/>
          </w:tcPr>
          <w:p w:rsidR="00D26D09" w:rsidRPr="003E27BE" w:rsidRDefault="00D26D09" w:rsidP="00CB2FBB">
            <w:pPr>
              <w:pStyle w:val="Tabletext"/>
            </w:pPr>
            <w:r w:rsidRPr="003E27BE">
              <w:t>452</w:t>
            </w:r>
          </w:p>
        </w:tc>
        <w:tc>
          <w:tcPr>
            <w:tcW w:w="1311" w:type="dxa"/>
            <w:shd w:val="clear" w:color="auto" w:fill="auto"/>
          </w:tcPr>
          <w:p w:rsidR="00D26D09" w:rsidRPr="003E27BE" w:rsidRDefault="00D26D09" w:rsidP="00CB2FBB">
            <w:pPr>
              <w:pStyle w:val="Tabletext"/>
            </w:pPr>
            <w:r w:rsidRPr="003E27BE">
              <w:t>0.43</w:t>
            </w:r>
          </w:p>
        </w:tc>
      </w:tr>
    </w:tbl>
    <w:p w:rsidR="00D26D09" w:rsidRPr="003E27BE" w:rsidRDefault="00D26D09" w:rsidP="00D26D09">
      <w:pPr>
        <w:pStyle w:val="Body"/>
        <w:rPr>
          <w:rFonts w:ascii="Arial" w:hAnsi="Arial" w:cs="Arial"/>
        </w:rPr>
      </w:pPr>
      <w:r w:rsidRPr="003E27BE">
        <w:rPr>
          <w:rFonts w:ascii="Arial" w:hAnsi="Arial" w:cs="Arial"/>
          <w:i/>
        </w:rPr>
        <w:t>K</w:t>
      </w:r>
      <w:r w:rsidRPr="003E27BE">
        <w:rPr>
          <w:rFonts w:ascii="Arial" w:hAnsi="Arial" w:cs="Arial"/>
          <w:i/>
          <w:vertAlign w:val="subscript"/>
        </w:rPr>
        <w:t>h</w:t>
      </w:r>
      <w:r w:rsidRPr="003E27BE">
        <w:rPr>
          <w:rFonts w:ascii="Arial" w:hAnsi="Arial" w:cs="Arial"/>
        </w:rPr>
        <w:t>=horizontal hydraulic conductivity; *</w:t>
      </w:r>
      <w:r w:rsidR="00AD2671">
        <w:rPr>
          <w:rFonts w:ascii="Arial" w:hAnsi="Arial" w:cs="Arial"/>
        </w:rPr>
        <w:t xml:space="preserve"> </w:t>
      </w:r>
      <w:r w:rsidR="00AD2671" w:rsidRPr="00AD2671">
        <w:rPr>
          <w:rFonts w:ascii="Arial" w:hAnsi="Arial" w:cs="Arial"/>
          <w:i/>
        </w:rPr>
        <w:t>K</w:t>
      </w:r>
      <w:r w:rsidR="00AD2671" w:rsidRPr="00AD2671">
        <w:rPr>
          <w:rFonts w:ascii="Arial" w:hAnsi="Arial" w:cs="Arial"/>
          <w:i/>
          <w:vertAlign w:val="subscript"/>
        </w:rPr>
        <w:t>h</w:t>
      </w:r>
      <w:r w:rsidR="00AD2671">
        <w:rPr>
          <w:rFonts w:ascii="Arial" w:hAnsi="Arial" w:cs="Arial"/>
          <w:i/>
        </w:rPr>
        <w:t xml:space="preserve"> </w:t>
      </w:r>
      <w:r w:rsidRPr="00AD2671">
        <w:rPr>
          <w:rFonts w:ascii="Arial" w:hAnsi="Arial" w:cs="Arial"/>
        </w:rPr>
        <w:t>equivalents</w:t>
      </w:r>
      <w:r w:rsidRPr="003E27BE">
        <w:rPr>
          <w:rFonts w:ascii="Arial" w:hAnsi="Arial" w:cs="Arial"/>
        </w:rPr>
        <w:t xml:space="preserve"> are provided for comparison purposes only and are calculated from mean permeability values using the equation defined in chapter 2 and using values of </w:t>
      </w:r>
      <w:r w:rsidRPr="003E27BE">
        <w:rPr>
          <w:rFonts w:ascii="Arial" w:hAnsi="Arial" w:cs="Arial"/>
          <w:i/>
        </w:rPr>
        <w:t>g</w:t>
      </w:r>
      <w:r w:rsidRPr="003E27BE">
        <w:rPr>
          <w:rFonts w:ascii="Arial" w:hAnsi="Arial" w:cs="Arial"/>
        </w:rPr>
        <w:t>=9.8 m/s</w:t>
      </w:r>
      <w:r w:rsidRPr="003E27BE">
        <w:rPr>
          <w:rFonts w:ascii="Arial" w:hAnsi="Arial" w:cs="Arial"/>
          <w:vertAlign w:val="superscript"/>
        </w:rPr>
        <w:t>2</w:t>
      </w:r>
      <w:r w:rsidRPr="003E27BE">
        <w:rPr>
          <w:rFonts w:ascii="Arial" w:hAnsi="Arial" w:cs="Arial"/>
        </w:rPr>
        <w:t xml:space="preserve">, </w:t>
      </w:r>
      <w:r w:rsidRPr="003E27BE">
        <w:rPr>
          <w:rFonts w:ascii="Arial" w:hAnsi="Arial" w:cs="Arial"/>
          <w:i/>
        </w:rPr>
        <w:t>ρ</w:t>
      </w:r>
      <w:r w:rsidRPr="003E27BE">
        <w:rPr>
          <w:rFonts w:ascii="Arial" w:hAnsi="Arial" w:cs="Arial"/>
        </w:rPr>
        <w:t>=997.0479 kg/m</w:t>
      </w:r>
      <w:r w:rsidRPr="003E27BE">
        <w:rPr>
          <w:rFonts w:ascii="Arial" w:hAnsi="Arial" w:cs="Arial"/>
          <w:vertAlign w:val="superscript"/>
        </w:rPr>
        <w:t>3</w:t>
      </w:r>
      <w:r w:rsidRPr="003E27BE">
        <w:rPr>
          <w:rFonts w:ascii="Arial" w:hAnsi="Arial" w:cs="Arial"/>
        </w:rPr>
        <w:t xml:space="preserve">, and </w:t>
      </w:r>
      <w:r w:rsidRPr="003E27BE">
        <w:rPr>
          <w:rFonts w:ascii="Arial" w:hAnsi="Arial" w:cs="Arial"/>
          <w:i/>
        </w:rPr>
        <w:t>μ</w:t>
      </w:r>
      <w:r w:rsidRPr="003E27BE">
        <w:rPr>
          <w:rFonts w:ascii="Arial" w:hAnsi="Arial" w:cs="Arial"/>
        </w:rPr>
        <w:t>=8.91x10</w:t>
      </w:r>
      <w:r w:rsidRPr="003E27BE">
        <w:rPr>
          <w:rFonts w:ascii="Arial" w:hAnsi="Arial" w:cs="Arial"/>
          <w:vertAlign w:val="superscript"/>
        </w:rPr>
        <w:t>-4</w:t>
      </w:r>
      <w:r w:rsidRPr="003E27BE">
        <w:rPr>
          <w:rFonts w:ascii="Arial" w:hAnsi="Arial" w:cs="Arial"/>
        </w:rPr>
        <w:t xml:space="preserve"> kg/[m.s], the latter two of which assume fresh groundwater with a temperature of 25</w:t>
      </w:r>
      <w:r w:rsidRPr="003E27BE">
        <w:rPr>
          <w:rFonts w:ascii="Arial" w:hAnsi="Arial" w:cs="Arial"/>
          <w:vertAlign w:val="superscript"/>
        </w:rPr>
        <w:t>o</w:t>
      </w:r>
      <w:r w:rsidRPr="003E27BE">
        <w:rPr>
          <w:rFonts w:ascii="Arial" w:hAnsi="Arial" w:cs="Arial"/>
        </w:rPr>
        <w:t>C.</w:t>
      </w:r>
    </w:p>
    <w:p w:rsidR="002E7ECD" w:rsidRDefault="002E7ECD" w:rsidP="003E27BE">
      <w:pPr>
        <w:pStyle w:val="BRNormal"/>
      </w:pPr>
    </w:p>
    <w:p w:rsidR="00DD07AF" w:rsidRPr="008F5722" w:rsidRDefault="00960B67" w:rsidP="003E27BE">
      <w:pPr>
        <w:pStyle w:val="BRNormal"/>
      </w:pPr>
      <w:r>
        <w:lastRenderedPageBreak/>
        <w:t xml:space="preserve">The </w:t>
      </w:r>
      <w:r w:rsidR="00DD07AF" w:rsidRPr="008F5722">
        <w:t xml:space="preserve">GABWRA </w:t>
      </w:r>
      <w:r>
        <w:t xml:space="preserve">project </w:t>
      </w:r>
      <w:r w:rsidR="00DD07AF" w:rsidRPr="008F5722">
        <w:t>(</w:t>
      </w:r>
      <w:r w:rsidR="00DD07AF">
        <w:t xml:space="preserve">CSIRO </w:t>
      </w:r>
      <w:r w:rsidR="00DD07AF" w:rsidRPr="008F5722">
        <w:t>2012</w:t>
      </w:r>
      <w:r w:rsidR="00DD07AF">
        <w:t>b</w:t>
      </w:r>
      <w:r w:rsidR="00DD07AF" w:rsidRPr="008F5722">
        <w:t xml:space="preserve">) also </w:t>
      </w:r>
      <w:r w:rsidR="00DD07AF">
        <w:t xml:space="preserve">described the spatial variability of horizontal permeability for the </w:t>
      </w:r>
      <w:r w:rsidR="00DD07AF" w:rsidRPr="00303FB7">
        <w:t>Cadna-Owie Formation</w:t>
      </w:r>
      <w:r w:rsidR="00DD07AF">
        <w:t xml:space="preserve">, the </w:t>
      </w:r>
      <w:r w:rsidR="00DD07AF" w:rsidRPr="00303FB7">
        <w:t>Hooray Sandstone</w:t>
      </w:r>
      <w:r w:rsidR="00DD07AF">
        <w:t xml:space="preserve">, the </w:t>
      </w:r>
      <w:r w:rsidR="00DD07AF" w:rsidRPr="00303FB7">
        <w:t xml:space="preserve">Birkhead Formation </w:t>
      </w:r>
      <w:r w:rsidR="00DD07AF">
        <w:t xml:space="preserve">and the </w:t>
      </w:r>
      <w:r w:rsidR="00DD07AF" w:rsidRPr="00303FB7">
        <w:t>Hutton Sandstone</w:t>
      </w:r>
      <w:r w:rsidR="00DD07AF">
        <w:t>. The permeability of each of these units essentially follows a common spatial trend: high values are observed close to the recharge beds in the east and permeabilities decrease with d</w:t>
      </w:r>
      <w:r w:rsidR="00130442">
        <w:t>epth toward the Eromanga Basin d</w:t>
      </w:r>
      <w:r w:rsidR="00DD07AF">
        <w:t xml:space="preserve">epocentre. </w:t>
      </w:r>
    </w:p>
    <w:p w:rsidR="00525CA1" w:rsidRDefault="00DD07AF" w:rsidP="003E27BE">
      <w:pPr>
        <w:pStyle w:val="BRNormal"/>
      </w:pPr>
      <w:r>
        <w:t xml:space="preserve">A similar summary of permeability and porosity measurements in the Queensland region of the Eromanga Basin was presented by Bradshaw et al. (2010) and is provided </w:t>
      </w:r>
      <w:r w:rsidR="00525CA1">
        <w:t xml:space="preserve">in Table </w:t>
      </w:r>
      <w:r w:rsidR="00D26D09">
        <w:t>8</w:t>
      </w:r>
      <w:r>
        <w:t>.</w:t>
      </w:r>
      <w:r w:rsidR="00525CA1">
        <w:t xml:space="preserve"> </w:t>
      </w:r>
      <w:r w:rsidR="00525CA1" w:rsidRPr="000F4585">
        <w:t xml:space="preserve">The sample sizes used </w:t>
      </w:r>
      <w:r w:rsidR="00525CA1">
        <w:t xml:space="preserve">by </w:t>
      </w:r>
      <w:r w:rsidR="00525CA1" w:rsidRPr="007D6A7F">
        <w:t xml:space="preserve">Bradshaw et al. </w:t>
      </w:r>
      <w:r w:rsidR="00525CA1">
        <w:t>(</w:t>
      </w:r>
      <w:r w:rsidR="00525CA1" w:rsidRPr="007D6A7F">
        <w:t>2010</w:t>
      </w:r>
      <w:r w:rsidR="00525CA1">
        <w:t xml:space="preserve">) </w:t>
      </w:r>
      <w:r w:rsidR="00525CA1" w:rsidRPr="000F4585">
        <w:t xml:space="preserve">to calculate mean porosities and median permeabilities differ significantly from </w:t>
      </w:r>
      <w:r w:rsidR="00525CA1" w:rsidRPr="00B46228">
        <w:t>those</w:t>
      </w:r>
      <w:r w:rsidR="00525CA1" w:rsidRPr="000F4585">
        <w:t xml:space="preserve"> used by CSIRO (2012</w:t>
      </w:r>
      <w:r w:rsidR="00525CA1">
        <w:t>b</w:t>
      </w:r>
      <w:r w:rsidR="00525CA1" w:rsidRPr="000F4585">
        <w:t xml:space="preserve">), </w:t>
      </w:r>
      <w:r w:rsidR="00525CA1">
        <w:t>although</w:t>
      </w:r>
      <w:r w:rsidR="00525CA1" w:rsidRPr="000F4585">
        <w:t xml:space="preserve"> mean porosity values are reasonably consistent. Median permeabilities are orders of magnitude smaller than those reported by CSIRO (201</w:t>
      </w:r>
      <w:r w:rsidR="00525CA1">
        <w:t>2b</w:t>
      </w:r>
      <w:r w:rsidR="00525CA1" w:rsidRPr="000F4585">
        <w:t>) but this may be due to the different statistical measure and/or datasets used in the analyses.</w:t>
      </w:r>
    </w:p>
    <w:p w:rsidR="00DD07AF" w:rsidRPr="008C7B99" w:rsidRDefault="003E27BE" w:rsidP="003E27BE">
      <w:pPr>
        <w:pStyle w:val="Caption"/>
      </w:pPr>
      <w:r w:rsidRPr="006F2073">
        <w:t xml:space="preserve">Table </w:t>
      </w:r>
      <w:r w:rsidR="00E23933" w:rsidRPr="006F2073">
        <w:rPr>
          <w:b/>
          <w:noProof w:val="0"/>
        </w:rPr>
        <w:fldChar w:fldCharType="begin"/>
      </w:r>
      <w:r w:rsidRPr="006F2073">
        <w:instrText xml:space="preserve"> SEQ Table \* ARABIC </w:instrText>
      </w:r>
      <w:r w:rsidR="00E23933" w:rsidRPr="006F2073">
        <w:rPr>
          <w:b/>
          <w:noProof w:val="0"/>
        </w:rPr>
        <w:fldChar w:fldCharType="separate"/>
      </w:r>
      <w:r>
        <w:t>8</w:t>
      </w:r>
      <w:r w:rsidR="00E23933" w:rsidRPr="006F2073">
        <w:rPr>
          <w:b/>
        </w:rPr>
        <w:fldChar w:fldCharType="end"/>
      </w:r>
      <w:r w:rsidR="00DD07AF" w:rsidRPr="008C7B99">
        <w:t xml:space="preserve"> </w:t>
      </w:r>
      <w:r w:rsidR="00DD07AF" w:rsidRPr="00122345">
        <w:t xml:space="preserve">Porosity and permeability measurements for various Great Artesian Basin units </w:t>
      </w:r>
      <w:r w:rsidR="00130442">
        <w:t>(</w:t>
      </w:r>
      <w:r w:rsidR="00F976E1">
        <w:t>©</w:t>
      </w:r>
      <w:r w:rsidR="00130442">
        <w:t xml:space="preserve"> Copyright,</w:t>
      </w:r>
      <w:r w:rsidR="00DD07AF">
        <w:t xml:space="preserve"> </w:t>
      </w:r>
      <w:r w:rsidR="00130442">
        <w:t xml:space="preserve">Bradshaw et al. </w:t>
      </w:r>
      <w:r w:rsidR="00DD07AF">
        <w:t>2010)</w:t>
      </w:r>
      <w:r>
        <w:t>.</w:t>
      </w:r>
    </w:p>
    <w:tbl>
      <w:tblPr>
        <w:tblStyle w:val="TableGrid1"/>
        <w:tblW w:w="9023" w:type="dxa"/>
        <w:tblInd w:w="108" w:type="dxa"/>
        <w:tblBorders>
          <w:left w:val="none" w:sz="0" w:space="0" w:color="auto"/>
          <w:right w:val="none" w:sz="0" w:space="0" w:color="auto"/>
          <w:insideV w:val="none" w:sz="0" w:space="0" w:color="auto"/>
        </w:tblBorders>
        <w:tblLook w:val="04A0"/>
      </w:tblPr>
      <w:tblGrid>
        <w:gridCol w:w="2721"/>
        <w:gridCol w:w="1112"/>
        <w:gridCol w:w="1276"/>
        <w:gridCol w:w="1276"/>
        <w:gridCol w:w="1276"/>
        <w:gridCol w:w="1362"/>
      </w:tblGrid>
      <w:tr w:rsidR="00DD07AF" w:rsidRPr="003E27BE" w:rsidTr="00130442">
        <w:tc>
          <w:tcPr>
            <w:tcW w:w="2721" w:type="dxa"/>
            <w:tcBorders>
              <w:top w:val="single" w:sz="4" w:space="0" w:color="auto"/>
              <w:left w:val="single" w:sz="4" w:space="0" w:color="auto"/>
              <w:bottom w:val="nil"/>
              <w:right w:val="single" w:sz="4" w:space="0" w:color="auto"/>
            </w:tcBorders>
            <w:shd w:val="clear" w:color="auto" w:fill="C6D9F1" w:themeFill="text2" w:themeFillTint="33"/>
            <w:vAlign w:val="center"/>
          </w:tcPr>
          <w:p w:rsidR="00DD07AF" w:rsidRPr="003E27BE" w:rsidRDefault="00C935CB" w:rsidP="00470AD4">
            <w:pPr>
              <w:pStyle w:val="Tableheading"/>
            </w:pPr>
            <w:r w:rsidRPr="003E27BE">
              <w:t>Unit</w:t>
            </w:r>
          </w:p>
        </w:tc>
        <w:tc>
          <w:tcPr>
            <w:tcW w:w="2388" w:type="dxa"/>
            <w:gridSpan w:val="2"/>
            <w:tcBorders>
              <w:top w:val="single" w:sz="4" w:space="0" w:color="auto"/>
              <w:bottom w:val="single" w:sz="4" w:space="0" w:color="auto"/>
              <w:right w:val="single" w:sz="4" w:space="0" w:color="auto"/>
            </w:tcBorders>
            <w:shd w:val="clear" w:color="auto" w:fill="C6D9F1" w:themeFill="text2" w:themeFillTint="33"/>
            <w:vAlign w:val="center"/>
          </w:tcPr>
          <w:p w:rsidR="00DD07AF" w:rsidRPr="003E27BE" w:rsidRDefault="00DD07AF" w:rsidP="00470AD4">
            <w:pPr>
              <w:pStyle w:val="Tableheading"/>
            </w:pPr>
            <w:r w:rsidRPr="003E27BE">
              <w:t>Porosity</w:t>
            </w:r>
          </w:p>
        </w:tc>
        <w:tc>
          <w:tcPr>
            <w:tcW w:w="3914" w:type="dxa"/>
            <w:gridSpan w:val="3"/>
            <w:tcBorders>
              <w:top w:val="single" w:sz="4" w:space="0" w:color="auto"/>
              <w:bottom w:val="single" w:sz="4" w:space="0" w:color="auto"/>
              <w:right w:val="single" w:sz="4" w:space="0" w:color="auto"/>
            </w:tcBorders>
            <w:shd w:val="clear" w:color="auto" w:fill="C6D9F1" w:themeFill="text2" w:themeFillTint="33"/>
            <w:vAlign w:val="center"/>
          </w:tcPr>
          <w:p w:rsidR="00DD07AF" w:rsidRPr="003E27BE" w:rsidRDefault="00DD07AF" w:rsidP="00470AD4">
            <w:pPr>
              <w:pStyle w:val="Tableheading"/>
            </w:pPr>
            <w:r w:rsidRPr="003E27BE">
              <w:t>Horizontal permeability</w:t>
            </w:r>
          </w:p>
        </w:tc>
      </w:tr>
      <w:tr w:rsidR="00DD07AF" w:rsidRPr="003E27BE" w:rsidTr="00130442">
        <w:tc>
          <w:tcPr>
            <w:tcW w:w="2721" w:type="dxa"/>
            <w:tcBorders>
              <w:top w:val="nil"/>
              <w:left w:val="single" w:sz="4" w:space="0" w:color="auto"/>
              <w:bottom w:val="single" w:sz="4" w:space="0" w:color="auto"/>
              <w:right w:val="single" w:sz="4" w:space="0" w:color="auto"/>
            </w:tcBorders>
            <w:shd w:val="clear" w:color="auto" w:fill="C6D9F1" w:themeFill="text2" w:themeFillTint="33"/>
            <w:vAlign w:val="bottom"/>
          </w:tcPr>
          <w:p w:rsidR="00DD07AF" w:rsidRPr="003E27BE" w:rsidRDefault="00DD07AF" w:rsidP="00470AD4">
            <w:pPr>
              <w:pStyle w:val="Tableheading"/>
            </w:pPr>
          </w:p>
        </w:tc>
        <w:tc>
          <w:tcPr>
            <w:tcW w:w="1112" w:type="dxa"/>
            <w:tcBorders>
              <w:top w:val="single" w:sz="4" w:space="0" w:color="auto"/>
              <w:bottom w:val="single" w:sz="4" w:space="0" w:color="auto"/>
              <w:right w:val="single" w:sz="4" w:space="0" w:color="auto"/>
            </w:tcBorders>
            <w:shd w:val="clear" w:color="auto" w:fill="C6D9F1" w:themeFill="text2" w:themeFillTint="33"/>
            <w:vAlign w:val="bottom"/>
          </w:tcPr>
          <w:p w:rsidR="00DD07AF" w:rsidRPr="003E27BE" w:rsidRDefault="00DD07AF" w:rsidP="00470AD4">
            <w:pPr>
              <w:pStyle w:val="Tableheading"/>
            </w:pPr>
            <w:r w:rsidRPr="003E27BE">
              <w:t>n</w:t>
            </w:r>
          </w:p>
        </w:tc>
        <w:tc>
          <w:tcPr>
            <w:tcW w:w="1276" w:type="dxa"/>
            <w:tcBorders>
              <w:top w:val="single" w:sz="4" w:space="0" w:color="auto"/>
              <w:bottom w:val="single" w:sz="4" w:space="0" w:color="auto"/>
              <w:right w:val="single" w:sz="4" w:space="0" w:color="auto"/>
            </w:tcBorders>
            <w:shd w:val="clear" w:color="auto" w:fill="C6D9F1" w:themeFill="text2" w:themeFillTint="33"/>
            <w:vAlign w:val="bottom"/>
          </w:tcPr>
          <w:p w:rsidR="00DD07AF" w:rsidRPr="003E27BE" w:rsidRDefault="00DD07AF" w:rsidP="00470AD4">
            <w:pPr>
              <w:pStyle w:val="Tableheading"/>
            </w:pPr>
            <w:proofErr w:type="gramStart"/>
            <w:r w:rsidRPr="003E27BE">
              <w:t>mean</w:t>
            </w:r>
            <w:proofErr w:type="gramEnd"/>
            <w:r w:rsidRPr="003E27BE">
              <w:t xml:space="preserve"> (%)</w:t>
            </w:r>
          </w:p>
        </w:tc>
        <w:tc>
          <w:tcPr>
            <w:tcW w:w="1276"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bottom"/>
          </w:tcPr>
          <w:p w:rsidR="00DD07AF" w:rsidRPr="003E27BE" w:rsidRDefault="00DD07AF" w:rsidP="00470AD4">
            <w:pPr>
              <w:pStyle w:val="Tableheading"/>
            </w:pPr>
            <w:r w:rsidRPr="003E27BE">
              <w:t>n</w:t>
            </w:r>
          </w:p>
        </w:tc>
        <w:tc>
          <w:tcPr>
            <w:tcW w:w="1276"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bottom"/>
          </w:tcPr>
          <w:p w:rsidR="00DD07AF" w:rsidRPr="003E27BE" w:rsidRDefault="00DD07AF" w:rsidP="00470AD4">
            <w:pPr>
              <w:pStyle w:val="Tableheading"/>
            </w:pPr>
            <w:r w:rsidRPr="003E27BE">
              <w:t>median  (mD)</w:t>
            </w:r>
          </w:p>
        </w:tc>
        <w:tc>
          <w:tcPr>
            <w:tcW w:w="1362"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bottom"/>
          </w:tcPr>
          <w:p w:rsidR="00DD07AF" w:rsidRPr="003E27BE" w:rsidRDefault="00DD07AF" w:rsidP="00470AD4">
            <w:pPr>
              <w:pStyle w:val="Tableheading"/>
            </w:pPr>
            <w:r w:rsidRPr="003E27BE">
              <w:t xml:space="preserve">equivalent </w:t>
            </w:r>
            <w:r w:rsidRPr="003E27BE">
              <w:rPr>
                <w:i/>
              </w:rPr>
              <w:t>K</w:t>
            </w:r>
            <w:r w:rsidRPr="003E27BE">
              <w:rPr>
                <w:i/>
                <w:vertAlign w:val="subscript"/>
              </w:rPr>
              <w:t>h</w:t>
            </w:r>
            <w:r w:rsidRPr="003E27BE">
              <w:t>*</w:t>
            </w:r>
          </w:p>
          <w:p w:rsidR="00DD07AF" w:rsidRPr="003E27BE" w:rsidRDefault="00DD07AF" w:rsidP="00470AD4">
            <w:pPr>
              <w:pStyle w:val="Tableheading"/>
            </w:pPr>
            <w:r w:rsidRPr="003E27BE">
              <w:t>(m/d)</w:t>
            </w:r>
          </w:p>
        </w:tc>
      </w:tr>
      <w:tr w:rsidR="00DD07AF" w:rsidRPr="003E27BE" w:rsidTr="00130442">
        <w:tc>
          <w:tcPr>
            <w:tcW w:w="2721" w:type="dxa"/>
            <w:tcBorders>
              <w:left w:val="single" w:sz="4" w:space="0" w:color="auto"/>
              <w:bottom w:val="single" w:sz="4" w:space="0" w:color="auto"/>
              <w:right w:val="single" w:sz="4" w:space="0" w:color="auto"/>
            </w:tcBorders>
            <w:vAlign w:val="center"/>
          </w:tcPr>
          <w:p w:rsidR="00DD07AF" w:rsidRPr="003E27BE" w:rsidRDefault="00DD07AF" w:rsidP="00CB2FBB">
            <w:pPr>
              <w:pStyle w:val="Tabletext"/>
            </w:pPr>
            <w:r w:rsidRPr="003E27BE">
              <w:t>Wyandra Sandstone</w:t>
            </w:r>
          </w:p>
        </w:tc>
        <w:tc>
          <w:tcPr>
            <w:tcW w:w="1112" w:type="dxa"/>
            <w:tcBorders>
              <w:bottom w:val="single" w:sz="4" w:space="0" w:color="auto"/>
              <w:right w:val="single" w:sz="4" w:space="0" w:color="auto"/>
            </w:tcBorders>
            <w:vAlign w:val="center"/>
          </w:tcPr>
          <w:p w:rsidR="00DD07AF" w:rsidRPr="003E27BE" w:rsidRDefault="00DD07AF" w:rsidP="00CB2FBB">
            <w:pPr>
              <w:pStyle w:val="Tabletext"/>
            </w:pPr>
            <w:r w:rsidRPr="003E27BE">
              <w:t>42</w:t>
            </w:r>
          </w:p>
        </w:tc>
        <w:tc>
          <w:tcPr>
            <w:tcW w:w="1276" w:type="dxa"/>
            <w:tcBorders>
              <w:bottom w:val="single" w:sz="4" w:space="0" w:color="auto"/>
              <w:right w:val="single" w:sz="4" w:space="0" w:color="auto"/>
            </w:tcBorders>
            <w:vAlign w:val="center"/>
          </w:tcPr>
          <w:p w:rsidR="00DD07AF" w:rsidRPr="003E27BE" w:rsidRDefault="00DD07AF" w:rsidP="00CB2FBB">
            <w:pPr>
              <w:pStyle w:val="Tabletext"/>
            </w:pPr>
            <w:r w:rsidRPr="003E27BE">
              <w:t>21.8</w:t>
            </w:r>
          </w:p>
        </w:tc>
        <w:tc>
          <w:tcPr>
            <w:tcW w:w="1276" w:type="dxa"/>
            <w:tcBorders>
              <w:left w:val="single" w:sz="4" w:space="0" w:color="auto"/>
              <w:bottom w:val="single" w:sz="4" w:space="0" w:color="auto"/>
              <w:right w:val="single" w:sz="4" w:space="0" w:color="auto"/>
            </w:tcBorders>
            <w:vAlign w:val="center"/>
          </w:tcPr>
          <w:p w:rsidR="00DD07AF" w:rsidRPr="003E27BE" w:rsidRDefault="00DD07AF" w:rsidP="00CB2FBB">
            <w:pPr>
              <w:pStyle w:val="Tabletext"/>
            </w:pPr>
            <w:r w:rsidRPr="003E27BE">
              <w:t>222</w:t>
            </w:r>
          </w:p>
        </w:tc>
        <w:tc>
          <w:tcPr>
            <w:tcW w:w="1276" w:type="dxa"/>
            <w:tcBorders>
              <w:left w:val="single" w:sz="4" w:space="0" w:color="auto"/>
              <w:bottom w:val="single" w:sz="4" w:space="0" w:color="auto"/>
              <w:right w:val="single" w:sz="4" w:space="0" w:color="auto"/>
            </w:tcBorders>
            <w:vAlign w:val="center"/>
          </w:tcPr>
          <w:p w:rsidR="00DD07AF" w:rsidRPr="003E27BE" w:rsidRDefault="00DD07AF" w:rsidP="00CB2FBB">
            <w:pPr>
              <w:pStyle w:val="Tabletext"/>
            </w:pPr>
            <w:r w:rsidRPr="003E27BE">
              <w:t>0.4</w:t>
            </w:r>
          </w:p>
        </w:tc>
        <w:tc>
          <w:tcPr>
            <w:tcW w:w="1362" w:type="dxa"/>
            <w:tcBorders>
              <w:left w:val="single" w:sz="4" w:space="0" w:color="auto"/>
              <w:bottom w:val="single" w:sz="4" w:space="0" w:color="auto"/>
              <w:right w:val="single" w:sz="4" w:space="0" w:color="auto"/>
            </w:tcBorders>
            <w:shd w:val="clear" w:color="auto" w:fill="auto"/>
            <w:vAlign w:val="center"/>
          </w:tcPr>
          <w:p w:rsidR="00DD07AF" w:rsidRPr="003E27BE" w:rsidRDefault="00DD07AF" w:rsidP="00CB2FBB">
            <w:pPr>
              <w:pStyle w:val="Tabletext"/>
            </w:pPr>
            <w:r w:rsidRPr="003E27BE">
              <w:t>3.8</w:t>
            </w:r>
            <w:r w:rsidR="00C3694D" w:rsidRPr="003E27BE">
              <w:t>x10</w:t>
            </w:r>
            <w:r w:rsidR="00C3694D" w:rsidRPr="003E27BE">
              <w:rPr>
                <w:vertAlign w:val="superscript"/>
              </w:rPr>
              <w:t>-</w:t>
            </w:r>
            <w:r w:rsidRPr="003E27BE">
              <w:rPr>
                <w:vertAlign w:val="superscript"/>
              </w:rPr>
              <w:t>4</w:t>
            </w:r>
          </w:p>
        </w:tc>
      </w:tr>
      <w:tr w:rsidR="00DD07AF" w:rsidRPr="003E27BE" w:rsidTr="00130442">
        <w:tc>
          <w:tcPr>
            <w:tcW w:w="2721" w:type="dxa"/>
            <w:tcBorders>
              <w:top w:val="single" w:sz="4" w:space="0" w:color="auto"/>
              <w:left w:val="single" w:sz="4" w:space="0" w:color="auto"/>
              <w:bottom w:val="single" w:sz="4" w:space="0" w:color="auto"/>
              <w:right w:val="single" w:sz="4" w:space="0" w:color="auto"/>
            </w:tcBorders>
            <w:vAlign w:val="center"/>
          </w:tcPr>
          <w:p w:rsidR="00DD07AF" w:rsidRPr="003E27BE" w:rsidRDefault="00DD07AF" w:rsidP="00CB2FBB">
            <w:pPr>
              <w:pStyle w:val="Tabletext"/>
            </w:pPr>
            <w:r w:rsidRPr="003E27BE">
              <w:t>Hooray Sandstone</w:t>
            </w:r>
          </w:p>
        </w:tc>
        <w:tc>
          <w:tcPr>
            <w:tcW w:w="1112" w:type="dxa"/>
            <w:tcBorders>
              <w:top w:val="single" w:sz="4" w:space="0" w:color="auto"/>
              <w:bottom w:val="single" w:sz="4" w:space="0" w:color="auto"/>
              <w:right w:val="single" w:sz="4" w:space="0" w:color="auto"/>
            </w:tcBorders>
            <w:vAlign w:val="center"/>
          </w:tcPr>
          <w:p w:rsidR="00DD07AF" w:rsidRPr="003E27BE" w:rsidRDefault="00DD07AF" w:rsidP="00CB2FBB">
            <w:pPr>
              <w:pStyle w:val="Tabletext"/>
            </w:pPr>
            <w:r w:rsidRPr="003E27BE">
              <w:t>1984</w:t>
            </w:r>
          </w:p>
        </w:tc>
        <w:tc>
          <w:tcPr>
            <w:tcW w:w="1276" w:type="dxa"/>
            <w:tcBorders>
              <w:top w:val="single" w:sz="4" w:space="0" w:color="auto"/>
              <w:bottom w:val="single" w:sz="4" w:space="0" w:color="auto"/>
              <w:right w:val="single" w:sz="4" w:space="0" w:color="auto"/>
            </w:tcBorders>
            <w:vAlign w:val="center"/>
          </w:tcPr>
          <w:p w:rsidR="00DD07AF" w:rsidRPr="003E27BE" w:rsidRDefault="00DD07AF" w:rsidP="00CB2FBB">
            <w:pPr>
              <w:pStyle w:val="Tabletext"/>
            </w:pPr>
            <w:r w:rsidRPr="003E27BE">
              <w:t>17</w:t>
            </w:r>
          </w:p>
        </w:tc>
        <w:tc>
          <w:tcPr>
            <w:tcW w:w="1276" w:type="dxa"/>
            <w:tcBorders>
              <w:top w:val="single" w:sz="4" w:space="0" w:color="auto"/>
              <w:left w:val="single" w:sz="4" w:space="0" w:color="auto"/>
              <w:bottom w:val="single" w:sz="4" w:space="0" w:color="auto"/>
              <w:right w:val="single" w:sz="4" w:space="0" w:color="auto"/>
            </w:tcBorders>
            <w:vAlign w:val="center"/>
          </w:tcPr>
          <w:p w:rsidR="00DD07AF" w:rsidRPr="003E27BE" w:rsidRDefault="00DD07AF" w:rsidP="00CB2FBB">
            <w:pPr>
              <w:pStyle w:val="Tabletext"/>
            </w:pPr>
            <w:r w:rsidRPr="003E27BE">
              <w:t>1834</w:t>
            </w:r>
          </w:p>
        </w:tc>
        <w:tc>
          <w:tcPr>
            <w:tcW w:w="1276" w:type="dxa"/>
            <w:tcBorders>
              <w:top w:val="single" w:sz="4" w:space="0" w:color="auto"/>
              <w:left w:val="single" w:sz="4" w:space="0" w:color="auto"/>
              <w:bottom w:val="single" w:sz="4" w:space="0" w:color="auto"/>
              <w:right w:val="single" w:sz="4" w:space="0" w:color="auto"/>
            </w:tcBorders>
            <w:vAlign w:val="center"/>
          </w:tcPr>
          <w:p w:rsidR="00DD07AF" w:rsidRPr="003E27BE" w:rsidRDefault="00DD07AF" w:rsidP="00CB2FBB">
            <w:pPr>
              <w:pStyle w:val="Tabletext"/>
            </w:pPr>
            <w:r w:rsidRPr="003E27BE">
              <w:t>4.5</w:t>
            </w:r>
          </w:p>
        </w:tc>
        <w:tc>
          <w:tcPr>
            <w:tcW w:w="1362" w:type="dxa"/>
            <w:tcBorders>
              <w:top w:val="single" w:sz="4" w:space="0" w:color="auto"/>
              <w:left w:val="single" w:sz="4" w:space="0" w:color="auto"/>
              <w:bottom w:val="single" w:sz="4" w:space="0" w:color="auto"/>
              <w:right w:val="single" w:sz="4" w:space="0" w:color="auto"/>
            </w:tcBorders>
            <w:shd w:val="clear" w:color="auto" w:fill="auto"/>
            <w:vAlign w:val="center"/>
          </w:tcPr>
          <w:p w:rsidR="00DD07AF" w:rsidRPr="003E27BE" w:rsidRDefault="00DD07AF" w:rsidP="00CB2FBB">
            <w:pPr>
              <w:pStyle w:val="Tabletext"/>
            </w:pPr>
            <w:r w:rsidRPr="003E27BE">
              <w:t>4.3</w:t>
            </w:r>
            <w:r w:rsidR="00C3694D" w:rsidRPr="003E27BE">
              <w:t>x10</w:t>
            </w:r>
            <w:r w:rsidR="00C3694D" w:rsidRPr="003E27BE">
              <w:rPr>
                <w:vertAlign w:val="superscript"/>
              </w:rPr>
              <w:t>-</w:t>
            </w:r>
            <w:r w:rsidRPr="003E27BE">
              <w:rPr>
                <w:vertAlign w:val="superscript"/>
              </w:rPr>
              <w:t>3</w:t>
            </w:r>
          </w:p>
        </w:tc>
      </w:tr>
      <w:tr w:rsidR="00DD07AF" w:rsidRPr="003E27BE" w:rsidTr="00130442">
        <w:tc>
          <w:tcPr>
            <w:tcW w:w="2721" w:type="dxa"/>
            <w:tcBorders>
              <w:top w:val="single" w:sz="4" w:space="0" w:color="auto"/>
              <w:left w:val="single" w:sz="4" w:space="0" w:color="auto"/>
              <w:bottom w:val="single" w:sz="4" w:space="0" w:color="auto"/>
              <w:right w:val="single" w:sz="4" w:space="0" w:color="auto"/>
            </w:tcBorders>
            <w:vAlign w:val="center"/>
          </w:tcPr>
          <w:p w:rsidR="00DD07AF" w:rsidRPr="003E27BE" w:rsidRDefault="00DD07AF" w:rsidP="00CB2FBB">
            <w:pPr>
              <w:pStyle w:val="Tabletext"/>
            </w:pPr>
            <w:r w:rsidRPr="003E27BE">
              <w:t>Adori Sandstone</w:t>
            </w:r>
          </w:p>
        </w:tc>
        <w:tc>
          <w:tcPr>
            <w:tcW w:w="1112" w:type="dxa"/>
            <w:tcBorders>
              <w:top w:val="single" w:sz="4" w:space="0" w:color="auto"/>
              <w:bottom w:val="single" w:sz="4" w:space="0" w:color="auto"/>
              <w:right w:val="single" w:sz="4" w:space="0" w:color="auto"/>
            </w:tcBorders>
            <w:vAlign w:val="center"/>
          </w:tcPr>
          <w:p w:rsidR="00DD07AF" w:rsidRPr="003E27BE" w:rsidRDefault="00DD07AF" w:rsidP="00CB2FBB">
            <w:pPr>
              <w:pStyle w:val="Tabletext"/>
            </w:pPr>
            <w:r w:rsidRPr="003E27BE">
              <w:t>82</w:t>
            </w:r>
          </w:p>
        </w:tc>
        <w:tc>
          <w:tcPr>
            <w:tcW w:w="1276" w:type="dxa"/>
            <w:tcBorders>
              <w:top w:val="single" w:sz="4" w:space="0" w:color="auto"/>
              <w:bottom w:val="single" w:sz="4" w:space="0" w:color="auto"/>
              <w:right w:val="single" w:sz="4" w:space="0" w:color="auto"/>
            </w:tcBorders>
            <w:vAlign w:val="center"/>
          </w:tcPr>
          <w:p w:rsidR="00DD07AF" w:rsidRPr="003E27BE" w:rsidRDefault="00DD07AF" w:rsidP="00CB2FBB">
            <w:pPr>
              <w:pStyle w:val="Tabletext"/>
            </w:pPr>
            <w:r w:rsidRPr="003E27BE">
              <w:t>19.8</w:t>
            </w:r>
          </w:p>
        </w:tc>
        <w:tc>
          <w:tcPr>
            <w:tcW w:w="1276" w:type="dxa"/>
            <w:tcBorders>
              <w:top w:val="single" w:sz="4" w:space="0" w:color="auto"/>
              <w:left w:val="single" w:sz="4" w:space="0" w:color="auto"/>
              <w:bottom w:val="single" w:sz="4" w:space="0" w:color="auto"/>
              <w:right w:val="single" w:sz="4" w:space="0" w:color="auto"/>
            </w:tcBorders>
            <w:vAlign w:val="center"/>
          </w:tcPr>
          <w:p w:rsidR="00DD07AF" w:rsidRPr="003E27BE" w:rsidRDefault="00DD07AF" w:rsidP="00CB2FBB">
            <w:pPr>
              <w:pStyle w:val="Tabletext"/>
            </w:pPr>
            <w:r w:rsidRPr="003E27BE">
              <w:t>78</w:t>
            </w:r>
          </w:p>
        </w:tc>
        <w:tc>
          <w:tcPr>
            <w:tcW w:w="1276" w:type="dxa"/>
            <w:tcBorders>
              <w:top w:val="single" w:sz="4" w:space="0" w:color="auto"/>
              <w:left w:val="single" w:sz="4" w:space="0" w:color="auto"/>
              <w:bottom w:val="single" w:sz="4" w:space="0" w:color="auto"/>
              <w:right w:val="single" w:sz="4" w:space="0" w:color="auto"/>
            </w:tcBorders>
            <w:vAlign w:val="center"/>
          </w:tcPr>
          <w:p w:rsidR="00DD07AF" w:rsidRPr="003E27BE" w:rsidRDefault="00DD07AF" w:rsidP="00CB2FBB">
            <w:pPr>
              <w:pStyle w:val="Tabletext"/>
            </w:pPr>
            <w:r w:rsidRPr="003E27BE">
              <w:t>403</w:t>
            </w:r>
          </w:p>
        </w:tc>
        <w:tc>
          <w:tcPr>
            <w:tcW w:w="1362" w:type="dxa"/>
            <w:tcBorders>
              <w:top w:val="single" w:sz="4" w:space="0" w:color="auto"/>
              <w:left w:val="single" w:sz="4" w:space="0" w:color="auto"/>
              <w:bottom w:val="single" w:sz="4" w:space="0" w:color="auto"/>
              <w:right w:val="single" w:sz="4" w:space="0" w:color="auto"/>
            </w:tcBorders>
            <w:shd w:val="clear" w:color="auto" w:fill="auto"/>
            <w:vAlign w:val="center"/>
          </w:tcPr>
          <w:p w:rsidR="00DD07AF" w:rsidRPr="003E27BE" w:rsidRDefault="00DD07AF" w:rsidP="00CB2FBB">
            <w:pPr>
              <w:pStyle w:val="Tabletext"/>
            </w:pPr>
            <w:r w:rsidRPr="003E27BE">
              <w:t>0.38</w:t>
            </w:r>
          </w:p>
        </w:tc>
      </w:tr>
      <w:tr w:rsidR="00DD07AF" w:rsidRPr="003E27BE" w:rsidTr="00130442">
        <w:tc>
          <w:tcPr>
            <w:tcW w:w="2721" w:type="dxa"/>
            <w:tcBorders>
              <w:top w:val="single" w:sz="4" w:space="0" w:color="auto"/>
              <w:left w:val="single" w:sz="4" w:space="0" w:color="auto"/>
              <w:bottom w:val="single" w:sz="4" w:space="0" w:color="auto"/>
              <w:right w:val="single" w:sz="4" w:space="0" w:color="auto"/>
            </w:tcBorders>
            <w:vAlign w:val="center"/>
          </w:tcPr>
          <w:p w:rsidR="00DD07AF" w:rsidRPr="003E27BE" w:rsidRDefault="00DD07AF" w:rsidP="00CB2FBB">
            <w:pPr>
              <w:pStyle w:val="Tabletext"/>
            </w:pPr>
            <w:r w:rsidRPr="003E27BE">
              <w:t>Hutton Sandstone</w:t>
            </w:r>
          </w:p>
        </w:tc>
        <w:tc>
          <w:tcPr>
            <w:tcW w:w="1112" w:type="dxa"/>
            <w:tcBorders>
              <w:top w:val="single" w:sz="4" w:space="0" w:color="auto"/>
              <w:bottom w:val="single" w:sz="4" w:space="0" w:color="auto"/>
              <w:right w:val="single" w:sz="4" w:space="0" w:color="auto"/>
            </w:tcBorders>
            <w:vAlign w:val="center"/>
          </w:tcPr>
          <w:p w:rsidR="00DD07AF" w:rsidRPr="003E27BE" w:rsidRDefault="00DD07AF" w:rsidP="00CB2FBB">
            <w:pPr>
              <w:pStyle w:val="Tabletext"/>
            </w:pPr>
            <w:r w:rsidRPr="003E27BE">
              <w:t>1984</w:t>
            </w:r>
          </w:p>
        </w:tc>
        <w:tc>
          <w:tcPr>
            <w:tcW w:w="1276" w:type="dxa"/>
            <w:tcBorders>
              <w:top w:val="single" w:sz="4" w:space="0" w:color="auto"/>
              <w:bottom w:val="single" w:sz="4" w:space="0" w:color="auto"/>
              <w:right w:val="single" w:sz="4" w:space="0" w:color="auto"/>
            </w:tcBorders>
            <w:vAlign w:val="center"/>
          </w:tcPr>
          <w:p w:rsidR="00DD07AF" w:rsidRPr="003E27BE" w:rsidRDefault="00DD07AF" w:rsidP="00CB2FBB">
            <w:pPr>
              <w:pStyle w:val="Tabletext"/>
            </w:pPr>
            <w:r w:rsidRPr="003E27BE">
              <w:t>17</w:t>
            </w:r>
          </w:p>
        </w:tc>
        <w:tc>
          <w:tcPr>
            <w:tcW w:w="1276" w:type="dxa"/>
            <w:tcBorders>
              <w:top w:val="single" w:sz="4" w:space="0" w:color="auto"/>
              <w:left w:val="single" w:sz="4" w:space="0" w:color="auto"/>
              <w:bottom w:val="single" w:sz="4" w:space="0" w:color="auto"/>
              <w:right w:val="single" w:sz="4" w:space="0" w:color="auto"/>
            </w:tcBorders>
            <w:vAlign w:val="center"/>
          </w:tcPr>
          <w:p w:rsidR="00DD07AF" w:rsidRPr="003E27BE" w:rsidRDefault="00DD07AF" w:rsidP="00CB2FBB">
            <w:pPr>
              <w:pStyle w:val="Tabletext"/>
            </w:pPr>
            <w:r w:rsidRPr="003E27BE">
              <w:t>2321</w:t>
            </w:r>
          </w:p>
        </w:tc>
        <w:tc>
          <w:tcPr>
            <w:tcW w:w="1276" w:type="dxa"/>
            <w:tcBorders>
              <w:top w:val="single" w:sz="4" w:space="0" w:color="auto"/>
              <w:left w:val="single" w:sz="4" w:space="0" w:color="auto"/>
              <w:bottom w:val="single" w:sz="4" w:space="0" w:color="auto"/>
              <w:right w:val="single" w:sz="4" w:space="0" w:color="auto"/>
            </w:tcBorders>
            <w:vAlign w:val="center"/>
          </w:tcPr>
          <w:p w:rsidR="00DD07AF" w:rsidRPr="003E27BE" w:rsidRDefault="00DD07AF" w:rsidP="00CB2FBB">
            <w:pPr>
              <w:pStyle w:val="Tabletext"/>
            </w:pPr>
            <w:r w:rsidRPr="003E27BE">
              <w:t>91</w:t>
            </w:r>
          </w:p>
        </w:tc>
        <w:tc>
          <w:tcPr>
            <w:tcW w:w="1362" w:type="dxa"/>
            <w:tcBorders>
              <w:top w:val="single" w:sz="4" w:space="0" w:color="auto"/>
              <w:left w:val="single" w:sz="4" w:space="0" w:color="auto"/>
              <w:bottom w:val="single" w:sz="4" w:space="0" w:color="auto"/>
              <w:right w:val="single" w:sz="4" w:space="0" w:color="auto"/>
            </w:tcBorders>
            <w:shd w:val="clear" w:color="auto" w:fill="auto"/>
            <w:vAlign w:val="center"/>
          </w:tcPr>
          <w:p w:rsidR="00DD07AF" w:rsidRPr="003E27BE" w:rsidRDefault="00DD07AF" w:rsidP="00CB2FBB">
            <w:pPr>
              <w:pStyle w:val="Tabletext"/>
            </w:pPr>
            <w:r w:rsidRPr="003E27BE">
              <w:t>0.086</w:t>
            </w:r>
          </w:p>
        </w:tc>
      </w:tr>
      <w:tr w:rsidR="00DD07AF" w:rsidRPr="003E27BE" w:rsidTr="00130442">
        <w:tc>
          <w:tcPr>
            <w:tcW w:w="2721" w:type="dxa"/>
            <w:tcBorders>
              <w:top w:val="single" w:sz="4" w:space="0" w:color="auto"/>
              <w:left w:val="single" w:sz="4" w:space="0" w:color="auto"/>
              <w:right w:val="single" w:sz="4" w:space="0" w:color="auto"/>
            </w:tcBorders>
            <w:vAlign w:val="center"/>
          </w:tcPr>
          <w:p w:rsidR="00DD07AF" w:rsidRPr="003E27BE" w:rsidRDefault="00DD07AF" w:rsidP="00CB2FBB">
            <w:pPr>
              <w:pStyle w:val="Tabletext"/>
            </w:pPr>
            <w:r w:rsidRPr="003E27BE">
              <w:t>Lower Poolowanna Formation</w:t>
            </w:r>
          </w:p>
        </w:tc>
        <w:tc>
          <w:tcPr>
            <w:tcW w:w="1112" w:type="dxa"/>
            <w:tcBorders>
              <w:top w:val="single" w:sz="4" w:space="0" w:color="auto"/>
              <w:right w:val="single" w:sz="4" w:space="0" w:color="auto"/>
            </w:tcBorders>
            <w:vAlign w:val="center"/>
          </w:tcPr>
          <w:p w:rsidR="00DD07AF" w:rsidRPr="003E27BE" w:rsidRDefault="00DD07AF" w:rsidP="00CB2FBB">
            <w:pPr>
              <w:pStyle w:val="Tabletext"/>
            </w:pPr>
            <w:r w:rsidRPr="003E27BE">
              <w:t>525</w:t>
            </w:r>
          </w:p>
        </w:tc>
        <w:tc>
          <w:tcPr>
            <w:tcW w:w="1276" w:type="dxa"/>
            <w:tcBorders>
              <w:top w:val="single" w:sz="4" w:space="0" w:color="auto"/>
              <w:right w:val="single" w:sz="4" w:space="0" w:color="auto"/>
            </w:tcBorders>
            <w:vAlign w:val="center"/>
          </w:tcPr>
          <w:p w:rsidR="00DD07AF" w:rsidRPr="003E27BE" w:rsidRDefault="00DD07AF" w:rsidP="00CB2FBB">
            <w:pPr>
              <w:pStyle w:val="Tabletext"/>
            </w:pPr>
            <w:r w:rsidRPr="003E27BE">
              <w:t>12</w:t>
            </w:r>
          </w:p>
        </w:tc>
        <w:tc>
          <w:tcPr>
            <w:tcW w:w="1276" w:type="dxa"/>
            <w:tcBorders>
              <w:top w:val="single" w:sz="4" w:space="0" w:color="auto"/>
              <w:left w:val="single" w:sz="4" w:space="0" w:color="auto"/>
              <w:right w:val="single" w:sz="4" w:space="0" w:color="auto"/>
            </w:tcBorders>
            <w:vAlign w:val="center"/>
          </w:tcPr>
          <w:p w:rsidR="00DD07AF" w:rsidRPr="003E27BE" w:rsidRDefault="00DD07AF" w:rsidP="00CB2FBB">
            <w:pPr>
              <w:pStyle w:val="Tabletext"/>
            </w:pPr>
            <w:r w:rsidRPr="003E27BE">
              <w:t>489</w:t>
            </w:r>
          </w:p>
        </w:tc>
        <w:tc>
          <w:tcPr>
            <w:tcW w:w="1276" w:type="dxa"/>
            <w:tcBorders>
              <w:top w:val="single" w:sz="4" w:space="0" w:color="auto"/>
              <w:left w:val="single" w:sz="4" w:space="0" w:color="auto"/>
              <w:right w:val="single" w:sz="4" w:space="0" w:color="auto"/>
            </w:tcBorders>
            <w:vAlign w:val="center"/>
          </w:tcPr>
          <w:p w:rsidR="00DD07AF" w:rsidRPr="003E27BE" w:rsidRDefault="00DD07AF" w:rsidP="00CB2FBB">
            <w:pPr>
              <w:pStyle w:val="Tabletext"/>
            </w:pPr>
            <w:r w:rsidRPr="003E27BE">
              <w:t>6.4</w:t>
            </w:r>
          </w:p>
        </w:tc>
        <w:tc>
          <w:tcPr>
            <w:tcW w:w="1362" w:type="dxa"/>
            <w:tcBorders>
              <w:top w:val="single" w:sz="4" w:space="0" w:color="auto"/>
              <w:left w:val="single" w:sz="4" w:space="0" w:color="auto"/>
              <w:right w:val="single" w:sz="4" w:space="0" w:color="auto"/>
            </w:tcBorders>
            <w:shd w:val="clear" w:color="auto" w:fill="auto"/>
            <w:vAlign w:val="center"/>
          </w:tcPr>
          <w:p w:rsidR="00DD07AF" w:rsidRPr="003E27BE" w:rsidRDefault="00DD07AF" w:rsidP="00CB2FBB">
            <w:pPr>
              <w:pStyle w:val="Tabletext"/>
            </w:pPr>
            <w:r w:rsidRPr="003E27BE">
              <w:t>6.1</w:t>
            </w:r>
            <w:r w:rsidR="00C3694D" w:rsidRPr="003E27BE">
              <w:t>x10</w:t>
            </w:r>
            <w:r w:rsidR="00C3694D" w:rsidRPr="003E27BE">
              <w:rPr>
                <w:vertAlign w:val="superscript"/>
              </w:rPr>
              <w:t>-</w:t>
            </w:r>
            <w:r w:rsidRPr="003E27BE">
              <w:rPr>
                <w:vertAlign w:val="superscript"/>
              </w:rPr>
              <w:t>3</w:t>
            </w:r>
          </w:p>
        </w:tc>
      </w:tr>
    </w:tbl>
    <w:p w:rsidR="00DD07AF" w:rsidRPr="00AE02EF" w:rsidRDefault="00DD07AF" w:rsidP="001C3374">
      <w:pPr>
        <w:pStyle w:val="Body"/>
        <w:rPr>
          <w:rFonts w:ascii="Arial" w:hAnsi="Arial" w:cs="Arial"/>
        </w:rPr>
      </w:pPr>
      <w:r w:rsidRPr="00AE02EF">
        <w:rPr>
          <w:rFonts w:ascii="Arial" w:hAnsi="Arial" w:cs="Arial"/>
          <w:i/>
        </w:rPr>
        <w:t>K</w:t>
      </w:r>
      <w:r w:rsidRPr="00AE02EF">
        <w:rPr>
          <w:rFonts w:ascii="Arial" w:hAnsi="Arial" w:cs="Arial"/>
          <w:i/>
          <w:vertAlign w:val="subscript"/>
        </w:rPr>
        <w:t>h</w:t>
      </w:r>
      <w:r w:rsidRPr="00AE02EF">
        <w:rPr>
          <w:rFonts w:ascii="Arial" w:hAnsi="Arial" w:cs="Arial"/>
        </w:rPr>
        <w:t>=horizontal hydraulic conductivity; *</w:t>
      </w:r>
      <w:r w:rsidR="00130442">
        <w:rPr>
          <w:rFonts w:ascii="Arial" w:hAnsi="Arial" w:cs="Arial"/>
        </w:rPr>
        <w:t xml:space="preserve"> </w:t>
      </w:r>
      <w:r w:rsidR="00130442" w:rsidRPr="00130442">
        <w:rPr>
          <w:rFonts w:ascii="Arial" w:hAnsi="Arial" w:cs="Arial"/>
          <w:i/>
          <w:sz w:val="20"/>
          <w:szCs w:val="20"/>
        </w:rPr>
        <w:t>K</w:t>
      </w:r>
      <w:r w:rsidR="00130442" w:rsidRPr="00130442">
        <w:rPr>
          <w:rFonts w:ascii="Arial" w:hAnsi="Arial" w:cs="Arial"/>
          <w:i/>
          <w:sz w:val="20"/>
          <w:szCs w:val="20"/>
          <w:vertAlign w:val="subscript"/>
        </w:rPr>
        <w:t>h</w:t>
      </w:r>
      <w:r w:rsidR="00130442" w:rsidRPr="00AE02EF">
        <w:rPr>
          <w:rFonts w:ascii="Arial" w:hAnsi="Arial" w:cs="Arial"/>
        </w:rPr>
        <w:t xml:space="preserve"> </w:t>
      </w:r>
      <w:r w:rsidRPr="00AE02EF">
        <w:rPr>
          <w:rFonts w:ascii="Arial" w:hAnsi="Arial" w:cs="Arial"/>
        </w:rPr>
        <w:t xml:space="preserve">equivalents are provided for comparison purposes only and are calculated from mean permeability values using the equation defined in chapter 2 and using values of </w:t>
      </w:r>
      <w:r w:rsidRPr="00AE02EF">
        <w:rPr>
          <w:rFonts w:ascii="Arial" w:hAnsi="Arial" w:cs="Arial"/>
          <w:i/>
        </w:rPr>
        <w:t>g</w:t>
      </w:r>
      <w:r w:rsidRPr="00AE02EF">
        <w:rPr>
          <w:rFonts w:ascii="Arial" w:hAnsi="Arial" w:cs="Arial"/>
        </w:rPr>
        <w:t>=9.8 m/s</w:t>
      </w:r>
      <w:r w:rsidRPr="00AE02EF">
        <w:rPr>
          <w:rFonts w:ascii="Arial" w:hAnsi="Arial" w:cs="Arial"/>
          <w:vertAlign w:val="superscript"/>
        </w:rPr>
        <w:t>2</w:t>
      </w:r>
      <w:r w:rsidRPr="00AE02EF">
        <w:rPr>
          <w:rFonts w:ascii="Arial" w:hAnsi="Arial" w:cs="Arial"/>
        </w:rPr>
        <w:t xml:space="preserve">, </w:t>
      </w:r>
      <w:r w:rsidRPr="00AE02EF">
        <w:rPr>
          <w:rFonts w:ascii="Arial" w:hAnsi="Arial" w:cs="Arial"/>
          <w:i/>
        </w:rPr>
        <w:t>ρ</w:t>
      </w:r>
      <w:r w:rsidRPr="00AE02EF">
        <w:rPr>
          <w:rFonts w:ascii="Arial" w:hAnsi="Arial" w:cs="Arial"/>
        </w:rPr>
        <w:t>=997.0479 kg/m</w:t>
      </w:r>
      <w:r w:rsidRPr="00AE02EF">
        <w:rPr>
          <w:rFonts w:ascii="Arial" w:hAnsi="Arial" w:cs="Arial"/>
          <w:vertAlign w:val="superscript"/>
        </w:rPr>
        <w:t>3</w:t>
      </w:r>
      <w:r w:rsidRPr="00AE02EF">
        <w:rPr>
          <w:rFonts w:ascii="Arial" w:hAnsi="Arial" w:cs="Arial"/>
        </w:rPr>
        <w:t xml:space="preserve">, and </w:t>
      </w:r>
      <w:r w:rsidRPr="00AE02EF">
        <w:rPr>
          <w:rFonts w:ascii="Arial" w:hAnsi="Arial" w:cs="Arial"/>
          <w:i/>
        </w:rPr>
        <w:t>μ</w:t>
      </w:r>
      <w:r w:rsidRPr="00AE02EF">
        <w:rPr>
          <w:rFonts w:ascii="Arial" w:hAnsi="Arial" w:cs="Arial"/>
        </w:rPr>
        <w:t>=8.91</w:t>
      </w:r>
      <w:r w:rsidR="00C3694D" w:rsidRPr="00AE02EF">
        <w:rPr>
          <w:rFonts w:ascii="Arial" w:hAnsi="Arial" w:cs="Arial"/>
        </w:rPr>
        <w:t>x10</w:t>
      </w:r>
      <w:r w:rsidR="00C3694D" w:rsidRPr="00AE02EF">
        <w:rPr>
          <w:rFonts w:ascii="Arial" w:hAnsi="Arial" w:cs="Arial"/>
          <w:vertAlign w:val="superscript"/>
        </w:rPr>
        <w:t>-4</w:t>
      </w:r>
      <w:r w:rsidRPr="00AE02EF">
        <w:rPr>
          <w:rFonts w:ascii="Arial" w:hAnsi="Arial" w:cs="Arial"/>
        </w:rPr>
        <w:t xml:space="preserve"> kg/[m.s], the latter two of which assume fresh groundwater with a temperature of 25</w:t>
      </w:r>
      <w:r w:rsidRPr="00AE02EF">
        <w:rPr>
          <w:rFonts w:ascii="Arial" w:hAnsi="Arial" w:cs="Arial"/>
          <w:vertAlign w:val="superscript"/>
        </w:rPr>
        <w:t>o</w:t>
      </w:r>
      <w:r w:rsidR="00C935CB" w:rsidRPr="00AE02EF">
        <w:rPr>
          <w:rFonts w:ascii="Arial" w:hAnsi="Arial" w:cs="Arial"/>
        </w:rPr>
        <w:t>C</w:t>
      </w:r>
      <w:r w:rsidRPr="00AE02EF">
        <w:rPr>
          <w:rFonts w:ascii="Arial" w:hAnsi="Arial" w:cs="Arial"/>
        </w:rPr>
        <w:t>.</w:t>
      </w:r>
    </w:p>
    <w:p w:rsidR="00525CA1" w:rsidRDefault="00525CA1" w:rsidP="001C3374">
      <w:pPr>
        <w:pStyle w:val="Body"/>
      </w:pPr>
    </w:p>
    <w:p w:rsidR="00DD07AF" w:rsidRDefault="00DD07AF" w:rsidP="005F6513">
      <w:pPr>
        <w:pStyle w:val="Heading3"/>
      </w:pPr>
      <w:bookmarkStart w:id="561" w:name="_Toc381961124"/>
      <w:r>
        <w:t>Model-based estimates</w:t>
      </w:r>
      <w:bookmarkEnd w:id="561"/>
    </w:p>
    <w:p w:rsidR="00DD07AF" w:rsidRDefault="00DD07AF" w:rsidP="00AE02EF">
      <w:pPr>
        <w:pStyle w:val="BRNormal"/>
      </w:pPr>
      <w:r w:rsidRPr="00B40439">
        <w:t>As discussed in chapter 3, estimates of hydraulic properties obtained from inverse models assume a correct choice of conceptual model and are therefore inherently subject to uncertainty. Since models are always imperfect representations of reality, inaccuracies in estimated values may be due to compensatory effects, such as accounting for misrepresentations of model stresses such as recharge and discharge</w:t>
      </w:r>
      <w:r>
        <w:t xml:space="preserve"> </w:t>
      </w:r>
      <w:r w:rsidR="00CC2D6B">
        <w:t xml:space="preserve">or other conceptual model choices </w:t>
      </w:r>
      <w:r>
        <w:t xml:space="preserve">(Doherty </w:t>
      </w:r>
      <w:r w:rsidR="00AE02EF">
        <w:t>&amp;</w:t>
      </w:r>
      <w:r>
        <w:t xml:space="preserve"> Welter 2010)</w:t>
      </w:r>
      <w:r w:rsidRPr="00B40439">
        <w:t xml:space="preserve">. </w:t>
      </w:r>
    </w:p>
    <w:p w:rsidR="00DD07AF" w:rsidRDefault="00DD07AF" w:rsidP="00AE02EF">
      <w:pPr>
        <w:pStyle w:val="BRNormal"/>
      </w:pPr>
      <w:r>
        <w:t xml:space="preserve">Since the late 1970s, groundwater models have been developed to represent various parts of the GAB. A summary of these models was provided in Smith and Welsh (2011). In early models such as GABSIM (Ungemach 1975) and GABHYD (Seidel 1978) parameter values were specified, based upon available hydrogeological observations. Alternatively, the parameterisation </w:t>
      </w:r>
      <w:r w:rsidRPr="003C6513">
        <w:t xml:space="preserve">of </w:t>
      </w:r>
      <w:r>
        <w:t xml:space="preserve">numerical </w:t>
      </w:r>
      <w:r w:rsidRPr="003C6513">
        <w:t xml:space="preserve">models </w:t>
      </w:r>
      <w:r>
        <w:t xml:space="preserve">may be based upon the calibration of model outputs to observations; for example, </w:t>
      </w:r>
      <w:r w:rsidRPr="003C6513">
        <w:t>hydraulic head</w:t>
      </w:r>
      <w:r>
        <w:t xml:space="preserve"> measurement</w:t>
      </w:r>
      <w:r w:rsidRPr="003C6513">
        <w:t>s</w:t>
      </w:r>
      <w:r>
        <w:t>. The development of two basin</w:t>
      </w:r>
      <w:r w:rsidR="00130442">
        <w:noBreakHyphen/>
      </w:r>
      <w:r>
        <w:t xml:space="preserve">scale groundwater flow models, </w:t>
      </w:r>
      <w:r w:rsidRPr="00264D14">
        <w:t xml:space="preserve">GABFLOW </w:t>
      </w:r>
      <w:r>
        <w:t xml:space="preserve">(Welsh 2000) and GABTRAN (Welsh 2006), used this method of estimating spatially distributed hydraulic property values. </w:t>
      </w:r>
      <w:r>
        <w:lastRenderedPageBreak/>
        <w:t>GABFLOW, a single layer steady state flow model, used horizontal hydraulic conductivity values for the Cadna-Owie layer ranging from 1</w:t>
      </w:r>
      <w:r w:rsidR="00C3694D">
        <w:t>x10</w:t>
      </w:r>
      <w:r w:rsidR="00C3694D" w:rsidRPr="00C3694D">
        <w:rPr>
          <w:vertAlign w:val="superscript"/>
        </w:rPr>
        <w:t>-3</w:t>
      </w:r>
      <w:r>
        <w:t xml:space="preserve"> to 40 m/d and transmissivity values ranging from 0.03 to 10033 m</w:t>
      </w:r>
      <w:r>
        <w:rPr>
          <w:vertAlign w:val="superscript"/>
        </w:rPr>
        <w:t>2</w:t>
      </w:r>
      <w:r>
        <w:t>/d. GABTRAN, a transient flow model, used horizontal hydraulic conductivities of 0.1 to 20 m/d, transmissivities of up to 22629 m</w:t>
      </w:r>
      <w:r>
        <w:rPr>
          <w:vertAlign w:val="superscript"/>
        </w:rPr>
        <w:t>2</w:t>
      </w:r>
      <w:r>
        <w:t>/d, specific storage values of 7</w:t>
      </w:r>
      <w:r w:rsidR="00C3694D">
        <w:t>x10</w:t>
      </w:r>
      <w:r w:rsidR="00C3694D" w:rsidRPr="00C3694D">
        <w:rPr>
          <w:vertAlign w:val="superscript"/>
        </w:rPr>
        <w:t>-6</w:t>
      </w:r>
      <w:r>
        <w:t xml:space="preserve"> to 7</w:t>
      </w:r>
      <w:r w:rsidR="00C3694D">
        <w:t>x10</w:t>
      </w:r>
      <w:r w:rsidR="00C3694D" w:rsidRPr="00C3694D">
        <w:rPr>
          <w:vertAlign w:val="superscript"/>
        </w:rPr>
        <w:t>-3</w:t>
      </w:r>
      <w:r>
        <w:t xml:space="preserve"> and specific yield values of 8</w:t>
      </w:r>
      <w:r w:rsidR="00C3694D">
        <w:t>x10</w:t>
      </w:r>
      <w:r w:rsidR="00C3694D" w:rsidRPr="00C3694D">
        <w:rPr>
          <w:vertAlign w:val="superscript"/>
        </w:rPr>
        <w:t>-6</w:t>
      </w:r>
      <w:r>
        <w:t xml:space="preserve"> to 0.155. </w:t>
      </w:r>
    </w:p>
    <w:p w:rsidR="00DD07AF" w:rsidRDefault="00DD07AF" w:rsidP="005F6513">
      <w:pPr>
        <w:pStyle w:val="Heading2"/>
      </w:pPr>
      <w:bookmarkStart w:id="562" w:name="_Toc381961125"/>
      <w:bookmarkStart w:id="563" w:name="_Toc389055235"/>
      <w:r>
        <w:t>Geomechanical properties</w:t>
      </w:r>
      <w:bookmarkEnd w:id="562"/>
      <w:bookmarkEnd w:id="563"/>
    </w:p>
    <w:p w:rsidR="00820988" w:rsidRDefault="00DD07AF" w:rsidP="00AE02EF">
      <w:pPr>
        <w:pStyle w:val="BRNormal"/>
      </w:pPr>
      <w:r>
        <w:t xml:space="preserve">A range of geomechanical properties for GAB aquifers and aquitards are of relevance to assessing the potential for induced mechanical deformation, fracturing and seismicity. Such properties may include geological unit permeabilities; shale volume data for aquitard seals; the location, type and throw of faults; horizontal and vertical stress directions and magnitudes; and the volumetric rates of fluid extraction involved in mining operations. Borehole leakage presents an additional hazard of intensive drilling operations. </w:t>
      </w:r>
      <w:r w:rsidRPr="000426DB">
        <w:t xml:space="preserve">Currently, there </w:t>
      </w:r>
      <w:r>
        <w:t>are</w:t>
      </w:r>
      <w:r w:rsidRPr="000426DB">
        <w:t xml:space="preserve"> no published syntheses of geomechanical properties in the GAB, nor published studies of the potential for induced </w:t>
      </w:r>
      <w:r>
        <w:t>geomechanical stresses</w:t>
      </w:r>
      <w:r w:rsidRPr="000426DB">
        <w:t xml:space="preserve"> </w:t>
      </w:r>
      <w:r>
        <w:t xml:space="preserve">resulting from mining </w:t>
      </w:r>
      <w:r w:rsidRPr="000426DB">
        <w:t>operations.</w:t>
      </w:r>
    </w:p>
    <w:p w:rsidR="00DD07AF" w:rsidRDefault="00DD07AF" w:rsidP="005F6513">
      <w:pPr>
        <w:pStyle w:val="Heading3"/>
      </w:pPr>
      <w:bookmarkStart w:id="564" w:name="_Toc381961126"/>
      <w:r>
        <w:t>Properties relating to induced geomechanical stresses</w:t>
      </w:r>
      <w:bookmarkEnd w:id="564"/>
    </w:p>
    <w:p w:rsidR="00F863AB" w:rsidRPr="00B00A9B" w:rsidRDefault="00130442" w:rsidP="00AE02EF">
      <w:pPr>
        <w:pStyle w:val="BRNormal"/>
      </w:pPr>
      <w:r>
        <w:t>Pre</w:t>
      </w:r>
      <w:r w:rsidR="003614FB">
        <w:t>ssure and permeability data are available from the CSIRO PressurePlot database and from relevant state government databases such as the Queensland Petroleum Exploration Database</w:t>
      </w:r>
      <w:r w:rsidR="008734C3">
        <w:rPr>
          <w:rStyle w:val="FootnoteReference"/>
        </w:rPr>
        <w:footnoteReference w:id="1"/>
      </w:r>
      <w:r w:rsidR="00AE02EF">
        <w:t xml:space="preserve"> (DNRM 2014b)</w:t>
      </w:r>
      <w:r w:rsidR="003614FB" w:rsidRPr="003614FB">
        <w:t xml:space="preserve"> and the South Australian Resources Information Geoserver</w:t>
      </w:r>
      <w:r w:rsidR="00EC0BF5">
        <w:t xml:space="preserve"> (SARIG 2014)</w:t>
      </w:r>
      <w:r w:rsidR="003614FB" w:rsidRPr="003614FB">
        <w:t>. As described in section 5.3, permeability data for the GAB were recently summarised by GABWRA (</w:t>
      </w:r>
      <w:r w:rsidR="00E21F7B">
        <w:t>CSIRO 2012a; CSIRO 2012b; CSIRO 2012c</w:t>
      </w:r>
      <w:r w:rsidR="003614FB" w:rsidRPr="003614FB">
        <w:t>), as were temperature data. The clay composition of GAB aquitards is poorly characterised, particularly spatially. The locations of significant faults in the GAB have been well-documented and have also been summarised recently by GABWRA (</w:t>
      </w:r>
      <w:r w:rsidR="00E21F7B">
        <w:t>CSIRO 2012a; CSIRO 2012b; CSIRO 2012c</w:t>
      </w:r>
      <w:r w:rsidR="003614FB" w:rsidRPr="003614FB">
        <w:t xml:space="preserve">) from foundation works by the Geological Survey of Queensland (GSQ). Fault types and throw information may also be obtained from </w:t>
      </w:r>
      <w:r w:rsidR="00F87DE2" w:rsidRPr="003614FB">
        <w:t xml:space="preserve">Geological Survey of Queensland </w:t>
      </w:r>
      <w:r w:rsidR="003614FB" w:rsidRPr="003614FB">
        <w:t>Bulletins. Horizontal stress directions at a continental scale may be obtained from the Australian</w:t>
      </w:r>
      <w:r w:rsidR="00E21F7B">
        <w:t xml:space="preserve"> Stress Map (Hillis et al. 1998</w:t>
      </w:r>
      <w:r w:rsidR="003614FB" w:rsidRPr="003614FB">
        <w:t>). Horizontal stress over much of the GAB area is in a northeast-southwest orientation, while the southwest region of the GAB features an east-west orientation. Vertical stress magnitudes are a function of depth (Mildren et al. 2002) and may be estimated from borelog data. Finally, local estimates of future rates of fluid extractions by CSG operations may be obtained from relevant Environmental Impact Statements</w:t>
      </w:r>
      <w:r w:rsidR="005C6B7B">
        <w:t xml:space="preserve"> (EIS)</w:t>
      </w:r>
      <w:r w:rsidR="003614FB" w:rsidRPr="003614FB">
        <w:t>. Maximum total extraction rates have been projected at approximately 10</w:t>
      </w:r>
      <w:r w:rsidR="005C6B7B">
        <w:t> </w:t>
      </w:r>
      <w:r w:rsidR="003614FB" w:rsidRPr="003614FB">
        <w:t>ML/d (G</w:t>
      </w:r>
      <w:r w:rsidR="00B011CD">
        <w:t>lads</w:t>
      </w:r>
      <w:r w:rsidR="005C6B7B">
        <w:t>t</w:t>
      </w:r>
      <w:r w:rsidR="00B011CD">
        <w:t>on</w:t>
      </w:r>
      <w:r w:rsidR="005C6B7B">
        <w:t>e </w:t>
      </w:r>
      <w:r w:rsidR="003614FB" w:rsidRPr="003614FB">
        <w:t>LNG), 140</w:t>
      </w:r>
      <w:r w:rsidR="005C6B7B">
        <w:t> </w:t>
      </w:r>
      <w:r w:rsidR="003614FB" w:rsidRPr="003614FB">
        <w:t>ML/d (Arrow), 170</w:t>
      </w:r>
      <w:r w:rsidR="005C6B7B">
        <w:t> </w:t>
      </w:r>
      <w:r w:rsidR="003614FB" w:rsidRPr="003614FB">
        <w:t>ML/d (A</w:t>
      </w:r>
      <w:r w:rsidR="00B011CD">
        <w:t xml:space="preserve">ustralia </w:t>
      </w:r>
      <w:r w:rsidR="003614FB" w:rsidRPr="003614FB">
        <w:t>P</w:t>
      </w:r>
      <w:r w:rsidR="00B011CD">
        <w:t xml:space="preserve">acific </w:t>
      </w:r>
      <w:r w:rsidR="003614FB" w:rsidRPr="003614FB">
        <w:t>LNG), and 200</w:t>
      </w:r>
      <w:r w:rsidR="005C6B7B">
        <w:t> </w:t>
      </w:r>
      <w:r w:rsidR="003614FB" w:rsidRPr="003614FB">
        <w:t>ML/d (Q</w:t>
      </w:r>
      <w:r w:rsidR="00B011CD">
        <w:t xml:space="preserve">ueensland </w:t>
      </w:r>
      <w:r w:rsidR="003614FB" w:rsidRPr="003614FB">
        <w:t>C</w:t>
      </w:r>
      <w:r w:rsidR="00B011CD">
        <w:t xml:space="preserve">urtis </w:t>
      </w:r>
      <w:r w:rsidR="003614FB" w:rsidRPr="003614FB">
        <w:t>LNG) (SWS 2011).</w:t>
      </w:r>
    </w:p>
    <w:p w:rsidR="00DD07AF" w:rsidRDefault="00DD07AF" w:rsidP="008734C3">
      <w:pPr>
        <w:pStyle w:val="BRNormal"/>
      </w:pPr>
      <w:r>
        <w:t xml:space="preserve">Future syntheses of such data may subsequently be used in quantitative assessments of the potential for geomechanical effects </w:t>
      </w:r>
      <w:r w:rsidRPr="00860CD0">
        <w:t xml:space="preserve">induced </w:t>
      </w:r>
      <w:r>
        <w:t>by mining operations, such as the</w:t>
      </w:r>
      <w:r w:rsidR="005C6B7B">
        <w:t xml:space="preserve"> fault analysis seal technology</w:t>
      </w:r>
      <w:r>
        <w:t xml:space="preserve"> </w:t>
      </w:r>
      <w:r w:rsidR="005C6B7B">
        <w:t>(</w:t>
      </w:r>
      <w:r>
        <w:t>FAST</w:t>
      </w:r>
      <w:r w:rsidR="005C6B7B">
        <w:t>)</w:t>
      </w:r>
      <w:r>
        <w:t xml:space="preserve"> methodology of Mildren et al. (2002). Similarly, such data may be used to develop numerical geomechanical and/or hydrogeological models</w:t>
      </w:r>
      <w:r w:rsidR="005C6B7B">
        <w:t>,</w:t>
      </w:r>
      <w:r>
        <w:t xml:space="preserve"> which may be used to predict the effects of mining activities such as aquifer/aquitard depressurisation. In summary, the potential for induced </w:t>
      </w:r>
      <w:r w:rsidRPr="00860CD0">
        <w:t>mechanical deformation, fracturing, and seismicity</w:t>
      </w:r>
      <w:r>
        <w:t xml:space="preserve"> would need to be assessed on a case-by-case basis. This cannot currently be addressed without improved characterisation of geomechanical properties at a local scale.</w:t>
      </w:r>
    </w:p>
    <w:p w:rsidR="00D26D09" w:rsidRDefault="00D26D09" w:rsidP="008734C3">
      <w:pPr>
        <w:pStyle w:val="BRNormal"/>
      </w:pPr>
    </w:p>
    <w:p w:rsidR="00DD07AF" w:rsidRDefault="00DD07AF" w:rsidP="005F6513">
      <w:pPr>
        <w:pStyle w:val="Heading3"/>
      </w:pPr>
      <w:bookmarkStart w:id="565" w:name="_Toc381961127"/>
      <w:r>
        <w:lastRenderedPageBreak/>
        <w:t>Borehole leakage</w:t>
      </w:r>
      <w:bookmarkEnd w:id="565"/>
    </w:p>
    <w:p w:rsidR="00DD07AF" w:rsidRDefault="007A0E4E" w:rsidP="008734C3">
      <w:pPr>
        <w:pStyle w:val="BRNormal"/>
      </w:pPr>
      <w:r>
        <w:t xml:space="preserve">Boreholes and well construction can significantly affect the connectivity between boreholes (see section 4.5). </w:t>
      </w:r>
      <w:r w:rsidR="00DD07AF" w:rsidRPr="005636BF">
        <w:t>Borehole leakage in the GAB was investigated by Habermehl (2009). Geophysical logs were acquired from 68 bores in Queensland and from 31 bores in New South Wales. Inter-aquifer leakage was observed in 22 bores while the possibility of leakage was proposed for another 41 bores.</w:t>
      </w:r>
    </w:p>
    <w:p w:rsidR="00DD07AF" w:rsidRDefault="00DD07AF" w:rsidP="005F6513">
      <w:pPr>
        <w:pStyle w:val="Heading2"/>
      </w:pPr>
      <w:bookmarkStart w:id="566" w:name="_Toc381961128"/>
      <w:bookmarkStart w:id="567" w:name="_Toc389055236"/>
      <w:r>
        <w:t>Groundwater recharge, flow and discharge</w:t>
      </w:r>
      <w:bookmarkEnd w:id="566"/>
      <w:bookmarkEnd w:id="567"/>
    </w:p>
    <w:p w:rsidR="00DD07AF" w:rsidRDefault="00DD07AF" w:rsidP="005F6513">
      <w:pPr>
        <w:pStyle w:val="Heading3"/>
      </w:pPr>
      <w:bookmarkStart w:id="568" w:name="_Toc381961129"/>
      <w:r>
        <w:t>Groundwater recharge</w:t>
      </w:r>
      <w:bookmarkEnd w:id="568"/>
    </w:p>
    <w:p w:rsidR="00DD07AF" w:rsidRDefault="00DD07AF" w:rsidP="008734C3">
      <w:pPr>
        <w:pStyle w:val="BRNormal"/>
      </w:pPr>
      <w:r w:rsidRPr="003F5EB4">
        <w:t xml:space="preserve">Recharge </w:t>
      </w:r>
      <w:r>
        <w:t xml:space="preserve">to GAB aquifers </w:t>
      </w:r>
      <w:r w:rsidRPr="003F5EB4">
        <w:t>occur</w:t>
      </w:r>
      <w:r>
        <w:t xml:space="preserve">s predominantly </w:t>
      </w:r>
      <w:r w:rsidRPr="003F5EB4">
        <w:t>via preferred pathways</w:t>
      </w:r>
      <w:r w:rsidR="005C6B7B">
        <w:t>,</w:t>
      </w:r>
      <w:r w:rsidRPr="003F5EB4">
        <w:t xml:space="preserve"> such as highly porous interbeds, ro</w:t>
      </w:r>
      <w:r w:rsidR="005C6B7B">
        <w:t>ck fractures, solution cavities</w:t>
      </w:r>
      <w:r w:rsidRPr="003F5EB4">
        <w:t xml:space="preserve"> and root cavities (Kellett et al. 2003). Other mechanisms include diffuse rech</w:t>
      </w:r>
      <w:r w:rsidR="005C6B7B">
        <w:t>arge through the aquifer matrix</w:t>
      </w:r>
      <w:r w:rsidRPr="003F5EB4">
        <w:t xml:space="preserve"> and by </w:t>
      </w:r>
      <w:r>
        <w:t xml:space="preserve">localised leakage </w:t>
      </w:r>
      <w:r w:rsidRPr="003F5EB4">
        <w:t xml:space="preserve">below perennial or ephemeral rivers. Due to significant historical use of the </w:t>
      </w:r>
      <w:r>
        <w:t>Cadna-Owie-Hooray aquifers</w:t>
      </w:r>
      <w:r w:rsidRPr="003F5EB4">
        <w:t>, the research relating to recharge processes tends to be focus</w:t>
      </w:r>
      <w:r w:rsidR="001F21BF">
        <w:t>s</w:t>
      </w:r>
      <w:r w:rsidRPr="003F5EB4">
        <w:t xml:space="preserve">ed on this particular aquifer system. </w:t>
      </w:r>
      <w:r>
        <w:t>The currently accepted extent of the Cadna-Owie-Hooray aquifer recharge areas was defined by Habermehl and Lau (1997). Recharge occurs primarily in intake beds located along its eastern margin, where aquifer unit outcrops or subcrops occur. Quantitative studies of aquifer recharge in the Eromanga Basin are limited to McMahon</w:t>
      </w:r>
      <w:r w:rsidR="005C6B7B">
        <w:t> </w:t>
      </w:r>
      <w:r>
        <w:t>et</w:t>
      </w:r>
      <w:r w:rsidR="005C6B7B">
        <w:t> </w:t>
      </w:r>
      <w:r>
        <w:t>al.</w:t>
      </w:r>
      <w:r w:rsidR="005C6B7B">
        <w:t> </w:t>
      </w:r>
      <w:r>
        <w:t xml:space="preserve">(2002), who estimated </w:t>
      </w:r>
      <w:r w:rsidRPr="00CE4D5A">
        <w:t xml:space="preserve">diffuse recharge </w:t>
      </w:r>
      <w:r>
        <w:t xml:space="preserve">at </w:t>
      </w:r>
      <w:r w:rsidRPr="00CE4D5A">
        <w:t>0.1</w:t>
      </w:r>
      <w:r w:rsidR="00DF6B3A">
        <w:t xml:space="preserve"> to </w:t>
      </w:r>
      <w:r w:rsidRPr="00CE4D5A">
        <w:t>2</w:t>
      </w:r>
      <w:r w:rsidR="005C6B7B">
        <w:t> </w:t>
      </w:r>
      <w:r w:rsidRPr="00CE4D5A">
        <w:t>mm/yr</w:t>
      </w:r>
      <w:r>
        <w:t xml:space="preserve">, </w:t>
      </w:r>
      <w:r w:rsidRPr="00CE4D5A">
        <w:t xml:space="preserve">preferential pathway </w:t>
      </w:r>
      <w:r>
        <w:t xml:space="preserve">recharge of </w:t>
      </w:r>
      <w:r w:rsidRPr="00CE4D5A">
        <w:t>up to 20</w:t>
      </w:r>
      <w:r w:rsidR="005C6B7B">
        <w:t> </w:t>
      </w:r>
      <w:r w:rsidRPr="00CE4D5A">
        <w:t>mm/yr</w:t>
      </w:r>
      <w:r>
        <w:t>, and recharge from l</w:t>
      </w:r>
      <w:r w:rsidRPr="00CE4D5A">
        <w:t xml:space="preserve">eakage below rivers and creeks </w:t>
      </w:r>
      <w:r>
        <w:t>at 45</w:t>
      </w:r>
      <w:r w:rsidR="00DF6B3A">
        <w:t xml:space="preserve"> to </w:t>
      </w:r>
      <w:r w:rsidRPr="00CE4D5A">
        <w:t>80</w:t>
      </w:r>
      <w:r w:rsidR="005C6B7B">
        <w:t> </w:t>
      </w:r>
      <w:r w:rsidRPr="00CE4D5A">
        <w:t>mm/yr</w:t>
      </w:r>
      <w:r>
        <w:t>. Field investigations of recharge in the Carpentaria Basins have not been undertaken. Recharge on the western margin of the GAB was studied by Love</w:t>
      </w:r>
      <w:r w:rsidR="005C6B7B">
        <w:t> </w:t>
      </w:r>
      <w:r>
        <w:t>et</w:t>
      </w:r>
      <w:r w:rsidR="005C6B7B">
        <w:t> </w:t>
      </w:r>
      <w:r>
        <w:t>al.</w:t>
      </w:r>
      <w:r w:rsidR="005C6B7B">
        <w:t> </w:t>
      </w:r>
      <w:r>
        <w:t>(2000), who used hydrochemistry and isotope studies to estimate a diffuse recharge rate of 0.16</w:t>
      </w:r>
      <w:r w:rsidR="005C6B7B">
        <w:t> </w:t>
      </w:r>
      <w:r>
        <w:t>±</w:t>
      </w:r>
      <w:r w:rsidR="005C6B7B">
        <w:t> </w:t>
      </w:r>
      <w:r>
        <w:t>0.08</w:t>
      </w:r>
      <w:r w:rsidR="005C6B7B">
        <w:t> </w:t>
      </w:r>
      <w:r>
        <w:t xml:space="preserve">mm/yr. </w:t>
      </w:r>
    </w:p>
    <w:p w:rsidR="00DD07AF" w:rsidRDefault="00DD07AF" w:rsidP="008734C3">
      <w:pPr>
        <w:pStyle w:val="BRNormal"/>
      </w:pPr>
      <w:r>
        <w:t xml:space="preserve">The mechanisms, spatial extent and rates of recharge in the western GAB have recently been revised in volume 2 of the report produced by the Allocating Water and Maintaining Springs in the </w:t>
      </w:r>
      <w:r w:rsidR="000C6964">
        <w:t>GAB</w:t>
      </w:r>
      <w:r>
        <w:t xml:space="preserve"> </w:t>
      </w:r>
      <w:r w:rsidRPr="00CE4D5A">
        <w:t xml:space="preserve">project </w:t>
      </w:r>
      <w:r>
        <w:t xml:space="preserve">(AWMS; Wohling et al. 2012). Diffuse recharge was found to be effectively zero along the western margin, with estimates </w:t>
      </w:r>
      <w:r w:rsidRPr="002A3EF2">
        <w:t xml:space="preserve">ranging </w:t>
      </w:r>
      <w:r>
        <w:t>from 0.01 to 1.8</w:t>
      </w:r>
      <w:r w:rsidR="005C6B7B">
        <w:t> </w:t>
      </w:r>
      <w:r>
        <w:t>mm/yr and a mean value of 0.15</w:t>
      </w:r>
      <w:r w:rsidR="005C6B7B">
        <w:t> </w:t>
      </w:r>
      <w:r>
        <w:t>mm/yr. The significance of ephemeral river recharge and mountain block recharge at isolated locations was identified. Ephemeral river recharge, which had been first proposed by Matthews (1997), was estimated at 380-850</w:t>
      </w:r>
      <w:r w:rsidR="005C6B7B">
        <w:t> </w:t>
      </w:r>
      <w:r>
        <w:t>mm/yr for the Finke River and 17-92</w:t>
      </w:r>
      <w:r w:rsidR="005C6B7B">
        <w:t> </w:t>
      </w:r>
      <w:r>
        <w:t>mm/yr for the Plenty River</w:t>
      </w:r>
      <w:r w:rsidR="001E7FB7">
        <w:t xml:space="preserve"> (Wohling et al. 2012)</w:t>
      </w:r>
      <w:r>
        <w:t xml:space="preserve">. </w:t>
      </w:r>
      <w:r w:rsidR="001E7FB7">
        <w:t>These recharge events are however very episodic and associated with major flood events.</w:t>
      </w:r>
      <w:r w:rsidR="007A0E4E">
        <w:t xml:space="preserve"> </w:t>
      </w:r>
      <w:r>
        <w:t>Mountain block recharge in the Peake and Dennison Ranges was estimated to provide a significant component (10</w:t>
      </w:r>
      <w:r w:rsidR="005C6B7B">
        <w:noBreakHyphen/>
      </w:r>
      <w:r>
        <w:t>15</w:t>
      </w:r>
      <w:r w:rsidR="005C6B7B">
        <w:t> per cent</w:t>
      </w:r>
      <w:r>
        <w:t>) of groundwater discharge to nearby springs; however, mountain block recharge was not believed to contribute significantly to the broader flow system.</w:t>
      </w:r>
    </w:p>
    <w:p w:rsidR="008734C3" w:rsidRDefault="00DD07AF" w:rsidP="008734C3">
      <w:pPr>
        <w:pStyle w:val="BRNormal"/>
      </w:pPr>
      <w:r w:rsidRPr="00BD3137">
        <w:t xml:space="preserve">Estimations of recharge using </w:t>
      </w:r>
      <w:r>
        <w:t xml:space="preserve">calibrated </w:t>
      </w:r>
      <w:r w:rsidRPr="00BD3137">
        <w:t>numerical models are limited to that of Welsh</w:t>
      </w:r>
      <w:r w:rsidR="00DF6B3A">
        <w:t> </w:t>
      </w:r>
      <w:r w:rsidRPr="00BD3137">
        <w:t>(2006)</w:t>
      </w:r>
      <w:r>
        <w:t>. A</w:t>
      </w:r>
      <w:r w:rsidRPr="00BD3137">
        <w:t xml:space="preserve"> </w:t>
      </w:r>
      <w:r>
        <w:t xml:space="preserve">single layer groundwater flow model, GABTRAN, was calibrated to observations of hydraulic head, which had been corrected for density effects. Model calibrated resulted in recharge rates of </w:t>
      </w:r>
      <w:r w:rsidRPr="00BD3137">
        <w:t>up to 33</w:t>
      </w:r>
      <w:r w:rsidR="00F020FE">
        <w:t> </w:t>
      </w:r>
      <w:r w:rsidRPr="00BD3137">
        <w:t>mm/yr, with an average of 2.4</w:t>
      </w:r>
      <w:r w:rsidR="00F020FE">
        <w:t> </w:t>
      </w:r>
      <w:r w:rsidRPr="00BD3137">
        <w:t xml:space="preserve">mm/yr. </w:t>
      </w:r>
      <w:r>
        <w:t>Locations of highest rates correlated with the recharge beds of highest elevation in the Great Divid</w:t>
      </w:r>
      <w:r w:rsidR="00F020FE">
        <w:t>ing Range east of Hughenden, Queensland</w:t>
      </w:r>
      <w:r>
        <w:t>. This w</w:t>
      </w:r>
      <w:r w:rsidR="00AE02EF">
        <w:t xml:space="preserve">as consistent with the work of </w:t>
      </w:r>
      <w:r>
        <w:t>DNRM (2005), who identified</w:t>
      </w:r>
      <w:r w:rsidRPr="0056445E">
        <w:t xml:space="preserve"> leakage occurring to GAB aquifers from Porcupine Creek north of Hughenden</w:t>
      </w:r>
      <w:r>
        <w:t xml:space="preserve">, </w:t>
      </w:r>
      <w:r w:rsidRPr="0056445E">
        <w:t xml:space="preserve">though the flux was not quantified. </w:t>
      </w:r>
      <w:r>
        <w:t xml:space="preserve"> </w:t>
      </w:r>
    </w:p>
    <w:p w:rsidR="00DD07AF" w:rsidRDefault="00DD07AF" w:rsidP="005F6513">
      <w:pPr>
        <w:pStyle w:val="Heading3"/>
      </w:pPr>
      <w:bookmarkStart w:id="569" w:name="_Toc381961130"/>
      <w:r>
        <w:t>Groundwater flow</w:t>
      </w:r>
      <w:bookmarkEnd w:id="569"/>
    </w:p>
    <w:p w:rsidR="00DD07AF" w:rsidRDefault="00DD07AF" w:rsidP="008734C3">
      <w:pPr>
        <w:pStyle w:val="BRNormal"/>
      </w:pPr>
      <w:r>
        <w:t xml:space="preserve">Habermehl (1980) characterised groundwater in the Cadna-Owie-Hooray aquifers of the GAB as flowing primarily from the recharge areas of the east-northeast to discharge features </w:t>
      </w:r>
      <w:r>
        <w:lastRenderedPageBreak/>
        <w:t xml:space="preserve">located along the southern margin. In ensuing publications, this interpretation has been further clarified. Radke et al. (2000) used outputs from the GABFLOW model (Welsh 2000) in combination with observed hydrochemical trends to produce a map of groundwater flow directions that is generally consistent with that of Habermehl (1980). Exceptions included northward flow directions in the southwest of the GAB and an apparent groundwater </w:t>
      </w:r>
      <w:r w:rsidR="00224DD1">
        <w:t>divide west of the Eulo-Nebine R</w:t>
      </w:r>
      <w:r>
        <w:t>idge. Recent work by GABWRA (</w:t>
      </w:r>
      <w:r w:rsidR="008734C3">
        <w:t>CSIRO 2012a; CSIRO 2012b; CSIRO 2012</w:t>
      </w:r>
      <w:r w:rsidR="00167E75">
        <w:t>c</w:t>
      </w:r>
      <w:r>
        <w:t xml:space="preserve">) has identified the importance of (a) impermeable faults and (b) correcting measured hydraulic heads to account for density effects when interpolating potentiometric surfaces. For the central part of the Eromanga Basin, faults that are believed to act as barriers to flow were identified according to the magnitude of vertical displacement around the fault. The potentiometric surface developed from hydraulic head observations is shown in Figure </w:t>
      </w:r>
      <w:r w:rsidR="00D26D09">
        <w:t>16</w:t>
      </w:r>
      <w:r>
        <w:t xml:space="preserve"> for the pre-development per</w:t>
      </w:r>
      <w:r w:rsidR="00224DD1">
        <w:t xml:space="preserve">iod of 1900 to </w:t>
      </w:r>
      <w:r>
        <w:t>1920, including the influence of impermeable faults.</w:t>
      </w:r>
    </w:p>
    <w:p w:rsidR="00DD07AF" w:rsidRDefault="00DD07AF" w:rsidP="001C3374">
      <w:pPr>
        <w:pStyle w:val="Body"/>
      </w:pPr>
      <w:r>
        <w:rPr>
          <w:noProof/>
          <w:lang w:val="en-AU" w:eastAsia="en-AU"/>
        </w:rPr>
        <w:drawing>
          <wp:inline distT="0" distB="0" distL="0" distR="0">
            <wp:extent cx="5613990" cy="5613990"/>
            <wp:effectExtent l="19050" t="19050" r="6350" b="6350"/>
            <wp:docPr id="95" name="Picture 20" descr="Faulted_pot_surf_all_GAB_v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ulted_pot_surf_all_GAB_v2.png"/>
                    <pic:cNvPicPr/>
                  </pic:nvPicPr>
                  <pic:blipFill>
                    <a:blip r:embed="rId42" cstate="email"/>
                    <a:stretch>
                      <a:fillRect/>
                    </a:stretch>
                  </pic:blipFill>
                  <pic:spPr>
                    <a:xfrm>
                      <a:off x="0" y="0"/>
                      <a:ext cx="5621590" cy="5621590"/>
                    </a:xfrm>
                    <a:prstGeom prst="rect">
                      <a:avLst/>
                    </a:prstGeom>
                    <a:ln w="3175">
                      <a:solidFill>
                        <a:schemeClr val="tx1"/>
                      </a:solidFill>
                    </a:ln>
                  </pic:spPr>
                </pic:pic>
              </a:graphicData>
            </a:graphic>
          </wp:inline>
        </w:drawing>
      </w:r>
    </w:p>
    <w:p w:rsidR="00DD07AF" w:rsidRPr="00E41712" w:rsidRDefault="000B0EC4" w:rsidP="008734C3">
      <w:pPr>
        <w:pStyle w:val="Caption"/>
      </w:pPr>
      <w:r w:rsidRPr="00EA5A48">
        <w:t xml:space="preserve">Figure </w:t>
      </w:r>
      <w:r w:rsidR="00E23933" w:rsidRPr="00EA5A48">
        <w:rPr>
          <w:b/>
        </w:rPr>
        <w:fldChar w:fldCharType="begin"/>
      </w:r>
      <w:r w:rsidRPr="00EA5A48">
        <w:instrText xml:space="preserve"> SEQ Figure \* ARABIC </w:instrText>
      </w:r>
      <w:r w:rsidR="00E23933" w:rsidRPr="00EA5A48">
        <w:rPr>
          <w:b/>
        </w:rPr>
        <w:fldChar w:fldCharType="separate"/>
      </w:r>
      <w:r>
        <w:t>16</w:t>
      </w:r>
      <w:r w:rsidR="00E23933" w:rsidRPr="00EA5A48">
        <w:rPr>
          <w:b/>
        </w:rPr>
        <w:fldChar w:fldCharType="end"/>
      </w:r>
      <w:r>
        <w:rPr>
          <w:b/>
        </w:rPr>
        <w:t xml:space="preserve"> </w:t>
      </w:r>
      <w:r w:rsidR="00DD07AF">
        <w:t>Interpolate</w:t>
      </w:r>
      <w:r w:rsidR="00566235">
        <w:t>d potentiometric surface -</w:t>
      </w:r>
      <w:r w:rsidR="00DD07AF" w:rsidRPr="00E41712">
        <w:t xml:space="preserve"> </w:t>
      </w:r>
      <w:r w:rsidR="00DD07AF">
        <w:t>Great Artesian Basin</w:t>
      </w:r>
      <w:r w:rsidR="00C935CB">
        <w:t>,</w:t>
      </w:r>
      <w:r w:rsidR="00DD07AF" w:rsidRPr="00E41712">
        <w:t xml:space="preserve"> 1900</w:t>
      </w:r>
      <w:r w:rsidR="00224DD1">
        <w:t xml:space="preserve"> to </w:t>
      </w:r>
      <w:r w:rsidR="00DD07AF" w:rsidRPr="00E41712">
        <w:t>1920</w:t>
      </w:r>
      <w:r w:rsidR="00C935CB">
        <w:t>;</w:t>
      </w:r>
      <w:r w:rsidR="00DD07AF" w:rsidRPr="00E41712">
        <w:t xml:space="preserve"> including the effects of </w:t>
      </w:r>
      <w:r>
        <w:t>impermeable faults (</w:t>
      </w:r>
      <w:r w:rsidR="00F976E1">
        <w:t>©</w:t>
      </w:r>
      <w:r w:rsidR="00224DD1">
        <w:t xml:space="preserve"> Copyright, </w:t>
      </w:r>
      <w:r>
        <w:t>CSIRO 2012a; CSIRO 2012</w:t>
      </w:r>
      <w:r w:rsidR="00DD07AF" w:rsidRPr="00E41712">
        <w:t>b</w:t>
      </w:r>
      <w:r>
        <w:t>; CSIRO 2012</w:t>
      </w:r>
      <w:r w:rsidR="00167E75">
        <w:t>c</w:t>
      </w:r>
      <w:r w:rsidR="00DD07AF" w:rsidRPr="00E41712">
        <w:t>)</w:t>
      </w:r>
      <w:r>
        <w:t>.</w:t>
      </w:r>
    </w:p>
    <w:p w:rsidR="00DF6B3A" w:rsidRDefault="00DF6B3A" w:rsidP="00DF6B3A">
      <w:pPr>
        <w:pStyle w:val="BRNormal"/>
      </w:pPr>
      <w:r w:rsidRPr="001F3EC5">
        <w:lastRenderedPageBreak/>
        <w:t xml:space="preserve">Past characterisations (e.g. Habermehl 1980) </w:t>
      </w:r>
      <w:r>
        <w:t xml:space="preserve">of the Cadna-Owie-Hooray aquifers </w:t>
      </w:r>
      <w:r w:rsidRPr="001F3EC5">
        <w:t xml:space="preserve">have assumed </w:t>
      </w:r>
      <w:r>
        <w:t xml:space="preserve">a </w:t>
      </w:r>
      <w:r w:rsidRPr="001F3EC5">
        <w:t xml:space="preserve">steady-state </w:t>
      </w:r>
      <w:r>
        <w:t>flow system, in which</w:t>
      </w:r>
      <w:r w:rsidRPr="001F3EC5">
        <w:t xml:space="preserve"> recharge inputs are equal to discharge outputs. Wohling et al. (2012) demonstrated that a groundwater system as large as the GAB is more likely to feature transient flow conditions, in which modern day discharge rates exceed current recharge rates and greatly exceed estimates of historical recharge.</w:t>
      </w:r>
    </w:p>
    <w:p w:rsidR="00DF6B3A" w:rsidRDefault="00DF6B3A" w:rsidP="00DF6B3A">
      <w:pPr>
        <w:pStyle w:val="BRNormal"/>
      </w:pPr>
      <w:r w:rsidRPr="00BC246C">
        <w:t xml:space="preserve">From analyses of discharge spring hydrochemistry </w:t>
      </w:r>
      <w:r>
        <w:t xml:space="preserve">in the western </w:t>
      </w:r>
      <w:r w:rsidRPr="00BC246C">
        <w:t>GAB, Crossey et al. (2012) concluded that faults play a significant role in the mixing of western GAB groundwaters. Hydrochemical modelling predicted that groundwater flow across major faults in the GAB is characterised by abrupt - rather than continuous - changes in chemistry. The authors also suggest</w:t>
      </w:r>
      <w:r>
        <w:t>ed</w:t>
      </w:r>
      <w:r w:rsidRPr="00BC246C">
        <w:t xml:space="preserve"> that groundwater flow in the GAB should be conceptualised as a number of discrete flow systems defined by major faults, rather than as a simple continuous flow system.</w:t>
      </w:r>
    </w:p>
    <w:p w:rsidR="00DD07AF" w:rsidRDefault="00DD07AF" w:rsidP="005F6513">
      <w:pPr>
        <w:pStyle w:val="Heading3"/>
      </w:pPr>
      <w:bookmarkStart w:id="570" w:name="_Toc381961131"/>
      <w:r>
        <w:t>Groundwater discharge</w:t>
      </w:r>
      <w:bookmarkEnd w:id="570"/>
    </w:p>
    <w:p w:rsidR="00DD07AF" w:rsidRDefault="00DD07AF" w:rsidP="000B0EC4">
      <w:pPr>
        <w:pStyle w:val="BRNormal"/>
      </w:pPr>
      <w:r>
        <w:t>The discharge of artesian groundwater may occur as diffuse discharge through confining layers or as preferential flow via features such as faults and fractures. Although rates of diffuse discharge may be relatively low (i.e. in the order of millimetres per year), the process may occur over a considerable spatial extent; therefore</w:t>
      </w:r>
      <w:r w:rsidR="00224DD1">
        <w:t>,</w:t>
      </w:r>
      <w:r>
        <w:t xml:space="preserve"> the total volumetric discharge may be significant. A field-based study by Woods (1990) estimated diffuse groundwater discharge from the Cadna-Owie-Hooray aquifers in the west of the Eromanga Basin at 0.5 to 4.5</w:t>
      </w:r>
      <w:r w:rsidR="00224DD1">
        <w:t> </w:t>
      </w:r>
      <w:r>
        <w:t>mm/yr. A more recent field study by Costelloe et al. (2008) estimated rates of approximately 35 to 80</w:t>
      </w:r>
      <w:r w:rsidR="00224DD1">
        <w:t> </w:t>
      </w:r>
      <w:r>
        <w:t>mm/yr where salt crusting had formed at the ground surface and rates of less than 1</w:t>
      </w:r>
      <w:r w:rsidR="00224DD1">
        <w:t> </w:t>
      </w:r>
      <w:r>
        <w:t xml:space="preserve">mm/yr where salt crusting was absent. Through </w:t>
      </w:r>
      <w:r w:rsidRPr="00A42622">
        <w:t>calibration of the GABTRAN groundwater flow model</w:t>
      </w:r>
      <w:r>
        <w:t>,</w:t>
      </w:r>
      <w:r w:rsidRPr="00A42622">
        <w:t xml:space="preserve"> </w:t>
      </w:r>
      <w:r>
        <w:t>Welsh (2006) estimated rates of diffuse discharge in the west of the Eromanga Basin at 0.4 to 0.9 mm/yr. Most recently, contributors to the AWMS project (Harrington et al. 2012; Wolaver 2012) have identified the importance of preferential flow mechanisms to groundwater discharge and to flow dynamics in the Cadna-Owie-Hooray aquifers of the west of the Eromanga Basin.</w:t>
      </w:r>
    </w:p>
    <w:p w:rsidR="00DD07AF" w:rsidRDefault="00DD07AF" w:rsidP="000B0EC4">
      <w:pPr>
        <w:pStyle w:val="BRNormal"/>
      </w:pPr>
      <w:r>
        <w:t xml:space="preserve">Harrington et al. (2012) used a combination of physical and environmental tracer techniques to quantify diffuse discharge from the </w:t>
      </w:r>
      <w:r w:rsidRPr="009D190F">
        <w:t xml:space="preserve">Cadna-Owie-Hooray aquifers in the </w:t>
      </w:r>
      <w:r>
        <w:t>w</w:t>
      </w:r>
      <w:r w:rsidRPr="009D190F">
        <w:t>est</w:t>
      </w:r>
      <w:r>
        <w:t xml:space="preserve"> of the </w:t>
      </w:r>
      <w:r w:rsidRPr="009D190F">
        <w:t>Eromanga Basin</w:t>
      </w:r>
      <w:r>
        <w:t>. The authors estimated the vertical hydraulic conductivity of diffuse flow though confining shale aquitards at 4.0</w:t>
      </w:r>
      <w:r w:rsidR="00C3694D">
        <w:t>x10</w:t>
      </w:r>
      <w:r w:rsidR="00C3694D" w:rsidRPr="00C3694D">
        <w:rPr>
          <w:vertAlign w:val="superscript"/>
        </w:rPr>
        <w:t>-14</w:t>
      </w:r>
      <w:r>
        <w:t xml:space="preserve"> to 1.2</w:t>
      </w:r>
      <w:r w:rsidR="00C3694D">
        <w:t>x10</w:t>
      </w:r>
      <w:r w:rsidR="00C3694D" w:rsidRPr="00C3694D">
        <w:rPr>
          <w:vertAlign w:val="superscript"/>
        </w:rPr>
        <w:t>-13</w:t>
      </w:r>
      <w:r>
        <w:t xml:space="preserve"> m/s, which is equivalent to a discharge flux of 3</w:t>
      </w:r>
      <w:r w:rsidR="00C3694D">
        <w:t>x10</w:t>
      </w:r>
      <w:r w:rsidR="00C3694D" w:rsidRPr="00C3694D">
        <w:rPr>
          <w:vertAlign w:val="superscript"/>
        </w:rPr>
        <w:t>-4</w:t>
      </w:r>
      <w:r>
        <w:t xml:space="preserve"> mm/yr. Conversely, the </w:t>
      </w:r>
      <w:r w:rsidRPr="00754EB8">
        <w:t xml:space="preserve">vertical hydraulic conductivity </w:t>
      </w:r>
      <w:r>
        <w:t xml:space="preserve">of fractures and faults in the confining layers was estimated to be orders of magnitude higher: at least </w:t>
      </w:r>
      <w:r w:rsidR="00C3694D">
        <w:t>10</w:t>
      </w:r>
      <w:r w:rsidR="00224DD1">
        <w:noBreakHyphen/>
      </w:r>
      <w:r w:rsidR="00C3694D" w:rsidRPr="00C3694D">
        <w:rPr>
          <w:vertAlign w:val="superscript"/>
        </w:rPr>
        <w:t>9</w:t>
      </w:r>
      <w:r>
        <w:t xml:space="preserve"> to </w:t>
      </w:r>
      <w:r w:rsidR="00C3694D">
        <w:t>10</w:t>
      </w:r>
      <w:r w:rsidR="00C3694D" w:rsidRPr="00C3694D">
        <w:rPr>
          <w:vertAlign w:val="superscript"/>
        </w:rPr>
        <w:t>-8</w:t>
      </w:r>
      <w:r w:rsidR="00224DD1">
        <w:rPr>
          <w:vertAlign w:val="superscript"/>
        </w:rPr>
        <w:t> </w:t>
      </w:r>
      <w:r>
        <w:t>m/s.</w:t>
      </w:r>
    </w:p>
    <w:p w:rsidR="00DD07AF" w:rsidRPr="00BE219D" w:rsidRDefault="00DD07AF" w:rsidP="000B0EC4">
      <w:pPr>
        <w:pStyle w:val="BRNormal"/>
      </w:pPr>
      <w:r>
        <w:t xml:space="preserve">In a study of the Dalhousie Springs complex in South Australia, Wolaver (2012) confirmed that discharge to the springs occurs via a major regional fault, as </w:t>
      </w:r>
      <w:r w:rsidR="000B0EC4">
        <w:t>first proposed by Krieg (1989).</w:t>
      </w:r>
      <w:r>
        <w:t xml:space="preserve"> In this region, the Cadna-Owie-Hooray aquifer system is confined by the overlying Bu</w:t>
      </w:r>
      <w:r w:rsidR="00224DD1">
        <w:t>lldog Shale. The author suggested</w:t>
      </w:r>
      <w:r>
        <w:t xml:space="preserve"> that, in addition to erosion of the Bulldog Shale in the vicinity of the springs due to tectonic uplift, groundwater discharge occurs via </w:t>
      </w:r>
      <w:r w:rsidRPr="00653DD7">
        <w:t xml:space="preserve">fractures </w:t>
      </w:r>
      <w:r>
        <w:t xml:space="preserve">associated with </w:t>
      </w:r>
      <w:r w:rsidRPr="00653DD7">
        <w:t>faults</w:t>
      </w:r>
      <w:r>
        <w:t xml:space="preserve"> in the McHills-Dalhousie Ridge anticline that underlies the springs.</w:t>
      </w:r>
    </w:p>
    <w:p w:rsidR="00DD07AF" w:rsidRDefault="00DD07AF" w:rsidP="005F6513">
      <w:pPr>
        <w:pStyle w:val="Heading2"/>
      </w:pPr>
      <w:bookmarkStart w:id="571" w:name="_Toc381961132"/>
      <w:bookmarkStart w:id="572" w:name="_Toc389055237"/>
      <w:r>
        <w:t>Hydrochemistry and isotopes</w:t>
      </w:r>
      <w:bookmarkEnd w:id="571"/>
      <w:bookmarkEnd w:id="572"/>
    </w:p>
    <w:p w:rsidR="00DD07AF" w:rsidRDefault="00DD07AF" w:rsidP="000B0EC4">
      <w:pPr>
        <w:pStyle w:val="BRNormal"/>
      </w:pPr>
      <w:r>
        <w:t xml:space="preserve">The majority of hydrogeological knowledge relating to the GAB has come from the development of </w:t>
      </w:r>
      <w:r w:rsidRPr="00874660">
        <w:t>potable groundwater</w:t>
      </w:r>
      <w:r>
        <w:t xml:space="preserve"> supplies. Therefore</w:t>
      </w:r>
      <w:r w:rsidR="00224DD1">
        <w:t>,</w:t>
      </w:r>
      <w:r>
        <w:t xml:space="preserve"> the availability of hydr</w:t>
      </w:r>
      <w:r w:rsidRPr="00874660">
        <w:t>ochemical information relating to the hydrogeological units of the GAB is inherently biased toward productive freshwater-bearing units. Conversely, the hydrochemistry of confining aquitard layers is relatively poorly characterised.</w:t>
      </w:r>
      <w:r>
        <w:t xml:space="preserve"> </w:t>
      </w:r>
    </w:p>
    <w:p w:rsidR="00DD07AF" w:rsidRDefault="00DD07AF" w:rsidP="005F6513">
      <w:pPr>
        <w:pStyle w:val="Heading3"/>
      </w:pPr>
      <w:bookmarkStart w:id="573" w:name="_Toc381961133"/>
      <w:r>
        <w:lastRenderedPageBreak/>
        <w:t>Hydrochemical studies</w:t>
      </w:r>
      <w:bookmarkEnd w:id="573"/>
    </w:p>
    <w:p w:rsidR="00DD07AF" w:rsidRDefault="00DD07AF" w:rsidP="000B0EC4">
      <w:pPr>
        <w:pStyle w:val="BRNormal"/>
      </w:pPr>
      <w:r>
        <w:t>GABWRA (</w:t>
      </w:r>
      <w:r w:rsidR="000B0EC4">
        <w:t>CSIRO 2012a; CSIRO 2012</w:t>
      </w:r>
      <w:r w:rsidR="000B0EC4" w:rsidRPr="00E41712">
        <w:t>b</w:t>
      </w:r>
      <w:r w:rsidR="000B0EC4">
        <w:t>; CSIRO 2012c</w:t>
      </w:r>
      <w:r>
        <w:t>) summarised key works such as Herczeg et al. (1991) and Radke et al. (2000) to provide an up-to-date synopsis of the hydrochemistry (including isotopic studies) of the Lower Cretaceous-Jurassic aquifers of the GAB. Groundwater of the Lower Cretaceous-Jurassic aquifers typically features salinities of 500</w:t>
      </w:r>
      <w:r w:rsidR="00224DD1">
        <w:t> </w:t>
      </w:r>
      <w:r>
        <w:t>to</w:t>
      </w:r>
      <w:r w:rsidR="00224DD1">
        <w:t> </w:t>
      </w:r>
      <w:r>
        <w:t>1500</w:t>
      </w:r>
      <w:r w:rsidR="00224DD1">
        <w:t> </w:t>
      </w:r>
      <w:r>
        <w:t xml:space="preserve">mg/L </w:t>
      </w:r>
      <w:r w:rsidRPr="00544575">
        <w:t xml:space="preserve">total dissolved solids </w:t>
      </w:r>
      <w:r>
        <w:t>and pH values of 7.5 to 8.5. Groundwater chemistry is typically of sodium-bicarbonate-chloride type, with these ions rep</w:t>
      </w:r>
      <w:r w:rsidR="00CF78C5">
        <w:t>resenting more than 90</w:t>
      </w:r>
      <w:r w:rsidR="00224DD1">
        <w:t> </w:t>
      </w:r>
      <w:r w:rsidR="00CF78C5">
        <w:t>per cent</w:t>
      </w:r>
      <w:r>
        <w:t xml:space="preserve"> of the total ionic strength in most regions of the GAB. In contrast, groundwater in the southwest of the central part of the Eromanga Basin is of sodium-chloride-sulfate type, with sodium </w:t>
      </w:r>
      <w:r w:rsidRPr="00AC4736">
        <w:t>adsorption ra</w:t>
      </w:r>
      <w:r>
        <w:t>tios and pH levels both decreasing</w:t>
      </w:r>
      <w:r w:rsidRPr="00AC4736">
        <w:t xml:space="preserve"> with proximity to the discharge region</w:t>
      </w:r>
      <w:r>
        <w:t>s</w:t>
      </w:r>
      <w:r w:rsidRPr="00AC4736">
        <w:t xml:space="preserve"> </w:t>
      </w:r>
      <w:r>
        <w:t>o</w:t>
      </w:r>
      <w:r w:rsidRPr="00AC4736">
        <w:t>n the west</w:t>
      </w:r>
      <w:r>
        <w:t xml:space="preserve">ern margin. </w:t>
      </w:r>
      <w:r w:rsidRPr="0058618C">
        <w:t xml:space="preserve">Concentrations of calcium, magnesium and </w:t>
      </w:r>
      <w:r>
        <w:t>sulfate</w:t>
      </w:r>
      <w:r w:rsidRPr="0058618C">
        <w:t xml:space="preserve"> ions typically decrease </w:t>
      </w:r>
      <w:r>
        <w:t>downgradient of recharge areas</w:t>
      </w:r>
      <w:r w:rsidRPr="0058618C">
        <w:t xml:space="preserve">. Conversely, concentrations of </w:t>
      </w:r>
      <w:r>
        <w:t xml:space="preserve">bicarbonate </w:t>
      </w:r>
      <w:r w:rsidRPr="0058618C">
        <w:t xml:space="preserve">and </w:t>
      </w:r>
      <w:r>
        <w:t xml:space="preserve">sodium </w:t>
      </w:r>
      <w:r w:rsidRPr="0058618C">
        <w:t>increase along flow</w:t>
      </w:r>
      <w:r>
        <w:t>path</w:t>
      </w:r>
      <w:r w:rsidRPr="0058618C">
        <w:t>s, resulting in elevated alkalinities and sodium adso</w:t>
      </w:r>
      <w:r>
        <w:t>rp</w:t>
      </w:r>
      <w:r w:rsidRPr="0058618C">
        <w:t>tion ratios</w:t>
      </w:r>
      <w:r w:rsidR="00224DD1">
        <w:t>,</w:t>
      </w:r>
      <w:r w:rsidRPr="0058618C">
        <w:t xml:space="preserve"> respectively. </w:t>
      </w:r>
      <w:r>
        <w:t xml:space="preserve">A number of mechanisms for hydrochemical alteration along flowpaths have been posited. These include changes in the rates and hydrochemical composition of recharge over time; groundwater interactions with aquifer materials, </w:t>
      </w:r>
      <w:r w:rsidRPr="00A821C7">
        <w:rPr>
          <w:color w:val="auto"/>
        </w:rPr>
        <w:t>such as cation exchange of calcium and magnesium ions for sodium ions; and mixing</w:t>
      </w:r>
      <w:r>
        <w:t xml:space="preserve"> with deeper groundwater and/or aquitard leakage of higher salinities. High f</w:t>
      </w:r>
      <w:r w:rsidRPr="0058618C">
        <w:t>luoride concentrations</w:t>
      </w:r>
      <w:r>
        <w:t xml:space="preserve"> of </w:t>
      </w:r>
      <w:r w:rsidRPr="0058618C">
        <w:t>up to 10</w:t>
      </w:r>
      <w:r w:rsidR="00224DD1">
        <w:t> </w:t>
      </w:r>
      <w:r w:rsidRPr="0058618C">
        <w:t>mg/L</w:t>
      </w:r>
      <w:r>
        <w:t xml:space="preserve"> have been observed </w:t>
      </w:r>
      <w:r w:rsidRPr="0058618C">
        <w:t>in many parts of the GAB and have been attributed to water-rock interactions involving igneous basement strata.</w:t>
      </w:r>
      <w:r>
        <w:t xml:space="preserve"> </w:t>
      </w:r>
    </w:p>
    <w:p w:rsidR="00DD07AF" w:rsidRDefault="00DD07AF" w:rsidP="005F6513">
      <w:pPr>
        <w:pStyle w:val="Heading3"/>
      </w:pPr>
      <w:bookmarkStart w:id="574" w:name="_Toc381961134"/>
      <w:r>
        <w:t>Isotopic studies</w:t>
      </w:r>
      <w:bookmarkEnd w:id="574"/>
    </w:p>
    <w:p w:rsidR="00DD07AF" w:rsidRPr="00467B4B" w:rsidRDefault="00DD07AF" w:rsidP="000B0EC4">
      <w:pPr>
        <w:pStyle w:val="BRNormal"/>
        <w:rPr>
          <w:color w:val="auto"/>
        </w:rPr>
      </w:pPr>
      <w:r>
        <w:t>Over the last 40 years, numerous studies using s</w:t>
      </w:r>
      <w:r w:rsidRPr="00AF5055">
        <w:t xml:space="preserve">table and radioactive isotopes have been </w:t>
      </w:r>
      <w:r>
        <w:t xml:space="preserve">undertaken in order to identify the </w:t>
      </w:r>
      <w:r w:rsidRPr="00AF5055">
        <w:t>origin</w:t>
      </w:r>
      <w:r>
        <w:t xml:space="preserve">s, </w:t>
      </w:r>
      <w:r w:rsidRPr="00AF5055">
        <w:t>ages and dynamics</w:t>
      </w:r>
      <w:r>
        <w:t xml:space="preserve"> of</w:t>
      </w:r>
      <w:r w:rsidRPr="00AF5055">
        <w:t xml:space="preserve"> groundwater </w:t>
      </w:r>
      <w:r>
        <w:t xml:space="preserve">in the Lower Cretaceous-Jurassic GAB aquifers. A broad </w:t>
      </w:r>
      <w:r w:rsidRPr="005B06FF">
        <w:t xml:space="preserve">range of isotope tracers </w:t>
      </w:r>
      <w:r>
        <w:t xml:space="preserve">have been used to measure increasing groundwater ages downgradient of recharge beds (e.g. </w:t>
      </w:r>
      <w:r w:rsidR="000B0EC4">
        <w:t>Mahara</w:t>
      </w:r>
      <w:r w:rsidR="00224DD1">
        <w:t> </w:t>
      </w:r>
      <w:r w:rsidR="000B0EC4">
        <w:t>et</w:t>
      </w:r>
      <w:r w:rsidR="00224DD1">
        <w:t> </w:t>
      </w:r>
      <w:r w:rsidR="000B0EC4">
        <w:t>al.</w:t>
      </w:r>
      <w:r w:rsidR="00224DD1">
        <w:t> </w:t>
      </w:r>
      <w:r w:rsidR="000B0EC4" w:rsidRPr="00AF5055">
        <w:t>2009</w:t>
      </w:r>
      <w:r w:rsidR="000B0EC4">
        <w:t xml:space="preserve">; Love et al. 2000; </w:t>
      </w:r>
      <w:r w:rsidR="00224DD1">
        <w:t>Radke et al.</w:t>
      </w:r>
      <w:r w:rsidR="000B0EC4" w:rsidRPr="00AF5055">
        <w:t xml:space="preserve"> 2000</w:t>
      </w:r>
      <w:r w:rsidR="000B0EC4">
        <w:t>; Bethke et al. 1999; Herczeg</w:t>
      </w:r>
      <w:r w:rsidR="00224DD1">
        <w:t> </w:t>
      </w:r>
      <w:r w:rsidR="000B0EC4">
        <w:t>et</w:t>
      </w:r>
      <w:r w:rsidR="00224DD1">
        <w:t> </w:t>
      </w:r>
      <w:r w:rsidR="000B0EC4">
        <w:t>al.</w:t>
      </w:r>
      <w:r w:rsidR="00224DD1">
        <w:t> </w:t>
      </w:r>
      <w:r w:rsidR="000B0EC4">
        <w:t xml:space="preserve">1991; </w:t>
      </w:r>
      <w:r w:rsidR="000B0EC4" w:rsidRPr="00AF5055">
        <w:t>T</w:t>
      </w:r>
      <w:r w:rsidR="000B0EC4">
        <w:t>orgersen et al.</w:t>
      </w:r>
      <w:r w:rsidR="000B0EC4" w:rsidRPr="00AF5055">
        <w:t xml:space="preserve"> 1991</w:t>
      </w:r>
      <w:r w:rsidR="000B0EC4">
        <w:t xml:space="preserve">; Bentley et al. 1986; Calf &amp; Habermehl 1984; </w:t>
      </w:r>
      <w:r>
        <w:t>Airey et al. 1983</w:t>
      </w:r>
      <w:r w:rsidRPr="00AF5055">
        <w:t>). The results</w:t>
      </w:r>
      <w:r>
        <w:t xml:space="preserve"> of such studies</w:t>
      </w:r>
      <w:r w:rsidRPr="00AF5055">
        <w:t xml:space="preserve"> </w:t>
      </w:r>
      <w:r>
        <w:t xml:space="preserve">have enabled </w:t>
      </w:r>
      <w:r w:rsidRPr="00AF5055">
        <w:t xml:space="preserve">the </w:t>
      </w:r>
      <w:r>
        <w:t xml:space="preserve">estimation </w:t>
      </w:r>
      <w:r w:rsidRPr="00AF5055">
        <w:t xml:space="preserve">of </w:t>
      </w:r>
      <w:r>
        <w:t xml:space="preserve">groundwater </w:t>
      </w:r>
      <w:r w:rsidRPr="00AF5055">
        <w:t>travel times</w:t>
      </w:r>
      <w:r>
        <w:t xml:space="preserve"> and groundwater flow rates. These may subsequently be compared </w:t>
      </w:r>
      <w:r w:rsidRPr="00AF5055">
        <w:t xml:space="preserve">with travel times </w:t>
      </w:r>
      <w:r>
        <w:t xml:space="preserve">calculated independently </w:t>
      </w:r>
      <w:r w:rsidRPr="00AF5055">
        <w:t xml:space="preserve">from hydrogeological characteristics </w:t>
      </w:r>
      <w:r>
        <w:t xml:space="preserve">or by </w:t>
      </w:r>
      <w:r w:rsidRPr="00AF5055">
        <w:t xml:space="preserve">numerical groundwater </w:t>
      </w:r>
      <w:r>
        <w:t>models</w:t>
      </w:r>
      <w:r w:rsidRPr="00AF5055">
        <w:t>.</w:t>
      </w:r>
      <w:r w:rsidR="00224DD1">
        <w:t xml:space="preserve"> Large-</w:t>
      </w:r>
      <w:r>
        <w:t>scale studies of stable isotope ratios for deuterium and oxygen</w:t>
      </w:r>
      <w:r w:rsidR="00224DD1">
        <w:noBreakHyphen/>
      </w:r>
      <w:r>
        <w:t>18 indicate that artesian GAB groundwater is meteoric (rather than connate or magmatic) in origin and have confirmed the role of aquifer subcrop and outcrop locations as recharge zones (</w:t>
      </w:r>
      <w:r w:rsidRPr="00CD4354">
        <w:t>Airey et al. 19</w:t>
      </w:r>
      <w:r>
        <w:t xml:space="preserve">79). Other isotope concentrations and fractions that confirm the existence of modern recharge areas have been observed in studies using carbon radioisotopes (Airey et al. 1983; Calf </w:t>
      </w:r>
      <w:r w:rsidR="00CA2E73">
        <w:t>&amp;</w:t>
      </w:r>
      <w:r>
        <w:t xml:space="preserve"> Habermehl 1984). Based upon spatial distributions of chloride, alkalinity, calcium, and delta-carbon-13, carbon-14, and chlorine-36, </w:t>
      </w:r>
      <w:r w:rsidRPr="0011586D">
        <w:t>Radke</w:t>
      </w:r>
      <w:r w:rsidR="00224DD1">
        <w:t> </w:t>
      </w:r>
      <w:r w:rsidRPr="0011586D">
        <w:t>et</w:t>
      </w:r>
      <w:r w:rsidR="00224DD1">
        <w:t> </w:t>
      </w:r>
      <w:r w:rsidRPr="0011586D">
        <w:t>al.</w:t>
      </w:r>
      <w:r w:rsidR="00224DD1">
        <w:t> </w:t>
      </w:r>
      <w:r w:rsidRPr="0011586D">
        <w:t xml:space="preserve">(2000) </w:t>
      </w:r>
      <w:r>
        <w:t xml:space="preserve">hypothesised the existence of a bimodal flow system, in which older groundwater moves one order of magnitude more slowly in deeper regions of the GAB than the younger water of an overlying flow system. Relatively unradiogenic </w:t>
      </w:r>
      <w:r w:rsidRPr="005B06FF">
        <w:t>strontium-87/86</w:t>
      </w:r>
      <w:r>
        <w:rPr>
          <w:vertAlign w:val="superscript"/>
        </w:rPr>
        <w:t xml:space="preserve"> </w:t>
      </w:r>
      <w:r w:rsidRPr="00AF5055">
        <w:t xml:space="preserve">ratios </w:t>
      </w:r>
      <w:r>
        <w:t xml:space="preserve">have also been observed; these have been interpreted as being a result of water-rock interaction involving </w:t>
      </w:r>
      <w:r w:rsidRPr="00AF5055">
        <w:t xml:space="preserve">igneous </w:t>
      </w:r>
      <w:r>
        <w:t xml:space="preserve">basement </w:t>
      </w:r>
      <w:r w:rsidRPr="00AF5055">
        <w:t>rocks (Collerson et al. 1988).</w:t>
      </w:r>
      <w:r>
        <w:t xml:space="preserve"> </w:t>
      </w:r>
    </w:p>
    <w:p w:rsidR="00DD07AF" w:rsidRDefault="00DD07AF" w:rsidP="005F6513">
      <w:pPr>
        <w:pStyle w:val="Heading2"/>
      </w:pPr>
      <w:bookmarkStart w:id="575" w:name="_Toc381961135"/>
      <w:bookmarkStart w:id="576" w:name="_Toc389055238"/>
      <w:r>
        <w:t>Groundwater modelling</w:t>
      </w:r>
      <w:bookmarkEnd w:id="575"/>
      <w:bookmarkEnd w:id="576"/>
    </w:p>
    <w:p w:rsidR="00DD07AF" w:rsidRDefault="00DD07AF" w:rsidP="00CA2E73">
      <w:pPr>
        <w:pStyle w:val="BRNormal"/>
      </w:pPr>
      <w:r>
        <w:t>Modelling of the entire GAB groundwater flow system began with models by Ungemach</w:t>
      </w:r>
      <w:r w:rsidR="00224DD1">
        <w:t> </w:t>
      </w:r>
      <w:r w:rsidR="007A62B9">
        <w:t xml:space="preserve">(1975; </w:t>
      </w:r>
      <w:r>
        <w:t>GABSIM) and Seidel (</w:t>
      </w:r>
      <w:r w:rsidR="007A62B9">
        <w:t xml:space="preserve">1978; </w:t>
      </w:r>
      <w:r>
        <w:t>GABHYD), followed many years later by Welsh (</w:t>
      </w:r>
      <w:r w:rsidR="007A62B9">
        <w:t xml:space="preserve">2000; </w:t>
      </w:r>
      <w:r>
        <w:t>GABFLOW</w:t>
      </w:r>
      <w:r w:rsidR="007A62B9">
        <w:t>), Welsh (2006;</w:t>
      </w:r>
      <w:r>
        <w:t xml:space="preserve"> GABTRAN). These models represented only the Lower Cretaceous-Jurassic sandstone aquifers using a single layer discretisation. Modelling of subsections of the GAB began with models of the Olympic Dam borefield (</w:t>
      </w:r>
      <w:r w:rsidR="00CA2E73">
        <w:t>e.g. GAB95 (Berry &amp; Armstrong 1995) and GABROX (</w:t>
      </w:r>
      <w:r w:rsidRPr="001554CE">
        <w:t>AGC</w:t>
      </w:r>
      <w:r>
        <w:t xml:space="preserve"> 1984</w:t>
      </w:r>
      <w:r w:rsidR="00CA2E73">
        <w:t>)</w:t>
      </w:r>
      <w:r>
        <w:t xml:space="preserve">) and of the dewatering impacts of the </w:t>
      </w:r>
      <w:r>
        <w:lastRenderedPageBreak/>
        <w:t>Ernest Henry mine (</w:t>
      </w:r>
      <w:r w:rsidR="00CA2E73">
        <w:t xml:space="preserve">AGC - Woodward Clyde 1995; </w:t>
      </w:r>
      <w:r>
        <w:t>RUST PPK 1995). More recently, local- to regional-scale models have been developed for mining projects such as</w:t>
      </w:r>
      <w:r w:rsidR="000357BE">
        <w:t xml:space="preserve"> Prominent Hill, Mount Margaret</w:t>
      </w:r>
      <w:r>
        <w:t xml:space="preserve"> and the Olympic Dam expansion (</w:t>
      </w:r>
      <w:r w:rsidRPr="00C50FF9">
        <w:t xml:space="preserve">SKM </w:t>
      </w:r>
      <w:r w:rsidR="00FD05CB">
        <w:t>2010; BHP Billiton 2009; AGE 2007</w:t>
      </w:r>
      <w:r>
        <w:t>).</w:t>
      </w:r>
    </w:p>
    <w:p w:rsidR="00525CA1" w:rsidRDefault="00DD07AF" w:rsidP="00FD05CB">
      <w:pPr>
        <w:pStyle w:val="BRNormal"/>
      </w:pPr>
      <w:r>
        <w:t xml:space="preserve">As part of recent GABWRA work, Smith and Welsh (2011) reviewed all available and existing groundwater models that represented the GAB to varying extents (horizontally and vertically). Aspects of this review are collated into </w:t>
      </w:r>
      <w:r w:rsidR="00525CA1">
        <w:t xml:space="preserve">Table </w:t>
      </w:r>
      <w:r w:rsidR="00D26D09">
        <w:t>9</w:t>
      </w:r>
      <w:r>
        <w:t>.</w:t>
      </w:r>
      <w:r w:rsidR="00525CA1">
        <w:t xml:space="preserve"> It may be seen that these models feature a wide range of spatial model extents, ranging from small local-scale models of around 5</w:t>
      </w:r>
      <w:r w:rsidR="000357BE">
        <w:t> </w:t>
      </w:r>
      <w:r w:rsidR="00525CA1">
        <w:t>km</w:t>
      </w:r>
      <w:r w:rsidR="00525CA1">
        <w:rPr>
          <w:vertAlign w:val="superscript"/>
        </w:rPr>
        <w:t>2</w:t>
      </w:r>
      <w:r w:rsidR="00525CA1">
        <w:t xml:space="preserve"> </w:t>
      </w:r>
      <w:r w:rsidR="008530AE">
        <w:t>in size</w:t>
      </w:r>
      <w:r w:rsidR="00525CA1">
        <w:t xml:space="preserve">, to models that </w:t>
      </w:r>
      <w:r w:rsidR="008530AE">
        <w:t>represent the entire</w:t>
      </w:r>
      <w:r w:rsidR="00525CA1">
        <w:t xml:space="preserve"> GAB. Vertical complexity is also variable, though most models represent less than ten relevant hydrogeological layers. None of these models simulated the effects of preferential pathway flow, multiphase flow or geomechanical processes.</w:t>
      </w:r>
    </w:p>
    <w:p w:rsidR="00DD07AF" w:rsidRPr="00815B85" w:rsidRDefault="00FD05CB" w:rsidP="00FD05CB">
      <w:pPr>
        <w:pStyle w:val="Caption"/>
      </w:pPr>
      <w:proofErr w:type="gramStart"/>
      <w:r w:rsidRPr="006F2073">
        <w:t xml:space="preserve">Table </w:t>
      </w:r>
      <w:r w:rsidR="00E23933" w:rsidRPr="006F2073">
        <w:rPr>
          <w:b/>
          <w:noProof w:val="0"/>
        </w:rPr>
        <w:fldChar w:fldCharType="begin"/>
      </w:r>
      <w:r w:rsidRPr="006F2073">
        <w:instrText xml:space="preserve"> SEQ Table \* ARABIC </w:instrText>
      </w:r>
      <w:r w:rsidR="00E23933" w:rsidRPr="006F2073">
        <w:rPr>
          <w:b/>
          <w:noProof w:val="0"/>
        </w:rPr>
        <w:fldChar w:fldCharType="separate"/>
      </w:r>
      <w:r>
        <w:t>9</w:t>
      </w:r>
      <w:r w:rsidR="00E23933" w:rsidRPr="006F2073">
        <w:rPr>
          <w:b/>
        </w:rPr>
        <w:fldChar w:fldCharType="end"/>
      </w:r>
      <w:r w:rsidR="00DD07AF" w:rsidRPr="00815B85">
        <w:t xml:space="preserve"> </w:t>
      </w:r>
      <w:r w:rsidR="00DD07AF">
        <w:t xml:space="preserve">Summary of hydrogeological models of the Great Artesian Basin </w:t>
      </w:r>
      <w:r w:rsidR="000357BE">
        <w:t>(</w:t>
      </w:r>
      <w:r w:rsidR="00F976E1">
        <w:t>©</w:t>
      </w:r>
      <w:r w:rsidR="000357BE">
        <w:t xml:space="preserve"> Copyright, Smith and Welsh </w:t>
      </w:r>
      <w:r w:rsidR="00DD07AF">
        <w:t>2011)</w:t>
      </w:r>
      <w:r>
        <w:t>.</w:t>
      </w:r>
      <w:proofErr w:type="gramEnd"/>
    </w:p>
    <w:tbl>
      <w:tblPr>
        <w:tblStyle w:val="TableGrid"/>
        <w:tblW w:w="0" w:type="auto"/>
        <w:tblInd w:w="108" w:type="dxa"/>
        <w:tblBorders>
          <w:left w:val="none" w:sz="0" w:space="0" w:color="auto"/>
          <w:right w:val="none" w:sz="0" w:space="0" w:color="auto"/>
          <w:insideV w:val="none" w:sz="0" w:space="0" w:color="auto"/>
        </w:tblBorders>
        <w:tblLook w:val="04A0"/>
      </w:tblPr>
      <w:tblGrid>
        <w:gridCol w:w="1443"/>
        <w:gridCol w:w="1497"/>
        <w:gridCol w:w="1349"/>
        <w:gridCol w:w="1635"/>
        <w:gridCol w:w="1126"/>
        <w:gridCol w:w="861"/>
        <w:gridCol w:w="1261"/>
      </w:tblGrid>
      <w:tr w:rsidR="00DD07AF" w:rsidRPr="00FD05CB" w:rsidTr="00BE7A62">
        <w:trPr>
          <w:tblHeader/>
        </w:trPr>
        <w:tc>
          <w:tcPr>
            <w:tcW w:w="1443" w:type="dxa"/>
            <w:tcBorders>
              <w:left w:val="single" w:sz="4" w:space="0" w:color="auto"/>
              <w:bottom w:val="single" w:sz="4" w:space="0" w:color="auto"/>
              <w:right w:val="single" w:sz="4" w:space="0" w:color="auto"/>
            </w:tcBorders>
            <w:shd w:val="clear" w:color="auto" w:fill="C6D9F1" w:themeFill="text2" w:themeFillTint="33"/>
            <w:vAlign w:val="center"/>
          </w:tcPr>
          <w:p w:rsidR="00DD07AF" w:rsidRPr="00FD05CB" w:rsidRDefault="00DD07AF" w:rsidP="00470AD4">
            <w:pPr>
              <w:pStyle w:val="Tableheading"/>
            </w:pPr>
            <w:r w:rsidRPr="00FD05CB">
              <w:t>Model name</w:t>
            </w:r>
          </w:p>
        </w:tc>
        <w:tc>
          <w:tcPr>
            <w:tcW w:w="0" w:type="auto"/>
            <w:tcBorders>
              <w:left w:val="single" w:sz="4" w:space="0" w:color="auto"/>
              <w:bottom w:val="single" w:sz="4" w:space="0" w:color="auto"/>
              <w:right w:val="single" w:sz="4" w:space="0" w:color="auto"/>
            </w:tcBorders>
            <w:shd w:val="clear" w:color="auto" w:fill="C6D9F1" w:themeFill="text2" w:themeFillTint="33"/>
            <w:vAlign w:val="center"/>
          </w:tcPr>
          <w:p w:rsidR="00DD07AF" w:rsidRPr="00FD05CB" w:rsidRDefault="00DD07AF" w:rsidP="00470AD4">
            <w:pPr>
              <w:pStyle w:val="Tableheading"/>
            </w:pPr>
            <w:r w:rsidRPr="00FD05CB">
              <w:t>Reference</w:t>
            </w:r>
          </w:p>
        </w:tc>
        <w:tc>
          <w:tcPr>
            <w:tcW w:w="0" w:type="auto"/>
            <w:tcBorders>
              <w:left w:val="single" w:sz="4" w:space="0" w:color="auto"/>
              <w:bottom w:val="single" w:sz="4" w:space="0" w:color="auto"/>
              <w:right w:val="single" w:sz="4" w:space="0" w:color="auto"/>
            </w:tcBorders>
            <w:shd w:val="clear" w:color="auto" w:fill="C6D9F1" w:themeFill="text2" w:themeFillTint="33"/>
            <w:vAlign w:val="center"/>
          </w:tcPr>
          <w:p w:rsidR="00DD07AF" w:rsidRPr="00FD05CB" w:rsidRDefault="00DD07AF" w:rsidP="00470AD4">
            <w:pPr>
              <w:pStyle w:val="Tableheading"/>
            </w:pPr>
            <w:r w:rsidRPr="00FD05CB">
              <w:t>Purpose</w:t>
            </w:r>
          </w:p>
        </w:tc>
        <w:tc>
          <w:tcPr>
            <w:tcW w:w="0" w:type="auto"/>
            <w:tcBorders>
              <w:left w:val="single" w:sz="4" w:space="0" w:color="auto"/>
              <w:bottom w:val="single" w:sz="4" w:space="0" w:color="auto"/>
              <w:right w:val="single" w:sz="4" w:space="0" w:color="auto"/>
            </w:tcBorders>
            <w:shd w:val="clear" w:color="auto" w:fill="C6D9F1" w:themeFill="text2" w:themeFillTint="33"/>
            <w:vAlign w:val="center"/>
          </w:tcPr>
          <w:p w:rsidR="00DD07AF" w:rsidRPr="00FD05CB" w:rsidRDefault="000357BE" w:rsidP="00470AD4">
            <w:pPr>
              <w:pStyle w:val="Tableheading"/>
            </w:pPr>
            <w:r>
              <w:t>Basins</w:t>
            </w:r>
          </w:p>
        </w:tc>
        <w:tc>
          <w:tcPr>
            <w:tcW w:w="1126" w:type="dxa"/>
            <w:tcBorders>
              <w:left w:val="single" w:sz="4" w:space="0" w:color="auto"/>
              <w:bottom w:val="single" w:sz="4" w:space="0" w:color="auto"/>
              <w:right w:val="single" w:sz="4" w:space="0" w:color="auto"/>
            </w:tcBorders>
            <w:shd w:val="clear" w:color="auto" w:fill="C6D9F1" w:themeFill="text2" w:themeFillTint="33"/>
            <w:vAlign w:val="center"/>
          </w:tcPr>
          <w:p w:rsidR="00DD07AF" w:rsidRPr="00FD05CB" w:rsidRDefault="00DD07AF" w:rsidP="00470AD4">
            <w:pPr>
              <w:pStyle w:val="Tableheading"/>
            </w:pPr>
            <w:r w:rsidRPr="00FD05CB">
              <w:t>Areal extent</w:t>
            </w:r>
          </w:p>
          <w:p w:rsidR="00DD07AF" w:rsidRPr="00FD05CB" w:rsidRDefault="00DD07AF" w:rsidP="00470AD4">
            <w:pPr>
              <w:pStyle w:val="Tableheading"/>
            </w:pPr>
            <w:r w:rsidRPr="00FD05CB">
              <w:t>(km</w:t>
            </w:r>
            <w:r w:rsidRPr="00FD05CB">
              <w:rPr>
                <w:vertAlign w:val="superscript"/>
              </w:rPr>
              <w:t>2</w:t>
            </w:r>
            <w:r w:rsidRPr="00FD05CB">
              <w:t xml:space="preserve"> x 1000)</w:t>
            </w:r>
          </w:p>
        </w:tc>
        <w:tc>
          <w:tcPr>
            <w:tcW w:w="861" w:type="dxa"/>
            <w:tcBorders>
              <w:left w:val="single" w:sz="4" w:space="0" w:color="auto"/>
              <w:bottom w:val="single" w:sz="4" w:space="0" w:color="auto"/>
              <w:right w:val="single" w:sz="4" w:space="0" w:color="auto"/>
            </w:tcBorders>
            <w:shd w:val="clear" w:color="auto" w:fill="C6D9F1" w:themeFill="text2" w:themeFillTint="33"/>
            <w:vAlign w:val="center"/>
          </w:tcPr>
          <w:p w:rsidR="00DD07AF" w:rsidRPr="00FD05CB" w:rsidRDefault="00DD07AF" w:rsidP="00470AD4">
            <w:pPr>
              <w:pStyle w:val="Tableheading"/>
            </w:pPr>
            <w:r w:rsidRPr="00FD05CB">
              <w:t>Layers</w:t>
            </w:r>
          </w:p>
        </w:tc>
        <w:tc>
          <w:tcPr>
            <w:tcW w:w="1261" w:type="dxa"/>
            <w:tcBorders>
              <w:left w:val="single" w:sz="4" w:space="0" w:color="auto"/>
              <w:bottom w:val="single" w:sz="4" w:space="0" w:color="auto"/>
              <w:right w:val="single" w:sz="4" w:space="0" w:color="auto"/>
            </w:tcBorders>
            <w:shd w:val="clear" w:color="auto" w:fill="C6D9F1" w:themeFill="text2" w:themeFillTint="33"/>
            <w:vAlign w:val="center"/>
          </w:tcPr>
          <w:p w:rsidR="00DD07AF" w:rsidRPr="00FD05CB" w:rsidRDefault="00DD07AF" w:rsidP="00470AD4">
            <w:pPr>
              <w:pStyle w:val="Tableheading"/>
            </w:pPr>
            <w:r w:rsidRPr="00FD05CB">
              <w:t>Software</w:t>
            </w:r>
          </w:p>
        </w:tc>
      </w:tr>
      <w:tr w:rsidR="00DD07AF" w:rsidRPr="00FD05CB" w:rsidTr="00BE7A62">
        <w:tc>
          <w:tcPr>
            <w:tcW w:w="1443" w:type="dxa"/>
            <w:tcBorders>
              <w:left w:val="single" w:sz="4" w:space="0" w:color="auto"/>
              <w:bottom w:val="single" w:sz="4" w:space="0" w:color="auto"/>
              <w:right w:val="single" w:sz="4" w:space="0" w:color="auto"/>
            </w:tcBorders>
            <w:shd w:val="clear" w:color="auto" w:fill="auto"/>
          </w:tcPr>
          <w:p w:rsidR="00DD07AF" w:rsidRPr="00FD05CB" w:rsidRDefault="00DD07AF" w:rsidP="00CB2FBB">
            <w:pPr>
              <w:pStyle w:val="Tabletext"/>
            </w:pPr>
            <w:r w:rsidRPr="00FD05CB">
              <w:t>Cannington-Osbourne</w:t>
            </w:r>
          </w:p>
        </w:tc>
        <w:tc>
          <w:tcPr>
            <w:tcW w:w="0" w:type="auto"/>
            <w:tcBorders>
              <w:left w:val="single" w:sz="4" w:space="0" w:color="auto"/>
              <w:bottom w:val="single" w:sz="4" w:space="0" w:color="auto"/>
              <w:right w:val="single" w:sz="4" w:space="0" w:color="auto"/>
            </w:tcBorders>
            <w:shd w:val="clear" w:color="auto" w:fill="auto"/>
          </w:tcPr>
          <w:p w:rsidR="00DD07AF" w:rsidRPr="00FD05CB" w:rsidRDefault="00DD07AF" w:rsidP="00CB2FBB">
            <w:pPr>
              <w:pStyle w:val="Tabletext"/>
            </w:pPr>
            <w:r w:rsidRPr="00FD05CB">
              <w:t>WMC (2010)</w:t>
            </w:r>
          </w:p>
        </w:tc>
        <w:tc>
          <w:tcPr>
            <w:tcW w:w="0" w:type="auto"/>
            <w:tcBorders>
              <w:left w:val="single" w:sz="4" w:space="0" w:color="auto"/>
              <w:bottom w:val="single" w:sz="4" w:space="0" w:color="auto"/>
              <w:right w:val="single" w:sz="4" w:space="0" w:color="auto"/>
            </w:tcBorders>
            <w:shd w:val="clear" w:color="auto" w:fill="auto"/>
          </w:tcPr>
          <w:p w:rsidR="00DD07AF" w:rsidRPr="00FD05CB" w:rsidRDefault="00DD07AF" w:rsidP="00CB2FBB">
            <w:pPr>
              <w:pStyle w:val="Tabletext"/>
            </w:pPr>
            <w:r w:rsidRPr="00FD05CB">
              <w:t>borefield production</w:t>
            </w:r>
          </w:p>
        </w:tc>
        <w:tc>
          <w:tcPr>
            <w:tcW w:w="0" w:type="auto"/>
            <w:tcBorders>
              <w:left w:val="single" w:sz="4" w:space="0" w:color="auto"/>
              <w:bottom w:val="single" w:sz="4" w:space="0" w:color="auto"/>
              <w:right w:val="single" w:sz="4" w:space="0" w:color="auto"/>
            </w:tcBorders>
            <w:shd w:val="clear" w:color="auto" w:fill="auto"/>
          </w:tcPr>
          <w:p w:rsidR="00DD07AF" w:rsidRPr="00FD05CB" w:rsidRDefault="000357BE" w:rsidP="00CB2FBB">
            <w:pPr>
              <w:pStyle w:val="Tabletext"/>
            </w:pPr>
            <w:r>
              <w:t xml:space="preserve">Eromanga Basin, </w:t>
            </w:r>
            <w:r w:rsidRPr="005B06FF">
              <w:t>Carpe</w:t>
            </w:r>
            <w:r>
              <w:t>ntaria Basin</w:t>
            </w:r>
          </w:p>
        </w:tc>
        <w:tc>
          <w:tcPr>
            <w:tcW w:w="1126" w:type="dxa"/>
            <w:tcBorders>
              <w:left w:val="single" w:sz="4" w:space="0" w:color="auto"/>
              <w:bottom w:val="single" w:sz="4" w:space="0" w:color="auto"/>
              <w:right w:val="single" w:sz="4" w:space="0" w:color="auto"/>
            </w:tcBorders>
            <w:shd w:val="clear" w:color="auto" w:fill="auto"/>
          </w:tcPr>
          <w:p w:rsidR="00DD07AF" w:rsidRPr="00FD05CB" w:rsidRDefault="00DD07AF" w:rsidP="00CB2FBB">
            <w:pPr>
              <w:pStyle w:val="Tabletext"/>
            </w:pPr>
            <w:r w:rsidRPr="00FD05CB">
              <w:t>107</w:t>
            </w:r>
          </w:p>
        </w:tc>
        <w:tc>
          <w:tcPr>
            <w:tcW w:w="861" w:type="dxa"/>
            <w:tcBorders>
              <w:left w:val="single" w:sz="4" w:space="0" w:color="auto"/>
              <w:bottom w:val="single" w:sz="4" w:space="0" w:color="auto"/>
              <w:right w:val="single" w:sz="4" w:space="0" w:color="auto"/>
            </w:tcBorders>
            <w:shd w:val="clear" w:color="auto" w:fill="auto"/>
          </w:tcPr>
          <w:p w:rsidR="00DD07AF" w:rsidRPr="00FD05CB" w:rsidRDefault="00DD07AF" w:rsidP="00CB2FBB">
            <w:pPr>
              <w:pStyle w:val="Tabletext"/>
            </w:pPr>
            <w:r w:rsidRPr="00FD05CB">
              <w:t>1</w:t>
            </w:r>
          </w:p>
        </w:tc>
        <w:tc>
          <w:tcPr>
            <w:tcW w:w="1261" w:type="dxa"/>
            <w:tcBorders>
              <w:left w:val="single" w:sz="4" w:space="0" w:color="auto"/>
              <w:bottom w:val="single" w:sz="4" w:space="0" w:color="auto"/>
              <w:right w:val="single" w:sz="4" w:space="0" w:color="auto"/>
            </w:tcBorders>
            <w:shd w:val="clear" w:color="auto" w:fill="auto"/>
          </w:tcPr>
          <w:p w:rsidR="00DD07AF" w:rsidRPr="00FD05CB" w:rsidRDefault="00DD07AF" w:rsidP="00CB2FBB">
            <w:pPr>
              <w:pStyle w:val="Tabletext"/>
            </w:pPr>
            <w:r w:rsidRPr="00FD05CB">
              <w:t>MODFLOW</w:t>
            </w:r>
          </w:p>
        </w:tc>
      </w:tr>
      <w:tr w:rsidR="000357BE" w:rsidRPr="00FD05CB" w:rsidTr="00BE7A62">
        <w:tc>
          <w:tcPr>
            <w:tcW w:w="1443" w:type="dxa"/>
            <w:tcBorders>
              <w:top w:val="single" w:sz="4" w:space="0" w:color="auto"/>
              <w:left w:val="single" w:sz="4" w:space="0" w:color="auto"/>
              <w:bottom w:val="single" w:sz="4" w:space="0" w:color="auto"/>
              <w:right w:val="single" w:sz="4" w:space="0" w:color="auto"/>
            </w:tcBorders>
            <w:shd w:val="clear" w:color="auto" w:fill="auto"/>
          </w:tcPr>
          <w:p w:rsidR="000357BE" w:rsidRPr="00FD05CB" w:rsidRDefault="000357BE" w:rsidP="00CB2FBB">
            <w:pPr>
              <w:pStyle w:val="Tabletext"/>
            </w:pPr>
            <w:r w:rsidRPr="00FD05CB">
              <w:t>EHM regional model</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0357BE" w:rsidRPr="00FD05CB" w:rsidRDefault="000357BE" w:rsidP="00CB2FBB">
            <w:pPr>
              <w:pStyle w:val="Tabletext"/>
            </w:pPr>
            <w:r w:rsidRPr="00FD05CB">
              <w:t xml:space="preserve">AGC </w:t>
            </w:r>
            <w:r>
              <w:t xml:space="preserve">- </w:t>
            </w:r>
            <w:r w:rsidRPr="00FD05CB">
              <w:t>Woodward Clyde (1995)</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0357BE" w:rsidRPr="00FD05CB" w:rsidRDefault="000357BE" w:rsidP="00CB2FBB">
            <w:pPr>
              <w:pStyle w:val="Tabletext"/>
            </w:pPr>
            <w:r w:rsidRPr="00FD05CB">
              <w:t>mine dewatering</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0357BE" w:rsidRPr="00FD05CB" w:rsidRDefault="000357BE" w:rsidP="00CB2FBB">
            <w:pPr>
              <w:pStyle w:val="Tabletext"/>
            </w:pPr>
            <w:r>
              <w:t xml:space="preserve">Eromanga Basin, </w:t>
            </w:r>
            <w:r w:rsidRPr="005B06FF">
              <w:t>Carpe</w:t>
            </w:r>
            <w:r>
              <w:t>ntaria Basin</w:t>
            </w:r>
          </w:p>
        </w:tc>
        <w:tc>
          <w:tcPr>
            <w:tcW w:w="1126" w:type="dxa"/>
            <w:tcBorders>
              <w:top w:val="single" w:sz="4" w:space="0" w:color="auto"/>
              <w:left w:val="single" w:sz="4" w:space="0" w:color="auto"/>
              <w:bottom w:val="single" w:sz="4" w:space="0" w:color="auto"/>
              <w:right w:val="single" w:sz="4" w:space="0" w:color="auto"/>
            </w:tcBorders>
            <w:shd w:val="clear" w:color="auto" w:fill="auto"/>
          </w:tcPr>
          <w:p w:rsidR="000357BE" w:rsidRPr="00FD05CB" w:rsidRDefault="000357BE" w:rsidP="00CB2FBB">
            <w:pPr>
              <w:pStyle w:val="Tabletext"/>
            </w:pPr>
            <w:r w:rsidRPr="00FD05CB">
              <w:t>147</w:t>
            </w:r>
          </w:p>
        </w:tc>
        <w:tc>
          <w:tcPr>
            <w:tcW w:w="861" w:type="dxa"/>
            <w:tcBorders>
              <w:top w:val="single" w:sz="4" w:space="0" w:color="auto"/>
              <w:left w:val="single" w:sz="4" w:space="0" w:color="auto"/>
              <w:bottom w:val="single" w:sz="4" w:space="0" w:color="auto"/>
              <w:right w:val="single" w:sz="4" w:space="0" w:color="auto"/>
            </w:tcBorders>
            <w:shd w:val="clear" w:color="auto" w:fill="auto"/>
          </w:tcPr>
          <w:p w:rsidR="000357BE" w:rsidRPr="00FD05CB" w:rsidRDefault="000357BE" w:rsidP="00CB2FBB">
            <w:pPr>
              <w:pStyle w:val="Tabletext"/>
            </w:pPr>
            <w:r w:rsidRPr="00FD05CB">
              <w:t>1</w:t>
            </w:r>
          </w:p>
        </w:tc>
        <w:tc>
          <w:tcPr>
            <w:tcW w:w="1261" w:type="dxa"/>
            <w:tcBorders>
              <w:top w:val="single" w:sz="4" w:space="0" w:color="auto"/>
              <w:left w:val="single" w:sz="4" w:space="0" w:color="auto"/>
              <w:bottom w:val="single" w:sz="4" w:space="0" w:color="auto"/>
              <w:right w:val="single" w:sz="4" w:space="0" w:color="auto"/>
            </w:tcBorders>
            <w:shd w:val="clear" w:color="auto" w:fill="auto"/>
          </w:tcPr>
          <w:p w:rsidR="000357BE" w:rsidRPr="00FD05CB" w:rsidRDefault="000357BE" w:rsidP="00CB2FBB">
            <w:pPr>
              <w:pStyle w:val="Tabletext"/>
            </w:pPr>
            <w:r w:rsidRPr="00FD05CB">
              <w:t>MODFLOW</w:t>
            </w:r>
          </w:p>
        </w:tc>
      </w:tr>
      <w:tr w:rsidR="000357BE" w:rsidRPr="00FD05CB" w:rsidTr="00BE7A62">
        <w:tc>
          <w:tcPr>
            <w:tcW w:w="1443" w:type="dxa"/>
            <w:tcBorders>
              <w:top w:val="single" w:sz="4" w:space="0" w:color="auto"/>
              <w:left w:val="single" w:sz="4" w:space="0" w:color="auto"/>
              <w:bottom w:val="single" w:sz="4" w:space="0" w:color="auto"/>
              <w:right w:val="single" w:sz="4" w:space="0" w:color="auto"/>
            </w:tcBorders>
            <w:shd w:val="clear" w:color="auto" w:fill="auto"/>
          </w:tcPr>
          <w:p w:rsidR="000357BE" w:rsidRPr="00FD05CB" w:rsidRDefault="000357BE" w:rsidP="00CB2FBB">
            <w:pPr>
              <w:pStyle w:val="Tabletext"/>
            </w:pPr>
            <w:r w:rsidRPr="00FD05CB">
              <w:t>EHM sub-regional</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0357BE" w:rsidRPr="00FD05CB" w:rsidRDefault="000357BE" w:rsidP="00CB2FBB">
            <w:pPr>
              <w:pStyle w:val="Tabletext"/>
            </w:pPr>
            <w:r w:rsidRPr="00FD05CB">
              <w:t>AGE (2010)</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0357BE" w:rsidRPr="00FD05CB" w:rsidRDefault="000357BE" w:rsidP="00CB2FBB">
            <w:pPr>
              <w:pStyle w:val="Tabletext"/>
            </w:pPr>
            <w:r w:rsidRPr="00FD05CB">
              <w:t>mine dewatering</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0357BE" w:rsidRPr="00FD05CB" w:rsidRDefault="000357BE" w:rsidP="00CB2FBB">
            <w:pPr>
              <w:pStyle w:val="Tabletext"/>
            </w:pPr>
            <w:r w:rsidRPr="005B06FF">
              <w:t>Carpe</w:t>
            </w:r>
            <w:r>
              <w:t>ntaria Basin</w:t>
            </w:r>
          </w:p>
        </w:tc>
        <w:tc>
          <w:tcPr>
            <w:tcW w:w="1126" w:type="dxa"/>
            <w:tcBorders>
              <w:top w:val="single" w:sz="4" w:space="0" w:color="auto"/>
              <w:left w:val="single" w:sz="4" w:space="0" w:color="auto"/>
              <w:bottom w:val="single" w:sz="4" w:space="0" w:color="auto"/>
              <w:right w:val="single" w:sz="4" w:space="0" w:color="auto"/>
            </w:tcBorders>
            <w:shd w:val="clear" w:color="auto" w:fill="auto"/>
          </w:tcPr>
          <w:p w:rsidR="000357BE" w:rsidRPr="00FD05CB" w:rsidRDefault="000357BE" w:rsidP="00CB2FBB">
            <w:pPr>
              <w:pStyle w:val="Tabletext"/>
            </w:pPr>
            <w:r w:rsidRPr="00FD05CB">
              <w:t>5</w:t>
            </w:r>
          </w:p>
        </w:tc>
        <w:tc>
          <w:tcPr>
            <w:tcW w:w="861" w:type="dxa"/>
            <w:tcBorders>
              <w:top w:val="single" w:sz="4" w:space="0" w:color="auto"/>
              <w:left w:val="single" w:sz="4" w:space="0" w:color="auto"/>
              <w:bottom w:val="single" w:sz="4" w:space="0" w:color="auto"/>
              <w:right w:val="single" w:sz="4" w:space="0" w:color="auto"/>
            </w:tcBorders>
            <w:shd w:val="clear" w:color="auto" w:fill="auto"/>
          </w:tcPr>
          <w:p w:rsidR="000357BE" w:rsidRPr="00FD05CB" w:rsidRDefault="000357BE" w:rsidP="00CB2FBB">
            <w:pPr>
              <w:pStyle w:val="Tabletext"/>
            </w:pPr>
            <w:r w:rsidRPr="00FD05CB">
              <w:t>2</w:t>
            </w:r>
          </w:p>
        </w:tc>
        <w:tc>
          <w:tcPr>
            <w:tcW w:w="1261" w:type="dxa"/>
            <w:tcBorders>
              <w:top w:val="single" w:sz="4" w:space="0" w:color="auto"/>
              <w:left w:val="single" w:sz="4" w:space="0" w:color="auto"/>
              <w:bottom w:val="single" w:sz="4" w:space="0" w:color="auto"/>
              <w:right w:val="single" w:sz="4" w:space="0" w:color="auto"/>
            </w:tcBorders>
            <w:shd w:val="clear" w:color="auto" w:fill="auto"/>
          </w:tcPr>
          <w:p w:rsidR="000357BE" w:rsidRPr="00FD05CB" w:rsidRDefault="000357BE" w:rsidP="00CB2FBB">
            <w:pPr>
              <w:pStyle w:val="Tabletext"/>
            </w:pPr>
            <w:r w:rsidRPr="00FD05CB">
              <w:t>MODFLOW</w:t>
            </w:r>
          </w:p>
        </w:tc>
      </w:tr>
      <w:tr w:rsidR="000357BE" w:rsidRPr="00FD05CB" w:rsidTr="00BE7A62">
        <w:tc>
          <w:tcPr>
            <w:tcW w:w="1443" w:type="dxa"/>
            <w:tcBorders>
              <w:top w:val="single" w:sz="4" w:space="0" w:color="auto"/>
              <w:left w:val="single" w:sz="4" w:space="0" w:color="auto"/>
              <w:bottom w:val="single" w:sz="4" w:space="0" w:color="auto"/>
              <w:right w:val="single" w:sz="4" w:space="0" w:color="auto"/>
            </w:tcBorders>
            <w:shd w:val="clear" w:color="auto" w:fill="auto"/>
          </w:tcPr>
          <w:p w:rsidR="000357BE" w:rsidRPr="00FD05CB" w:rsidRDefault="000357BE" w:rsidP="00CB2FBB">
            <w:pPr>
              <w:pStyle w:val="Tabletext"/>
            </w:pPr>
            <w:r w:rsidRPr="00FD05CB">
              <w:t>EHM underground mining</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0357BE" w:rsidRPr="00FD05CB" w:rsidRDefault="000357BE" w:rsidP="00CB2FBB">
            <w:pPr>
              <w:pStyle w:val="Tabletext"/>
            </w:pPr>
            <w:r w:rsidRPr="00FD05CB">
              <w:t>Itasca Denver (2011)</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0357BE" w:rsidRPr="00FD05CB" w:rsidRDefault="000357BE" w:rsidP="00CB2FBB">
            <w:pPr>
              <w:pStyle w:val="Tabletext"/>
            </w:pPr>
            <w:r w:rsidRPr="00FD05CB">
              <w:t>mine dewatering</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0357BE" w:rsidRPr="00FD05CB" w:rsidRDefault="000357BE" w:rsidP="00CB2FBB">
            <w:pPr>
              <w:pStyle w:val="Tabletext"/>
            </w:pPr>
            <w:r w:rsidRPr="005B06FF">
              <w:t>Carpe</w:t>
            </w:r>
            <w:r>
              <w:t>ntaria Basin</w:t>
            </w:r>
          </w:p>
        </w:tc>
        <w:tc>
          <w:tcPr>
            <w:tcW w:w="1126" w:type="dxa"/>
            <w:tcBorders>
              <w:top w:val="single" w:sz="4" w:space="0" w:color="auto"/>
              <w:left w:val="single" w:sz="4" w:space="0" w:color="auto"/>
              <w:bottom w:val="single" w:sz="4" w:space="0" w:color="auto"/>
              <w:right w:val="single" w:sz="4" w:space="0" w:color="auto"/>
            </w:tcBorders>
            <w:shd w:val="clear" w:color="auto" w:fill="auto"/>
          </w:tcPr>
          <w:p w:rsidR="000357BE" w:rsidRPr="00FD05CB" w:rsidRDefault="000357BE" w:rsidP="00CB2FBB">
            <w:pPr>
              <w:pStyle w:val="Tabletext"/>
            </w:pPr>
            <w:r w:rsidRPr="00FD05CB">
              <w:t>5</w:t>
            </w:r>
          </w:p>
        </w:tc>
        <w:tc>
          <w:tcPr>
            <w:tcW w:w="861" w:type="dxa"/>
            <w:tcBorders>
              <w:top w:val="single" w:sz="4" w:space="0" w:color="auto"/>
              <w:left w:val="single" w:sz="4" w:space="0" w:color="auto"/>
              <w:bottom w:val="single" w:sz="4" w:space="0" w:color="auto"/>
              <w:right w:val="single" w:sz="4" w:space="0" w:color="auto"/>
            </w:tcBorders>
            <w:shd w:val="clear" w:color="auto" w:fill="auto"/>
          </w:tcPr>
          <w:p w:rsidR="000357BE" w:rsidRPr="00FD05CB" w:rsidRDefault="000357BE" w:rsidP="00CB2FBB">
            <w:pPr>
              <w:pStyle w:val="Tabletext"/>
            </w:pPr>
            <w:r w:rsidRPr="00FD05CB">
              <w:t>33</w:t>
            </w:r>
          </w:p>
        </w:tc>
        <w:tc>
          <w:tcPr>
            <w:tcW w:w="1261" w:type="dxa"/>
            <w:tcBorders>
              <w:top w:val="single" w:sz="4" w:space="0" w:color="auto"/>
              <w:left w:val="single" w:sz="4" w:space="0" w:color="auto"/>
              <w:bottom w:val="single" w:sz="4" w:space="0" w:color="auto"/>
              <w:right w:val="single" w:sz="4" w:space="0" w:color="auto"/>
            </w:tcBorders>
            <w:shd w:val="clear" w:color="auto" w:fill="auto"/>
          </w:tcPr>
          <w:p w:rsidR="000357BE" w:rsidRPr="00FD05CB" w:rsidRDefault="000357BE" w:rsidP="00CB2FBB">
            <w:pPr>
              <w:pStyle w:val="Tabletext"/>
            </w:pPr>
            <w:r w:rsidRPr="00FD05CB">
              <w:t>MINEDW</w:t>
            </w:r>
          </w:p>
        </w:tc>
      </w:tr>
      <w:tr w:rsidR="000357BE" w:rsidRPr="00FD05CB" w:rsidTr="00BE7A62">
        <w:tc>
          <w:tcPr>
            <w:tcW w:w="1443" w:type="dxa"/>
            <w:tcBorders>
              <w:top w:val="single" w:sz="4" w:space="0" w:color="auto"/>
              <w:left w:val="single" w:sz="4" w:space="0" w:color="auto"/>
              <w:bottom w:val="single" w:sz="4" w:space="0" w:color="auto"/>
              <w:right w:val="single" w:sz="4" w:space="0" w:color="auto"/>
            </w:tcBorders>
            <w:shd w:val="clear" w:color="auto" w:fill="auto"/>
          </w:tcPr>
          <w:p w:rsidR="000357BE" w:rsidRPr="00FD05CB" w:rsidRDefault="000357BE" w:rsidP="00CB2FBB">
            <w:pPr>
              <w:pStyle w:val="Tabletext"/>
            </w:pPr>
            <w:r w:rsidRPr="00FD05CB">
              <w:t>GAB95</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0357BE" w:rsidRPr="00FD05CB" w:rsidRDefault="000357BE" w:rsidP="00CB2FBB">
            <w:pPr>
              <w:pStyle w:val="Tabletext"/>
            </w:pPr>
            <w:r w:rsidRPr="00FD05CB">
              <w:t>Berry and Armstrong (1995)</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0357BE" w:rsidRPr="00FD05CB" w:rsidRDefault="000357BE" w:rsidP="00CB2FBB">
            <w:pPr>
              <w:pStyle w:val="Tabletext"/>
            </w:pPr>
            <w:r w:rsidRPr="00FD05CB">
              <w:t>borefield production</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0357BE" w:rsidRPr="00FD05CB" w:rsidRDefault="000357BE" w:rsidP="00CB2FBB">
            <w:pPr>
              <w:pStyle w:val="Tabletext"/>
            </w:pPr>
            <w:r w:rsidRPr="00FD05CB">
              <w:t>unknown</w:t>
            </w:r>
          </w:p>
        </w:tc>
        <w:tc>
          <w:tcPr>
            <w:tcW w:w="1126" w:type="dxa"/>
            <w:tcBorders>
              <w:top w:val="single" w:sz="4" w:space="0" w:color="auto"/>
              <w:left w:val="single" w:sz="4" w:space="0" w:color="auto"/>
              <w:bottom w:val="single" w:sz="4" w:space="0" w:color="auto"/>
              <w:right w:val="single" w:sz="4" w:space="0" w:color="auto"/>
            </w:tcBorders>
            <w:shd w:val="clear" w:color="auto" w:fill="auto"/>
          </w:tcPr>
          <w:p w:rsidR="000357BE" w:rsidRPr="00FD05CB" w:rsidRDefault="000357BE" w:rsidP="00CB2FBB">
            <w:pPr>
              <w:pStyle w:val="Tabletext"/>
            </w:pPr>
            <w:r w:rsidRPr="00FD05CB">
              <w:t>unknown</w:t>
            </w:r>
          </w:p>
        </w:tc>
        <w:tc>
          <w:tcPr>
            <w:tcW w:w="861" w:type="dxa"/>
            <w:tcBorders>
              <w:top w:val="single" w:sz="4" w:space="0" w:color="auto"/>
              <w:left w:val="single" w:sz="4" w:space="0" w:color="auto"/>
              <w:bottom w:val="single" w:sz="4" w:space="0" w:color="auto"/>
              <w:right w:val="single" w:sz="4" w:space="0" w:color="auto"/>
            </w:tcBorders>
            <w:shd w:val="clear" w:color="auto" w:fill="auto"/>
          </w:tcPr>
          <w:p w:rsidR="000357BE" w:rsidRPr="00FD05CB" w:rsidRDefault="000357BE" w:rsidP="00CB2FBB">
            <w:pPr>
              <w:pStyle w:val="Tabletext"/>
            </w:pPr>
            <w:r w:rsidRPr="00FD05CB">
              <w:t>4</w:t>
            </w:r>
          </w:p>
        </w:tc>
        <w:tc>
          <w:tcPr>
            <w:tcW w:w="1261" w:type="dxa"/>
            <w:tcBorders>
              <w:top w:val="single" w:sz="4" w:space="0" w:color="auto"/>
              <w:left w:val="single" w:sz="4" w:space="0" w:color="auto"/>
              <w:bottom w:val="single" w:sz="4" w:space="0" w:color="auto"/>
              <w:right w:val="single" w:sz="4" w:space="0" w:color="auto"/>
            </w:tcBorders>
            <w:shd w:val="clear" w:color="auto" w:fill="auto"/>
          </w:tcPr>
          <w:p w:rsidR="000357BE" w:rsidRPr="00FD05CB" w:rsidRDefault="000357BE" w:rsidP="00CB2FBB">
            <w:pPr>
              <w:pStyle w:val="Tabletext"/>
            </w:pPr>
            <w:r w:rsidRPr="00FD05CB">
              <w:t>MODFLOW</w:t>
            </w:r>
          </w:p>
        </w:tc>
      </w:tr>
      <w:tr w:rsidR="000357BE" w:rsidRPr="00FD05CB" w:rsidTr="00BE7A62">
        <w:tc>
          <w:tcPr>
            <w:tcW w:w="1443" w:type="dxa"/>
            <w:tcBorders>
              <w:top w:val="single" w:sz="4" w:space="0" w:color="auto"/>
              <w:left w:val="single" w:sz="4" w:space="0" w:color="auto"/>
              <w:bottom w:val="single" w:sz="4" w:space="0" w:color="auto"/>
              <w:right w:val="single" w:sz="4" w:space="0" w:color="auto"/>
            </w:tcBorders>
            <w:shd w:val="clear" w:color="auto" w:fill="auto"/>
          </w:tcPr>
          <w:p w:rsidR="000357BE" w:rsidRPr="00FD05CB" w:rsidRDefault="000357BE" w:rsidP="00CB2FBB">
            <w:pPr>
              <w:pStyle w:val="Tabletext"/>
            </w:pPr>
            <w:r w:rsidRPr="00FD05CB">
              <w:t>GABFLOW</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0357BE" w:rsidRPr="00FD05CB" w:rsidRDefault="000357BE" w:rsidP="00CB2FBB">
            <w:pPr>
              <w:pStyle w:val="Tabletext"/>
            </w:pPr>
            <w:r w:rsidRPr="00FD05CB">
              <w:t>Welsh (2000)</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0357BE" w:rsidRPr="00FD05CB" w:rsidRDefault="000357BE" w:rsidP="00CB2FBB">
            <w:pPr>
              <w:pStyle w:val="Tabletext"/>
            </w:pPr>
            <w:r w:rsidRPr="00FD05CB">
              <w:t>water resources</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0357BE" w:rsidRPr="00FD05CB" w:rsidRDefault="000357BE" w:rsidP="00CB2FBB">
            <w:pPr>
              <w:pStyle w:val="Tabletext"/>
            </w:pPr>
            <w:r w:rsidRPr="00FD05CB">
              <w:t xml:space="preserve">All </w:t>
            </w:r>
          </w:p>
        </w:tc>
        <w:tc>
          <w:tcPr>
            <w:tcW w:w="1126" w:type="dxa"/>
            <w:tcBorders>
              <w:top w:val="single" w:sz="4" w:space="0" w:color="auto"/>
              <w:left w:val="single" w:sz="4" w:space="0" w:color="auto"/>
              <w:bottom w:val="single" w:sz="4" w:space="0" w:color="auto"/>
              <w:right w:val="single" w:sz="4" w:space="0" w:color="auto"/>
            </w:tcBorders>
            <w:shd w:val="clear" w:color="auto" w:fill="auto"/>
          </w:tcPr>
          <w:p w:rsidR="000357BE" w:rsidRPr="00FD05CB" w:rsidRDefault="000357BE" w:rsidP="00CB2FBB">
            <w:pPr>
              <w:pStyle w:val="Tabletext"/>
            </w:pPr>
            <w:r w:rsidRPr="00FD05CB">
              <w:t>1539</w:t>
            </w:r>
          </w:p>
        </w:tc>
        <w:tc>
          <w:tcPr>
            <w:tcW w:w="861" w:type="dxa"/>
            <w:tcBorders>
              <w:top w:val="single" w:sz="4" w:space="0" w:color="auto"/>
              <w:left w:val="single" w:sz="4" w:space="0" w:color="auto"/>
              <w:bottom w:val="single" w:sz="4" w:space="0" w:color="auto"/>
              <w:right w:val="single" w:sz="4" w:space="0" w:color="auto"/>
            </w:tcBorders>
            <w:shd w:val="clear" w:color="auto" w:fill="auto"/>
          </w:tcPr>
          <w:p w:rsidR="000357BE" w:rsidRPr="00FD05CB" w:rsidRDefault="000357BE" w:rsidP="00CB2FBB">
            <w:pPr>
              <w:pStyle w:val="Tabletext"/>
            </w:pPr>
            <w:r w:rsidRPr="00FD05CB">
              <w:t>10</w:t>
            </w:r>
          </w:p>
        </w:tc>
        <w:tc>
          <w:tcPr>
            <w:tcW w:w="1261" w:type="dxa"/>
            <w:tcBorders>
              <w:top w:val="single" w:sz="4" w:space="0" w:color="auto"/>
              <w:left w:val="single" w:sz="4" w:space="0" w:color="auto"/>
              <w:bottom w:val="single" w:sz="4" w:space="0" w:color="auto"/>
              <w:right w:val="single" w:sz="4" w:space="0" w:color="auto"/>
            </w:tcBorders>
            <w:shd w:val="clear" w:color="auto" w:fill="auto"/>
          </w:tcPr>
          <w:p w:rsidR="000357BE" w:rsidRPr="00FD05CB" w:rsidRDefault="000357BE" w:rsidP="00CB2FBB">
            <w:pPr>
              <w:pStyle w:val="Tabletext"/>
            </w:pPr>
            <w:r w:rsidRPr="00FD05CB">
              <w:t>MODFLOW</w:t>
            </w:r>
          </w:p>
        </w:tc>
      </w:tr>
      <w:tr w:rsidR="000357BE" w:rsidRPr="00FD05CB" w:rsidTr="00BE7A62">
        <w:tc>
          <w:tcPr>
            <w:tcW w:w="1443" w:type="dxa"/>
            <w:tcBorders>
              <w:top w:val="single" w:sz="4" w:space="0" w:color="auto"/>
              <w:left w:val="single" w:sz="4" w:space="0" w:color="auto"/>
              <w:bottom w:val="single" w:sz="4" w:space="0" w:color="auto"/>
              <w:right w:val="single" w:sz="4" w:space="0" w:color="auto"/>
            </w:tcBorders>
            <w:shd w:val="clear" w:color="auto" w:fill="auto"/>
          </w:tcPr>
          <w:p w:rsidR="000357BE" w:rsidRPr="00FD05CB" w:rsidRDefault="000357BE" w:rsidP="00CB2FBB">
            <w:pPr>
              <w:pStyle w:val="Tabletext"/>
            </w:pPr>
            <w:r w:rsidRPr="00FD05CB">
              <w:t>GABHYD</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0357BE" w:rsidRPr="00FD05CB" w:rsidRDefault="000357BE" w:rsidP="00CB2FBB">
            <w:pPr>
              <w:pStyle w:val="Tabletext"/>
            </w:pPr>
            <w:r w:rsidRPr="00FD05CB">
              <w:t>Seidel (1978)</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0357BE" w:rsidRPr="00FD05CB" w:rsidRDefault="000357BE" w:rsidP="00CB2FBB">
            <w:pPr>
              <w:pStyle w:val="Tabletext"/>
            </w:pPr>
            <w:r w:rsidRPr="00FD05CB">
              <w:t>water resources</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0357BE" w:rsidRPr="00FD05CB" w:rsidRDefault="000357BE" w:rsidP="00CB2FBB">
            <w:pPr>
              <w:pStyle w:val="Tabletext"/>
            </w:pPr>
            <w:r w:rsidRPr="00FD05CB">
              <w:t>All</w:t>
            </w:r>
          </w:p>
        </w:tc>
        <w:tc>
          <w:tcPr>
            <w:tcW w:w="1126" w:type="dxa"/>
            <w:tcBorders>
              <w:top w:val="single" w:sz="4" w:space="0" w:color="auto"/>
              <w:left w:val="single" w:sz="4" w:space="0" w:color="auto"/>
              <w:bottom w:val="single" w:sz="4" w:space="0" w:color="auto"/>
              <w:right w:val="single" w:sz="4" w:space="0" w:color="auto"/>
            </w:tcBorders>
            <w:shd w:val="clear" w:color="auto" w:fill="auto"/>
          </w:tcPr>
          <w:p w:rsidR="000357BE" w:rsidRPr="00FD05CB" w:rsidRDefault="000357BE" w:rsidP="00CB2FBB">
            <w:pPr>
              <w:pStyle w:val="Tabletext"/>
            </w:pPr>
            <w:r w:rsidRPr="00FD05CB">
              <w:t>1539</w:t>
            </w:r>
          </w:p>
        </w:tc>
        <w:tc>
          <w:tcPr>
            <w:tcW w:w="861" w:type="dxa"/>
            <w:tcBorders>
              <w:top w:val="single" w:sz="4" w:space="0" w:color="auto"/>
              <w:left w:val="single" w:sz="4" w:space="0" w:color="auto"/>
              <w:bottom w:val="single" w:sz="4" w:space="0" w:color="auto"/>
              <w:right w:val="single" w:sz="4" w:space="0" w:color="auto"/>
            </w:tcBorders>
            <w:shd w:val="clear" w:color="auto" w:fill="auto"/>
          </w:tcPr>
          <w:p w:rsidR="000357BE" w:rsidRPr="00FD05CB" w:rsidRDefault="000357BE" w:rsidP="00CB2FBB">
            <w:pPr>
              <w:pStyle w:val="Tabletext"/>
            </w:pPr>
            <w:r w:rsidRPr="00FD05CB">
              <w:t>1</w:t>
            </w:r>
          </w:p>
        </w:tc>
        <w:tc>
          <w:tcPr>
            <w:tcW w:w="1261" w:type="dxa"/>
            <w:tcBorders>
              <w:top w:val="single" w:sz="4" w:space="0" w:color="auto"/>
              <w:left w:val="single" w:sz="4" w:space="0" w:color="auto"/>
              <w:bottom w:val="single" w:sz="4" w:space="0" w:color="auto"/>
              <w:right w:val="single" w:sz="4" w:space="0" w:color="auto"/>
            </w:tcBorders>
            <w:shd w:val="clear" w:color="auto" w:fill="auto"/>
          </w:tcPr>
          <w:p w:rsidR="000357BE" w:rsidRPr="00FD05CB" w:rsidRDefault="000357BE" w:rsidP="00CB2FBB">
            <w:pPr>
              <w:pStyle w:val="Tabletext"/>
            </w:pPr>
            <w:r w:rsidRPr="00FD05CB">
              <w:t>MODFLOW</w:t>
            </w:r>
          </w:p>
        </w:tc>
      </w:tr>
      <w:tr w:rsidR="000357BE" w:rsidRPr="00FD05CB" w:rsidTr="00BE7A62">
        <w:tc>
          <w:tcPr>
            <w:tcW w:w="1443" w:type="dxa"/>
            <w:tcBorders>
              <w:top w:val="single" w:sz="4" w:space="0" w:color="auto"/>
              <w:left w:val="single" w:sz="4" w:space="0" w:color="auto"/>
              <w:bottom w:val="single" w:sz="4" w:space="0" w:color="auto"/>
              <w:right w:val="single" w:sz="4" w:space="0" w:color="auto"/>
            </w:tcBorders>
            <w:shd w:val="clear" w:color="auto" w:fill="auto"/>
          </w:tcPr>
          <w:p w:rsidR="000357BE" w:rsidRPr="00FD05CB" w:rsidRDefault="000357BE" w:rsidP="00CB2FBB">
            <w:pPr>
              <w:pStyle w:val="Tabletext"/>
            </w:pPr>
            <w:r w:rsidRPr="00FD05CB">
              <w:t>GABROX</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0357BE" w:rsidRPr="00FD05CB" w:rsidRDefault="000357BE" w:rsidP="00CB2FBB">
            <w:pPr>
              <w:pStyle w:val="Tabletext"/>
            </w:pPr>
            <w:r w:rsidRPr="00FD05CB">
              <w:t>AGC (1984)</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0357BE" w:rsidRPr="00FD05CB" w:rsidRDefault="000357BE" w:rsidP="00CB2FBB">
            <w:pPr>
              <w:pStyle w:val="Tabletext"/>
            </w:pPr>
            <w:r w:rsidRPr="00FD05CB">
              <w:t>borefield production</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0357BE" w:rsidRPr="00FD05CB" w:rsidRDefault="000357BE" w:rsidP="00CB2FBB">
            <w:pPr>
              <w:pStyle w:val="Tabletext"/>
            </w:pPr>
            <w:r w:rsidRPr="00FD05CB">
              <w:t>unsourced</w:t>
            </w:r>
          </w:p>
        </w:tc>
        <w:tc>
          <w:tcPr>
            <w:tcW w:w="1126" w:type="dxa"/>
            <w:tcBorders>
              <w:top w:val="single" w:sz="4" w:space="0" w:color="auto"/>
              <w:left w:val="single" w:sz="4" w:space="0" w:color="auto"/>
              <w:bottom w:val="single" w:sz="4" w:space="0" w:color="auto"/>
              <w:right w:val="single" w:sz="4" w:space="0" w:color="auto"/>
            </w:tcBorders>
            <w:shd w:val="clear" w:color="auto" w:fill="auto"/>
          </w:tcPr>
          <w:p w:rsidR="000357BE" w:rsidRPr="00FD05CB" w:rsidRDefault="000357BE" w:rsidP="00CB2FBB">
            <w:pPr>
              <w:pStyle w:val="Tabletext"/>
            </w:pPr>
          </w:p>
        </w:tc>
        <w:tc>
          <w:tcPr>
            <w:tcW w:w="861" w:type="dxa"/>
            <w:tcBorders>
              <w:top w:val="single" w:sz="4" w:space="0" w:color="auto"/>
              <w:left w:val="single" w:sz="4" w:space="0" w:color="auto"/>
              <w:bottom w:val="single" w:sz="4" w:space="0" w:color="auto"/>
              <w:right w:val="single" w:sz="4" w:space="0" w:color="auto"/>
            </w:tcBorders>
            <w:shd w:val="clear" w:color="auto" w:fill="auto"/>
          </w:tcPr>
          <w:p w:rsidR="000357BE" w:rsidRPr="00FD05CB" w:rsidRDefault="000357BE" w:rsidP="00CB2FBB">
            <w:pPr>
              <w:pStyle w:val="Tabletext"/>
            </w:pPr>
          </w:p>
        </w:tc>
        <w:tc>
          <w:tcPr>
            <w:tcW w:w="1261" w:type="dxa"/>
            <w:tcBorders>
              <w:top w:val="single" w:sz="4" w:space="0" w:color="auto"/>
              <w:left w:val="single" w:sz="4" w:space="0" w:color="auto"/>
              <w:bottom w:val="single" w:sz="4" w:space="0" w:color="auto"/>
              <w:right w:val="single" w:sz="4" w:space="0" w:color="auto"/>
            </w:tcBorders>
            <w:shd w:val="clear" w:color="auto" w:fill="auto"/>
          </w:tcPr>
          <w:p w:rsidR="000357BE" w:rsidRPr="00FD05CB" w:rsidRDefault="000357BE" w:rsidP="00CB2FBB">
            <w:pPr>
              <w:pStyle w:val="Tabletext"/>
              <w:rPr>
                <w:highlight w:val="yellow"/>
              </w:rPr>
            </w:pPr>
          </w:p>
        </w:tc>
      </w:tr>
      <w:tr w:rsidR="000357BE" w:rsidRPr="00FD05CB" w:rsidTr="00BE7A62">
        <w:tc>
          <w:tcPr>
            <w:tcW w:w="1443" w:type="dxa"/>
            <w:tcBorders>
              <w:top w:val="single" w:sz="4" w:space="0" w:color="auto"/>
              <w:left w:val="single" w:sz="4" w:space="0" w:color="auto"/>
              <w:bottom w:val="single" w:sz="4" w:space="0" w:color="auto"/>
              <w:right w:val="single" w:sz="4" w:space="0" w:color="auto"/>
            </w:tcBorders>
            <w:shd w:val="clear" w:color="auto" w:fill="auto"/>
          </w:tcPr>
          <w:p w:rsidR="000357BE" w:rsidRPr="00FD05CB" w:rsidRDefault="000357BE" w:rsidP="00CB2FBB">
            <w:pPr>
              <w:pStyle w:val="Tabletext"/>
            </w:pPr>
            <w:r w:rsidRPr="00FD05CB">
              <w:t>GABSIM</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0357BE" w:rsidRPr="00FD05CB" w:rsidRDefault="000357BE" w:rsidP="00CB2FBB">
            <w:pPr>
              <w:pStyle w:val="Tabletext"/>
            </w:pPr>
            <w:r w:rsidRPr="00FD05CB">
              <w:t>Ungemach (1975)</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0357BE" w:rsidRPr="00FD05CB" w:rsidRDefault="000357BE" w:rsidP="00CB2FBB">
            <w:pPr>
              <w:pStyle w:val="Tabletext"/>
            </w:pPr>
            <w:r w:rsidRPr="00FD05CB">
              <w:t>water resources</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0357BE" w:rsidRPr="00FD05CB" w:rsidRDefault="000357BE" w:rsidP="00CB2FBB">
            <w:pPr>
              <w:pStyle w:val="Tabletext"/>
            </w:pPr>
            <w:r w:rsidRPr="00FD05CB">
              <w:t>All</w:t>
            </w:r>
          </w:p>
        </w:tc>
        <w:tc>
          <w:tcPr>
            <w:tcW w:w="1126" w:type="dxa"/>
            <w:tcBorders>
              <w:top w:val="single" w:sz="4" w:space="0" w:color="auto"/>
              <w:left w:val="single" w:sz="4" w:space="0" w:color="auto"/>
              <w:bottom w:val="single" w:sz="4" w:space="0" w:color="auto"/>
              <w:right w:val="single" w:sz="4" w:space="0" w:color="auto"/>
            </w:tcBorders>
            <w:shd w:val="clear" w:color="auto" w:fill="auto"/>
          </w:tcPr>
          <w:p w:rsidR="000357BE" w:rsidRPr="00FD05CB" w:rsidRDefault="000357BE" w:rsidP="00CB2FBB">
            <w:pPr>
              <w:pStyle w:val="Tabletext"/>
            </w:pPr>
            <w:r w:rsidRPr="00FD05CB">
              <w:t>1539</w:t>
            </w:r>
          </w:p>
        </w:tc>
        <w:tc>
          <w:tcPr>
            <w:tcW w:w="861" w:type="dxa"/>
            <w:tcBorders>
              <w:top w:val="single" w:sz="4" w:space="0" w:color="auto"/>
              <w:left w:val="single" w:sz="4" w:space="0" w:color="auto"/>
              <w:bottom w:val="single" w:sz="4" w:space="0" w:color="auto"/>
              <w:right w:val="single" w:sz="4" w:space="0" w:color="auto"/>
            </w:tcBorders>
            <w:shd w:val="clear" w:color="auto" w:fill="auto"/>
          </w:tcPr>
          <w:p w:rsidR="000357BE" w:rsidRPr="00FD05CB" w:rsidRDefault="000357BE" w:rsidP="00CB2FBB">
            <w:pPr>
              <w:pStyle w:val="Tabletext"/>
            </w:pPr>
            <w:r w:rsidRPr="00FD05CB">
              <w:t>1</w:t>
            </w:r>
          </w:p>
        </w:tc>
        <w:tc>
          <w:tcPr>
            <w:tcW w:w="1261" w:type="dxa"/>
            <w:tcBorders>
              <w:top w:val="single" w:sz="4" w:space="0" w:color="auto"/>
              <w:left w:val="single" w:sz="4" w:space="0" w:color="auto"/>
              <w:bottom w:val="single" w:sz="4" w:space="0" w:color="auto"/>
              <w:right w:val="single" w:sz="4" w:space="0" w:color="auto"/>
            </w:tcBorders>
            <w:shd w:val="clear" w:color="auto" w:fill="auto"/>
          </w:tcPr>
          <w:p w:rsidR="000357BE" w:rsidRPr="00FD05CB" w:rsidRDefault="000357BE" w:rsidP="00CB2FBB">
            <w:pPr>
              <w:pStyle w:val="Tabletext"/>
            </w:pPr>
            <w:r w:rsidRPr="00FD05CB">
              <w:t>MODFLOW</w:t>
            </w:r>
          </w:p>
        </w:tc>
      </w:tr>
      <w:tr w:rsidR="000357BE" w:rsidRPr="00FD05CB" w:rsidTr="00BE7A62">
        <w:tc>
          <w:tcPr>
            <w:tcW w:w="1443" w:type="dxa"/>
            <w:tcBorders>
              <w:top w:val="single" w:sz="4" w:space="0" w:color="auto"/>
              <w:left w:val="single" w:sz="4" w:space="0" w:color="auto"/>
              <w:bottom w:val="single" w:sz="4" w:space="0" w:color="auto"/>
              <w:right w:val="single" w:sz="4" w:space="0" w:color="auto"/>
            </w:tcBorders>
            <w:shd w:val="clear" w:color="auto" w:fill="auto"/>
          </w:tcPr>
          <w:p w:rsidR="000357BE" w:rsidRPr="00FD05CB" w:rsidRDefault="000357BE" w:rsidP="00CB2FBB">
            <w:pPr>
              <w:pStyle w:val="Tabletext"/>
            </w:pPr>
            <w:r w:rsidRPr="00FD05CB">
              <w:t>GABTRAN</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0357BE" w:rsidRPr="00FD05CB" w:rsidRDefault="000357BE" w:rsidP="00CB2FBB">
            <w:pPr>
              <w:pStyle w:val="Tabletext"/>
            </w:pPr>
            <w:r w:rsidRPr="00FD05CB">
              <w:t>Welsh (2006)</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0357BE" w:rsidRPr="00FD05CB" w:rsidRDefault="000357BE" w:rsidP="00CB2FBB">
            <w:pPr>
              <w:pStyle w:val="Tabletext"/>
            </w:pPr>
            <w:r w:rsidRPr="00FD05CB">
              <w:t>water resources</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0357BE" w:rsidRPr="00FD05CB" w:rsidRDefault="000357BE" w:rsidP="00CB2FBB">
            <w:pPr>
              <w:pStyle w:val="Tabletext"/>
            </w:pPr>
            <w:r w:rsidRPr="00FD05CB">
              <w:t xml:space="preserve">All </w:t>
            </w:r>
          </w:p>
        </w:tc>
        <w:tc>
          <w:tcPr>
            <w:tcW w:w="1126" w:type="dxa"/>
            <w:tcBorders>
              <w:top w:val="single" w:sz="4" w:space="0" w:color="auto"/>
              <w:left w:val="single" w:sz="4" w:space="0" w:color="auto"/>
              <w:bottom w:val="single" w:sz="4" w:space="0" w:color="auto"/>
              <w:right w:val="single" w:sz="4" w:space="0" w:color="auto"/>
            </w:tcBorders>
            <w:shd w:val="clear" w:color="auto" w:fill="auto"/>
          </w:tcPr>
          <w:p w:rsidR="000357BE" w:rsidRPr="00FD05CB" w:rsidRDefault="000357BE" w:rsidP="00CB2FBB">
            <w:pPr>
              <w:pStyle w:val="Tabletext"/>
            </w:pPr>
            <w:r w:rsidRPr="00FD05CB">
              <w:t>1539</w:t>
            </w:r>
          </w:p>
        </w:tc>
        <w:tc>
          <w:tcPr>
            <w:tcW w:w="861" w:type="dxa"/>
            <w:tcBorders>
              <w:top w:val="single" w:sz="4" w:space="0" w:color="auto"/>
              <w:left w:val="single" w:sz="4" w:space="0" w:color="auto"/>
              <w:bottom w:val="single" w:sz="4" w:space="0" w:color="auto"/>
              <w:right w:val="single" w:sz="4" w:space="0" w:color="auto"/>
            </w:tcBorders>
            <w:shd w:val="clear" w:color="auto" w:fill="auto"/>
          </w:tcPr>
          <w:p w:rsidR="000357BE" w:rsidRPr="00FD05CB" w:rsidRDefault="000357BE" w:rsidP="00CB2FBB">
            <w:pPr>
              <w:pStyle w:val="Tabletext"/>
            </w:pPr>
            <w:r w:rsidRPr="00FD05CB">
              <w:t>1</w:t>
            </w:r>
          </w:p>
        </w:tc>
        <w:tc>
          <w:tcPr>
            <w:tcW w:w="1261" w:type="dxa"/>
            <w:tcBorders>
              <w:top w:val="single" w:sz="4" w:space="0" w:color="auto"/>
              <w:left w:val="single" w:sz="4" w:space="0" w:color="auto"/>
              <w:bottom w:val="single" w:sz="4" w:space="0" w:color="auto"/>
              <w:right w:val="single" w:sz="4" w:space="0" w:color="auto"/>
            </w:tcBorders>
            <w:shd w:val="clear" w:color="auto" w:fill="auto"/>
          </w:tcPr>
          <w:p w:rsidR="000357BE" w:rsidRPr="00FD05CB" w:rsidRDefault="000357BE" w:rsidP="00CB2FBB">
            <w:pPr>
              <w:pStyle w:val="Tabletext"/>
            </w:pPr>
            <w:r w:rsidRPr="00FD05CB">
              <w:t>MODFLOW</w:t>
            </w:r>
          </w:p>
        </w:tc>
      </w:tr>
      <w:tr w:rsidR="000357BE" w:rsidRPr="00FD05CB" w:rsidTr="00BE7A62">
        <w:tc>
          <w:tcPr>
            <w:tcW w:w="1443" w:type="dxa"/>
            <w:tcBorders>
              <w:top w:val="single" w:sz="4" w:space="0" w:color="auto"/>
              <w:left w:val="single" w:sz="4" w:space="0" w:color="auto"/>
              <w:bottom w:val="single" w:sz="4" w:space="0" w:color="auto"/>
              <w:right w:val="single" w:sz="4" w:space="0" w:color="auto"/>
            </w:tcBorders>
            <w:shd w:val="clear" w:color="auto" w:fill="auto"/>
          </w:tcPr>
          <w:p w:rsidR="000357BE" w:rsidRDefault="000357BE" w:rsidP="00CB2FBB">
            <w:pPr>
              <w:pStyle w:val="Tabletext"/>
            </w:pPr>
            <w:r w:rsidRPr="00FD05CB">
              <w:t>Mount Margaret project</w:t>
            </w:r>
          </w:p>
          <w:p w:rsidR="00BE7A62" w:rsidRPr="00FD05CB" w:rsidRDefault="00BE7A62" w:rsidP="00CB2FBB">
            <w:pPr>
              <w:pStyle w:val="Tabletext"/>
            </w:pPr>
          </w:p>
        </w:tc>
        <w:tc>
          <w:tcPr>
            <w:tcW w:w="0" w:type="auto"/>
            <w:tcBorders>
              <w:top w:val="single" w:sz="4" w:space="0" w:color="auto"/>
              <w:left w:val="single" w:sz="4" w:space="0" w:color="auto"/>
              <w:bottom w:val="single" w:sz="4" w:space="0" w:color="auto"/>
              <w:right w:val="single" w:sz="4" w:space="0" w:color="auto"/>
            </w:tcBorders>
            <w:shd w:val="clear" w:color="auto" w:fill="auto"/>
          </w:tcPr>
          <w:p w:rsidR="000357BE" w:rsidRPr="00FD05CB" w:rsidRDefault="000357BE" w:rsidP="00CB2FBB">
            <w:pPr>
              <w:pStyle w:val="Tabletext"/>
            </w:pPr>
            <w:r w:rsidRPr="00DD140E">
              <w:t>AGE (1999)</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0357BE" w:rsidRPr="00FD05CB" w:rsidRDefault="000357BE" w:rsidP="00CB2FBB">
            <w:pPr>
              <w:pStyle w:val="Tabletext"/>
            </w:pPr>
            <w:r w:rsidRPr="00FD05CB">
              <w:t>mine dewatering</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0357BE" w:rsidRPr="00FD05CB" w:rsidRDefault="000357BE" w:rsidP="00CB2FBB">
            <w:pPr>
              <w:pStyle w:val="Tabletext"/>
            </w:pPr>
            <w:r w:rsidRPr="005B06FF">
              <w:t>Carpe</w:t>
            </w:r>
            <w:r>
              <w:t>ntaria Basin</w:t>
            </w:r>
          </w:p>
        </w:tc>
        <w:tc>
          <w:tcPr>
            <w:tcW w:w="1126" w:type="dxa"/>
            <w:tcBorders>
              <w:top w:val="single" w:sz="4" w:space="0" w:color="auto"/>
              <w:left w:val="single" w:sz="4" w:space="0" w:color="auto"/>
              <w:bottom w:val="single" w:sz="4" w:space="0" w:color="auto"/>
              <w:right w:val="single" w:sz="4" w:space="0" w:color="auto"/>
            </w:tcBorders>
            <w:shd w:val="clear" w:color="auto" w:fill="auto"/>
          </w:tcPr>
          <w:p w:rsidR="000357BE" w:rsidRPr="00FD05CB" w:rsidRDefault="000357BE" w:rsidP="00CB2FBB">
            <w:pPr>
              <w:pStyle w:val="Tabletext"/>
            </w:pPr>
            <w:r w:rsidRPr="00FD05CB">
              <w:t>5</w:t>
            </w:r>
          </w:p>
        </w:tc>
        <w:tc>
          <w:tcPr>
            <w:tcW w:w="861" w:type="dxa"/>
            <w:tcBorders>
              <w:top w:val="single" w:sz="4" w:space="0" w:color="auto"/>
              <w:left w:val="single" w:sz="4" w:space="0" w:color="auto"/>
              <w:bottom w:val="single" w:sz="4" w:space="0" w:color="auto"/>
              <w:right w:val="single" w:sz="4" w:space="0" w:color="auto"/>
            </w:tcBorders>
            <w:shd w:val="clear" w:color="auto" w:fill="auto"/>
          </w:tcPr>
          <w:p w:rsidR="000357BE" w:rsidRPr="00FD05CB" w:rsidRDefault="000357BE" w:rsidP="00CB2FBB">
            <w:pPr>
              <w:pStyle w:val="Tabletext"/>
            </w:pPr>
            <w:r w:rsidRPr="00FD05CB">
              <w:t>2</w:t>
            </w:r>
          </w:p>
        </w:tc>
        <w:tc>
          <w:tcPr>
            <w:tcW w:w="1261" w:type="dxa"/>
            <w:tcBorders>
              <w:top w:val="single" w:sz="4" w:space="0" w:color="auto"/>
              <w:left w:val="single" w:sz="4" w:space="0" w:color="auto"/>
              <w:bottom w:val="single" w:sz="4" w:space="0" w:color="auto"/>
              <w:right w:val="single" w:sz="4" w:space="0" w:color="auto"/>
            </w:tcBorders>
            <w:shd w:val="clear" w:color="auto" w:fill="auto"/>
          </w:tcPr>
          <w:p w:rsidR="000357BE" w:rsidRPr="00FD05CB" w:rsidRDefault="000357BE" w:rsidP="00CB2FBB">
            <w:pPr>
              <w:pStyle w:val="Tabletext"/>
            </w:pPr>
            <w:r w:rsidRPr="00FD05CB">
              <w:t>MODFLOW</w:t>
            </w:r>
          </w:p>
        </w:tc>
      </w:tr>
      <w:tr w:rsidR="000357BE" w:rsidRPr="00FD05CB" w:rsidTr="00BE7A62">
        <w:tc>
          <w:tcPr>
            <w:tcW w:w="1443" w:type="dxa"/>
            <w:tcBorders>
              <w:top w:val="single" w:sz="4" w:space="0" w:color="auto"/>
              <w:left w:val="single" w:sz="4" w:space="0" w:color="auto"/>
              <w:bottom w:val="single" w:sz="4" w:space="0" w:color="auto"/>
              <w:right w:val="single" w:sz="4" w:space="0" w:color="auto"/>
            </w:tcBorders>
            <w:shd w:val="clear" w:color="auto" w:fill="auto"/>
          </w:tcPr>
          <w:p w:rsidR="000357BE" w:rsidRPr="00FD05CB" w:rsidRDefault="000357BE" w:rsidP="00CB2FBB">
            <w:pPr>
              <w:pStyle w:val="Tabletext"/>
            </w:pPr>
            <w:r w:rsidRPr="00FD05CB">
              <w:lastRenderedPageBreak/>
              <w:t>Olympic Dam dewatering</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0357BE" w:rsidRPr="00FD05CB" w:rsidRDefault="000357BE" w:rsidP="00CB2FBB">
            <w:pPr>
              <w:pStyle w:val="Tabletext"/>
            </w:pPr>
            <w:r w:rsidRPr="00FD05CB">
              <w:t>BHP</w:t>
            </w:r>
            <w:r>
              <w:t xml:space="preserve"> </w:t>
            </w:r>
            <w:r w:rsidRPr="00FD05CB">
              <w:t>B</w:t>
            </w:r>
            <w:r>
              <w:t>illiton</w:t>
            </w:r>
            <w:r w:rsidRPr="00FD05CB">
              <w:t xml:space="preserve"> (2009)</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0357BE" w:rsidRPr="00FD05CB" w:rsidRDefault="000357BE" w:rsidP="00CB2FBB">
            <w:pPr>
              <w:pStyle w:val="Tabletext"/>
            </w:pPr>
            <w:r w:rsidRPr="00FD05CB">
              <w:t>mine dewatering</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0357BE" w:rsidRPr="00FD05CB" w:rsidRDefault="000357BE" w:rsidP="00CB2FBB">
            <w:pPr>
              <w:pStyle w:val="Tabletext"/>
            </w:pPr>
            <w:r>
              <w:t>Eromanga Basin</w:t>
            </w:r>
          </w:p>
        </w:tc>
        <w:tc>
          <w:tcPr>
            <w:tcW w:w="1126" w:type="dxa"/>
            <w:tcBorders>
              <w:top w:val="single" w:sz="4" w:space="0" w:color="auto"/>
              <w:left w:val="single" w:sz="4" w:space="0" w:color="auto"/>
              <w:bottom w:val="single" w:sz="4" w:space="0" w:color="auto"/>
              <w:right w:val="single" w:sz="4" w:space="0" w:color="auto"/>
            </w:tcBorders>
            <w:shd w:val="clear" w:color="auto" w:fill="auto"/>
          </w:tcPr>
          <w:p w:rsidR="000357BE" w:rsidRPr="00FD05CB" w:rsidRDefault="000357BE" w:rsidP="00CB2FBB">
            <w:pPr>
              <w:pStyle w:val="Tabletext"/>
            </w:pPr>
            <w:r w:rsidRPr="00FD05CB">
              <w:t>26</w:t>
            </w:r>
          </w:p>
        </w:tc>
        <w:tc>
          <w:tcPr>
            <w:tcW w:w="861" w:type="dxa"/>
            <w:tcBorders>
              <w:top w:val="single" w:sz="4" w:space="0" w:color="auto"/>
              <w:left w:val="single" w:sz="4" w:space="0" w:color="auto"/>
              <w:bottom w:val="single" w:sz="4" w:space="0" w:color="auto"/>
              <w:right w:val="single" w:sz="4" w:space="0" w:color="auto"/>
            </w:tcBorders>
            <w:shd w:val="clear" w:color="auto" w:fill="auto"/>
          </w:tcPr>
          <w:p w:rsidR="000357BE" w:rsidRPr="00FD05CB" w:rsidRDefault="000357BE" w:rsidP="00CB2FBB">
            <w:pPr>
              <w:pStyle w:val="Tabletext"/>
            </w:pPr>
            <w:r w:rsidRPr="00FD05CB">
              <w:t>8</w:t>
            </w:r>
          </w:p>
        </w:tc>
        <w:tc>
          <w:tcPr>
            <w:tcW w:w="1261" w:type="dxa"/>
            <w:tcBorders>
              <w:top w:val="single" w:sz="4" w:space="0" w:color="auto"/>
              <w:left w:val="single" w:sz="4" w:space="0" w:color="auto"/>
              <w:bottom w:val="single" w:sz="4" w:space="0" w:color="auto"/>
              <w:right w:val="single" w:sz="4" w:space="0" w:color="auto"/>
            </w:tcBorders>
            <w:shd w:val="clear" w:color="auto" w:fill="auto"/>
          </w:tcPr>
          <w:p w:rsidR="000357BE" w:rsidRPr="00FD05CB" w:rsidRDefault="000357BE" w:rsidP="00CB2FBB">
            <w:pPr>
              <w:pStyle w:val="Tabletext"/>
            </w:pPr>
            <w:r w:rsidRPr="00FD05CB">
              <w:t>FEFLOW</w:t>
            </w:r>
          </w:p>
        </w:tc>
      </w:tr>
      <w:tr w:rsidR="000357BE" w:rsidRPr="00FD05CB" w:rsidTr="00BE7A62">
        <w:tc>
          <w:tcPr>
            <w:tcW w:w="1443" w:type="dxa"/>
            <w:tcBorders>
              <w:top w:val="single" w:sz="4" w:space="0" w:color="auto"/>
              <w:left w:val="single" w:sz="4" w:space="0" w:color="auto"/>
              <w:bottom w:val="single" w:sz="4" w:space="0" w:color="auto"/>
              <w:right w:val="single" w:sz="4" w:space="0" w:color="auto"/>
            </w:tcBorders>
            <w:shd w:val="clear" w:color="auto" w:fill="auto"/>
          </w:tcPr>
          <w:p w:rsidR="000357BE" w:rsidRPr="00FD05CB" w:rsidRDefault="000357BE" w:rsidP="00CB2FBB">
            <w:pPr>
              <w:pStyle w:val="Tabletext"/>
            </w:pPr>
            <w:r w:rsidRPr="00FD05CB">
              <w:t>Olympic Dam ODEX5</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0357BE" w:rsidRPr="00FD05CB" w:rsidRDefault="000357BE" w:rsidP="00CB2FBB">
            <w:pPr>
              <w:pStyle w:val="Tabletext"/>
            </w:pPr>
            <w:r w:rsidRPr="00FD05CB">
              <w:t>Berry (2005)</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0357BE" w:rsidRPr="00FD05CB" w:rsidRDefault="000357BE" w:rsidP="00CB2FBB">
            <w:pPr>
              <w:pStyle w:val="Tabletext"/>
            </w:pPr>
            <w:r w:rsidRPr="00FD05CB">
              <w:t>borefield production</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0357BE" w:rsidRPr="00FD05CB" w:rsidRDefault="000357BE" w:rsidP="00CB2FBB">
            <w:pPr>
              <w:pStyle w:val="Tabletext"/>
            </w:pPr>
            <w:r>
              <w:t>Eromanga Basin</w:t>
            </w:r>
          </w:p>
        </w:tc>
        <w:tc>
          <w:tcPr>
            <w:tcW w:w="1126" w:type="dxa"/>
            <w:tcBorders>
              <w:top w:val="single" w:sz="4" w:space="0" w:color="auto"/>
              <w:left w:val="single" w:sz="4" w:space="0" w:color="auto"/>
              <w:bottom w:val="single" w:sz="4" w:space="0" w:color="auto"/>
              <w:right w:val="single" w:sz="4" w:space="0" w:color="auto"/>
            </w:tcBorders>
            <w:shd w:val="clear" w:color="auto" w:fill="auto"/>
          </w:tcPr>
          <w:p w:rsidR="000357BE" w:rsidRPr="00FD05CB" w:rsidRDefault="000357BE" w:rsidP="00CB2FBB">
            <w:pPr>
              <w:pStyle w:val="Tabletext"/>
            </w:pPr>
            <w:r w:rsidRPr="00FD05CB">
              <w:t>196</w:t>
            </w:r>
          </w:p>
        </w:tc>
        <w:tc>
          <w:tcPr>
            <w:tcW w:w="861" w:type="dxa"/>
            <w:tcBorders>
              <w:top w:val="single" w:sz="4" w:space="0" w:color="auto"/>
              <w:left w:val="single" w:sz="4" w:space="0" w:color="auto"/>
              <w:bottom w:val="single" w:sz="4" w:space="0" w:color="auto"/>
              <w:right w:val="single" w:sz="4" w:space="0" w:color="auto"/>
            </w:tcBorders>
            <w:shd w:val="clear" w:color="auto" w:fill="auto"/>
          </w:tcPr>
          <w:p w:rsidR="000357BE" w:rsidRPr="00FD05CB" w:rsidRDefault="000357BE" w:rsidP="00CB2FBB">
            <w:pPr>
              <w:pStyle w:val="Tabletext"/>
            </w:pPr>
            <w:r w:rsidRPr="00FD05CB">
              <w:t>4</w:t>
            </w:r>
          </w:p>
        </w:tc>
        <w:tc>
          <w:tcPr>
            <w:tcW w:w="1261" w:type="dxa"/>
            <w:tcBorders>
              <w:top w:val="single" w:sz="4" w:space="0" w:color="auto"/>
              <w:left w:val="single" w:sz="4" w:space="0" w:color="auto"/>
              <w:bottom w:val="single" w:sz="4" w:space="0" w:color="auto"/>
              <w:right w:val="single" w:sz="4" w:space="0" w:color="auto"/>
            </w:tcBorders>
            <w:shd w:val="clear" w:color="auto" w:fill="auto"/>
          </w:tcPr>
          <w:p w:rsidR="000357BE" w:rsidRPr="00FD05CB" w:rsidRDefault="000357BE" w:rsidP="00CB2FBB">
            <w:pPr>
              <w:pStyle w:val="Tabletext"/>
            </w:pPr>
            <w:r w:rsidRPr="00FD05CB">
              <w:t>MODFLOW</w:t>
            </w:r>
          </w:p>
        </w:tc>
      </w:tr>
      <w:tr w:rsidR="000357BE" w:rsidRPr="00FD05CB" w:rsidTr="00BE7A62">
        <w:tc>
          <w:tcPr>
            <w:tcW w:w="1443" w:type="dxa"/>
            <w:tcBorders>
              <w:top w:val="single" w:sz="4" w:space="0" w:color="auto"/>
              <w:left w:val="single" w:sz="4" w:space="0" w:color="auto"/>
              <w:right w:val="single" w:sz="4" w:space="0" w:color="auto"/>
            </w:tcBorders>
            <w:shd w:val="clear" w:color="auto" w:fill="auto"/>
          </w:tcPr>
          <w:p w:rsidR="000357BE" w:rsidRPr="00FD05CB" w:rsidRDefault="000357BE" w:rsidP="00CB2FBB">
            <w:pPr>
              <w:pStyle w:val="Tabletext"/>
            </w:pPr>
            <w:r w:rsidRPr="00FD05CB">
              <w:t>Prominent Hill PH5</w:t>
            </w:r>
          </w:p>
        </w:tc>
        <w:tc>
          <w:tcPr>
            <w:tcW w:w="0" w:type="auto"/>
            <w:tcBorders>
              <w:top w:val="single" w:sz="4" w:space="0" w:color="auto"/>
              <w:left w:val="single" w:sz="4" w:space="0" w:color="auto"/>
              <w:right w:val="single" w:sz="4" w:space="0" w:color="auto"/>
            </w:tcBorders>
            <w:shd w:val="clear" w:color="auto" w:fill="auto"/>
          </w:tcPr>
          <w:p w:rsidR="000357BE" w:rsidRPr="00FD05CB" w:rsidRDefault="000357BE" w:rsidP="00CB2FBB">
            <w:pPr>
              <w:pStyle w:val="Tabletext"/>
            </w:pPr>
            <w:r w:rsidRPr="00FD05CB">
              <w:t>SKM (2010)</w:t>
            </w:r>
          </w:p>
        </w:tc>
        <w:tc>
          <w:tcPr>
            <w:tcW w:w="0" w:type="auto"/>
            <w:tcBorders>
              <w:top w:val="single" w:sz="4" w:space="0" w:color="auto"/>
              <w:left w:val="single" w:sz="4" w:space="0" w:color="auto"/>
              <w:right w:val="single" w:sz="4" w:space="0" w:color="auto"/>
            </w:tcBorders>
            <w:shd w:val="clear" w:color="auto" w:fill="auto"/>
          </w:tcPr>
          <w:p w:rsidR="000357BE" w:rsidRPr="00FD05CB" w:rsidRDefault="000357BE" w:rsidP="00CB2FBB">
            <w:pPr>
              <w:pStyle w:val="Tabletext"/>
            </w:pPr>
            <w:r w:rsidRPr="00FD05CB">
              <w:t>borefield production,</w:t>
            </w:r>
          </w:p>
          <w:p w:rsidR="000357BE" w:rsidRPr="00FD05CB" w:rsidRDefault="000357BE" w:rsidP="00CB2FBB">
            <w:pPr>
              <w:pStyle w:val="Tabletext"/>
            </w:pPr>
            <w:r w:rsidRPr="00FD05CB">
              <w:t>mine dewatering</w:t>
            </w:r>
          </w:p>
        </w:tc>
        <w:tc>
          <w:tcPr>
            <w:tcW w:w="0" w:type="auto"/>
            <w:tcBorders>
              <w:top w:val="single" w:sz="4" w:space="0" w:color="auto"/>
              <w:left w:val="single" w:sz="4" w:space="0" w:color="auto"/>
              <w:right w:val="single" w:sz="4" w:space="0" w:color="auto"/>
            </w:tcBorders>
            <w:shd w:val="clear" w:color="auto" w:fill="auto"/>
          </w:tcPr>
          <w:p w:rsidR="000357BE" w:rsidRPr="00FD05CB" w:rsidRDefault="000357BE" w:rsidP="00CB2FBB">
            <w:pPr>
              <w:pStyle w:val="Tabletext"/>
            </w:pPr>
            <w:r>
              <w:t>Eromanga Basin</w:t>
            </w:r>
          </w:p>
        </w:tc>
        <w:tc>
          <w:tcPr>
            <w:tcW w:w="1126" w:type="dxa"/>
            <w:tcBorders>
              <w:top w:val="single" w:sz="4" w:space="0" w:color="auto"/>
              <w:left w:val="single" w:sz="4" w:space="0" w:color="auto"/>
              <w:right w:val="single" w:sz="4" w:space="0" w:color="auto"/>
            </w:tcBorders>
            <w:shd w:val="clear" w:color="auto" w:fill="auto"/>
          </w:tcPr>
          <w:p w:rsidR="000357BE" w:rsidRPr="00FD05CB" w:rsidRDefault="000357BE" w:rsidP="00CB2FBB">
            <w:pPr>
              <w:pStyle w:val="Tabletext"/>
            </w:pPr>
            <w:r w:rsidRPr="00FD05CB">
              <w:t>13</w:t>
            </w:r>
          </w:p>
        </w:tc>
        <w:tc>
          <w:tcPr>
            <w:tcW w:w="861" w:type="dxa"/>
            <w:tcBorders>
              <w:top w:val="single" w:sz="4" w:space="0" w:color="auto"/>
              <w:left w:val="single" w:sz="4" w:space="0" w:color="auto"/>
              <w:right w:val="single" w:sz="4" w:space="0" w:color="auto"/>
            </w:tcBorders>
            <w:shd w:val="clear" w:color="auto" w:fill="auto"/>
          </w:tcPr>
          <w:p w:rsidR="000357BE" w:rsidRPr="00FD05CB" w:rsidRDefault="000357BE" w:rsidP="00CB2FBB">
            <w:pPr>
              <w:pStyle w:val="Tabletext"/>
            </w:pPr>
            <w:r w:rsidRPr="00FD05CB">
              <w:t>6</w:t>
            </w:r>
          </w:p>
        </w:tc>
        <w:tc>
          <w:tcPr>
            <w:tcW w:w="1261" w:type="dxa"/>
            <w:tcBorders>
              <w:top w:val="single" w:sz="4" w:space="0" w:color="auto"/>
              <w:left w:val="single" w:sz="4" w:space="0" w:color="auto"/>
              <w:right w:val="single" w:sz="4" w:space="0" w:color="auto"/>
            </w:tcBorders>
            <w:shd w:val="clear" w:color="auto" w:fill="auto"/>
          </w:tcPr>
          <w:p w:rsidR="000357BE" w:rsidRPr="00FD05CB" w:rsidRDefault="000357BE" w:rsidP="00CB2FBB">
            <w:pPr>
              <w:pStyle w:val="Tabletext"/>
            </w:pPr>
            <w:r w:rsidRPr="00FD05CB">
              <w:t>MODFLOW</w:t>
            </w:r>
          </w:p>
        </w:tc>
      </w:tr>
    </w:tbl>
    <w:p w:rsidR="00DB63B7" w:rsidRDefault="00DB63B7" w:rsidP="001C3374">
      <w:pPr>
        <w:pStyle w:val="Body"/>
      </w:pPr>
    </w:p>
    <w:p w:rsidR="00DD07AF" w:rsidRDefault="00DD07AF" w:rsidP="005F6513">
      <w:pPr>
        <w:pStyle w:val="Heading2"/>
      </w:pPr>
      <w:bookmarkStart w:id="577" w:name="_Toc381961136"/>
      <w:bookmarkStart w:id="578" w:name="_Toc389055239"/>
      <w:r>
        <w:t>Aquifer connectivity</w:t>
      </w:r>
      <w:bookmarkEnd w:id="577"/>
      <w:bookmarkEnd w:id="578"/>
    </w:p>
    <w:p w:rsidR="00DD07AF" w:rsidRDefault="00DD07AF" w:rsidP="00DB63B7">
      <w:pPr>
        <w:pStyle w:val="BRNormal"/>
      </w:pPr>
      <w:r>
        <w:t xml:space="preserve">From the research presented in the preceding sections, it </w:t>
      </w:r>
      <w:r w:rsidR="003C1824">
        <w:t>can</w:t>
      </w:r>
      <w:r>
        <w:t xml:space="preserve"> be seen that studies of aquifer connectivity in the </w:t>
      </w:r>
      <w:r w:rsidR="000C6964">
        <w:t>GAB</w:t>
      </w:r>
      <w:r>
        <w:t xml:space="preserve"> are relatively few. The hydraulic connection between two aquifers separated by an aquitard will be a function of the hydraulic properties of each of the units, particularly the confining unit. </w:t>
      </w:r>
      <w:r w:rsidRPr="002E1639">
        <w:t>Historically, the GAB was conceptualised as a binary layered system of aquifers and confining beds.</w:t>
      </w:r>
      <w:r>
        <w:t xml:space="preserve"> A recent reclassification of the hydrostratigraphy of the GAB by GABWRA (CSIRO 2012a</w:t>
      </w:r>
      <w:r w:rsidR="00DB63B7">
        <w:t>; CSIRO 2012</w:t>
      </w:r>
      <w:r>
        <w:t>b</w:t>
      </w:r>
      <w:r w:rsidR="00DB63B7">
        <w:t>; CSIRO 2012</w:t>
      </w:r>
      <w:r w:rsidR="00167E75">
        <w:t>c</w:t>
      </w:r>
      <w:r>
        <w:t xml:space="preserve">) has expanded the definition of confining unit to include three aquitard types of varying hydraulic conductivity: leaky aquitards, tight aquitards and aquicludes. Distinctions are also now made between aquifers and partial aquifers. The classification of a given </w:t>
      </w:r>
      <w:r w:rsidRPr="0048476A">
        <w:t xml:space="preserve">hydrogeological unit </w:t>
      </w:r>
      <w:r>
        <w:t xml:space="preserve">is also spatially dependent. This revision was motivated by various observations of aquifer connectivity throughout the GAB. Anomalous decreases in potentiometric pressure that are coincident with major displacement faults have been observed in </w:t>
      </w:r>
      <w:r w:rsidRPr="0049585B">
        <w:t>the northeas</w:t>
      </w:r>
      <w:r>
        <w:t>t of the Erom</w:t>
      </w:r>
      <w:r w:rsidR="003C1824">
        <w:t>anga Basin. The Eromanga Basin d</w:t>
      </w:r>
      <w:r>
        <w:t>epocentre features widespread faulting and displacement of aquifers. As described in section 5.2, p</w:t>
      </w:r>
      <w:r w:rsidRPr="0048476A">
        <w:t>olygonal fault</w:t>
      </w:r>
      <w:r>
        <w:t>ing</w:t>
      </w:r>
      <w:r w:rsidRPr="0048476A">
        <w:t xml:space="preserve"> </w:t>
      </w:r>
      <w:r>
        <w:t xml:space="preserve">has been observed in the </w:t>
      </w:r>
      <w:r w:rsidRPr="00462520">
        <w:t xml:space="preserve">Rolling Downs Group </w:t>
      </w:r>
      <w:r>
        <w:t xml:space="preserve">aquitard throughout </w:t>
      </w:r>
      <w:r w:rsidRPr="0048476A">
        <w:t xml:space="preserve">the deeper </w:t>
      </w:r>
      <w:r>
        <w:t xml:space="preserve">regions of </w:t>
      </w:r>
      <w:r w:rsidRPr="0048476A">
        <w:t xml:space="preserve">the </w:t>
      </w:r>
      <w:r>
        <w:t>c</w:t>
      </w:r>
      <w:r w:rsidRPr="0048476A">
        <w:t xml:space="preserve">entral </w:t>
      </w:r>
      <w:r>
        <w:t xml:space="preserve">part of the </w:t>
      </w:r>
      <w:r w:rsidR="00DB63B7">
        <w:t>Eromanga Basin.</w:t>
      </w:r>
      <w:r>
        <w:t xml:space="preserve"> In summary, significant tectonic disruption of the Eromanga Basin has compromised the sealing capacity of (what were traditionally viewed as) confi</w:t>
      </w:r>
      <w:r w:rsidR="003C1824">
        <w:t>ning beds in many parts of the B</w:t>
      </w:r>
      <w:r>
        <w:t xml:space="preserve">asin. </w:t>
      </w:r>
    </w:p>
    <w:p w:rsidR="003C1824" w:rsidRDefault="00DD07AF" w:rsidP="003C1824">
      <w:pPr>
        <w:pStyle w:val="BRNormal"/>
      </w:pPr>
      <w:r>
        <w:t>The connectivity between hydrogeological units may also be inferred from the vertical hydraulic gradient between them. A</w:t>
      </w:r>
      <w:r w:rsidRPr="00153B35">
        <w:t>s described in section 5.5</w:t>
      </w:r>
      <w:r>
        <w:t>, in a deep basin such as the GAB hydraulic heads need to be corrected to account for the confounding effects of varying groundwater densities. The GABWRA project produced pressure elevation plots in which pressure differences between coincident bores or piezometers (i.e. one sited in the watertable aquifer, the other sited in the Cadna-Owie-Hooray aquifers) were compared. Differences were calculated for three study areas in the GAB (</w:t>
      </w:r>
      <w:r w:rsidRPr="00B72B60">
        <w:rPr>
          <w:color w:val="auto"/>
        </w:rPr>
        <w:t>Figure</w:t>
      </w:r>
      <w:r w:rsidR="00DB63B7">
        <w:rPr>
          <w:color w:val="auto"/>
        </w:rPr>
        <w:t xml:space="preserve"> </w:t>
      </w:r>
      <w:r w:rsidR="00FA5429">
        <w:rPr>
          <w:color w:val="auto"/>
        </w:rPr>
        <w:t>17</w:t>
      </w:r>
      <w:r w:rsidR="00DB63B7">
        <w:rPr>
          <w:color w:val="auto"/>
        </w:rPr>
        <w:t>(</w:t>
      </w:r>
      <w:r>
        <w:rPr>
          <w:color w:val="auto"/>
        </w:rPr>
        <w:t>a</w:t>
      </w:r>
      <w:r w:rsidR="00DB63B7">
        <w:rPr>
          <w:color w:val="auto"/>
        </w:rPr>
        <w:t>)</w:t>
      </w:r>
      <w:r>
        <w:t xml:space="preserve">) and are presented in </w:t>
      </w:r>
      <w:r w:rsidRPr="00B72B60">
        <w:rPr>
          <w:color w:val="auto"/>
        </w:rPr>
        <w:t xml:space="preserve">Figure </w:t>
      </w:r>
      <w:r w:rsidR="00FA5429">
        <w:rPr>
          <w:color w:val="auto"/>
        </w:rPr>
        <w:t>17</w:t>
      </w:r>
      <w:r>
        <w:rPr>
          <w:color w:val="auto"/>
        </w:rPr>
        <w:t>(b)</w:t>
      </w:r>
      <w:r w:rsidRPr="00B72B60">
        <w:rPr>
          <w:color w:val="auto"/>
        </w:rPr>
        <w:t xml:space="preserve"> below</w:t>
      </w:r>
      <w:r w:rsidR="003C1824">
        <w:t xml:space="preserve">. </w:t>
      </w:r>
    </w:p>
    <w:p w:rsidR="00DD07AF" w:rsidRDefault="00DD07AF" w:rsidP="001C3374">
      <w:pPr>
        <w:pStyle w:val="Body"/>
      </w:pPr>
      <w:r>
        <w:rPr>
          <w:noProof/>
          <w:lang w:val="en-AU" w:eastAsia="en-AU"/>
        </w:rPr>
        <w:lastRenderedPageBreak/>
        <w:drawing>
          <wp:inline distT="0" distB="0" distL="0" distR="0">
            <wp:extent cx="2700000" cy="2696083"/>
            <wp:effectExtent l="19050" t="0" r="5100" b="0"/>
            <wp:docPr id="12" name="Picture 11" descr="GAB_pressure-depth_plot_locations_v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B_pressure-depth_plot_locations_v1.png"/>
                    <pic:cNvPicPr/>
                  </pic:nvPicPr>
                  <pic:blipFill>
                    <a:blip r:embed="rId43" cstate="email"/>
                    <a:stretch>
                      <a:fillRect/>
                    </a:stretch>
                  </pic:blipFill>
                  <pic:spPr>
                    <a:xfrm>
                      <a:off x="0" y="0"/>
                      <a:ext cx="2700000" cy="2696083"/>
                    </a:xfrm>
                    <a:prstGeom prst="rect">
                      <a:avLst/>
                    </a:prstGeom>
                  </pic:spPr>
                </pic:pic>
              </a:graphicData>
            </a:graphic>
          </wp:inline>
        </w:drawing>
      </w:r>
      <w:r>
        <w:t xml:space="preserve">  </w:t>
      </w:r>
      <w:r>
        <w:rPr>
          <w:noProof/>
          <w:lang w:val="en-AU" w:eastAsia="en-AU"/>
        </w:rPr>
        <w:drawing>
          <wp:inline distT="0" distB="0" distL="0" distR="0">
            <wp:extent cx="2915542" cy="2880000"/>
            <wp:effectExtent l="1905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4" cstate="email"/>
                    <a:srcRect/>
                    <a:stretch>
                      <a:fillRect/>
                    </a:stretch>
                  </pic:blipFill>
                  <pic:spPr bwMode="auto">
                    <a:xfrm>
                      <a:off x="0" y="0"/>
                      <a:ext cx="2915542" cy="2880000"/>
                    </a:xfrm>
                    <a:prstGeom prst="rect">
                      <a:avLst/>
                    </a:prstGeom>
                    <a:noFill/>
                  </pic:spPr>
                </pic:pic>
              </a:graphicData>
            </a:graphic>
          </wp:inline>
        </w:drawing>
      </w:r>
    </w:p>
    <w:p w:rsidR="00DD07AF" w:rsidRDefault="00DB63B7" w:rsidP="00DB63B7">
      <w:pPr>
        <w:pStyle w:val="Caption"/>
      </w:pPr>
      <w:r w:rsidRPr="00EA5A48">
        <w:t xml:space="preserve">Figure </w:t>
      </w:r>
      <w:r w:rsidR="00E23933" w:rsidRPr="00EA5A48">
        <w:rPr>
          <w:b/>
        </w:rPr>
        <w:fldChar w:fldCharType="begin"/>
      </w:r>
      <w:r w:rsidRPr="00EA5A48">
        <w:instrText xml:space="preserve"> SEQ Figure \* ARABIC </w:instrText>
      </w:r>
      <w:r w:rsidR="00E23933" w:rsidRPr="00EA5A48">
        <w:rPr>
          <w:b/>
        </w:rPr>
        <w:fldChar w:fldCharType="separate"/>
      </w:r>
      <w:r>
        <w:t>17</w:t>
      </w:r>
      <w:r w:rsidR="00E23933" w:rsidRPr="00EA5A48">
        <w:rPr>
          <w:b/>
        </w:rPr>
        <w:fldChar w:fldCharType="end"/>
      </w:r>
      <w:r w:rsidR="00F161F2">
        <w:t xml:space="preserve"> </w:t>
      </w:r>
      <w:r w:rsidR="00DD07AF">
        <w:t>(a)</w:t>
      </w:r>
      <w:r w:rsidR="00DD07AF" w:rsidRPr="002F59A4">
        <w:t xml:space="preserve"> </w:t>
      </w:r>
      <w:r w:rsidR="003C1824">
        <w:t>Left-hand side map shows l</w:t>
      </w:r>
      <w:r w:rsidR="00DD07AF">
        <w:t xml:space="preserve">ocations of </w:t>
      </w:r>
      <w:r w:rsidR="00DD07AF" w:rsidRPr="002F59A4">
        <w:t>pressure-elevatio</w:t>
      </w:r>
      <w:r w:rsidR="00DD07AF">
        <w:t xml:space="preserve">n studies in the Eromanga Basin and (b) </w:t>
      </w:r>
      <w:r w:rsidR="003C1824">
        <w:t xml:space="preserve">right-hand side graph shows </w:t>
      </w:r>
      <w:r w:rsidR="00DD07AF">
        <w:t>pressure-elevation plots for locations indicated (</w:t>
      </w:r>
      <w:r w:rsidR="00F976E1">
        <w:t>© </w:t>
      </w:r>
      <w:r w:rsidR="003C1824">
        <w:t>Copyright,</w:t>
      </w:r>
      <w:r w:rsidR="00DD07AF">
        <w:t xml:space="preserve"> CSIRO 2012b)</w:t>
      </w:r>
      <w:r>
        <w:t>.</w:t>
      </w:r>
    </w:p>
    <w:p w:rsidR="00117243" w:rsidRDefault="00117243" w:rsidP="00DB63B7">
      <w:pPr>
        <w:pStyle w:val="BRNormal"/>
      </w:pPr>
    </w:p>
    <w:p w:rsidR="00DD07AF" w:rsidRDefault="00DD07AF" w:rsidP="00DB63B7">
      <w:pPr>
        <w:pStyle w:val="BRNormal"/>
      </w:pPr>
      <w:r>
        <w:t>Dashe</w:t>
      </w:r>
      <w:r w:rsidRPr="00016ED8">
        <w:t xml:space="preserve">d lines represent the hydrostatic gradients for each study area </w:t>
      </w:r>
      <w:r>
        <w:t xml:space="preserve">and solid </w:t>
      </w:r>
      <w:r w:rsidRPr="00016ED8">
        <w:t xml:space="preserve">lines represent the observed trend in vertical flow. </w:t>
      </w:r>
      <w:r>
        <w:t>T</w:t>
      </w:r>
      <w:r w:rsidRPr="00016ED8">
        <w:t xml:space="preserve">rend lines </w:t>
      </w:r>
      <w:r>
        <w:t>derived from o</w:t>
      </w:r>
      <w:r w:rsidRPr="00016ED8">
        <w:t xml:space="preserve">bserved </w:t>
      </w:r>
      <w:r>
        <w:t xml:space="preserve">data </w:t>
      </w:r>
      <w:r w:rsidRPr="00016ED8">
        <w:t xml:space="preserve">that plot </w:t>
      </w:r>
      <w:r>
        <w:t>below</w:t>
      </w:r>
      <w:r w:rsidRPr="00016ED8">
        <w:t xml:space="preserve"> the hydrostatic gradient indicate downward pressure gradients. This is true for the red data series, which was observed in a recharge area on the eastern margin of the Basin. Conversely, trend lines that plot </w:t>
      </w:r>
      <w:r>
        <w:t xml:space="preserve">above </w:t>
      </w:r>
      <w:r w:rsidRPr="00016ED8">
        <w:t>the hydrostatic gradient indicate upward pressure gradients. This is true for the remaining data series, which were observed in the west (blue) and south (purple) of the Basin.</w:t>
      </w:r>
    </w:p>
    <w:p w:rsidR="00DD07AF" w:rsidRDefault="00DD07AF" w:rsidP="00D80933">
      <w:pPr>
        <w:pStyle w:val="BRNormal"/>
      </w:pPr>
      <w:r>
        <w:t xml:space="preserve">Currently, there have been no significant studies of stress-induced connectivity in the GAB. Similarly, studies of aquifer connectivity using </w:t>
      </w:r>
      <w:r w:rsidRPr="00AD1CBC">
        <w:t>hydrochemical or isotopic methods</w:t>
      </w:r>
      <w:r>
        <w:t xml:space="preserve"> are limited. Borehole leakage in the GAB was identified in a limited study by Habermehl (2009). Recent studies of groundwater discharge in the GAB represent some of the most relevant research relating to aquifer connectivity to-date. Various discharge studies have identified the role of faults and fractures as preferential paths for groundwater flow (Crossey et al. 2012; Wolaver</w:t>
      </w:r>
      <w:r w:rsidR="003C1824">
        <w:t> </w:t>
      </w:r>
      <w:r>
        <w:t xml:space="preserve">2012). Other studies have quantified the rate of diffuse vertical leakage from GAB aquifers which, although often </w:t>
      </w:r>
      <w:r w:rsidRPr="00C9744E">
        <w:t>infinitesimal</w:t>
      </w:r>
      <w:r>
        <w:t>, can occur over broad areas and thereby constitute a significant component of groundwater fluxes (Harrington et al. 2012).</w:t>
      </w:r>
    </w:p>
    <w:p w:rsidR="00DD07AF" w:rsidRDefault="00DD07AF" w:rsidP="005F6513">
      <w:pPr>
        <w:pStyle w:val="Heading2"/>
      </w:pPr>
      <w:bookmarkStart w:id="579" w:name="_Toc381961137"/>
      <w:bookmarkStart w:id="580" w:name="_Toc389055240"/>
      <w:r>
        <w:t>Knowledge gaps</w:t>
      </w:r>
      <w:bookmarkEnd w:id="579"/>
      <w:bookmarkEnd w:id="580"/>
    </w:p>
    <w:p w:rsidR="00DD07AF" w:rsidRPr="0070369A" w:rsidRDefault="00DD07AF" w:rsidP="00D80933">
      <w:pPr>
        <w:pStyle w:val="BRNormal"/>
      </w:pPr>
      <w:r>
        <w:t xml:space="preserve">The following knowledge gaps relating to aquifer connectivity in the </w:t>
      </w:r>
      <w:r w:rsidR="000C6964">
        <w:t>GAB</w:t>
      </w:r>
      <w:r>
        <w:t xml:space="preserve"> have been identified in this review:</w:t>
      </w:r>
    </w:p>
    <w:p w:rsidR="00DD07AF" w:rsidRDefault="00DD07AF" w:rsidP="00D80933">
      <w:pPr>
        <w:pStyle w:val="Bulletpoint"/>
      </w:pPr>
      <w:r>
        <w:t xml:space="preserve">Currently available measurements of hydraulic properties are sufficient for a general characterisation of GAB hydrogeological units. However, in order to address regional or local-scale groundwater management issues, location-specific hydrogeological characterisation would be required. In comparison to aquifers, the hydraulic </w:t>
      </w:r>
      <w:r w:rsidRPr="00FA7F8D">
        <w:t xml:space="preserve">properties </w:t>
      </w:r>
      <w:r>
        <w:t>of aquitards have been</w:t>
      </w:r>
      <w:r w:rsidRPr="00FA7F8D">
        <w:t xml:space="preserve"> relatively poorly characterised</w:t>
      </w:r>
      <w:r>
        <w:t xml:space="preserve"> and summaries of the hydraulic properties of aquitard units are not currently available. For example, the summaries of </w:t>
      </w:r>
      <w:r>
        <w:lastRenderedPageBreak/>
        <w:t>geological unit permeabilities by CSIRO (2012b) and Bradshaw et al. (2010) presented here focus predominantly on the properties of aquifer (mostly sandstone) units.</w:t>
      </w:r>
    </w:p>
    <w:p w:rsidR="00DD07AF" w:rsidRDefault="00DD07AF" w:rsidP="00D80933">
      <w:pPr>
        <w:pStyle w:val="Bulletpoint"/>
      </w:pPr>
      <w:r>
        <w:t xml:space="preserve">In comparison to differences in </w:t>
      </w:r>
      <w:r w:rsidRPr="000678E8">
        <w:t xml:space="preserve">hydraulic properties </w:t>
      </w:r>
      <w:r>
        <w:t xml:space="preserve">between </w:t>
      </w:r>
      <w:r w:rsidRPr="000678E8">
        <w:t xml:space="preserve">hydrogeological </w:t>
      </w:r>
      <w:r>
        <w:t>units, t</w:t>
      </w:r>
      <w:r w:rsidRPr="000678E8">
        <w:t xml:space="preserve">he variability </w:t>
      </w:r>
      <w:r>
        <w:t xml:space="preserve">of properties </w:t>
      </w:r>
      <w:r w:rsidRPr="000678E8">
        <w:t>within units is poorly characterised</w:t>
      </w:r>
      <w:r>
        <w:t>. In the past, this has contributed to a simplified conceptualisation of vertical connectivity in the GAB, involving lateral flow through aquifers that are confined by aquitard units. The recent reconceptualisation of the GABWRA (</w:t>
      </w:r>
      <w:r w:rsidR="00D80933">
        <w:t>CSIRO 2012a; CSIRO 2012b; CSIRO 2012c</w:t>
      </w:r>
      <w:r>
        <w:t>) has expanded the classification of aquitard units to account for the variability of hydraulic properties. For the purposes of addressing groundwater management issues, such variability would need to be characterised at a regional or local scale.</w:t>
      </w:r>
    </w:p>
    <w:p w:rsidR="00DD07AF" w:rsidRDefault="00DD07AF" w:rsidP="00D80933">
      <w:pPr>
        <w:pStyle w:val="Bulletpoint"/>
      </w:pPr>
      <w:r>
        <w:t>In-depth studies of the geomechanical properties of GAB units have not been undertaken. Consequently, the potential for changes in hydraulic properties due to changes in stress regimes has not been studied in the GAB. National-scale datasets of horizontal stress directions and magnitudes are available; however, for the purposes of addressing groundwater management issues, regional- or local-scale studies of the stress regimes associated with major faults and fractures in the GAB would need to be undertaken.</w:t>
      </w:r>
    </w:p>
    <w:p w:rsidR="00DD07AF" w:rsidRPr="00277AFF" w:rsidRDefault="00DD07AF" w:rsidP="00D80933">
      <w:pPr>
        <w:pStyle w:val="Bulletpoint"/>
      </w:pPr>
      <w:r>
        <w:t>Other than Habermehl (2009), no other published studies have investigated the occurrence of borehole leakage in the GAB. A broader knowledge of past incidents would assist the minimisation of future occurrences through a greater understanding of casing and/or grout interactions with surrounding media.</w:t>
      </w:r>
    </w:p>
    <w:p w:rsidR="00DD07AF" w:rsidRDefault="00DD07AF" w:rsidP="00D80933">
      <w:pPr>
        <w:pStyle w:val="Bulletpoint"/>
      </w:pPr>
      <w:r>
        <w:t xml:space="preserve">Field-based studies of diffuse recharge are limited in the Eromanga Basin, and have not been undertaken in the Carpentaria Basin; this represents a significant knowledge gap, since rates of recharge may vary considerably with latitude. Although localised recharge from rivers and creeks has </w:t>
      </w:r>
      <w:r w:rsidRPr="00A174C2">
        <w:t xml:space="preserve">been </w:t>
      </w:r>
      <w:r>
        <w:t xml:space="preserve">identified </w:t>
      </w:r>
      <w:r w:rsidRPr="00A174C2">
        <w:t>along the eastern margin of the Eromanga and Carpentaria Basins</w:t>
      </w:r>
      <w:r>
        <w:t>, rates of recharge (as well as the spatial variability and temporal dynamics thereof) have not been estimated. The quantification of recharge rates is of high importance, since the hydraulic gradients produced by recharge influxes are the primary driver of groundwater flow in the GAB. The robustness of predictions produced numerical models used to guide decision making in the GAB are heavily dependent upon accurate quantification of recharge fluxes.</w:t>
      </w:r>
    </w:p>
    <w:p w:rsidR="00DD07AF" w:rsidRDefault="00DD07AF" w:rsidP="00D80933">
      <w:pPr>
        <w:pStyle w:val="Bulletpoint"/>
      </w:pPr>
      <w:r>
        <w:t>Studies of GAB hydrochemistry and isotopes have historically focu</w:t>
      </w:r>
      <w:r w:rsidR="001F21BF">
        <w:t>s</w:t>
      </w:r>
      <w:r>
        <w:t>ed upon characterising horizontal groundwater flow and mixing in aquifers. The use of similar tools to identify and quantify aquifer connectivity has rarely been undertaken.</w:t>
      </w:r>
      <w:r w:rsidRPr="003D4A79">
        <w:t xml:space="preserve"> </w:t>
      </w:r>
      <w:r>
        <w:t>In comparison to GAB aquifers, the hydrochemistry of aquitards is relatively poorly characterised.</w:t>
      </w:r>
    </w:p>
    <w:p w:rsidR="00DD07AF" w:rsidRDefault="00DD07AF" w:rsidP="00D80933">
      <w:pPr>
        <w:pStyle w:val="Bulletpoint"/>
      </w:pPr>
      <w:r>
        <w:t>Numerical models of groundwater flow in the GAB have historically focu</w:t>
      </w:r>
      <w:r w:rsidR="001F21BF">
        <w:t>s</w:t>
      </w:r>
      <w:r>
        <w:t>ed on single-phase flow; consequently, no published studies of multi-phase flow modelling currently exist. This type of modelling would be particularly pertinent to future impact assessments involving mixed-phase flow (e.g. water and gas) in the GAB. Similarly, geomechanical modelling of the potential effects induced by changes in stress fields in the GAB (e.g. due to fluid</w:t>
      </w:r>
      <w:r w:rsidRPr="005B06FF">
        <w:t xml:space="preserve"> </w:t>
      </w:r>
      <w:r>
        <w:t xml:space="preserve">and </w:t>
      </w:r>
      <w:r w:rsidRPr="005B06FF">
        <w:t>gas extraction or injection</w:t>
      </w:r>
      <w:r>
        <w:t>) is not publicly available. This type of modelling could assist impact assessments in the vicinity of tectonic stress features such as faults and fractures.</w:t>
      </w:r>
    </w:p>
    <w:p w:rsidR="00DD07AF" w:rsidRDefault="00DD07AF" w:rsidP="00D80933">
      <w:pPr>
        <w:pStyle w:val="Bulletpoint"/>
      </w:pPr>
      <w:r>
        <w:t xml:space="preserve">Measurements of vertical hydraulic head gradients are currently limited to those of </w:t>
      </w:r>
      <w:r>
        <w:lastRenderedPageBreak/>
        <w:t>CSIRO (2012b) presented in Section 5.9. The availability of vertical head gradient data is restricted to locations where wells that are sited in different aquifers are located in close proximity. Mapping of vertical gradients at a basinal-scale has not been undertaken. Where available, vertical hydraulic head gradient data provide valuable first-order insights into aquifer connectivity.</w:t>
      </w:r>
    </w:p>
    <w:p w:rsidR="00DD07AF" w:rsidRDefault="00DD07AF" w:rsidP="001C3374">
      <w:pPr>
        <w:rPr>
          <w:rFonts w:ascii="Calibri-Bold" w:hAnsi="Calibri-Bold" w:cs="Calibri-Bold"/>
          <w:color w:val="00AEEF"/>
          <w:sz w:val="30"/>
          <w:szCs w:val="30"/>
        </w:rPr>
      </w:pPr>
      <w:r>
        <w:br w:type="page"/>
      </w:r>
    </w:p>
    <w:p w:rsidR="00DD07AF" w:rsidRDefault="00DD07AF" w:rsidP="005F6513">
      <w:pPr>
        <w:pStyle w:val="Heading1"/>
      </w:pPr>
      <w:bookmarkStart w:id="581" w:name="_Toc381961138"/>
      <w:bookmarkStart w:id="582" w:name="_Toc389055241"/>
      <w:r>
        <w:lastRenderedPageBreak/>
        <w:t>Aquifer connectivity in the Surat Basin</w:t>
      </w:r>
      <w:bookmarkEnd w:id="581"/>
      <w:bookmarkEnd w:id="582"/>
    </w:p>
    <w:p w:rsidR="00DD07AF" w:rsidRDefault="00DD07AF" w:rsidP="005F6513">
      <w:pPr>
        <w:pStyle w:val="Heading2"/>
      </w:pPr>
      <w:bookmarkStart w:id="583" w:name="_Toc381961139"/>
      <w:bookmarkStart w:id="584" w:name="_Toc389055242"/>
      <w:r>
        <w:t xml:space="preserve">Major aquifer and </w:t>
      </w:r>
      <w:r w:rsidRPr="00FA5429">
        <w:t>aquitard</w:t>
      </w:r>
      <w:r>
        <w:t xml:space="preserve"> </w:t>
      </w:r>
      <w:r w:rsidRPr="00D80933">
        <w:t>stratigraphy</w:t>
      </w:r>
      <w:bookmarkEnd w:id="583"/>
      <w:bookmarkEnd w:id="584"/>
    </w:p>
    <w:p w:rsidR="00DD07AF" w:rsidRDefault="002B7FA6" w:rsidP="00D80933">
      <w:pPr>
        <w:pStyle w:val="BRNormal"/>
      </w:pPr>
      <w:r>
        <w:t>The Surat Basin is a geological basin, and forms part of the GAB</w:t>
      </w:r>
      <w:r w:rsidR="003C1824">
        <w:t xml:space="preserve"> (Figure 1)</w:t>
      </w:r>
      <w:r>
        <w:t xml:space="preserve">. </w:t>
      </w:r>
      <w:r w:rsidR="00DD07AF">
        <w:t>An</w:t>
      </w:r>
      <w:r w:rsidR="00DD07AF" w:rsidRPr="00FE196F">
        <w:t xml:space="preserve"> outline of the </w:t>
      </w:r>
      <w:r w:rsidR="00DD07AF">
        <w:t xml:space="preserve">major </w:t>
      </w:r>
      <w:r w:rsidR="00DD07AF" w:rsidRPr="00FE196F">
        <w:t xml:space="preserve">geological evolution and </w:t>
      </w:r>
      <w:r w:rsidR="00DD07AF">
        <w:t>hydrostratigraphy of the Surat B</w:t>
      </w:r>
      <w:r w:rsidR="00DD07AF" w:rsidRPr="00FE196F">
        <w:t>asin i</w:t>
      </w:r>
      <w:r w:rsidR="00DD07AF">
        <w:t>s</w:t>
      </w:r>
      <w:r w:rsidR="00DD07AF" w:rsidRPr="00FE196F">
        <w:t xml:space="preserve"> included in the general description of the G</w:t>
      </w:r>
      <w:r>
        <w:t>AB</w:t>
      </w:r>
      <w:r w:rsidR="00DD07AF" w:rsidRPr="00FE196F">
        <w:t xml:space="preserve"> in </w:t>
      </w:r>
      <w:r>
        <w:t>C</w:t>
      </w:r>
      <w:r w:rsidR="00DD07AF" w:rsidRPr="00FE196F">
        <w:t>hapter</w:t>
      </w:r>
      <w:r w:rsidR="00DD07AF">
        <w:t xml:space="preserve"> 5</w:t>
      </w:r>
      <w:r w:rsidR="00DD07AF" w:rsidRPr="00FE196F">
        <w:t xml:space="preserve">. From the hydrostratigraphic sequence </w:t>
      </w:r>
      <w:r w:rsidR="00DD07AF">
        <w:t xml:space="preserve">presented </w:t>
      </w:r>
      <w:r w:rsidR="00DD07AF" w:rsidRPr="00FE196F">
        <w:t xml:space="preserve">in </w:t>
      </w:r>
      <w:r w:rsidR="00DD07AF">
        <w:t>Figure</w:t>
      </w:r>
      <w:r w:rsidR="00DD07AF" w:rsidRPr="00FE196F">
        <w:t xml:space="preserve"> </w:t>
      </w:r>
      <w:r w:rsidR="00526F71">
        <w:t>15</w:t>
      </w:r>
      <w:r w:rsidR="00DD07AF" w:rsidRPr="00FE196F">
        <w:t xml:space="preserve"> it is clear however that there are some distinct differences between the Surat Basin and </w:t>
      </w:r>
      <w:r w:rsidR="00DD07AF">
        <w:t>other geological basins of</w:t>
      </w:r>
      <w:r w:rsidR="00DD07AF" w:rsidRPr="00FE196F">
        <w:t xml:space="preserve"> the GAB.</w:t>
      </w:r>
    </w:p>
    <w:p w:rsidR="00DD07AF" w:rsidRDefault="00DD07AF" w:rsidP="00D80933">
      <w:pPr>
        <w:pStyle w:val="BRNormal"/>
      </w:pPr>
      <w:r>
        <w:t>Figure</w:t>
      </w:r>
      <w:r w:rsidRPr="00272992">
        <w:t xml:space="preserve"> </w:t>
      </w:r>
      <w:r w:rsidR="00FA5429">
        <w:t>18</w:t>
      </w:r>
      <w:r w:rsidRPr="00272992">
        <w:t xml:space="preserve"> shows a more detailed lithostratigraphic table of the Surat </w:t>
      </w:r>
      <w:r>
        <w:t xml:space="preserve">Basin </w:t>
      </w:r>
      <w:r w:rsidRPr="00272992">
        <w:t xml:space="preserve">and </w:t>
      </w:r>
      <w:r>
        <w:t>neighbouring</w:t>
      </w:r>
      <w:r w:rsidRPr="00272992">
        <w:t xml:space="preserve"> </w:t>
      </w:r>
      <w:r>
        <w:t xml:space="preserve">geological </w:t>
      </w:r>
      <w:r w:rsidRPr="00272992">
        <w:t>basins (CSIRO 2012</w:t>
      </w:r>
      <w:r>
        <w:t>c</w:t>
      </w:r>
      <w:r w:rsidRPr="00272992">
        <w:t xml:space="preserve">). At least five fining upwards sequences are described in the Surat Basin. The base of </w:t>
      </w:r>
      <w:r>
        <w:t xml:space="preserve">each </w:t>
      </w:r>
      <w:r w:rsidRPr="00272992">
        <w:t>sequence mostly consists of coarse quart</w:t>
      </w:r>
      <w:r>
        <w:t>z</w:t>
      </w:r>
      <w:r w:rsidRPr="00272992">
        <w:t>o</w:t>
      </w:r>
      <w:r>
        <w:t>s</w:t>
      </w:r>
      <w:r w:rsidRPr="00272992">
        <w:t>e sandstones deposited in braided rivers. These sediments form the main aquifers in the Surat Basin. Braided rivers grade into meandering rivers, floodplains and lacustrine environments in which finer grained material is deposited and coal can be formed. These formations generally form aquitards, although they can act locally</w:t>
      </w:r>
      <w:r>
        <w:t xml:space="preserve"> </w:t>
      </w:r>
      <w:r w:rsidRPr="00E4678C">
        <w:t>as aquifers</w:t>
      </w:r>
      <w:r w:rsidRPr="00272992">
        <w:t>, due to presence of sandsto</w:t>
      </w:r>
      <w:r>
        <w:t>ne or even conglomerate members</w:t>
      </w:r>
      <w:r w:rsidRPr="00272992">
        <w:t>.</w:t>
      </w:r>
    </w:p>
    <w:p w:rsidR="008B41DF" w:rsidRDefault="008B41DF" w:rsidP="00D80933">
      <w:pPr>
        <w:pStyle w:val="BRNormal"/>
      </w:pPr>
      <w:r>
        <w:t>The first Jurassic aquifer above the unconformity that marks the bottom of the Surat Basin is the Precipice Sandstone. Beneath this unconformity the Moolayember Formation acts as an aquitard and separates the Surat Basin from the permeable Clematis Sandstone and Rewan and Bandanna Formations in the Bowen Basin. The Precipice Sandstone is considered the start of a supersequence (Hoffmann et al. 2009) and is deposited by a braided fluvial system. With increased subsidence, this system evolved into a system with meandering streams and deltas in which the finer grained material of the Evergreen Formation was deposited. The Evergreen Formation is therefore considered to be a leaky aquitard. The Boxvale Sandstone Member of this formation is considered an aquifer as it is a well-sorted, fine- to medium-grained sandstone, representing either a shoreline or lacustrine environment (Hoffmann</w:t>
      </w:r>
      <w:r w:rsidR="003C1824">
        <w:t> </w:t>
      </w:r>
      <w:r>
        <w:t>et</w:t>
      </w:r>
      <w:r w:rsidR="003C1824">
        <w:t> </w:t>
      </w:r>
      <w:r>
        <w:t>al.</w:t>
      </w:r>
      <w:r w:rsidR="003C1824">
        <w:t> </w:t>
      </w:r>
      <w:r>
        <w:t>2009).</w:t>
      </w:r>
    </w:p>
    <w:p w:rsidR="008B41DF" w:rsidRDefault="008B41DF" w:rsidP="00D80933">
      <w:pPr>
        <w:pStyle w:val="BRNormal"/>
      </w:pPr>
      <w:r>
        <w:t xml:space="preserve">The Hutton Sandstone marks the onset of a second sequence in the Surat Basin and is classified as an aquifer. It represents a sudden drop in erosional base level and a return to a more fluvial environment with meandering streams. This again grades into a fluvial, swampy and even lacustrine depositional environment with the sedimentation of the Eurombah Formation and Walloon Coal Measures. Both the Walloon Coal Measures and the Eurombah Formation are considered leaky aquitards because they are dominated by low-permeable sediments such as coal, siltstone and mudstone. There </w:t>
      </w:r>
      <w:proofErr w:type="gramStart"/>
      <w:r>
        <w:t>are</w:t>
      </w:r>
      <w:proofErr w:type="gramEnd"/>
      <w:r>
        <w:t xml:space="preserve"> however several sandstone and even conglomerate beds present in the Eurombah Formation. It should be noted that the Eurombah Formation interfingers with both the Hutton Sandstone and the Walloon Coal Measures.</w:t>
      </w:r>
    </w:p>
    <w:p w:rsidR="008B41DF" w:rsidRDefault="008B41DF" w:rsidP="00D80933">
      <w:pPr>
        <w:pStyle w:val="BRNormal"/>
      </w:pPr>
      <w:r>
        <w:t xml:space="preserve">On top of the Walloon Coal Measures, a third fining upwards sequence is recognised on seismic profiles (Hoffmann et al. 2009), which consists of the permeable Springbok Sandstone that grades into the coastal plain deposits of the Westbourne Formation. Due to its fine-grained nature and dominance of coal, mudstone and siltstone, this formation is classified as a tight aquitard. The Springbok Sandstone lies unconformably on the Walloon </w:t>
      </w:r>
      <w:r>
        <w:lastRenderedPageBreak/>
        <w:t>Coal Measures and has an erosional base. This implies that locally the Springbok Sandstone can be in direct contact with sandstone layers or coal seams of the Walloon Coal Measures.</w:t>
      </w:r>
    </w:p>
    <w:p w:rsidR="008B41DF" w:rsidRDefault="008B41DF" w:rsidP="001C3374">
      <w:pPr>
        <w:pStyle w:val="Body"/>
      </w:pPr>
    </w:p>
    <w:p w:rsidR="00DD07AF" w:rsidRDefault="00DD07AF" w:rsidP="001C3374">
      <w:pPr>
        <w:pStyle w:val="Body"/>
      </w:pPr>
      <w:r w:rsidRPr="00645992">
        <w:rPr>
          <w:noProof/>
          <w:lang w:val="en-AU" w:eastAsia="en-AU"/>
        </w:rPr>
        <w:drawing>
          <wp:inline distT="0" distB="0" distL="0" distR="0">
            <wp:extent cx="5762625" cy="5631359"/>
            <wp:effectExtent l="19050" t="0" r="9525" b="0"/>
            <wp:docPr id="15" name="Picture 1" descr="12-6172-15"/>
            <wp:cNvGraphicFramePr/>
            <a:graphic xmlns:a="http://schemas.openxmlformats.org/drawingml/2006/main">
              <a:graphicData uri="http://schemas.openxmlformats.org/drawingml/2006/picture">
                <pic:pic xmlns:pic="http://schemas.openxmlformats.org/drawingml/2006/picture">
                  <pic:nvPicPr>
                    <pic:cNvPr id="6181" name="Picture 37" descr="12-6172-15"/>
                    <pic:cNvPicPr>
                      <a:picLocks noChangeAspect="1" noChangeArrowheads="1"/>
                    </pic:cNvPicPr>
                  </pic:nvPicPr>
                  <pic:blipFill>
                    <a:blip r:embed="rId45" cstate="email"/>
                    <a:srcRect/>
                    <a:stretch>
                      <a:fillRect/>
                    </a:stretch>
                  </pic:blipFill>
                  <pic:spPr bwMode="auto">
                    <a:xfrm>
                      <a:off x="0" y="0"/>
                      <a:ext cx="5762625" cy="5631359"/>
                    </a:xfrm>
                    <a:prstGeom prst="rect">
                      <a:avLst/>
                    </a:prstGeom>
                    <a:noFill/>
                  </pic:spPr>
                </pic:pic>
              </a:graphicData>
            </a:graphic>
          </wp:inline>
        </w:drawing>
      </w:r>
    </w:p>
    <w:p w:rsidR="00DD07AF" w:rsidRDefault="00D80933" w:rsidP="00D80933">
      <w:pPr>
        <w:pStyle w:val="Caption"/>
      </w:pPr>
      <w:r w:rsidRPr="00EA5A48">
        <w:t xml:space="preserve">Figure </w:t>
      </w:r>
      <w:r w:rsidR="00E23933" w:rsidRPr="00EA5A48">
        <w:rPr>
          <w:b/>
        </w:rPr>
        <w:fldChar w:fldCharType="begin"/>
      </w:r>
      <w:r w:rsidRPr="00EA5A48">
        <w:instrText xml:space="preserve"> SEQ Figure \* ARABIC </w:instrText>
      </w:r>
      <w:r w:rsidR="00E23933" w:rsidRPr="00EA5A48">
        <w:rPr>
          <w:b/>
        </w:rPr>
        <w:fldChar w:fldCharType="separate"/>
      </w:r>
      <w:r w:rsidR="00FA5429">
        <w:t>18</w:t>
      </w:r>
      <w:r w:rsidR="00E23933" w:rsidRPr="00EA5A48">
        <w:rPr>
          <w:b/>
        </w:rPr>
        <w:fldChar w:fldCharType="end"/>
      </w:r>
      <w:r>
        <w:rPr>
          <w:b/>
        </w:rPr>
        <w:t xml:space="preserve"> </w:t>
      </w:r>
      <w:r w:rsidR="00DD07AF" w:rsidRPr="00FE196F">
        <w:t>Lithostratigraphic table of Surat and surrounding basins with hydrostratigraphic interpretation</w:t>
      </w:r>
      <w:r w:rsidR="00DD07AF">
        <w:t xml:space="preserve"> </w:t>
      </w:r>
      <w:r w:rsidR="00DD07AF" w:rsidRPr="00FE196F">
        <w:t>(</w:t>
      </w:r>
      <w:r w:rsidR="00F976E1">
        <w:t>©</w:t>
      </w:r>
      <w:r w:rsidR="003C1824">
        <w:t xml:space="preserve"> Copyright, </w:t>
      </w:r>
      <w:r w:rsidR="00DD07AF" w:rsidRPr="00FE196F">
        <w:t>CSIRO 2012</w:t>
      </w:r>
      <w:r w:rsidR="00DD07AF">
        <w:t>c</w:t>
      </w:r>
      <w:r w:rsidR="00DD07AF" w:rsidRPr="00FE196F">
        <w:t>)</w:t>
      </w:r>
      <w:r>
        <w:t>.</w:t>
      </w:r>
    </w:p>
    <w:p w:rsidR="00DD07AF" w:rsidRDefault="00DD07AF" w:rsidP="001C3374">
      <w:pPr>
        <w:pStyle w:val="Body"/>
      </w:pPr>
    </w:p>
    <w:p w:rsidR="00DD07AF" w:rsidRDefault="00DD07AF" w:rsidP="00D80933">
      <w:pPr>
        <w:pStyle w:val="BRNormal"/>
      </w:pPr>
      <w:r>
        <w:t xml:space="preserve">The sedimentation of the Westbourne Formation is followed by deposition of the Gubberamunda Sandstone. These fluvial deposits again form an aquifer that is confined by a finer-grained deposit, the Orallo Formation. These sediments </w:t>
      </w:r>
      <w:r w:rsidR="008B41DF">
        <w:t>we</w:t>
      </w:r>
      <w:r>
        <w:t xml:space="preserve">re deposited in </w:t>
      </w:r>
      <w:r w:rsidR="008B41DF">
        <w:t xml:space="preserve">a </w:t>
      </w:r>
      <w:r>
        <w:t xml:space="preserve">fluvio-lacustrine environment, which implies that while they act as low-permeable layer on </w:t>
      </w:r>
      <w:r w:rsidR="008B41DF">
        <w:t>a regional scale, local</w:t>
      </w:r>
      <w:r>
        <w:t xml:space="preserve"> aquifers can be present in sandstone members.</w:t>
      </w:r>
    </w:p>
    <w:p w:rsidR="00DD07AF" w:rsidRDefault="00DD07AF" w:rsidP="00D80933">
      <w:pPr>
        <w:pStyle w:val="BRNormal"/>
      </w:pPr>
      <w:r>
        <w:t xml:space="preserve">The final Jurassic sequence in the Surat </w:t>
      </w:r>
      <w:r w:rsidR="008B41DF">
        <w:t xml:space="preserve">Basin </w:t>
      </w:r>
      <w:r>
        <w:t>is formed by the coarse sediments of the Mooga Sandstone, considered an aquifer, covered and confined by the Bungil Formation.</w:t>
      </w:r>
      <w:r w:rsidR="008B41DF">
        <w:t xml:space="preserve"> </w:t>
      </w:r>
      <w:r>
        <w:t>The Gubberamunda to Bungil succession in the Surat Basin is equivalent to the Cadna-</w:t>
      </w:r>
      <w:r>
        <w:lastRenderedPageBreak/>
        <w:t>Owie-Hooray deposits in the Eromanga Basin. In both basins, these Late Jurassic deposits are covered by the marine Cretaceous mudstones of the Rolling Downs Group. These include the Doncaster Member, Wallumbilla Formation, Surat Siltstone and Griman Creek Formation, all considered leaky aquitards. Only the Coreena Member is classified as a partial aquifer.</w:t>
      </w:r>
    </w:p>
    <w:p w:rsidR="00DD07AF" w:rsidRDefault="00DD07AF" w:rsidP="00D80933">
      <w:pPr>
        <w:pStyle w:val="BRNormal"/>
      </w:pPr>
      <w:r>
        <w:t xml:space="preserve">The Clarence-Moreton Basin is located east of the Surat Basin, separated by the Kumbarilla Ridge. A clear lithostratigraphic correlation exists between both basins (Figure </w:t>
      </w:r>
      <w:r w:rsidR="00FA5429">
        <w:t>18</w:t>
      </w:r>
      <w:r>
        <w:t>) and the sedimentary sequence can be considered continuous across the Ridge. The Woogaroo Subgroup is equivalent to the Precipice Sandstone and the Hutton Sandstone corresponds to the Koukandowie Formation in the Marburg Subgroup. The Walloon Coal Measures are present in both basins. The Kumbarilla Beds are equivalent to and connected with the Hutton, Gubberamunda and Mooga Sandstone Aquifers. The Rolling Downs Group is not present in the Clarence-Moreton Basin; the Jurassic deposits are instead covered by Tertiary Volcanics, mostly basalts, and the Tertiary Condamine A</w:t>
      </w:r>
      <w:r w:rsidRPr="00BF6CC3">
        <w:t>lluvium</w:t>
      </w:r>
      <w:r>
        <w:t>. The latter unconformably overlies the Walloon Coal Measures. The Condamine Alluvium is up to 150</w:t>
      </w:r>
      <w:r w:rsidR="000E3A2D">
        <w:t> </w:t>
      </w:r>
      <w:r>
        <w:t>m thick and contains coarse sediments, especially near the base of the formation, making it an important unconfined aquifer that supports agriculture in the Condamine Valley (CSIRO 2008</w:t>
      </w:r>
      <w:r w:rsidR="00167E75">
        <w:t>b</w:t>
      </w:r>
      <w:r>
        <w:t>).</w:t>
      </w:r>
    </w:p>
    <w:p w:rsidR="00DD07AF" w:rsidRDefault="00DD07AF" w:rsidP="00D80933">
      <w:pPr>
        <w:pStyle w:val="BRNormal"/>
      </w:pPr>
      <w:r>
        <w:t>Stratigraphic data for the Surat Basin have been summarised by the Queensland University of Technology to produce 3D geological models for the Queensland Water Commission</w:t>
      </w:r>
      <w:r w:rsidR="00FA2486">
        <w:rPr>
          <w:rStyle w:val="FootnoteReference"/>
        </w:rPr>
        <w:footnoteReference w:id="2"/>
      </w:r>
      <w:r w:rsidR="001D7247">
        <w:rPr>
          <w:vertAlign w:val="superscript"/>
        </w:rPr>
        <w:t xml:space="preserve"> </w:t>
      </w:r>
      <w:r>
        <w:t xml:space="preserve">(Hawke et al. 2011) and for Arrow Energy (James et al. 2011). </w:t>
      </w:r>
    </w:p>
    <w:p w:rsidR="00DD07AF" w:rsidRDefault="00DD07AF" w:rsidP="005F6513">
      <w:pPr>
        <w:pStyle w:val="Heading2"/>
      </w:pPr>
      <w:bookmarkStart w:id="585" w:name="_Toc381961140"/>
      <w:bookmarkStart w:id="586" w:name="_Toc389055243"/>
      <w:r>
        <w:t>Structural properties</w:t>
      </w:r>
      <w:bookmarkEnd w:id="585"/>
      <w:bookmarkEnd w:id="586"/>
    </w:p>
    <w:p w:rsidR="00DD07AF" w:rsidRDefault="00DD07AF" w:rsidP="00D80933">
      <w:pPr>
        <w:pStyle w:val="BRNormal"/>
      </w:pPr>
      <w:r w:rsidRPr="00FE196F">
        <w:t xml:space="preserve">The Surat </w:t>
      </w:r>
      <w:r>
        <w:t>B</w:t>
      </w:r>
      <w:r w:rsidRPr="00FE196F">
        <w:t xml:space="preserve">asin inherited most of its structural features from the underlying basins, especially its </w:t>
      </w:r>
      <w:r>
        <w:t>main depo</w:t>
      </w:r>
      <w:r w:rsidRPr="00FE196F">
        <w:t>centre, the Mimosa Syncline, which is situated above the Bowen Basin (</w:t>
      </w:r>
      <w:r>
        <w:t>Figure</w:t>
      </w:r>
      <w:r w:rsidRPr="00FE196F">
        <w:t xml:space="preserve"> </w:t>
      </w:r>
      <w:r w:rsidR="00FA5429">
        <w:t>19</w:t>
      </w:r>
      <w:r w:rsidRPr="00FE196F">
        <w:t>). In the Eromanga Basin, post-depositional tectonics activated and propagated several pre-existing faults</w:t>
      </w:r>
      <w:r w:rsidR="000E3A2D">
        <w:t>,</w:t>
      </w:r>
      <w:r w:rsidRPr="00FE196F">
        <w:t xml:space="preserve"> which resulted in faults that affect the entire sedimentary sequence. This was less so for the Surat Basin, where re-activation of pre-existing faults was mostly accommodated by deformation through folding rather than faulting. This </w:t>
      </w:r>
      <w:r>
        <w:t xml:space="preserve">is </w:t>
      </w:r>
      <w:r w:rsidRPr="00FE196F">
        <w:t xml:space="preserve">illustrated by the two fault systems </w:t>
      </w:r>
      <w:r>
        <w:t>that delineate the Roma Shelf:</w:t>
      </w:r>
      <w:r w:rsidRPr="00FE196F">
        <w:t xml:space="preserve"> the Hutton-Wallumbilla Faul</w:t>
      </w:r>
      <w:r w:rsidR="000E3A2D">
        <w:t>t and the Merivale and Abroath F</w:t>
      </w:r>
      <w:r w:rsidRPr="00FE196F">
        <w:t xml:space="preserve">aults. Displacements of the Surat </w:t>
      </w:r>
      <w:r>
        <w:t xml:space="preserve">Basin </w:t>
      </w:r>
      <w:r w:rsidRPr="00FE196F">
        <w:t>basement on these faults is up to 1000</w:t>
      </w:r>
      <w:r w:rsidR="000E3A2D">
        <w:t> </w:t>
      </w:r>
      <w:r w:rsidRPr="00FE196F">
        <w:t>m, but displacement within the Surat sequence rarely exceeds 100</w:t>
      </w:r>
      <w:r w:rsidR="000E3A2D">
        <w:t> </w:t>
      </w:r>
      <w:r w:rsidRPr="00FE196F">
        <w:t>m. Some faults however do affect the entire sequence, such as the Mooni</w:t>
      </w:r>
      <w:r>
        <w:t>e</w:t>
      </w:r>
      <w:r w:rsidRPr="00FE196F">
        <w:t>-Goondiwin</w:t>
      </w:r>
      <w:r>
        <w:t>d</w:t>
      </w:r>
      <w:r w:rsidR="000E3A2D">
        <w:t>i F</w:t>
      </w:r>
      <w:r w:rsidRPr="00FE196F">
        <w:t>ault, although its displacement is also limited to about 100</w:t>
      </w:r>
      <w:r w:rsidR="000E3A2D">
        <w:t> </w:t>
      </w:r>
      <w:r w:rsidRPr="00FE196F">
        <w:t>m.</w:t>
      </w:r>
    </w:p>
    <w:p w:rsidR="008B41DF" w:rsidRPr="000348BC" w:rsidRDefault="008B41DF" w:rsidP="00280B51">
      <w:pPr>
        <w:pStyle w:val="BRNormal"/>
        <w:rPr>
          <w:color w:val="FF0000"/>
        </w:rPr>
      </w:pPr>
      <w:r w:rsidRPr="00FE196F">
        <w:t xml:space="preserve">AGE (2007) </w:t>
      </w:r>
      <w:r w:rsidRPr="00280B51">
        <w:t xml:space="preserve">in Golder Associates </w:t>
      </w:r>
      <w:r w:rsidR="00280B51" w:rsidRPr="00280B51">
        <w:t>(2009</w:t>
      </w:r>
      <w:r w:rsidRPr="00280B51">
        <w:t>) do</w:t>
      </w:r>
      <w:r w:rsidRPr="00FE196F">
        <w:t xml:space="preserve"> point out that the uplift and folding above deeper structural features have induced small-scale fracturing and faulting of the sedimentary layers</w:t>
      </w:r>
      <w:r w:rsidR="000E3A2D">
        <w:t>,</w:t>
      </w:r>
      <w:r w:rsidRPr="00FE196F">
        <w:t xml:space="preserve"> which can compromise the integrity of the aquitards and enhance connectivity between aquifers. The displacement along faults in the Surat appears to laterally isolate portions of the Surat Basin (</w:t>
      </w:r>
      <w:r>
        <w:t xml:space="preserve">Golder Associates </w:t>
      </w:r>
      <w:r w:rsidR="00280B51">
        <w:t>2009</w:t>
      </w:r>
      <w:r w:rsidRPr="00FE196F">
        <w:t>).</w:t>
      </w:r>
    </w:p>
    <w:p w:rsidR="008B41DF" w:rsidRDefault="008B41DF" w:rsidP="005F6513">
      <w:pPr>
        <w:pStyle w:val="Heading2"/>
      </w:pPr>
      <w:bookmarkStart w:id="587" w:name="_Toc381961141"/>
      <w:bookmarkStart w:id="588" w:name="_Toc389055244"/>
      <w:r>
        <w:t>Hydraulic properties</w:t>
      </w:r>
      <w:bookmarkEnd w:id="587"/>
      <w:bookmarkEnd w:id="588"/>
    </w:p>
    <w:p w:rsidR="008B41DF" w:rsidRDefault="008B41DF" w:rsidP="00280B51">
      <w:pPr>
        <w:pStyle w:val="BRNormal"/>
      </w:pPr>
      <w:r w:rsidRPr="00BF6CC3">
        <w:t xml:space="preserve">The values of hydraulic properties, such as described in chapter 2, may be obtained from </w:t>
      </w:r>
      <w:r>
        <w:t xml:space="preserve">core tests, from </w:t>
      </w:r>
      <w:r w:rsidRPr="00BF6CC3">
        <w:t>field tests such as drill stem tests, pump</w:t>
      </w:r>
      <w:r>
        <w:t xml:space="preserve">ing </w:t>
      </w:r>
      <w:r w:rsidRPr="00BF6CC3">
        <w:t xml:space="preserve">tests or slug tests, or they may be estimated independently using calibrated numerical models. </w:t>
      </w:r>
      <w:r w:rsidRPr="00B46228">
        <w:t xml:space="preserve">The majority of hydrogeological knowledge relating to the </w:t>
      </w:r>
      <w:r>
        <w:t>Surat Basin</w:t>
      </w:r>
      <w:r w:rsidRPr="00B46228">
        <w:t xml:space="preserve"> </w:t>
      </w:r>
      <w:r>
        <w:t xml:space="preserve">is derived </w:t>
      </w:r>
      <w:r w:rsidRPr="00B46228">
        <w:t xml:space="preserve">from the development of </w:t>
      </w:r>
      <w:r w:rsidRPr="00B46228">
        <w:lastRenderedPageBreak/>
        <w:t xml:space="preserve">potable groundwater supplies. Therefore the availability of hydraulic property data relating to the hydrogeological units of the </w:t>
      </w:r>
      <w:r>
        <w:t>Surat Basin</w:t>
      </w:r>
      <w:r w:rsidRPr="00B46228">
        <w:t xml:space="preserve"> is inherently biased toward productive freshwater-bearing units. </w:t>
      </w:r>
      <w:r>
        <w:t>T</w:t>
      </w:r>
      <w:r w:rsidRPr="00B46228">
        <w:t>he hydraulic properties of lower permeability layers have been relatively poorly characterised</w:t>
      </w:r>
      <w:r>
        <w:t xml:space="preserve">, although recent coal seam gas development in the basin has prompted enhanced study of all GAB units. </w:t>
      </w:r>
    </w:p>
    <w:p w:rsidR="008B41DF" w:rsidRDefault="008B41DF" w:rsidP="001C3374">
      <w:pPr>
        <w:pStyle w:val="Body"/>
      </w:pPr>
    </w:p>
    <w:p w:rsidR="008B41DF" w:rsidRDefault="008B41DF" w:rsidP="001C3374">
      <w:pPr>
        <w:pStyle w:val="Body"/>
      </w:pPr>
    </w:p>
    <w:p w:rsidR="00DD07AF" w:rsidRDefault="00DD07AF" w:rsidP="001C3374">
      <w:pPr>
        <w:pStyle w:val="Body"/>
      </w:pPr>
      <w:r w:rsidRPr="00645992">
        <w:rPr>
          <w:noProof/>
          <w:lang w:val="en-AU" w:eastAsia="en-AU"/>
        </w:rPr>
        <w:drawing>
          <wp:inline distT="0" distB="0" distL="0" distR="0">
            <wp:extent cx="5762625" cy="5414530"/>
            <wp:effectExtent l="19050" t="0" r="9525" b="0"/>
            <wp:docPr id="16" name="Picture 5" descr="GABWRA106-2"/>
            <wp:cNvGraphicFramePr/>
            <a:graphic xmlns:a="http://schemas.openxmlformats.org/drawingml/2006/main">
              <a:graphicData uri="http://schemas.openxmlformats.org/drawingml/2006/picture">
                <pic:pic xmlns:pic="http://schemas.openxmlformats.org/drawingml/2006/picture">
                  <pic:nvPicPr>
                    <pic:cNvPr id="3114" name="Picture 42" descr="GABWRA106-2"/>
                    <pic:cNvPicPr>
                      <a:picLocks noChangeAspect="1" noChangeArrowheads="1"/>
                    </pic:cNvPicPr>
                  </pic:nvPicPr>
                  <pic:blipFill>
                    <a:blip r:embed="rId46" cstate="email"/>
                    <a:srcRect/>
                    <a:stretch>
                      <a:fillRect/>
                    </a:stretch>
                  </pic:blipFill>
                  <pic:spPr bwMode="auto">
                    <a:xfrm>
                      <a:off x="0" y="0"/>
                      <a:ext cx="5762625" cy="5414530"/>
                    </a:xfrm>
                    <a:prstGeom prst="rect">
                      <a:avLst/>
                    </a:prstGeom>
                    <a:noFill/>
                  </pic:spPr>
                </pic:pic>
              </a:graphicData>
            </a:graphic>
          </wp:inline>
        </w:drawing>
      </w:r>
    </w:p>
    <w:p w:rsidR="00DD07AF" w:rsidRPr="00F91BEF" w:rsidRDefault="00F91BEF" w:rsidP="00F91BEF">
      <w:pPr>
        <w:pStyle w:val="Caption"/>
      </w:pPr>
      <w:r w:rsidRPr="00F91BEF">
        <w:t xml:space="preserve">Figure </w:t>
      </w:r>
      <w:r w:rsidR="00E23933" w:rsidRPr="00F91BEF">
        <w:fldChar w:fldCharType="begin"/>
      </w:r>
      <w:r w:rsidRPr="00F91BEF">
        <w:instrText xml:space="preserve"> SEQ Figure \* ARABIC </w:instrText>
      </w:r>
      <w:r w:rsidR="00E23933" w:rsidRPr="00F91BEF">
        <w:fldChar w:fldCharType="separate"/>
      </w:r>
      <w:r w:rsidR="00FA5429">
        <w:t>19</w:t>
      </w:r>
      <w:r w:rsidR="00E23933" w:rsidRPr="00F91BEF">
        <w:fldChar w:fldCharType="end"/>
      </w:r>
      <w:r w:rsidRPr="00F91BEF">
        <w:t xml:space="preserve"> </w:t>
      </w:r>
      <w:r w:rsidR="00DD07AF" w:rsidRPr="00F91BEF">
        <w:t>Structural elements of the Surat and Clar</w:t>
      </w:r>
      <w:r w:rsidR="000E3A2D">
        <w:t>ence-Moreton B</w:t>
      </w:r>
      <w:r w:rsidR="00DD07AF" w:rsidRPr="00F91BEF">
        <w:t>asins at the base of the Surat sequence (</w:t>
      </w:r>
      <w:r w:rsidR="00F976E1">
        <w:t>©</w:t>
      </w:r>
      <w:r w:rsidR="000E3A2D">
        <w:t xml:space="preserve"> Copyright, </w:t>
      </w:r>
      <w:r w:rsidR="00DD07AF" w:rsidRPr="00F91BEF">
        <w:t>CSIRO 2012c)</w:t>
      </w:r>
      <w:r>
        <w:t>.</w:t>
      </w:r>
    </w:p>
    <w:p w:rsidR="008B41DF" w:rsidRDefault="008B41DF" w:rsidP="001C3374">
      <w:pPr>
        <w:pStyle w:val="Body"/>
      </w:pPr>
    </w:p>
    <w:p w:rsidR="00DD07AF" w:rsidRDefault="00DD07AF" w:rsidP="005F6513">
      <w:pPr>
        <w:pStyle w:val="Heading3"/>
      </w:pPr>
      <w:bookmarkStart w:id="589" w:name="_Toc381961142"/>
      <w:r>
        <w:t>Core and field-based estimates</w:t>
      </w:r>
      <w:bookmarkEnd w:id="589"/>
    </w:p>
    <w:p w:rsidR="00DD07AF" w:rsidRDefault="00DD07AF" w:rsidP="00F91BEF">
      <w:pPr>
        <w:pStyle w:val="BRNormal"/>
      </w:pPr>
      <w:r w:rsidRPr="008C7B99">
        <w:t xml:space="preserve">As discussed in chapter 3, when reviewing measurements of the hydraulic property values of confining layers (and to a lesser extent, aquifer layers), it should be remembered that, due to </w:t>
      </w:r>
      <w:r w:rsidRPr="008C7B99">
        <w:lastRenderedPageBreak/>
        <w:t>the inab</w:t>
      </w:r>
      <w:r w:rsidR="005F56D1">
        <w:t xml:space="preserve">ility to obtain measurements in </w:t>
      </w:r>
      <w:r w:rsidRPr="008C7B99">
        <w:t xml:space="preserve">situ, often such values will be exaggerated due to the effects of depressurisation from the removal of overburden pressure. </w:t>
      </w:r>
    </w:p>
    <w:p w:rsidR="00DD07AF" w:rsidRDefault="00DD07AF" w:rsidP="00F91BEF">
      <w:pPr>
        <w:pStyle w:val="BRNormal"/>
      </w:pPr>
      <w:r>
        <w:t xml:space="preserve">As discussed in chapter 5, </w:t>
      </w:r>
      <w:r w:rsidRPr="00D23AC2">
        <w:t>Habermehl (1980) estimated range</w:t>
      </w:r>
      <w:r>
        <w:t>s</w:t>
      </w:r>
      <w:r w:rsidRPr="00D23AC2">
        <w:t xml:space="preserve"> of values for a number of hydraulic properties on the C</w:t>
      </w:r>
      <w:r>
        <w:t xml:space="preserve">adna-Owie-Hooray aquifer system; these ranges are also appropriate for the Surat Basin. Recently, the </w:t>
      </w:r>
      <w:r w:rsidR="000C6964">
        <w:t>GAB</w:t>
      </w:r>
      <w:r>
        <w:t xml:space="preserve"> Water Resource Assessment (GABWRA)</w:t>
      </w:r>
      <w:r w:rsidRPr="008C7B99">
        <w:t xml:space="preserve"> (</w:t>
      </w:r>
      <w:r>
        <w:t xml:space="preserve">CSIRO </w:t>
      </w:r>
      <w:r w:rsidRPr="008C7B99">
        <w:t>2012</w:t>
      </w:r>
      <w:r>
        <w:t>c</w:t>
      </w:r>
      <w:r w:rsidRPr="008C7B99">
        <w:t>)</w:t>
      </w:r>
      <w:r>
        <w:t xml:space="preserve"> collated and summarised</w:t>
      </w:r>
      <w:r w:rsidRPr="008C7B99">
        <w:t xml:space="preserve"> measurements of porosity and permeability recorded in </w:t>
      </w:r>
      <w:r>
        <w:t>the Queensland Petroleum Exploration Database</w:t>
      </w:r>
      <w:r w:rsidR="008B41DF">
        <w:t xml:space="preserve"> (Table </w:t>
      </w:r>
      <w:r w:rsidR="00FA5429">
        <w:t>10</w:t>
      </w:r>
      <w:r w:rsidR="008B41DF">
        <w:t>)</w:t>
      </w:r>
      <w:r w:rsidRPr="008C7B99">
        <w:t xml:space="preserve">. </w:t>
      </w:r>
    </w:p>
    <w:p w:rsidR="00DD07AF" w:rsidRPr="008C7B99" w:rsidRDefault="00F91BEF" w:rsidP="00F91BEF">
      <w:pPr>
        <w:pStyle w:val="Caption"/>
      </w:pPr>
      <w:r w:rsidRPr="006F2073">
        <w:t xml:space="preserve">Table </w:t>
      </w:r>
      <w:r w:rsidR="00E23933" w:rsidRPr="006F2073">
        <w:rPr>
          <w:b/>
          <w:noProof w:val="0"/>
        </w:rPr>
        <w:fldChar w:fldCharType="begin"/>
      </w:r>
      <w:r w:rsidRPr="006F2073">
        <w:instrText xml:space="preserve"> SEQ Table \* ARABIC </w:instrText>
      </w:r>
      <w:r w:rsidR="00E23933" w:rsidRPr="006F2073">
        <w:rPr>
          <w:b/>
          <w:noProof w:val="0"/>
        </w:rPr>
        <w:fldChar w:fldCharType="separate"/>
      </w:r>
      <w:r w:rsidR="00FA5429">
        <w:t>10</w:t>
      </w:r>
      <w:r w:rsidR="00E23933" w:rsidRPr="006F2073">
        <w:rPr>
          <w:b/>
        </w:rPr>
        <w:fldChar w:fldCharType="end"/>
      </w:r>
      <w:r>
        <w:rPr>
          <w:b/>
        </w:rPr>
        <w:t xml:space="preserve"> </w:t>
      </w:r>
      <w:r w:rsidR="00DD07AF" w:rsidRPr="00122345">
        <w:t xml:space="preserve">Porosity and permeability measurements for various </w:t>
      </w:r>
      <w:r w:rsidR="00DD07AF">
        <w:t>Surat</w:t>
      </w:r>
      <w:r w:rsidR="00DD07AF" w:rsidRPr="00122345">
        <w:t xml:space="preserve"> Basin units </w:t>
      </w:r>
      <w:r w:rsidR="000E3A2D">
        <w:t>(</w:t>
      </w:r>
      <w:r w:rsidR="00F976E1">
        <w:t>©</w:t>
      </w:r>
      <w:r w:rsidR="000E3A2D">
        <w:t xml:space="preserve"> Copyright, </w:t>
      </w:r>
      <w:r w:rsidR="00DD07AF" w:rsidRPr="00122345">
        <w:t>CSIRO 2012</w:t>
      </w:r>
      <w:r w:rsidR="00DD07AF">
        <w:t>c)</w:t>
      </w:r>
      <w:r>
        <w:t>.</w:t>
      </w:r>
    </w:p>
    <w:tbl>
      <w:tblPr>
        <w:tblStyle w:val="TableGrid1"/>
        <w:tblW w:w="8508" w:type="dxa"/>
        <w:tblInd w:w="108" w:type="dxa"/>
        <w:tblBorders>
          <w:left w:val="none" w:sz="0" w:space="0" w:color="auto"/>
          <w:right w:val="none" w:sz="0" w:space="0" w:color="auto"/>
          <w:insideV w:val="none" w:sz="0" w:space="0" w:color="auto"/>
        </w:tblBorders>
        <w:tblLook w:val="04A0"/>
      </w:tblPr>
      <w:tblGrid>
        <w:gridCol w:w="2257"/>
        <w:gridCol w:w="1112"/>
        <w:gridCol w:w="1276"/>
        <w:gridCol w:w="1276"/>
        <w:gridCol w:w="1276"/>
        <w:gridCol w:w="1311"/>
      </w:tblGrid>
      <w:tr w:rsidR="00DD07AF" w:rsidRPr="00F91BEF" w:rsidTr="00047551">
        <w:trPr>
          <w:tblHeader/>
        </w:trPr>
        <w:tc>
          <w:tcPr>
            <w:tcW w:w="2257" w:type="dxa"/>
            <w:tcBorders>
              <w:top w:val="single" w:sz="4" w:space="0" w:color="auto"/>
              <w:left w:val="single" w:sz="4" w:space="0" w:color="auto"/>
              <w:bottom w:val="nil"/>
              <w:right w:val="single" w:sz="4" w:space="0" w:color="auto"/>
            </w:tcBorders>
            <w:shd w:val="clear" w:color="auto" w:fill="C6D9F1" w:themeFill="text2" w:themeFillTint="33"/>
            <w:vAlign w:val="center"/>
          </w:tcPr>
          <w:p w:rsidR="00DD07AF" w:rsidRPr="00F91BEF" w:rsidRDefault="00C935CB" w:rsidP="00470AD4">
            <w:pPr>
              <w:pStyle w:val="Tableheading"/>
            </w:pPr>
            <w:r w:rsidRPr="00F91BEF">
              <w:t>Unit</w:t>
            </w:r>
          </w:p>
        </w:tc>
        <w:tc>
          <w:tcPr>
            <w:tcW w:w="2388" w:type="dxa"/>
            <w:gridSpan w:val="2"/>
            <w:tcBorders>
              <w:top w:val="single" w:sz="4" w:space="0" w:color="auto"/>
              <w:bottom w:val="single" w:sz="4" w:space="0" w:color="auto"/>
              <w:right w:val="single" w:sz="4" w:space="0" w:color="auto"/>
            </w:tcBorders>
            <w:shd w:val="clear" w:color="auto" w:fill="C6D9F1" w:themeFill="text2" w:themeFillTint="33"/>
            <w:vAlign w:val="center"/>
          </w:tcPr>
          <w:p w:rsidR="00DD07AF" w:rsidRPr="00F91BEF" w:rsidRDefault="00DD07AF" w:rsidP="00470AD4">
            <w:pPr>
              <w:pStyle w:val="Tableheading"/>
            </w:pPr>
            <w:r w:rsidRPr="00F91BEF">
              <w:t>Porosity</w:t>
            </w:r>
          </w:p>
        </w:tc>
        <w:tc>
          <w:tcPr>
            <w:tcW w:w="3863" w:type="dxa"/>
            <w:gridSpan w:val="3"/>
            <w:tcBorders>
              <w:top w:val="single" w:sz="4" w:space="0" w:color="auto"/>
              <w:bottom w:val="single" w:sz="4" w:space="0" w:color="auto"/>
              <w:right w:val="single" w:sz="4" w:space="0" w:color="auto"/>
            </w:tcBorders>
            <w:shd w:val="clear" w:color="auto" w:fill="C6D9F1" w:themeFill="text2" w:themeFillTint="33"/>
            <w:vAlign w:val="center"/>
          </w:tcPr>
          <w:p w:rsidR="00DD07AF" w:rsidRPr="00F91BEF" w:rsidRDefault="00DD07AF" w:rsidP="00470AD4">
            <w:pPr>
              <w:pStyle w:val="Tableheading"/>
            </w:pPr>
            <w:r w:rsidRPr="00F91BEF">
              <w:t>Horizontal permeability</w:t>
            </w:r>
          </w:p>
        </w:tc>
      </w:tr>
      <w:tr w:rsidR="00DD07AF" w:rsidRPr="00F91BEF" w:rsidTr="00047551">
        <w:trPr>
          <w:tblHeader/>
        </w:trPr>
        <w:tc>
          <w:tcPr>
            <w:tcW w:w="2257" w:type="dxa"/>
            <w:tcBorders>
              <w:top w:val="nil"/>
              <w:left w:val="single" w:sz="4" w:space="0" w:color="auto"/>
              <w:bottom w:val="single" w:sz="4" w:space="0" w:color="auto"/>
              <w:right w:val="single" w:sz="4" w:space="0" w:color="auto"/>
            </w:tcBorders>
            <w:shd w:val="clear" w:color="auto" w:fill="C6D9F1" w:themeFill="text2" w:themeFillTint="33"/>
            <w:vAlign w:val="bottom"/>
          </w:tcPr>
          <w:p w:rsidR="00DD07AF" w:rsidRPr="00F91BEF" w:rsidRDefault="00DD07AF" w:rsidP="00470AD4">
            <w:pPr>
              <w:pStyle w:val="Tableheading"/>
            </w:pPr>
          </w:p>
        </w:tc>
        <w:tc>
          <w:tcPr>
            <w:tcW w:w="1112" w:type="dxa"/>
            <w:tcBorders>
              <w:top w:val="single" w:sz="4" w:space="0" w:color="auto"/>
              <w:bottom w:val="single" w:sz="4" w:space="0" w:color="auto"/>
              <w:right w:val="single" w:sz="4" w:space="0" w:color="auto"/>
            </w:tcBorders>
            <w:shd w:val="clear" w:color="auto" w:fill="C6D9F1" w:themeFill="text2" w:themeFillTint="33"/>
            <w:vAlign w:val="bottom"/>
          </w:tcPr>
          <w:p w:rsidR="00DD07AF" w:rsidRPr="00F91BEF" w:rsidRDefault="00DD07AF" w:rsidP="00470AD4">
            <w:pPr>
              <w:pStyle w:val="Tableheading"/>
            </w:pPr>
            <w:r w:rsidRPr="00F91BEF">
              <w:t>n</w:t>
            </w:r>
          </w:p>
        </w:tc>
        <w:tc>
          <w:tcPr>
            <w:tcW w:w="1276" w:type="dxa"/>
            <w:tcBorders>
              <w:top w:val="single" w:sz="4" w:space="0" w:color="auto"/>
              <w:bottom w:val="single" w:sz="4" w:space="0" w:color="auto"/>
              <w:right w:val="single" w:sz="4" w:space="0" w:color="auto"/>
            </w:tcBorders>
            <w:shd w:val="clear" w:color="auto" w:fill="C6D9F1" w:themeFill="text2" w:themeFillTint="33"/>
            <w:vAlign w:val="bottom"/>
          </w:tcPr>
          <w:p w:rsidR="00DD07AF" w:rsidRPr="00F91BEF" w:rsidRDefault="00F91BEF" w:rsidP="00470AD4">
            <w:pPr>
              <w:pStyle w:val="Tableheading"/>
            </w:pPr>
            <w:proofErr w:type="gramStart"/>
            <w:r>
              <w:t>mean</w:t>
            </w:r>
            <w:proofErr w:type="gramEnd"/>
            <w:r w:rsidR="00DD07AF" w:rsidRPr="00F91BEF">
              <w:t xml:space="preserve"> (%)</w:t>
            </w:r>
          </w:p>
        </w:tc>
        <w:tc>
          <w:tcPr>
            <w:tcW w:w="1276"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bottom"/>
          </w:tcPr>
          <w:p w:rsidR="00DD07AF" w:rsidRPr="00F91BEF" w:rsidRDefault="00DD07AF" w:rsidP="00470AD4">
            <w:pPr>
              <w:pStyle w:val="Tableheading"/>
            </w:pPr>
            <w:r w:rsidRPr="00F91BEF">
              <w:t>n</w:t>
            </w:r>
          </w:p>
        </w:tc>
        <w:tc>
          <w:tcPr>
            <w:tcW w:w="1276"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bottom"/>
          </w:tcPr>
          <w:p w:rsidR="00DD07AF" w:rsidRPr="00F91BEF" w:rsidRDefault="00DD07AF" w:rsidP="00470AD4">
            <w:pPr>
              <w:pStyle w:val="Tableheading"/>
            </w:pPr>
            <w:r w:rsidRPr="00F91BEF">
              <w:t>mean  (mD)</w:t>
            </w:r>
          </w:p>
        </w:tc>
        <w:tc>
          <w:tcPr>
            <w:tcW w:w="1311"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bottom"/>
          </w:tcPr>
          <w:p w:rsidR="00DD07AF" w:rsidRPr="00F91BEF" w:rsidRDefault="00DD07AF" w:rsidP="00470AD4">
            <w:pPr>
              <w:pStyle w:val="Tableheading"/>
            </w:pPr>
            <w:r w:rsidRPr="00F91BEF">
              <w:t xml:space="preserve">equivalent </w:t>
            </w:r>
            <w:r w:rsidRPr="00F91BEF">
              <w:rPr>
                <w:i/>
              </w:rPr>
              <w:t>K</w:t>
            </w:r>
            <w:r w:rsidRPr="00F91BEF">
              <w:rPr>
                <w:i/>
                <w:vertAlign w:val="subscript"/>
              </w:rPr>
              <w:t>h</w:t>
            </w:r>
            <w:r w:rsidRPr="00F91BEF">
              <w:t>*</w:t>
            </w:r>
          </w:p>
          <w:p w:rsidR="00DD07AF" w:rsidRPr="00F91BEF" w:rsidRDefault="00DD07AF" w:rsidP="00470AD4">
            <w:pPr>
              <w:pStyle w:val="Tableheading"/>
            </w:pPr>
            <w:r w:rsidRPr="00F91BEF">
              <w:t>(m/d)</w:t>
            </w:r>
          </w:p>
        </w:tc>
      </w:tr>
      <w:tr w:rsidR="00DD07AF" w:rsidRPr="00F91BEF" w:rsidTr="000E3A2D">
        <w:tc>
          <w:tcPr>
            <w:tcW w:w="2257" w:type="dxa"/>
            <w:tcBorders>
              <w:left w:val="single" w:sz="4" w:space="0" w:color="auto"/>
              <w:bottom w:val="single" w:sz="4" w:space="0" w:color="auto"/>
              <w:right w:val="single" w:sz="4" w:space="0" w:color="auto"/>
            </w:tcBorders>
          </w:tcPr>
          <w:p w:rsidR="00DD07AF" w:rsidRPr="00F91BEF" w:rsidRDefault="00DD07AF" w:rsidP="00CB2FBB">
            <w:pPr>
              <w:pStyle w:val="Tabletext"/>
            </w:pPr>
            <w:r w:rsidRPr="00F91BEF">
              <w:t>Wallumbilla Formation</w:t>
            </w:r>
            <w:r w:rsidRPr="00F91BEF">
              <w:rPr>
                <w:vertAlign w:val="superscript"/>
              </w:rPr>
              <w:t>#</w:t>
            </w:r>
          </w:p>
        </w:tc>
        <w:tc>
          <w:tcPr>
            <w:tcW w:w="1112" w:type="dxa"/>
            <w:tcBorders>
              <w:bottom w:val="single" w:sz="4" w:space="0" w:color="auto"/>
              <w:right w:val="single" w:sz="4" w:space="0" w:color="auto"/>
            </w:tcBorders>
          </w:tcPr>
          <w:p w:rsidR="00DD07AF" w:rsidRPr="00F91BEF" w:rsidRDefault="00DD07AF" w:rsidP="00CB2FBB">
            <w:pPr>
              <w:pStyle w:val="Tabletext"/>
            </w:pPr>
            <w:r w:rsidRPr="00F91BEF">
              <w:t>33</w:t>
            </w:r>
          </w:p>
        </w:tc>
        <w:tc>
          <w:tcPr>
            <w:tcW w:w="1276" w:type="dxa"/>
            <w:tcBorders>
              <w:bottom w:val="single" w:sz="4" w:space="0" w:color="auto"/>
              <w:right w:val="single" w:sz="4" w:space="0" w:color="auto"/>
            </w:tcBorders>
          </w:tcPr>
          <w:p w:rsidR="00DD07AF" w:rsidRPr="00F91BEF" w:rsidRDefault="00DD07AF" w:rsidP="00CB2FBB">
            <w:pPr>
              <w:pStyle w:val="Tabletext"/>
            </w:pPr>
            <w:r w:rsidRPr="00F91BEF">
              <w:t>30</w:t>
            </w:r>
          </w:p>
        </w:tc>
        <w:tc>
          <w:tcPr>
            <w:tcW w:w="1276" w:type="dxa"/>
            <w:tcBorders>
              <w:left w:val="single" w:sz="4" w:space="0" w:color="auto"/>
              <w:bottom w:val="single" w:sz="4" w:space="0" w:color="auto"/>
              <w:right w:val="single" w:sz="4" w:space="0" w:color="auto"/>
            </w:tcBorders>
          </w:tcPr>
          <w:p w:rsidR="00DD07AF" w:rsidRPr="00F91BEF" w:rsidRDefault="00DD07AF" w:rsidP="00CB2FBB">
            <w:pPr>
              <w:pStyle w:val="Tabletext"/>
            </w:pPr>
            <w:r w:rsidRPr="00F91BEF">
              <w:t>17</w:t>
            </w:r>
          </w:p>
        </w:tc>
        <w:tc>
          <w:tcPr>
            <w:tcW w:w="1276" w:type="dxa"/>
            <w:tcBorders>
              <w:left w:val="single" w:sz="4" w:space="0" w:color="auto"/>
              <w:bottom w:val="single" w:sz="4" w:space="0" w:color="auto"/>
              <w:right w:val="single" w:sz="4" w:space="0" w:color="auto"/>
            </w:tcBorders>
          </w:tcPr>
          <w:p w:rsidR="00DD07AF" w:rsidRPr="00F91BEF" w:rsidRDefault="00DD07AF" w:rsidP="00CB2FBB">
            <w:pPr>
              <w:pStyle w:val="Tabletext"/>
            </w:pPr>
            <w:r w:rsidRPr="00F91BEF">
              <w:t>71</w:t>
            </w:r>
          </w:p>
        </w:tc>
        <w:tc>
          <w:tcPr>
            <w:tcW w:w="1311" w:type="dxa"/>
            <w:tcBorders>
              <w:left w:val="single" w:sz="4" w:space="0" w:color="auto"/>
              <w:bottom w:val="single" w:sz="4" w:space="0" w:color="auto"/>
              <w:right w:val="single" w:sz="4" w:space="0" w:color="auto"/>
            </w:tcBorders>
            <w:shd w:val="clear" w:color="auto" w:fill="auto"/>
          </w:tcPr>
          <w:p w:rsidR="00DD07AF" w:rsidRPr="00F91BEF" w:rsidRDefault="00DD07AF" w:rsidP="00CB2FBB">
            <w:pPr>
              <w:pStyle w:val="Tabletext"/>
            </w:pPr>
            <w:r w:rsidRPr="00F91BEF">
              <w:t>0.07</w:t>
            </w:r>
          </w:p>
        </w:tc>
      </w:tr>
      <w:tr w:rsidR="00DD07AF" w:rsidRPr="00F91BEF" w:rsidTr="000E3A2D">
        <w:tc>
          <w:tcPr>
            <w:tcW w:w="2257" w:type="dxa"/>
            <w:tcBorders>
              <w:top w:val="single" w:sz="4" w:space="0" w:color="auto"/>
              <w:left w:val="single" w:sz="4" w:space="0" w:color="auto"/>
              <w:bottom w:val="single" w:sz="4" w:space="0" w:color="auto"/>
              <w:right w:val="single" w:sz="4" w:space="0" w:color="auto"/>
            </w:tcBorders>
          </w:tcPr>
          <w:p w:rsidR="00DD07AF" w:rsidRPr="00F91BEF" w:rsidRDefault="00DD07AF" w:rsidP="00CB2FBB">
            <w:pPr>
              <w:pStyle w:val="Tabletext"/>
            </w:pPr>
            <w:r w:rsidRPr="00F91BEF">
              <w:t>Mooga Sandstone</w:t>
            </w:r>
          </w:p>
        </w:tc>
        <w:tc>
          <w:tcPr>
            <w:tcW w:w="1112" w:type="dxa"/>
            <w:tcBorders>
              <w:top w:val="single" w:sz="4" w:space="0" w:color="auto"/>
              <w:bottom w:val="single" w:sz="4" w:space="0" w:color="auto"/>
              <w:right w:val="single" w:sz="4" w:space="0" w:color="auto"/>
            </w:tcBorders>
          </w:tcPr>
          <w:p w:rsidR="00DD07AF" w:rsidRPr="00F91BEF" w:rsidRDefault="00DD07AF" w:rsidP="00CB2FBB">
            <w:pPr>
              <w:pStyle w:val="Tabletext"/>
            </w:pPr>
            <w:r w:rsidRPr="00F91BEF">
              <w:t>35</w:t>
            </w:r>
          </w:p>
        </w:tc>
        <w:tc>
          <w:tcPr>
            <w:tcW w:w="1276" w:type="dxa"/>
            <w:tcBorders>
              <w:top w:val="single" w:sz="4" w:space="0" w:color="auto"/>
              <w:bottom w:val="single" w:sz="4" w:space="0" w:color="auto"/>
              <w:right w:val="single" w:sz="4" w:space="0" w:color="auto"/>
            </w:tcBorders>
          </w:tcPr>
          <w:p w:rsidR="00DD07AF" w:rsidRPr="00F91BEF" w:rsidRDefault="00DD07AF" w:rsidP="00CB2FBB">
            <w:pPr>
              <w:pStyle w:val="Tabletext"/>
            </w:pPr>
            <w:r w:rsidRPr="00F91BEF">
              <w:t>28</w:t>
            </w:r>
          </w:p>
        </w:tc>
        <w:tc>
          <w:tcPr>
            <w:tcW w:w="1276" w:type="dxa"/>
            <w:tcBorders>
              <w:top w:val="single" w:sz="4" w:space="0" w:color="auto"/>
              <w:left w:val="single" w:sz="4" w:space="0" w:color="auto"/>
              <w:bottom w:val="single" w:sz="4" w:space="0" w:color="auto"/>
              <w:right w:val="single" w:sz="4" w:space="0" w:color="auto"/>
            </w:tcBorders>
          </w:tcPr>
          <w:p w:rsidR="00DD07AF" w:rsidRPr="00F91BEF" w:rsidRDefault="00DD07AF" w:rsidP="00CB2FBB">
            <w:pPr>
              <w:pStyle w:val="Tabletext"/>
            </w:pPr>
            <w:r w:rsidRPr="00F91BEF">
              <w:t>29</w:t>
            </w:r>
          </w:p>
        </w:tc>
        <w:tc>
          <w:tcPr>
            <w:tcW w:w="1276" w:type="dxa"/>
            <w:tcBorders>
              <w:top w:val="single" w:sz="4" w:space="0" w:color="auto"/>
              <w:left w:val="single" w:sz="4" w:space="0" w:color="auto"/>
              <w:bottom w:val="single" w:sz="4" w:space="0" w:color="auto"/>
              <w:right w:val="single" w:sz="4" w:space="0" w:color="auto"/>
            </w:tcBorders>
          </w:tcPr>
          <w:p w:rsidR="00DD07AF" w:rsidRPr="00F91BEF" w:rsidRDefault="00DD07AF" w:rsidP="00CB2FBB">
            <w:pPr>
              <w:pStyle w:val="Tabletext"/>
            </w:pPr>
            <w:r w:rsidRPr="00F91BEF">
              <w:t>728</w:t>
            </w:r>
          </w:p>
        </w:tc>
        <w:tc>
          <w:tcPr>
            <w:tcW w:w="1311" w:type="dxa"/>
            <w:tcBorders>
              <w:top w:val="single" w:sz="4" w:space="0" w:color="auto"/>
              <w:left w:val="single" w:sz="4" w:space="0" w:color="auto"/>
              <w:bottom w:val="single" w:sz="4" w:space="0" w:color="auto"/>
              <w:right w:val="single" w:sz="4" w:space="0" w:color="auto"/>
            </w:tcBorders>
            <w:shd w:val="clear" w:color="auto" w:fill="auto"/>
          </w:tcPr>
          <w:p w:rsidR="00DD07AF" w:rsidRPr="00F91BEF" w:rsidRDefault="00DD07AF" w:rsidP="00CB2FBB">
            <w:pPr>
              <w:pStyle w:val="Tabletext"/>
            </w:pPr>
            <w:r w:rsidRPr="00F91BEF">
              <w:t>0.69</w:t>
            </w:r>
          </w:p>
        </w:tc>
      </w:tr>
      <w:tr w:rsidR="00DD07AF" w:rsidRPr="00F91BEF" w:rsidTr="000E3A2D">
        <w:tc>
          <w:tcPr>
            <w:tcW w:w="2257" w:type="dxa"/>
            <w:tcBorders>
              <w:top w:val="single" w:sz="4" w:space="0" w:color="auto"/>
              <w:left w:val="single" w:sz="4" w:space="0" w:color="auto"/>
              <w:bottom w:val="single" w:sz="4" w:space="0" w:color="auto"/>
              <w:right w:val="single" w:sz="4" w:space="0" w:color="auto"/>
            </w:tcBorders>
          </w:tcPr>
          <w:p w:rsidR="00DD07AF" w:rsidRPr="00F91BEF" w:rsidRDefault="00DD07AF" w:rsidP="00CB2FBB">
            <w:pPr>
              <w:pStyle w:val="Tabletext"/>
            </w:pPr>
            <w:r w:rsidRPr="00F91BEF">
              <w:t>Gubberamunda Sandstone</w:t>
            </w:r>
          </w:p>
        </w:tc>
        <w:tc>
          <w:tcPr>
            <w:tcW w:w="1112" w:type="dxa"/>
            <w:tcBorders>
              <w:top w:val="single" w:sz="4" w:space="0" w:color="auto"/>
              <w:bottom w:val="single" w:sz="4" w:space="0" w:color="auto"/>
              <w:right w:val="single" w:sz="4" w:space="0" w:color="auto"/>
            </w:tcBorders>
          </w:tcPr>
          <w:p w:rsidR="00DD07AF" w:rsidRPr="00F91BEF" w:rsidRDefault="00DD07AF" w:rsidP="00CB2FBB">
            <w:pPr>
              <w:pStyle w:val="Tabletext"/>
            </w:pPr>
            <w:r w:rsidRPr="00F91BEF">
              <w:t>38</w:t>
            </w:r>
          </w:p>
        </w:tc>
        <w:tc>
          <w:tcPr>
            <w:tcW w:w="1276" w:type="dxa"/>
            <w:tcBorders>
              <w:top w:val="single" w:sz="4" w:space="0" w:color="auto"/>
              <w:bottom w:val="single" w:sz="4" w:space="0" w:color="auto"/>
              <w:right w:val="single" w:sz="4" w:space="0" w:color="auto"/>
            </w:tcBorders>
          </w:tcPr>
          <w:p w:rsidR="00DD07AF" w:rsidRPr="00F91BEF" w:rsidRDefault="00DD07AF" w:rsidP="00CB2FBB">
            <w:pPr>
              <w:pStyle w:val="Tabletext"/>
            </w:pPr>
            <w:r w:rsidRPr="00F91BEF">
              <w:t>28</w:t>
            </w:r>
          </w:p>
        </w:tc>
        <w:tc>
          <w:tcPr>
            <w:tcW w:w="1276" w:type="dxa"/>
            <w:tcBorders>
              <w:top w:val="single" w:sz="4" w:space="0" w:color="auto"/>
              <w:left w:val="single" w:sz="4" w:space="0" w:color="auto"/>
              <w:bottom w:val="single" w:sz="4" w:space="0" w:color="auto"/>
              <w:right w:val="single" w:sz="4" w:space="0" w:color="auto"/>
            </w:tcBorders>
          </w:tcPr>
          <w:p w:rsidR="00DD07AF" w:rsidRPr="00F91BEF" w:rsidRDefault="00DD07AF" w:rsidP="00CB2FBB">
            <w:pPr>
              <w:pStyle w:val="Tabletext"/>
            </w:pPr>
            <w:r w:rsidRPr="00F91BEF">
              <w:t>23</w:t>
            </w:r>
          </w:p>
        </w:tc>
        <w:tc>
          <w:tcPr>
            <w:tcW w:w="1276" w:type="dxa"/>
            <w:tcBorders>
              <w:top w:val="single" w:sz="4" w:space="0" w:color="auto"/>
              <w:left w:val="single" w:sz="4" w:space="0" w:color="auto"/>
              <w:bottom w:val="single" w:sz="4" w:space="0" w:color="auto"/>
              <w:right w:val="single" w:sz="4" w:space="0" w:color="auto"/>
            </w:tcBorders>
          </w:tcPr>
          <w:p w:rsidR="00DD07AF" w:rsidRPr="00F91BEF" w:rsidRDefault="00DD07AF" w:rsidP="00CB2FBB">
            <w:pPr>
              <w:pStyle w:val="Tabletext"/>
            </w:pPr>
            <w:r w:rsidRPr="00F91BEF">
              <w:t>1051</w:t>
            </w:r>
          </w:p>
        </w:tc>
        <w:tc>
          <w:tcPr>
            <w:tcW w:w="1311" w:type="dxa"/>
            <w:tcBorders>
              <w:top w:val="single" w:sz="4" w:space="0" w:color="auto"/>
              <w:left w:val="single" w:sz="4" w:space="0" w:color="auto"/>
              <w:bottom w:val="single" w:sz="4" w:space="0" w:color="auto"/>
              <w:right w:val="single" w:sz="4" w:space="0" w:color="auto"/>
            </w:tcBorders>
            <w:shd w:val="clear" w:color="auto" w:fill="auto"/>
          </w:tcPr>
          <w:p w:rsidR="00DD07AF" w:rsidRPr="00F91BEF" w:rsidRDefault="00DD07AF" w:rsidP="00CB2FBB">
            <w:pPr>
              <w:pStyle w:val="Tabletext"/>
            </w:pPr>
            <w:r w:rsidRPr="00F91BEF">
              <w:t>1.00</w:t>
            </w:r>
          </w:p>
        </w:tc>
      </w:tr>
      <w:tr w:rsidR="00DD07AF" w:rsidRPr="00F91BEF" w:rsidTr="000E3A2D">
        <w:tc>
          <w:tcPr>
            <w:tcW w:w="2257" w:type="dxa"/>
            <w:tcBorders>
              <w:top w:val="single" w:sz="4" w:space="0" w:color="auto"/>
              <w:left w:val="single" w:sz="4" w:space="0" w:color="auto"/>
              <w:bottom w:val="single" w:sz="4" w:space="0" w:color="auto"/>
              <w:right w:val="single" w:sz="4" w:space="0" w:color="auto"/>
            </w:tcBorders>
          </w:tcPr>
          <w:p w:rsidR="00DD07AF" w:rsidRPr="00F91BEF" w:rsidRDefault="00DD07AF" w:rsidP="00CB2FBB">
            <w:pPr>
              <w:pStyle w:val="Tabletext"/>
            </w:pPr>
            <w:r w:rsidRPr="00F91BEF">
              <w:t>Westbourne Formation</w:t>
            </w:r>
          </w:p>
        </w:tc>
        <w:tc>
          <w:tcPr>
            <w:tcW w:w="1112" w:type="dxa"/>
            <w:tcBorders>
              <w:top w:val="single" w:sz="4" w:space="0" w:color="auto"/>
              <w:bottom w:val="single" w:sz="4" w:space="0" w:color="auto"/>
              <w:right w:val="single" w:sz="4" w:space="0" w:color="auto"/>
            </w:tcBorders>
          </w:tcPr>
          <w:p w:rsidR="00DD07AF" w:rsidRPr="00F91BEF" w:rsidRDefault="00DD07AF" w:rsidP="00CB2FBB">
            <w:pPr>
              <w:pStyle w:val="Tabletext"/>
            </w:pPr>
            <w:r w:rsidRPr="00F91BEF">
              <w:t>24</w:t>
            </w:r>
          </w:p>
        </w:tc>
        <w:tc>
          <w:tcPr>
            <w:tcW w:w="1276" w:type="dxa"/>
            <w:tcBorders>
              <w:top w:val="single" w:sz="4" w:space="0" w:color="auto"/>
              <w:bottom w:val="single" w:sz="4" w:space="0" w:color="auto"/>
              <w:right w:val="single" w:sz="4" w:space="0" w:color="auto"/>
            </w:tcBorders>
          </w:tcPr>
          <w:p w:rsidR="00DD07AF" w:rsidRPr="00F91BEF" w:rsidRDefault="00DD07AF" w:rsidP="00CB2FBB">
            <w:pPr>
              <w:pStyle w:val="Tabletext"/>
            </w:pPr>
            <w:r w:rsidRPr="00F91BEF">
              <w:t>26</w:t>
            </w:r>
          </w:p>
        </w:tc>
        <w:tc>
          <w:tcPr>
            <w:tcW w:w="1276" w:type="dxa"/>
            <w:tcBorders>
              <w:top w:val="single" w:sz="4" w:space="0" w:color="auto"/>
              <w:left w:val="single" w:sz="4" w:space="0" w:color="auto"/>
              <w:bottom w:val="single" w:sz="4" w:space="0" w:color="auto"/>
              <w:right w:val="single" w:sz="4" w:space="0" w:color="auto"/>
            </w:tcBorders>
          </w:tcPr>
          <w:p w:rsidR="00DD07AF" w:rsidRPr="00F91BEF" w:rsidRDefault="00DD07AF" w:rsidP="00CB2FBB">
            <w:pPr>
              <w:pStyle w:val="Tabletext"/>
            </w:pPr>
            <w:r w:rsidRPr="00F91BEF">
              <w:t>21</w:t>
            </w:r>
          </w:p>
        </w:tc>
        <w:tc>
          <w:tcPr>
            <w:tcW w:w="1276" w:type="dxa"/>
            <w:tcBorders>
              <w:top w:val="single" w:sz="4" w:space="0" w:color="auto"/>
              <w:left w:val="single" w:sz="4" w:space="0" w:color="auto"/>
              <w:bottom w:val="single" w:sz="4" w:space="0" w:color="auto"/>
              <w:right w:val="single" w:sz="4" w:space="0" w:color="auto"/>
            </w:tcBorders>
          </w:tcPr>
          <w:p w:rsidR="00DD07AF" w:rsidRPr="00F91BEF" w:rsidRDefault="00DD07AF" w:rsidP="00CB2FBB">
            <w:pPr>
              <w:pStyle w:val="Tabletext"/>
            </w:pPr>
            <w:r w:rsidRPr="00F91BEF">
              <w:t>630</w:t>
            </w:r>
          </w:p>
        </w:tc>
        <w:tc>
          <w:tcPr>
            <w:tcW w:w="1311" w:type="dxa"/>
            <w:tcBorders>
              <w:top w:val="single" w:sz="4" w:space="0" w:color="auto"/>
              <w:left w:val="single" w:sz="4" w:space="0" w:color="auto"/>
              <w:bottom w:val="single" w:sz="4" w:space="0" w:color="auto"/>
              <w:right w:val="single" w:sz="4" w:space="0" w:color="auto"/>
            </w:tcBorders>
            <w:shd w:val="clear" w:color="auto" w:fill="auto"/>
          </w:tcPr>
          <w:p w:rsidR="00DD07AF" w:rsidRPr="00F91BEF" w:rsidRDefault="00DD07AF" w:rsidP="00CB2FBB">
            <w:pPr>
              <w:pStyle w:val="Tabletext"/>
            </w:pPr>
            <w:r w:rsidRPr="00F91BEF">
              <w:t>0.60</w:t>
            </w:r>
          </w:p>
        </w:tc>
      </w:tr>
      <w:tr w:rsidR="00DD07AF" w:rsidRPr="00F91BEF" w:rsidTr="000E3A2D">
        <w:tc>
          <w:tcPr>
            <w:tcW w:w="2257" w:type="dxa"/>
            <w:tcBorders>
              <w:top w:val="single" w:sz="4" w:space="0" w:color="auto"/>
              <w:left w:val="single" w:sz="4" w:space="0" w:color="auto"/>
              <w:bottom w:val="single" w:sz="4" w:space="0" w:color="auto"/>
              <w:right w:val="single" w:sz="4" w:space="0" w:color="auto"/>
            </w:tcBorders>
          </w:tcPr>
          <w:p w:rsidR="00DD07AF" w:rsidRPr="00F91BEF" w:rsidRDefault="00DD07AF" w:rsidP="00CB2FBB">
            <w:pPr>
              <w:pStyle w:val="Tabletext"/>
            </w:pPr>
            <w:r w:rsidRPr="00F91BEF">
              <w:t>Walloon Coal Measures</w:t>
            </w:r>
          </w:p>
        </w:tc>
        <w:tc>
          <w:tcPr>
            <w:tcW w:w="1112" w:type="dxa"/>
            <w:tcBorders>
              <w:top w:val="single" w:sz="4" w:space="0" w:color="auto"/>
              <w:bottom w:val="single" w:sz="4" w:space="0" w:color="auto"/>
              <w:right w:val="single" w:sz="4" w:space="0" w:color="auto"/>
            </w:tcBorders>
          </w:tcPr>
          <w:p w:rsidR="00DD07AF" w:rsidRPr="00F91BEF" w:rsidRDefault="00DD07AF" w:rsidP="00CB2FBB">
            <w:pPr>
              <w:pStyle w:val="Tabletext"/>
            </w:pPr>
            <w:r w:rsidRPr="00F91BEF">
              <w:t>118</w:t>
            </w:r>
          </w:p>
        </w:tc>
        <w:tc>
          <w:tcPr>
            <w:tcW w:w="1276" w:type="dxa"/>
            <w:tcBorders>
              <w:top w:val="single" w:sz="4" w:space="0" w:color="auto"/>
              <w:bottom w:val="single" w:sz="4" w:space="0" w:color="auto"/>
              <w:right w:val="single" w:sz="4" w:space="0" w:color="auto"/>
            </w:tcBorders>
          </w:tcPr>
          <w:p w:rsidR="00DD07AF" w:rsidRPr="00F91BEF" w:rsidRDefault="00DD07AF" w:rsidP="00CB2FBB">
            <w:pPr>
              <w:pStyle w:val="Tabletext"/>
            </w:pPr>
            <w:r w:rsidRPr="00F91BEF">
              <w:t>18</w:t>
            </w:r>
          </w:p>
        </w:tc>
        <w:tc>
          <w:tcPr>
            <w:tcW w:w="1276" w:type="dxa"/>
            <w:tcBorders>
              <w:top w:val="single" w:sz="4" w:space="0" w:color="auto"/>
              <w:left w:val="single" w:sz="4" w:space="0" w:color="auto"/>
              <w:bottom w:val="single" w:sz="4" w:space="0" w:color="auto"/>
              <w:right w:val="single" w:sz="4" w:space="0" w:color="auto"/>
            </w:tcBorders>
          </w:tcPr>
          <w:p w:rsidR="00DD07AF" w:rsidRPr="00F91BEF" w:rsidRDefault="00DD07AF" w:rsidP="00CB2FBB">
            <w:pPr>
              <w:pStyle w:val="Tabletext"/>
            </w:pPr>
            <w:r w:rsidRPr="00F91BEF">
              <w:t>95</w:t>
            </w:r>
          </w:p>
        </w:tc>
        <w:tc>
          <w:tcPr>
            <w:tcW w:w="1276" w:type="dxa"/>
            <w:tcBorders>
              <w:top w:val="single" w:sz="4" w:space="0" w:color="auto"/>
              <w:left w:val="single" w:sz="4" w:space="0" w:color="auto"/>
              <w:bottom w:val="single" w:sz="4" w:space="0" w:color="auto"/>
              <w:right w:val="single" w:sz="4" w:space="0" w:color="auto"/>
            </w:tcBorders>
          </w:tcPr>
          <w:p w:rsidR="00DD07AF" w:rsidRPr="00F91BEF" w:rsidRDefault="00DD07AF" w:rsidP="00CB2FBB">
            <w:pPr>
              <w:pStyle w:val="Tabletext"/>
            </w:pPr>
            <w:r w:rsidRPr="00F91BEF">
              <w:t>67</w:t>
            </w:r>
          </w:p>
        </w:tc>
        <w:tc>
          <w:tcPr>
            <w:tcW w:w="1311" w:type="dxa"/>
            <w:tcBorders>
              <w:top w:val="single" w:sz="4" w:space="0" w:color="auto"/>
              <w:left w:val="single" w:sz="4" w:space="0" w:color="auto"/>
              <w:bottom w:val="single" w:sz="4" w:space="0" w:color="auto"/>
              <w:right w:val="single" w:sz="4" w:space="0" w:color="auto"/>
            </w:tcBorders>
            <w:shd w:val="clear" w:color="auto" w:fill="auto"/>
          </w:tcPr>
          <w:p w:rsidR="00DD07AF" w:rsidRPr="00F91BEF" w:rsidRDefault="00DD07AF" w:rsidP="00CB2FBB">
            <w:pPr>
              <w:pStyle w:val="Tabletext"/>
            </w:pPr>
            <w:r w:rsidRPr="00F91BEF">
              <w:t>0.06</w:t>
            </w:r>
          </w:p>
        </w:tc>
      </w:tr>
      <w:tr w:rsidR="00DD07AF" w:rsidRPr="00F91BEF" w:rsidTr="000E3A2D">
        <w:tc>
          <w:tcPr>
            <w:tcW w:w="2257" w:type="dxa"/>
            <w:tcBorders>
              <w:top w:val="single" w:sz="4" w:space="0" w:color="auto"/>
              <w:left w:val="single" w:sz="4" w:space="0" w:color="auto"/>
              <w:bottom w:val="single" w:sz="4" w:space="0" w:color="auto"/>
              <w:right w:val="single" w:sz="4" w:space="0" w:color="auto"/>
            </w:tcBorders>
          </w:tcPr>
          <w:p w:rsidR="00DD07AF" w:rsidRPr="00F91BEF" w:rsidRDefault="00DD07AF" w:rsidP="00CB2FBB">
            <w:pPr>
              <w:pStyle w:val="Tabletext"/>
            </w:pPr>
            <w:r w:rsidRPr="00F91BEF">
              <w:t>Hutton Sandstone</w:t>
            </w:r>
          </w:p>
        </w:tc>
        <w:tc>
          <w:tcPr>
            <w:tcW w:w="1112" w:type="dxa"/>
            <w:tcBorders>
              <w:top w:val="single" w:sz="4" w:space="0" w:color="auto"/>
              <w:bottom w:val="single" w:sz="4" w:space="0" w:color="auto"/>
              <w:right w:val="single" w:sz="4" w:space="0" w:color="auto"/>
            </w:tcBorders>
          </w:tcPr>
          <w:p w:rsidR="00DD07AF" w:rsidRPr="00F91BEF" w:rsidRDefault="00DD07AF" w:rsidP="00CB2FBB">
            <w:pPr>
              <w:pStyle w:val="Tabletext"/>
            </w:pPr>
            <w:r w:rsidRPr="00F91BEF">
              <w:t>333</w:t>
            </w:r>
          </w:p>
        </w:tc>
        <w:tc>
          <w:tcPr>
            <w:tcW w:w="1276" w:type="dxa"/>
            <w:tcBorders>
              <w:top w:val="single" w:sz="4" w:space="0" w:color="auto"/>
              <w:bottom w:val="single" w:sz="4" w:space="0" w:color="auto"/>
              <w:right w:val="single" w:sz="4" w:space="0" w:color="auto"/>
            </w:tcBorders>
          </w:tcPr>
          <w:p w:rsidR="00DD07AF" w:rsidRPr="00F91BEF" w:rsidRDefault="00DD07AF" w:rsidP="00CB2FBB">
            <w:pPr>
              <w:pStyle w:val="Tabletext"/>
            </w:pPr>
            <w:r w:rsidRPr="00F91BEF">
              <w:t>22</w:t>
            </w:r>
          </w:p>
        </w:tc>
        <w:tc>
          <w:tcPr>
            <w:tcW w:w="1276" w:type="dxa"/>
            <w:tcBorders>
              <w:top w:val="single" w:sz="4" w:space="0" w:color="auto"/>
              <w:left w:val="single" w:sz="4" w:space="0" w:color="auto"/>
              <w:bottom w:val="single" w:sz="4" w:space="0" w:color="auto"/>
              <w:right w:val="single" w:sz="4" w:space="0" w:color="auto"/>
            </w:tcBorders>
          </w:tcPr>
          <w:p w:rsidR="00DD07AF" w:rsidRPr="00F91BEF" w:rsidRDefault="00DD07AF" w:rsidP="00CB2FBB">
            <w:pPr>
              <w:pStyle w:val="Tabletext"/>
            </w:pPr>
            <w:r w:rsidRPr="00F91BEF">
              <w:t>426</w:t>
            </w:r>
          </w:p>
        </w:tc>
        <w:tc>
          <w:tcPr>
            <w:tcW w:w="1276" w:type="dxa"/>
            <w:tcBorders>
              <w:top w:val="single" w:sz="4" w:space="0" w:color="auto"/>
              <w:left w:val="single" w:sz="4" w:space="0" w:color="auto"/>
              <w:bottom w:val="single" w:sz="4" w:space="0" w:color="auto"/>
              <w:right w:val="single" w:sz="4" w:space="0" w:color="auto"/>
            </w:tcBorders>
          </w:tcPr>
          <w:p w:rsidR="00DD07AF" w:rsidRPr="00F91BEF" w:rsidRDefault="00DD07AF" w:rsidP="00CB2FBB">
            <w:pPr>
              <w:pStyle w:val="Tabletext"/>
            </w:pPr>
            <w:r w:rsidRPr="00F91BEF">
              <w:t>426</w:t>
            </w:r>
          </w:p>
        </w:tc>
        <w:tc>
          <w:tcPr>
            <w:tcW w:w="1311" w:type="dxa"/>
            <w:tcBorders>
              <w:top w:val="single" w:sz="4" w:space="0" w:color="auto"/>
              <w:left w:val="single" w:sz="4" w:space="0" w:color="auto"/>
              <w:bottom w:val="single" w:sz="4" w:space="0" w:color="auto"/>
              <w:right w:val="single" w:sz="4" w:space="0" w:color="auto"/>
            </w:tcBorders>
            <w:shd w:val="clear" w:color="auto" w:fill="auto"/>
          </w:tcPr>
          <w:p w:rsidR="00DD07AF" w:rsidRPr="00F91BEF" w:rsidRDefault="00DD07AF" w:rsidP="00CB2FBB">
            <w:pPr>
              <w:pStyle w:val="Tabletext"/>
            </w:pPr>
            <w:r w:rsidRPr="00F91BEF">
              <w:t>0.40</w:t>
            </w:r>
          </w:p>
        </w:tc>
      </w:tr>
      <w:tr w:rsidR="00DD07AF" w:rsidRPr="00F91BEF" w:rsidTr="000E3A2D">
        <w:tc>
          <w:tcPr>
            <w:tcW w:w="2257" w:type="dxa"/>
            <w:tcBorders>
              <w:top w:val="single" w:sz="4" w:space="0" w:color="auto"/>
              <w:left w:val="single" w:sz="4" w:space="0" w:color="auto"/>
              <w:bottom w:val="single" w:sz="4" w:space="0" w:color="auto"/>
              <w:right w:val="single" w:sz="4" w:space="0" w:color="auto"/>
            </w:tcBorders>
          </w:tcPr>
          <w:p w:rsidR="00DD07AF" w:rsidRPr="00F91BEF" w:rsidRDefault="00DD07AF" w:rsidP="00CB2FBB">
            <w:pPr>
              <w:pStyle w:val="Tabletext"/>
            </w:pPr>
            <w:r w:rsidRPr="00F91BEF">
              <w:t>Evergreen Formation</w:t>
            </w:r>
          </w:p>
        </w:tc>
        <w:tc>
          <w:tcPr>
            <w:tcW w:w="1112" w:type="dxa"/>
            <w:tcBorders>
              <w:top w:val="single" w:sz="4" w:space="0" w:color="auto"/>
              <w:bottom w:val="single" w:sz="4" w:space="0" w:color="auto"/>
              <w:right w:val="single" w:sz="4" w:space="0" w:color="auto"/>
            </w:tcBorders>
          </w:tcPr>
          <w:p w:rsidR="00DD07AF" w:rsidRPr="00F91BEF" w:rsidRDefault="00DD07AF" w:rsidP="00CB2FBB">
            <w:pPr>
              <w:pStyle w:val="Tabletext"/>
            </w:pPr>
            <w:r w:rsidRPr="00F91BEF">
              <w:t>766</w:t>
            </w:r>
          </w:p>
        </w:tc>
        <w:tc>
          <w:tcPr>
            <w:tcW w:w="1276" w:type="dxa"/>
            <w:tcBorders>
              <w:top w:val="single" w:sz="4" w:space="0" w:color="auto"/>
              <w:bottom w:val="single" w:sz="4" w:space="0" w:color="auto"/>
              <w:right w:val="single" w:sz="4" w:space="0" w:color="auto"/>
            </w:tcBorders>
          </w:tcPr>
          <w:p w:rsidR="00DD07AF" w:rsidRPr="00F91BEF" w:rsidRDefault="00DD07AF" w:rsidP="00CB2FBB">
            <w:pPr>
              <w:pStyle w:val="Tabletext"/>
            </w:pPr>
            <w:r w:rsidRPr="00F91BEF">
              <w:t>15</w:t>
            </w:r>
          </w:p>
        </w:tc>
        <w:tc>
          <w:tcPr>
            <w:tcW w:w="1276" w:type="dxa"/>
            <w:tcBorders>
              <w:top w:val="single" w:sz="4" w:space="0" w:color="auto"/>
              <w:left w:val="single" w:sz="4" w:space="0" w:color="auto"/>
              <w:bottom w:val="single" w:sz="4" w:space="0" w:color="auto"/>
              <w:right w:val="single" w:sz="4" w:space="0" w:color="auto"/>
            </w:tcBorders>
          </w:tcPr>
          <w:p w:rsidR="00DD07AF" w:rsidRPr="00F91BEF" w:rsidRDefault="00DD07AF" w:rsidP="00CB2FBB">
            <w:pPr>
              <w:pStyle w:val="Tabletext"/>
            </w:pPr>
            <w:r w:rsidRPr="00F91BEF">
              <w:t>624</w:t>
            </w:r>
          </w:p>
        </w:tc>
        <w:tc>
          <w:tcPr>
            <w:tcW w:w="1276" w:type="dxa"/>
            <w:tcBorders>
              <w:top w:val="single" w:sz="4" w:space="0" w:color="auto"/>
              <w:left w:val="single" w:sz="4" w:space="0" w:color="auto"/>
              <w:bottom w:val="single" w:sz="4" w:space="0" w:color="auto"/>
              <w:right w:val="single" w:sz="4" w:space="0" w:color="auto"/>
            </w:tcBorders>
          </w:tcPr>
          <w:p w:rsidR="00DD07AF" w:rsidRPr="00F91BEF" w:rsidRDefault="00DD07AF" w:rsidP="00CB2FBB">
            <w:pPr>
              <w:pStyle w:val="Tabletext"/>
            </w:pPr>
            <w:r w:rsidRPr="00F91BEF">
              <w:t>87</w:t>
            </w:r>
          </w:p>
        </w:tc>
        <w:tc>
          <w:tcPr>
            <w:tcW w:w="1311" w:type="dxa"/>
            <w:tcBorders>
              <w:top w:val="single" w:sz="4" w:space="0" w:color="auto"/>
              <w:left w:val="single" w:sz="4" w:space="0" w:color="auto"/>
              <w:bottom w:val="single" w:sz="4" w:space="0" w:color="auto"/>
              <w:right w:val="single" w:sz="4" w:space="0" w:color="auto"/>
            </w:tcBorders>
            <w:shd w:val="clear" w:color="auto" w:fill="auto"/>
          </w:tcPr>
          <w:p w:rsidR="00DD07AF" w:rsidRPr="00F91BEF" w:rsidRDefault="00DD07AF" w:rsidP="00CB2FBB">
            <w:pPr>
              <w:pStyle w:val="Tabletext"/>
            </w:pPr>
            <w:r w:rsidRPr="00F91BEF">
              <w:t>0.08</w:t>
            </w:r>
          </w:p>
        </w:tc>
      </w:tr>
      <w:tr w:rsidR="00DD07AF" w:rsidRPr="00F91BEF" w:rsidTr="000E3A2D">
        <w:tc>
          <w:tcPr>
            <w:tcW w:w="2257" w:type="dxa"/>
            <w:tcBorders>
              <w:top w:val="single" w:sz="4" w:space="0" w:color="auto"/>
              <w:left w:val="single" w:sz="4" w:space="0" w:color="auto"/>
              <w:right w:val="single" w:sz="4" w:space="0" w:color="auto"/>
            </w:tcBorders>
          </w:tcPr>
          <w:p w:rsidR="00DD07AF" w:rsidRPr="00F91BEF" w:rsidRDefault="00DD07AF" w:rsidP="00CB2FBB">
            <w:pPr>
              <w:pStyle w:val="Tabletext"/>
            </w:pPr>
            <w:r w:rsidRPr="00F91BEF">
              <w:t>Precipice Sandstone</w:t>
            </w:r>
          </w:p>
        </w:tc>
        <w:tc>
          <w:tcPr>
            <w:tcW w:w="1112" w:type="dxa"/>
            <w:tcBorders>
              <w:top w:val="single" w:sz="4" w:space="0" w:color="auto"/>
              <w:right w:val="single" w:sz="4" w:space="0" w:color="auto"/>
            </w:tcBorders>
          </w:tcPr>
          <w:p w:rsidR="00DD07AF" w:rsidRPr="00F91BEF" w:rsidRDefault="00DD07AF" w:rsidP="00CB2FBB">
            <w:pPr>
              <w:pStyle w:val="Tabletext"/>
            </w:pPr>
            <w:r w:rsidRPr="00F91BEF">
              <w:t>3172</w:t>
            </w:r>
          </w:p>
        </w:tc>
        <w:tc>
          <w:tcPr>
            <w:tcW w:w="1276" w:type="dxa"/>
            <w:tcBorders>
              <w:top w:val="single" w:sz="4" w:space="0" w:color="auto"/>
              <w:right w:val="single" w:sz="4" w:space="0" w:color="auto"/>
            </w:tcBorders>
          </w:tcPr>
          <w:p w:rsidR="00DD07AF" w:rsidRPr="00F91BEF" w:rsidRDefault="00DD07AF" w:rsidP="00CB2FBB">
            <w:pPr>
              <w:pStyle w:val="Tabletext"/>
            </w:pPr>
            <w:r w:rsidRPr="00F91BEF">
              <w:t>16</w:t>
            </w:r>
          </w:p>
        </w:tc>
        <w:tc>
          <w:tcPr>
            <w:tcW w:w="1276" w:type="dxa"/>
            <w:tcBorders>
              <w:top w:val="single" w:sz="4" w:space="0" w:color="auto"/>
              <w:left w:val="single" w:sz="4" w:space="0" w:color="auto"/>
              <w:right w:val="single" w:sz="4" w:space="0" w:color="auto"/>
            </w:tcBorders>
          </w:tcPr>
          <w:p w:rsidR="00DD07AF" w:rsidRPr="00F91BEF" w:rsidRDefault="00DD07AF" w:rsidP="00CB2FBB">
            <w:pPr>
              <w:pStyle w:val="Tabletext"/>
            </w:pPr>
            <w:r w:rsidRPr="00F91BEF">
              <w:t>2799</w:t>
            </w:r>
          </w:p>
        </w:tc>
        <w:tc>
          <w:tcPr>
            <w:tcW w:w="1276" w:type="dxa"/>
            <w:tcBorders>
              <w:top w:val="single" w:sz="4" w:space="0" w:color="auto"/>
              <w:left w:val="single" w:sz="4" w:space="0" w:color="auto"/>
              <w:right w:val="single" w:sz="4" w:space="0" w:color="auto"/>
            </w:tcBorders>
          </w:tcPr>
          <w:p w:rsidR="00DD07AF" w:rsidRPr="00F91BEF" w:rsidRDefault="00DD07AF" w:rsidP="00CB2FBB">
            <w:pPr>
              <w:pStyle w:val="Tabletext"/>
            </w:pPr>
            <w:r w:rsidRPr="00F91BEF">
              <w:t>320</w:t>
            </w:r>
          </w:p>
        </w:tc>
        <w:tc>
          <w:tcPr>
            <w:tcW w:w="1311" w:type="dxa"/>
            <w:tcBorders>
              <w:top w:val="single" w:sz="4" w:space="0" w:color="auto"/>
              <w:left w:val="single" w:sz="4" w:space="0" w:color="auto"/>
              <w:right w:val="single" w:sz="4" w:space="0" w:color="auto"/>
            </w:tcBorders>
            <w:shd w:val="clear" w:color="auto" w:fill="auto"/>
          </w:tcPr>
          <w:p w:rsidR="00DD07AF" w:rsidRPr="00F91BEF" w:rsidRDefault="00DD07AF" w:rsidP="00CB2FBB">
            <w:pPr>
              <w:pStyle w:val="Tabletext"/>
            </w:pPr>
            <w:r w:rsidRPr="00F91BEF">
              <w:t>0.30</w:t>
            </w:r>
          </w:p>
        </w:tc>
      </w:tr>
    </w:tbl>
    <w:p w:rsidR="00DD07AF" w:rsidRPr="00F91BEF" w:rsidRDefault="00DD07AF" w:rsidP="001C3374">
      <w:pPr>
        <w:pStyle w:val="Body"/>
        <w:rPr>
          <w:rFonts w:ascii="Arial" w:hAnsi="Arial" w:cs="Arial"/>
        </w:rPr>
      </w:pPr>
      <w:r w:rsidRPr="00F91BEF">
        <w:rPr>
          <w:rFonts w:ascii="Arial" w:hAnsi="Arial" w:cs="Arial"/>
          <w:i/>
        </w:rPr>
        <w:t>K</w:t>
      </w:r>
      <w:r w:rsidRPr="00F91BEF">
        <w:rPr>
          <w:rFonts w:ascii="Arial" w:hAnsi="Arial" w:cs="Arial"/>
          <w:i/>
          <w:vertAlign w:val="subscript"/>
        </w:rPr>
        <w:t>h</w:t>
      </w:r>
      <w:r w:rsidRPr="00F91BEF">
        <w:rPr>
          <w:rFonts w:ascii="Arial" w:hAnsi="Arial" w:cs="Arial"/>
        </w:rPr>
        <w:t xml:space="preserve">=horizontal hydraulic conductivity; *hydraulic conductivity equivalents are provided for comparison purposes only and are calculated from mean permeability values using the equation defined in chapter 2 and using values of </w:t>
      </w:r>
      <w:r w:rsidRPr="00F91BEF">
        <w:rPr>
          <w:rFonts w:ascii="Arial" w:hAnsi="Arial" w:cs="Arial"/>
          <w:i/>
        </w:rPr>
        <w:t>g</w:t>
      </w:r>
      <w:r w:rsidRPr="00F91BEF">
        <w:rPr>
          <w:rFonts w:ascii="Arial" w:hAnsi="Arial" w:cs="Arial"/>
        </w:rPr>
        <w:t>=9.8 m/s</w:t>
      </w:r>
      <w:r w:rsidRPr="00F91BEF">
        <w:rPr>
          <w:rFonts w:ascii="Arial" w:hAnsi="Arial" w:cs="Arial"/>
          <w:vertAlign w:val="superscript"/>
        </w:rPr>
        <w:t>2</w:t>
      </w:r>
      <w:r w:rsidRPr="00F91BEF">
        <w:rPr>
          <w:rFonts w:ascii="Arial" w:hAnsi="Arial" w:cs="Arial"/>
        </w:rPr>
        <w:t xml:space="preserve">, </w:t>
      </w:r>
      <w:r w:rsidRPr="00F91BEF">
        <w:rPr>
          <w:rFonts w:ascii="Arial" w:hAnsi="Arial" w:cs="Arial"/>
          <w:i/>
        </w:rPr>
        <w:t>ρ</w:t>
      </w:r>
      <w:r w:rsidRPr="00F91BEF">
        <w:rPr>
          <w:rFonts w:ascii="Arial" w:hAnsi="Arial" w:cs="Arial"/>
        </w:rPr>
        <w:t>=997.0479 kg/m</w:t>
      </w:r>
      <w:r w:rsidRPr="00F91BEF">
        <w:rPr>
          <w:rFonts w:ascii="Arial" w:hAnsi="Arial" w:cs="Arial"/>
          <w:vertAlign w:val="superscript"/>
        </w:rPr>
        <w:t>3</w:t>
      </w:r>
      <w:r w:rsidRPr="00F91BEF">
        <w:rPr>
          <w:rFonts w:ascii="Arial" w:hAnsi="Arial" w:cs="Arial"/>
        </w:rPr>
        <w:t xml:space="preserve">, and </w:t>
      </w:r>
      <w:r w:rsidRPr="00F91BEF">
        <w:rPr>
          <w:rFonts w:ascii="Arial" w:hAnsi="Arial" w:cs="Arial"/>
          <w:i/>
        </w:rPr>
        <w:t>μ</w:t>
      </w:r>
      <w:r w:rsidRPr="00F91BEF">
        <w:rPr>
          <w:rFonts w:ascii="Arial" w:hAnsi="Arial" w:cs="Arial"/>
        </w:rPr>
        <w:t>=8.91</w:t>
      </w:r>
      <w:r w:rsidR="00C3694D" w:rsidRPr="00F91BEF">
        <w:rPr>
          <w:rFonts w:ascii="Arial" w:hAnsi="Arial" w:cs="Arial"/>
        </w:rPr>
        <w:t>x10</w:t>
      </w:r>
      <w:r w:rsidR="00C3694D" w:rsidRPr="00F91BEF">
        <w:rPr>
          <w:rFonts w:ascii="Arial" w:hAnsi="Arial" w:cs="Arial"/>
          <w:vertAlign w:val="superscript"/>
        </w:rPr>
        <w:t>-4</w:t>
      </w:r>
      <w:r w:rsidRPr="00F91BEF">
        <w:rPr>
          <w:rFonts w:ascii="Arial" w:hAnsi="Arial" w:cs="Arial"/>
        </w:rPr>
        <w:t xml:space="preserve"> kg</w:t>
      </w:r>
      <w:proofErr w:type="gramStart"/>
      <w:r w:rsidRPr="00F91BEF">
        <w:rPr>
          <w:rFonts w:ascii="Arial" w:hAnsi="Arial" w:cs="Arial"/>
        </w:rPr>
        <w:t>/[</w:t>
      </w:r>
      <w:proofErr w:type="gramEnd"/>
      <w:r w:rsidRPr="00F91BEF">
        <w:rPr>
          <w:rFonts w:ascii="Arial" w:hAnsi="Arial" w:cs="Arial"/>
        </w:rPr>
        <w:t>m.s], the latter two of which assume a fresh groundwater temperature of 25</w:t>
      </w:r>
      <w:r w:rsidRPr="00F91BEF">
        <w:rPr>
          <w:rFonts w:ascii="Arial" w:hAnsi="Arial" w:cs="Arial"/>
          <w:vertAlign w:val="superscript"/>
        </w:rPr>
        <w:t>o</w:t>
      </w:r>
      <w:r w:rsidRPr="00F91BEF">
        <w:rPr>
          <w:rFonts w:ascii="Arial" w:hAnsi="Arial" w:cs="Arial"/>
        </w:rPr>
        <w:t xml:space="preserve">C; </w:t>
      </w:r>
      <w:r w:rsidRPr="00F91BEF">
        <w:rPr>
          <w:rFonts w:ascii="Arial" w:hAnsi="Arial" w:cs="Arial"/>
          <w:vertAlign w:val="superscript"/>
        </w:rPr>
        <w:t>#</w:t>
      </w:r>
      <w:r w:rsidRPr="00F91BEF">
        <w:rPr>
          <w:rFonts w:ascii="Arial" w:hAnsi="Arial" w:cs="Arial"/>
        </w:rPr>
        <w:t>also includes hydrostratigraphic equivalents and its componen</w:t>
      </w:r>
      <w:r w:rsidR="0029309F" w:rsidRPr="00F91BEF">
        <w:rPr>
          <w:rFonts w:ascii="Arial" w:hAnsi="Arial" w:cs="Arial"/>
        </w:rPr>
        <w:t>t Doncaster and Coreena Members.</w:t>
      </w:r>
    </w:p>
    <w:p w:rsidR="00F91BEF" w:rsidRDefault="00F91BEF" w:rsidP="00F91BEF">
      <w:pPr>
        <w:pStyle w:val="BRNormal"/>
      </w:pPr>
    </w:p>
    <w:p w:rsidR="00DD07AF" w:rsidRDefault="00DD07AF" w:rsidP="00F91BEF">
      <w:pPr>
        <w:pStyle w:val="BRNormal"/>
        <w:rPr>
          <w:color w:val="auto"/>
        </w:rPr>
      </w:pPr>
      <w:r w:rsidRPr="00330E20">
        <w:t>Mean</w:t>
      </w:r>
      <w:r>
        <w:rPr>
          <w:color w:val="FF0000"/>
        </w:rPr>
        <w:t xml:space="preserve"> </w:t>
      </w:r>
      <w:r w:rsidRPr="00330E20">
        <w:t>porosit</w:t>
      </w:r>
      <w:r>
        <w:t>y values appear to decrease with depth, from 30</w:t>
      </w:r>
      <w:r w:rsidR="00023337">
        <w:t xml:space="preserve"> per</w:t>
      </w:r>
      <w:r w:rsidR="00F91BEF">
        <w:t xml:space="preserve"> </w:t>
      </w:r>
      <w:r w:rsidR="00023337">
        <w:t>cent</w:t>
      </w:r>
      <w:r>
        <w:t xml:space="preserve"> in the Wallumbilla Formation to 15</w:t>
      </w:r>
      <w:r w:rsidR="00023337">
        <w:t xml:space="preserve"> per</w:t>
      </w:r>
      <w:r w:rsidR="00F91BEF">
        <w:t xml:space="preserve"> </w:t>
      </w:r>
      <w:r w:rsidR="00023337">
        <w:t>cent</w:t>
      </w:r>
      <w:r>
        <w:t xml:space="preserve"> in the Evergreen Formation. Mean permeability values range from 67</w:t>
      </w:r>
      <w:r w:rsidR="00047551">
        <w:t> </w:t>
      </w:r>
      <w:r>
        <w:t>mD in the Walloon Coal Measures up to 1051</w:t>
      </w:r>
      <w:r w:rsidR="00047551">
        <w:t> </w:t>
      </w:r>
      <w:r>
        <w:t xml:space="preserve">mD in the productive Gubberamunda Formation. </w:t>
      </w:r>
    </w:p>
    <w:p w:rsidR="00DD07AF" w:rsidRPr="00F935F9" w:rsidRDefault="00DD07AF" w:rsidP="00F91BEF">
      <w:pPr>
        <w:pStyle w:val="BRNormal"/>
      </w:pPr>
      <w:r w:rsidRPr="008F5722">
        <w:t>GABWRA (</w:t>
      </w:r>
      <w:r>
        <w:t xml:space="preserve">CSIRO </w:t>
      </w:r>
      <w:r w:rsidRPr="008F5722">
        <w:t>2012</w:t>
      </w:r>
      <w:r>
        <w:t>c</w:t>
      </w:r>
      <w:r w:rsidRPr="008F5722">
        <w:t xml:space="preserve">) also </w:t>
      </w:r>
      <w:r>
        <w:t xml:space="preserve">described the spatial variability of horizontal permeability for the </w:t>
      </w:r>
      <w:r w:rsidRPr="00303FB7">
        <w:t>Hooray Sandstone</w:t>
      </w:r>
      <w:r>
        <w:t xml:space="preserve">, the </w:t>
      </w:r>
      <w:r w:rsidRPr="00303FB7">
        <w:t>Hutton Sandstone</w:t>
      </w:r>
      <w:r w:rsidR="00047551">
        <w:t>, the Evergreen Formation</w:t>
      </w:r>
      <w:r>
        <w:t xml:space="preserve"> and the Precipice Sandstone. The </w:t>
      </w:r>
      <w:r w:rsidRPr="00960BD9">
        <w:t>sparseness of vertical permeability observations precluded interpretation</w:t>
      </w:r>
      <w:r>
        <w:t xml:space="preserve">. </w:t>
      </w:r>
      <w:r w:rsidRPr="00960BD9">
        <w:t xml:space="preserve">Similarly, </w:t>
      </w:r>
      <w:r>
        <w:t>due to the paucity of horizontal</w:t>
      </w:r>
      <w:r w:rsidRPr="00960BD9">
        <w:t xml:space="preserve"> permeability observations</w:t>
      </w:r>
      <w:r>
        <w:t>,</w:t>
      </w:r>
      <w:r w:rsidRPr="00960BD9">
        <w:t xml:space="preserve"> interpretation</w:t>
      </w:r>
      <w:r>
        <w:t>s were limited to the north of the Surat Basin</w:t>
      </w:r>
      <w:r w:rsidRPr="00960BD9">
        <w:t xml:space="preserve">. </w:t>
      </w:r>
      <w:r>
        <w:t xml:space="preserve">Spatial distributions of permeability are not consistent between units and are attributed to differences in depositional sources and histories. </w:t>
      </w:r>
    </w:p>
    <w:p w:rsidR="00EA37CA" w:rsidRDefault="00DD07AF" w:rsidP="00F91BEF">
      <w:pPr>
        <w:pStyle w:val="BRNormal"/>
      </w:pPr>
      <w:r>
        <w:t xml:space="preserve">A similar summary of permeability and porosity measurements for aquifer units of the Surat Basin was presented by Bradshaw et al. (2010) and is provided </w:t>
      </w:r>
      <w:r w:rsidR="008B41DF">
        <w:t xml:space="preserve">in Table </w:t>
      </w:r>
      <w:r w:rsidR="00FA5429">
        <w:t>11</w:t>
      </w:r>
      <w:r>
        <w:t>.</w:t>
      </w:r>
    </w:p>
    <w:p w:rsidR="00DD07AF" w:rsidRPr="008C7B99" w:rsidRDefault="00EA37CA" w:rsidP="00F91BEF">
      <w:pPr>
        <w:pStyle w:val="Caption"/>
      </w:pPr>
      <w:r>
        <w:br w:type="page"/>
      </w:r>
      <w:r w:rsidR="00F91BEF" w:rsidRPr="006F2073">
        <w:lastRenderedPageBreak/>
        <w:t xml:space="preserve">Table </w:t>
      </w:r>
      <w:r w:rsidR="00E23933" w:rsidRPr="006F2073">
        <w:rPr>
          <w:b/>
          <w:noProof w:val="0"/>
        </w:rPr>
        <w:fldChar w:fldCharType="begin"/>
      </w:r>
      <w:r w:rsidR="00F91BEF" w:rsidRPr="006F2073">
        <w:instrText xml:space="preserve"> SEQ Table \* ARABIC </w:instrText>
      </w:r>
      <w:r w:rsidR="00E23933" w:rsidRPr="006F2073">
        <w:rPr>
          <w:b/>
          <w:noProof w:val="0"/>
        </w:rPr>
        <w:fldChar w:fldCharType="separate"/>
      </w:r>
      <w:r w:rsidR="00FA5429">
        <w:t>11</w:t>
      </w:r>
      <w:r w:rsidR="00E23933" w:rsidRPr="006F2073">
        <w:rPr>
          <w:b/>
        </w:rPr>
        <w:fldChar w:fldCharType="end"/>
      </w:r>
      <w:r w:rsidR="00F91BEF">
        <w:rPr>
          <w:b/>
        </w:rPr>
        <w:t xml:space="preserve"> </w:t>
      </w:r>
      <w:r w:rsidR="00DD07AF" w:rsidRPr="00122345">
        <w:t>Porosity and permeability measurements for various Great Artesian Basin units</w:t>
      </w:r>
      <w:r w:rsidR="00F976E1">
        <w:t xml:space="preserve"> (© </w:t>
      </w:r>
      <w:r w:rsidR="00047551">
        <w:t xml:space="preserve">Copyright, Bradshaw et al. </w:t>
      </w:r>
      <w:r w:rsidR="00DD07AF">
        <w:t>2010)</w:t>
      </w:r>
      <w:r w:rsidR="00F91BEF">
        <w:t>.</w:t>
      </w:r>
    </w:p>
    <w:tbl>
      <w:tblPr>
        <w:tblStyle w:val="TableGrid1"/>
        <w:tblW w:w="9136" w:type="dxa"/>
        <w:tblInd w:w="108" w:type="dxa"/>
        <w:tblBorders>
          <w:left w:val="none" w:sz="0" w:space="0" w:color="auto"/>
          <w:right w:val="none" w:sz="0" w:space="0" w:color="auto"/>
          <w:insideV w:val="none" w:sz="0" w:space="0" w:color="auto"/>
        </w:tblBorders>
        <w:tblLook w:val="04A0"/>
      </w:tblPr>
      <w:tblGrid>
        <w:gridCol w:w="2885"/>
        <w:gridCol w:w="1112"/>
        <w:gridCol w:w="1276"/>
        <w:gridCol w:w="1276"/>
        <w:gridCol w:w="1276"/>
        <w:gridCol w:w="1311"/>
      </w:tblGrid>
      <w:tr w:rsidR="00DD07AF" w:rsidRPr="00F91BEF" w:rsidTr="00454377">
        <w:trPr>
          <w:tblHeader/>
        </w:trPr>
        <w:tc>
          <w:tcPr>
            <w:tcW w:w="2885" w:type="dxa"/>
            <w:tcBorders>
              <w:top w:val="single" w:sz="4" w:space="0" w:color="auto"/>
              <w:left w:val="single" w:sz="4" w:space="0" w:color="auto"/>
              <w:bottom w:val="nil"/>
              <w:right w:val="single" w:sz="4" w:space="0" w:color="auto"/>
            </w:tcBorders>
            <w:shd w:val="clear" w:color="auto" w:fill="C6D9F1" w:themeFill="text2" w:themeFillTint="33"/>
            <w:vAlign w:val="center"/>
          </w:tcPr>
          <w:p w:rsidR="00DD07AF" w:rsidRPr="00F91BEF" w:rsidRDefault="00F62DD5" w:rsidP="00470AD4">
            <w:pPr>
              <w:pStyle w:val="Tableheading"/>
            </w:pPr>
            <w:r w:rsidRPr="00F91BEF">
              <w:t>Unit</w:t>
            </w:r>
          </w:p>
        </w:tc>
        <w:tc>
          <w:tcPr>
            <w:tcW w:w="2388" w:type="dxa"/>
            <w:gridSpan w:val="2"/>
            <w:tcBorders>
              <w:top w:val="single" w:sz="4" w:space="0" w:color="auto"/>
              <w:bottom w:val="single" w:sz="4" w:space="0" w:color="auto"/>
              <w:right w:val="single" w:sz="4" w:space="0" w:color="auto"/>
            </w:tcBorders>
            <w:shd w:val="clear" w:color="auto" w:fill="C6D9F1" w:themeFill="text2" w:themeFillTint="33"/>
            <w:vAlign w:val="center"/>
          </w:tcPr>
          <w:p w:rsidR="00DD07AF" w:rsidRPr="00F91BEF" w:rsidRDefault="00DD07AF" w:rsidP="00470AD4">
            <w:pPr>
              <w:pStyle w:val="Tableheading"/>
            </w:pPr>
            <w:r w:rsidRPr="00F91BEF">
              <w:t>Porosity</w:t>
            </w:r>
          </w:p>
        </w:tc>
        <w:tc>
          <w:tcPr>
            <w:tcW w:w="3863" w:type="dxa"/>
            <w:gridSpan w:val="3"/>
            <w:tcBorders>
              <w:top w:val="single" w:sz="4" w:space="0" w:color="auto"/>
              <w:bottom w:val="single" w:sz="4" w:space="0" w:color="auto"/>
              <w:right w:val="single" w:sz="4" w:space="0" w:color="auto"/>
            </w:tcBorders>
            <w:shd w:val="clear" w:color="auto" w:fill="C6D9F1" w:themeFill="text2" w:themeFillTint="33"/>
            <w:vAlign w:val="center"/>
          </w:tcPr>
          <w:p w:rsidR="00DD07AF" w:rsidRPr="00F91BEF" w:rsidRDefault="00DD07AF" w:rsidP="00470AD4">
            <w:pPr>
              <w:pStyle w:val="Tableheading"/>
            </w:pPr>
            <w:r w:rsidRPr="00F91BEF">
              <w:t>Horizontal permeability</w:t>
            </w:r>
          </w:p>
        </w:tc>
      </w:tr>
      <w:tr w:rsidR="00DD07AF" w:rsidRPr="00F91BEF" w:rsidTr="00454377">
        <w:trPr>
          <w:tblHeader/>
        </w:trPr>
        <w:tc>
          <w:tcPr>
            <w:tcW w:w="2885" w:type="dxa"/>
            <w:tcBorders>
              <w:top w:val="nil"/>
              <w:left w:val="single" w:sz="4" w:space="0" w:color="auto"/>
              <w:bottom w:val="single" w:sz="4" w:space="0" w:color="auto"/>
              <w:right w:val="single" w:sz="4" w:space="0" w:color="auto"/>
            </w:tcBorders>
            <w:shd w:val="clear" w:color="auto" w:fill="C6D9F1" w:themeFill="text2" w:themeFillTint="33"/>
            <w:vAlign w:val="center"/>
          </w:tcPr>
          <w:p w:rsidR="00DD07AF" w:rsidRPr="00F91BEF" w:rsidRDefault="00DD07AF" w:rsidP="00470AD4">
            <w:pPr>
              <w:pStyle w:val="Tableheading"/>
            </w:pPr>
          </w:p>
        </w:tc>
        <w:tc>
          <w:tcPr>
            <w:tcW w:w="1112" w:type="dxa"/>
            <w:tcBorders>
              <w:top w:val="single" w:sz="4" w:space="0" w:color="auto"/>
              <w:bottom w:val="single" w:sz="4" w:space="0" w:color="auto"/>
              <w:right w:val="single" w:sz="4" w:space="0" w:color="auto"/>
            </w:tcBorders>
            <w:shd w:val="clear" w:color="auto" w:fill="C6D9F1" w:themeFill="text2" w:themeFillTint="33"/>
            <w:vAlign w:val="bottom"/>
          </w:tcPr>
          <w:p w:rsidR="00DD07AF" w:rsidRPr="00F91BEF" w:rsidRDefault="00DD07AF" w:rsidP="00470AD4">
            <w:pPr>
              <w:pStyle w:val="Tableheading"/>
            </w:pPr>
            <w:r w:rsidRPr="00F91BEF">
              <w:t>n</w:t>
            </w:r>
          </w:p>
        </w:tc>
        <w:tc>
          <w:tcPr>
            <w:tcW w:w="1276" w:type="dxa"/>
            <w:tcBorders>
              <w:top w:val="single" w:sz="4" w:space="0" w:color="auto"/>
              <w:bottom w:val="single" w:sz="4" w:space="0" w:color="auto"/>
              <w:right w:val="single" w:sz="4" w:space="0" w:color="auto"/>
            </w:tcBorders>
            <w:shd w:val="clear" w:color="auto" w:fill="C6D9F1" w:themeFill="text2" w:themeFillTint="33"/>
            <w:vAlign w:val="bottom"/>
          </w:tcPr>
          <w:p w:rsidR="00DD07AF" w:rsidRPr="00F91BEF" w:rsidRDefault="00DD07AF" w:rsidP="00470AD4">
            <w:pPr>
              <w:pStyle w:val="Tableheading"/>
            </w:pPr>
            <w:proofErr w:type="gramStart"/>
            <w:r w:rsidRPr="00F91BEF">
              <w:t>mean</w:t>
            </w:r>
            <w:proofErr w:type="gramEnd"/>
            <w:r w:rsidRPr="00F91BEF">
              <w:t xml:space="preserve"> (%)</w:t>
            </w:r>
          </w:p>
        </w:tc>
        <w:tc>
          <w:tcPr>
            <w:tcW w:w="1276"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bottom"/>
          </w:tcPr>
          <w:p w:rsidR="00DD07AF" w:rsidRPr="00F91BEF" w:rsidRDefault="00DD07AF" w:rsidP="00470AD4">
            <w:pPr>
              <w:pStyle w:val="Tableheading"/>
            </w:pPr>
            <w:r w:rsidRPr="00F91BEF">
              <w:t>n</w:t>
            </w:r>
          </w:p>
        </w:tc>
        <w:tc>
          <w:tcPr>
            <w:tcW w:w="1276"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bottom"/>
          </w:tcPr>
          <w:p w:rsidR="00DD07AF" w:rsidRPr="00F91BEF" w:rsidRDefault="00DD07AF" w:rsidP="00470AD4">
            <w:pPr>
              <w:pStyle w:val="Tableheading"/>
            </w:pPr>
            <w:r w:rsidRPr="00F91BEF">
              <w:t>median  (mD)</w:t>
            </w:r>
          </w:p>
        </w:tc>
        <w:tc>
          <w:tcPr>
            <w:tcW w:w="1311"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bottom"/>
          </w:tcPr>
          <w:p w:rsidR="00DD07AF" w:rsidRPr="00F91BEF" w:rsidRDefault="00DD07AF" w:rsidP="00470AD4">
            <w:pPr>
              <w:pStyle w:val="Tableheading"/>
            </w:pPr>
            <w:r w:rsidRPr="00F91BEF">
              <w:t xml:space="preserve">equivalent </w:t>
            </w:r>
            <w:r w:rsidRPr="00F91BEF">
              <w:rPr>
                <w:i/>
              </w:rPr>
              <w:t>K</w:t>
            </w:r>
            <w:r w:rsidRPr="00F91BEF">
              <w:rPr>
                <w:i/>
                <w:vertAlign w:val="subscript"/>
              </w:rPr>
              <w:t>h</w:t>
            </w:r>
            <w:r w:rsidRPr="00F91BEF">
              <w:t>*</w:t>
            </w:r>
          </w:p>
          <w:p w:rsidR="00DD07AF" w:rsidRPr="00F91BEF" w:rsidRDefault="00DD07AF" w:rsidP="00470AD4">
            <w:pPr>
              <w:pStyle w:val="Tableheading"/>
            </w:pPr>
            <w:r w:rsidRPr="00F91BEF">
              <w:t>(m/d)</w:t>
            </w:r>
          </w:p>
        </w:tc>
      </w:tr>
      <w:tr w:rsidR="00DD07AF" w:rsidRPr="00F91BEF" w:rsidTr="00047551">
        <w:tc>
          <w:tcPr>
            <w:tcW w:w="2885" w:type="dxa"/>
            <w:tcBorders>
              <w:left w:val="single" w:sz="4" w:space="0" w:color="auto"/>
              <w:bottom w:val="single" w:sz="4" w:space="0" w:color="auto"/>
              <w:right w:val="single" w:sz="4" w:space="0" w:color="auto"/>
            </w:tcBorders>
            <w:vAlign w:val="center"/>
          </w:tcPr>
          <w:p w:rsidR="00DD07AF" w:rsidRPr="00F91BEF" w:rsidRDefault="00DD07AF" w:rsidP="00CB2FBB">
            <w:pPr>
              <w:pStyle w:val="Tabletext"/>
            </w:pPr>
            <w:r w:rsidRPr="00F91BEF">
              <w:t>Hutton Sandstone</w:t>
            </w:r>
          </w:p>
        </w:tc>
        <w:tc>
          <w:tcPr>
            <w:tcW w:w="1112" w:type="dxa"/>
            <w:tcBorders>
              <w:bottom w:val="single" w:sz="4" w:space="0" w:color="auto"/>
              <w:right w:val="single" w:sz="4" w:space="0" w:color="auto"/>
            </w:tcBorders>
            <w:vAlign w:val="center"/>
          </w:tcPr>
          <w:p w:rsidR="00DD07AF" w:rsidRPr="00F91BEF" w:rsidRDefault="00DD07AF" w:rsidP="00CB2FBB">
            <w:pPr>
              <w:pStyle w:val="Tabletext"/>
            </w:pPr>
            <w:r w:rsidRPr="00F91BEF">
              <w:t>2649</w:t>
            </w:r>
          </w:p>
        </w:tc>
        <w:tc>
          <w:tcPr>
            <w:tcW w:w="1276" w:type="dxa"/>
            <w:tcBorders>
              <w:bottom w:val="single" w:sz="4" w:space="0" w:color="auto"/>
              <w:right w:val="single" w:sz="4" w:space="0" w:color="auto"/>
            </w:tcBorders>
            <w:vAlign w:val="center"/>
          </w:tcPr>
          <w:p w:rsidR="00DD07AF" w:rsidRPr="00F91BEF" w:rsidRDefault="00DD07AF" w:rsidP="00CB2FBB">
            <w:pPr>
              <w:pStyle w:val="Tabletext"/>
            </w:pPr>
            <w:r w:rsidRPr="00F91BEF">
              <w:t>17.6</w:t>
            </w:r>
          </w:p>
        </w:tc>
        <w:tc>
          <w:tcPr>
            <w:tcW w:w="1276" w:type="dxa"/>
            <w:tcBorders>
              <w:left w:val="single" w:sz="4" w:space="0" w:color="auto"/>
              <w:bottom w:val="single" w:sz="4" w:space="0" w:color="auto"/>
              <w:right w:val="single" w:sz="4" w:space="0" w:color="auto"/>
            </w:tcBorders>
            <w:vAlign w:val="center"/>
          </w:tcPr>
          <w:p w:rsidR="00DD07AF" w:rsidRPr="00F91BEF" w:rsidRDefault="00DD07AF" w:rsidP="00CB2FBB">
            <w:pPr>
              <w:pStyle w:val="Tabletext"/>
            </w:pPr>
            <w:r w:rsidRPr="00F91BEF">
              <w:t>2451</w:t>
            </w:r>
          </w:p>
        </w:tc>
        <w:tc>
          <w:tcPr>
            <w:tcW w:w="1276" w:type="dxa"/>
            <w:tcBorders>
              <w:left w:val="single" w:sz="4" w:space="0" w:color="auto"/>
              <w:bottom w:val="single" w:sz="4" w:space="0" w:color="auto"/>
              <w:right w:val="single" w:sz="4" w:space="0" w:color="auto"/>
            </w:tcBorders>
            <w:vAlign w:val="center"/>
          </w:tcPr>
          <w:p w:rsidR="00DD07AF" w:rsidRPr="00F91BEF" w:rsidRDefault="00DD07AF" w:rsidP="00CB2FBB">
            <w:pPr>
              <w:pStyle w:val="Tabletext"/>
            </w:pPr>
            <w:r w:rsidRPr="00F91BEF">
              <w:t>98</w:t>
            </w:r>
          </w:p>
        </w:tc>
        <w:tc>
          <w:tcPr>
            <w:tcW w:w="1311" w:type="dxa"/>
            <w:tcBorders>
              <w:left w:val="single" w:sz="4" w:space="0" w:color="auto"/>
              <w:bottom w:val="single" w:sz="4" w:space="0" w:color="auto"/>
              <w:right w:val="single" w:sz="4" w:space="0" w:color="auto"/>
            </w:tcBorders>
            <w:shd w:val="clear" w:color="auto" w:fill="auto"/>
            <w:vAlign w:val="center"/>
          </w:tcPr>
          <w:p w:rsidR="00DD07AF" w:rsidRPr="00F91BEF" w:rsidRDefault="00DD07AF" w:rsidP="00CB2FBB">
            <w:pPr>
              <w:pStyle w:val="Tabletext"/>
            </w:pPr>
            <w:r w:rsidRPr="00F91BEF">
              <w:t>9.3</w:t>
            </w:r>
            <w:r w:rsidR="00C3694D" w:rsidRPr="00F91BEF">
              <w:t>x10</w:t>
            </w:r>
            <w:r w:rsidR="00C3694D" w:rsidRPr="00F91BEF">
              <w:rPr>
                <w:vertAlign w:val="superscript"/>
              </w:rPr>
              <w:t>-2</w:t>
            </w:r>
          </w:p>
        </w:tc>
      </w:tr>
      <w:tr w:rsidR="00DD07AF" w:rsidRPr="00F91BEF" w:rsidTr="00047551">
        <w:tc>
          <w:tcPr>
            <w:tcW w:w="2885" w:type="dxa"/>
            <w:tcBorders>
              <w:top w:val="single" w:sz="4" w:space="0" w:color="auto"/>
              <w:left w:val="single" w:sz="4" w:space="0" w:color="auto"/>
              <w:bottom w:val="single" w:sz="4" w:space="0" w:color="auto"/>
              <w:right w:val="single" w:sz="4" w:space="0" w:color="auto"/>
            </w:tcBorders>
            <w:vAlign w:val="center"/>
          </w:tcPr>
          <w:p w:rsidR="00DD07AF" w:rsidRPr="00F91BEF" w:rsidRDefault="00DD07AF" w:rsidP="00CB2FBB">
            <w:pPr>
              <w:pStyle w:val="Tabletext"/>
            </w:pPr>
            <w:r w:rsidRPr="00F91BEF">
              <w:t>Boxvale Member</w:t>
            </w:r>
          </w:p>
        </w:tc>
        <w:tc>
          <w:tcPr>
            <w:tcW w:w="1112" w:type="dxa"/>
            <w:tcBorders>
              <w:top w:val="single" w:sz="4" w:space="0" w:color="auto"/>
              <w:bottom w:val="single" w:sz="4" w:space="0" w:color="auto"/>
              <w:right w:val="single" w:sz="4" w:space="0" w:color="auto"/>
            </w:tcBorders>
            <w:vAlign w:val="center"/>
          </w:tcPr>
          <w:p w:rsidR="00DD07AF" w:rsidRPr="00F91BEF" w:rsidRDefault="00DD07AF" w:rsidP="00CB2FBB">
            <w:pPr>
              <w:pStyle w:val="Tabletext"/>
            </w:pPr>
            <w:r w:rsidRPr="00F91BEF">
              <w:t>475</w:t>
            </w:r>
          </w:p>
        </w:tc>
        <w:tc>
          <w:tcPr>
            <w:tcW w:w="1276" w:type="dxa"/>
            <w:tcBorders>
              <w:top w:val="single" w:sz="4" w:space="0" w:color="auto"/>
              <w:bottom w:val="single" w:sz="4" w:space="0" w:color="auto"/>
              <w:right w:val="single" w:sz="4" w:space="0" w:color="auto"/>
            </w:tcBorders>
            <w:vAlign w:val="center"/>
          </w:tcPr>
          <w:p w:rsidR="00DD07AF" w:rsidRPr="00F91BEF" w:rsidRDefault="00DD07AF" w:rsidP="00CB2FBB">
            <w:pPr>
              <w:pStyle w:val="Tabletext"/>
            </w:pPr>
            <w:r w:rsidRPr="00F91BEF">
              <w:t>15.7</w:t>
            </w:r>
          </w:p>
        </w:tc>
        <w:tc>
          <w:tcPr>
            <w:tcW w:w="1276" w:type="dxa"/>
            <w:tcBorders>
              <w:top w:val="single" w:sz="4" w:space="0" w:color="auto"/>
              <w:left w:val="single" w:sz="4" w:space="0" w:color="auto"/>
              <w:bottom w:val="single" w:sz="4" w:space="0" w:color="auto"/>
              <w:right w:val="single" w:sz="4" w:space="0" w:color="auto"/>
            </w:tcBorders>
            <w:vAlign w:val="center"/>
          </w:tcPr>
          <w:p w:rsidR="00DD07AF" w:rsidRPr="00F91BEF" w:rsidRDefault="00DD07AF" w:rsidP="00CB2FBB">
            <w:pPr>
              <w:pStyle w:val="Tabletext"/>
            </w:pPr>
            <w:r w:rsidRPr="00F91BEF">
              <w:t>426</w:t>
            </w:r>
          </w:p>
        </w:tc>
        <w:tc>
          <w:tcPr>
            <w:tcW w:w="1276" w:type="dxa"/>
            <w:tcBorders>
              <w:top w:val="single" w:sz="4" w:space="0" w:color="auto"/>
              <w:left w:val="single" w:sz="4" w:space="0" w:color="auto"/>
              <w:bottom w:val="single" w:sz="4" w:space="0" w:color="auto"/>
              <w:right w:val="single" w:sz="4" w:space="0" w:color="auto"/>
            </w:tcBorders>
            <w:vAlign w:val="center"/>
          </w:tcPr>
          <w:p w:rsidR="00DD07AF" w:rsidRPr="00F91BEF" w:rsidRDefault="00DD07AF" w:rsidP="00CB2FBB">
            <w:pPr>
              <w:pStyle w:val="Tabletext"/>
            </w:pPr>
            <w:r w:rsidRPr="00F91BEF">
              <w:t>7.1</w:t>
            </w:r>
          </w:p>
        </w:tc>
        <w:tc>
          <w:tcPr>
            <w:tcW w:w="1311" w:type="dxa"/>
            <w:tcBorders>
              <w:top w:val="single" w:sz="4" w:space="0" w:color="auto"/>
              <w:left w:val="single" w:sz="4" w:space="0" w:color="auto"/>
              <w:bottom w:val="single" w:sz="4" w:space="0" w:color="auto"/>
              <w:right w:val="single" w:sz="4" w:space="0" w:color="auto"/>
            </w:tcBorders>
            <w:shd w:val="clear" w:color="auto" w:fill="auto"/>
            <w:vAlign w:val="center"/>
          </w:tcPr>
          <w:p w:rsidR="00DD07AF" w:rsidRPr="00F91BEF" w:rsidRDefault="00DD07AF" w:rsidP="00CB2FBB">
            <w:pPr>
              <w:pStyle w:val="Tabletext"/>
            </w:pPr>
            <w:r w:rsidRPr="00F91BEF">
              <w:t>6.7</w:t>
            </w:r>
            <w:r w:rsidR="00C3694D" w:rsidRPr="00F91BEF">
              <w:t>x10</w:t>
            </w:r>
            <w:r w:rsidR="00C3694D" w:rsidRPr="00F91BEF">
              <w:rPr>
                <w:vertAlign w:val="superscript"/>
              </w:rPr>
              <w:t>-3</w:t>
            </w:r>
          </w:p>
        </w:tc>
      </w:tr>
      <w:tr w:rsidR="00DD07AF" w:rsidRPr="00F91BEF" w:rsidTr="00047551">
        <w:tc>
          <w:tcPr>
            <w:tcW w:w="2885" w:type="dxa"/>
            <w:tcBorders>
              <w:top w:val="single" w:sz="4" w:space="0" w:color="auto"/>
              <w:left w:val="single" w:sz="4" w:space="0" w:color="auto"/>
              <w:bottom w:val="single" w:sz="4" w:space="0" w:color="auto"/>
              <w:right w:val="single" w:sz="4" w:space="0" w:color="auto"/>
            </w:tcBorders>
            <w:vAlign w:val="center"/>
          </w:tcPr>
          <w:p w:rsidR="00DD07AF" w:rsidRPr="00F91BEF" w:rsidRDefault="00DD07AF" w:rsidP="00CB2FBB">
            <w:pPr>
              <w:pStyle w:val="Tabletext"/>
            </w:pPr>
            <w:r w:rsidRPr="00F91BEF">
              <w:t>Evergreen Formation</w:t>
            </w:r>
          </w:p>
        </w:tc>
        <w:tc>
          <w:tcPr>
            <w:tcW w:w="1112" w:type="dxa"/>
            <w:tcBorders>
              <w:top w:val="single" w:sz="4" w:space="0" w:color="auto"/>
              <w:bottom w:val="single" w:sz="4" w:space="0" w:color="auto"/>
              <w:right w:val="single" w:sz="4" w:space="0" w:color="auto"/>
            </w:tcBorders>
            <w:vAlign w:val="center"/>
          </w:tcPr>
          <w:p w:rsidR="00DD07AF" w:rsidRPr="00F91BEF" w:rsidRDefault="00DD07AF" w:rsidP="00CB2FBB">
            <w:pPr>
              <w:pStyle w:val="Tabletext"/>
            </w:pPr>
            <w:r w:rsidRPr="00F91BEF">
              <w:t>32</w:t>
            </w:r>
          </w:p>
        </w:tc>
        <w:tc>
          <w:tcPr>
            <w:tcW w:w="1276" w:type="dxa"/>
            <w:tcBorders>
              <w:top w:val="single" w:sz="4" w:space="0" w:color="auto"/>
              <w:bottom w:val="single" w:sz="4" w:space="0" w:color="auto"/>
              <w:right w:val="single" w:sz="4" w:space="0" w:color="auto"/>
            </w:tcBorders>
            <w:vAlign w:val="center"/>
          </w:tcPr>
          <w:p w:rsidR="00DD07AF" w:rsidRPr="00F91BEF" w:rsidRDefault="00DD07AF" w:rsidP="00CB2FBB">
            <w:pPr>
              <w:pStyle w:val="Tabletext"/>
            </w:pPr>
            <w:r w:rsidRPr="00F91BEF">
              <w:t>14.9</w:t>
            </w:r>
          </w:p>
        </w:tc>
        <w:tc>
          <w:tcPr>
            <w:tcW w:w="1276" w:type="dxa"/>
            <w:tcBorders>
              <w:top w:val="single" w:sz="4" w:space="0" w:color="auto"/>
              <w:left w:val="single" w:sz="4" w:space="0" w:color="auto"/>
              <w:bottom w:val="single" w:sz="4" w:space="0" w:color="auto"/>
              <w:right w:val="single" w:sz="4" w:space="0" w:color="auto"/>
            </w:tcBorders>
            <w:vAlign w:val="center"/>
          </w:tcPr>
          <w:p w:rsidR="00DD07AF" w:rsidRPr="00F91BEF" w:rsidRDefault="00DD07AF" w:rsidP="00CB2FBB">
            <w:pPr>
              <w:pStyle w:val="Tabletext"/>
            </w:pPr>
            <w:r w:rsidRPr="00F91BEF">
              <w:t>32</w:t>
            </w:r>
          </w:p>
        </w:tc>
        <w:tc>
          <w:tcPr>
            <w:tcW w:w="1276" w:type="dxa"/>
            <w:tcBorders>
              <w:top w:val="single" w:sz="4" w:space="0" w:color="auto"/>
              <w:left w:val="single" w:sz="4" w:space="0" w:color="auto"/>
              <w:bottom w:val="single" w:sz="4" w:space="0" w:color="auto"/>
              <w:right w:val="single" w:sz="4" w:space="0" w:color="auto"/>
            </w:tcBorders>
            <w:vAlign w:val="center"/>
          </w:tcPr>
          <w:p w:rsidR="00DD07AF" w:rsidRPr="00F91BEF" w:rsidRDefault="00DD07AF" w:rsidP="00CB2FBB">
            <w:pPr>
              <w:pStyle w:val="Tabletext"/>
            </w:pPr>
            <w:r w:rsidRPr="00F91BEF">
              <w:t>5.4</w:t>
            </w:r>
          </w:p>
        </w:tc>
        <w:tc>
          <w:tcPr>
            <w:tcW w:w="1311" w:type="dxa"/>
            <w:tcBorders>
              <w:top w:val="single" w:sz="4" w:space="0" w:color="auto"/>
              <w:left w:val="single" w:sz="4" w:space="0" w:color="auto"/>
              <w:bottom w:val="single" w:sz="4" w:space="0" w:color="auto"/>
              <w:right w:val="single" w:sz="4" w:space="0" w:color="auto"/>
            </w:tcBorders>
            <w:shd w:val="clear" w:color="auto" w:fill="auto"/>
            <w:vAlign w:val="center"/>
          </w:tcPr>
          <w:p w:rsidR="00DD07AF" w:rsidRPr="00F91BEF" w:rsidRDefault="00DD07AF" w:rsidP="00CB2FBB">
            <w:pPr>
              <w:pStyle w:val="Tabletext"/>
            </w:pPr>
            <w:r w:rsidRPr="00F91BEF">
              <w:t>5.1</w:t>
            </w:r>
            <w:r w:rsidR="00C3694D" w:rsidRPr="00F91BEF">
              <w:t>x10</w:t>
            </w:r>
            <w:r w:rsidR="00C3694D" w:rsidRPr="00F91BEF">
              <w:rPr>
                <w:vertAlign w:val="superscript"/>
              </w:rPr>
              <w:t>-3</w:t>
            </w:r>
          </w:p>
        </w:tc>
      </w:tr>
      <w:tr w:rsidR="00DD07AF" w:rsidRPr="00F91BEF" w:rsidTr="00047551">
        <w:tc>
          <w:tcPr>
            <w:tcW w:w="2885" w:type="dxa"/>
            <w:tcBorders>
              <w:top w:val="single" w:sz="4" w:space="0" w:color="auto"/>
              <w:left w:val="single" w:sz="4" w:space="0" w:color="auto"/>
              <w:right w:val="single" w:sz="4" w:space="0" w:color="auto"/>
            </w:tcBorders>
            <w:vAlign w:val="center"/>
          </w:tcPr>
          <w:p w:rsidR="00DD07AF" w:rsidRPr="00F91BEF" w:rsidRDefault="00DD07AF" w:rsidP="00CB2FBB">
            <w:pPr>
              <w:pStyle w:val="Tabletext"/>
            </w:pPr>
            <w:r w:rsidRPr="00F91BEF">
              <w:t>Precipice Sandstone</w:t>
            </w:r>
          </w:p>
        </w:tc>
        <w:tc>
          <w:tcPr>
            <w:tcW w:w="1112" w:type="dxa"/>
            <w:tcBorders>
              <w:top w:val="single" w:sz="4" w:space="0" w:color="auto"/>
              <w:right w:val="single" w:sz="4" w:space="0" w:color="auto"/>
            </w:tcBorders>
            <w:vAlign w:val="center"/>
          </w:tcPr>
          <w:p w:rsidR="00DD07AF" w:rsidRPr="00F91BEF" w:rsidRDefault="00DD07AF" w:rsidP="00CB2FBB">
            <w:pPr>
              <w:pStyle w:val="Tabletext"/>
            </w:pPr>
            <w:r w:rsidRPr="00F91BEF">
              <w:t>1654</w:t>
            </w:r>
          </w:p>
        </w:tc>
        <w:tc>
          <w:tcPr>
            <w:tcW w:w="1276" w:type="dxa"/>
            <w:tcBorders>
              <w:top w:val="single" w:sz="4" w:space="0" w:color="auto"/>
              <w:right w:val="single" w:sz="4" w:space="0" w:color="auto"/>
            </w:tcBorders>
            <w:vAlign w:val="center"/>
          </w:tcPr>
          <w:p w:rsidR="00DD07AF" w:rsidRPr="00F91BEF" w:rsidRDefault="00DD07AF" w:rsidP="00CB2FBB">
            <w:pPr>
              <w:pStyle w:val="Tabletext"/>
            </w:pPr>
            <w:r w:rsidRPr="00F91BEF">
              <w:t>16.8</w:t>
            </w:r>
          </w:p>
        </w:tc>
        <w:tc>
          <w:tcPr>
            <w:tcW w:w="1276" w:type="dxa"/>
            <w:tcBorders>
              <w:top w:val="single" w:sz="4" w:space="0" w:color="auto"/>
              <w:left w:val="single" w:sz="4" w:space="0" w:color="auto"/>
              <w:right w:val="single" w:sz="4" w:space="0" w:color="auto"/>
            </w:tcBorders>
            <w:vAlign w:val="center"/>
          </w:tcPr>
          <w:p w:rsidR="00DD07AF" w:rsidRPr="00F91BEF" w:rsidRDefault="00DD07AF" w:rsidP="00CB2FBB">
            <w:pPr>
              <w:pStyle w:val="Tabletext"/>
            </w:pPr>
            <w:r w:rsidRPr="00F91BEF">
              <w:t>1519</w:t>
            </w:r>
          </w:p>
        </w:tc>
        <w:tc>
          <w:tcPr>
            <w:tcW w:w="1276" w:type="dxa"/>
            <w:tcBorders>
              <w:top w:val="single" w:sz="4" w:space="0" w:color="auto"/>
              <w:left w:val="single" w:sz="4" w:space="0" w:color="auto"/>
              <w:right w:val="single" w:sz="4" w:space="0" w:color="auto"/>
            </w:tcBorders>
            <w:vAlign w:val="center"/>
          </w:tcPr>
          <w:p w:rsidR="00DD07AF" w:rsidRPr="00F91BEF" w:rsidRDefault="00DD07AF" w:rsidP="00CB2FBB">
            <w:pPr>
              <w:pStyle w:val="Tabletext"/>
            </w:pPr>
            <w:r w:rsidRPr="00F91BEF">
              <w:t>13</w:t>
            </w:r>
          </w:p>
        </w:tc>
        <w:tc>
          <w:tcPr>
            <w:tcW w:w="1311" w:type="dxa"/>
            <w:tcBorders>
              <w:top w:val="single" w:sz="4" w:space="0" w:color="auto"/>
              <w:left w:val="single" w:sz="4" w:space="0" w:color="auto"/>
              <w:right w:val="single" w:sz="4" w:space="0" w:color="auto"/>
            </w:tcBorders>
            <w:shd w:val="clear" w:color="auto" w:fill="auto"/>
            <w:vAlign w:val="center"/>
          </w:tcPr>
          <w:p w:rsidR="00DD07AF" w:rsidRPr="00F91BEF" w:rsidRDefault="00DD07AF" w:rsidP="00CB2FBB">
            <w:pPr>
              <w:pStyle w:val="Tabletext"/>
            </w:pPr>
            <w:r w:rsidRPr="00F91BEF">
              <w:t>1.2</w:t>
            </w:r>
            <w:r w:rsidR="00C3694D" w:rsidRPr="00F91BEF">
              <w:t>x10</w:t>
            </w:r>
            <w:r w:rsidR="00C3694D" w:rsidRPr="00F91BEF">
              <w:rPr>
                <w:vertAlign w:val="superscript"/>
              </w:rPr>
              <w:t>-2</w:t>
            </w:r>
          </w:p>
        </w:tc>
      </w:tr>
    </w:tbl>
    <w:p w:rsidR="00DD07AF" w:rsidRPr="00F91BEF" w:rsidRDefault="00EA37CA" w:rsidP="00BE7A62">
      <w:pPr>
        <w:pStyle w:val="Body"/>
        <w:spacing w:before="120"/>
        <w:rPr>
          <w:rFonts w:ascii="Arial" w:hAnsi="Arial" w:cs="Arial"/>
        </w:rPr>
      </w:pPr>
      <w:r w:rsidRPr="00F91BEF">
        <w:rPr>
          <w:rFonts w:ascii="Arial" w:hAnsi="Arial" w:cs="Arial"/>
        </w:rPr>
        <w:t>Note:</w:t>
      </w:r>
      <w:r w:rsidR="00DD07AF" w:rsidRPr="00F91BEF">
        <w:rPr>
          <w:rFonts w:ascii="Arial" w:hAnsi="Arial" w:cs="Arial"/>
        </w:rPr>
        <w:t xml:space="preserve"> </w:t>
      </w:r>
      <w:r w:rsidR="00DD07AF" w:rsidRPr="00F91BEF">
        <w:rPr>
          <w:rFonts w:ascii="Arial" w:hAnsi="Arial" w:cs="Arial"/>
          <w:i/>
        </w:rPr>
        <w:t>K</w:t>
      </w:r>
      <w:r w:rsidR="00DD07AF" w:rsidRPr="00F91BEF">
        <w:rPr>
          <w:rFonts w:ascii="Arial" w:hAnsi="Arial" w:cs="Arial"/>
          <w:i/>
          <w:vertAlign w:val="subscript"/>
        </w:rPr>
        <w:t>h</w:t>
      </w:r>
      <w:r w:rsidR="00DD07AF" w:rsidRPr="00F91BEF">
        <w:rPr>
          <w:rFonts w:ascii="Arial" w:hAnsi="Arial" w:cs="Arial"/>
        </w:rPr>
        <w:t xml:space="preserve">=horizontal hydraulic conductivity; *hydraulic conductivity equivalents are provided for comparison purposes only and are calculated from mean permeability values using the equation defined in chapter 2 and using values of </w:t>
      </w:r>
      <w:r w:rsidR="00DD07AF" w:rsidRPr="00F91BEF">
        <w:rPr>
          <w:rFonts w:ascii="Arial" w:hAnsi="Arial" w:cs="Arial"/>
          <w:i/>
        </w:rPr>
        <w:t>g</w:t>
      </w:r>
      <w:r w:rsidR="00DD07AF" w:rsidRPr="00F91BEF">
        <w:rPr>
          <w:rFonts w:ascii="Arial" w:hAnsi="Arial" w:cs="Arial"/>
        </w:rPr>
        <w:t>=9.8 m/s</w:t>
      </w:r>
      <w:r w:rsidR="00DD07AF" w:rsidRPr="00F91BEF">
        <w:rPr>
          <w:rFonts w:ascii="Arial" w:hAnsi="Arial" w:cs="Arial"/>
          <w:vertAlign w:val="superscript"/>
        </w:rPr>
        <w:t>2</w:t>
      </w:r>
      <w:r w:rsidR="00DD07AF" w:rsidRPr="00F91BEF">
        <w:rPr>
          <w:rFonts w:ascii="Arial" w:hAnsi="Arial" w:cs="Arial"/>
        </w:rPr>
        <w:t xml:space="preserve">, </w:t>
      </w:r>
      <w:r w:rsidR="00DD07AF" w:rsidRPr="00F91BEF">
        <w:rPr>
          <w:rFonts w:ascii="Arial" w:hAnsi="Arial" w:cs="Arial"/>
          <w:i/>
        </w:rPr>
        <w:t>ρ</w:t>
      </w:r>
      <w:r w:rsidR="00DD07AF" w:rsidRPr="00F91BEF">
        <w:rPr>
          <w:rFonts w:ascii="Arial" w:hAnsi="Arial" w:cs="Arial"/>
        </w:rPr>
        <w:t>=997.0479 kg/m</w:t>
      </w:r>
      <w:r w:rsidR="00DD07AF" w:rsidRPr="00F91BEF">
        <w:rPr>
          <w:rFonts w:ascii="Arial" w:hAnsi="Arial" w:cs="Arial"/>
          <w:vertAlign w:val="superscript"/>
        </w:rPr>
        <w:t>3</w:t>
      </w:r>
      <w:r w:rsidR="00DD07AF" w:rsidRPr="00F91BEF">
        <w:rPr>
          <w:rFonts w:ascii="Arial" w:hAnsi="Arial" w:cs="Arial"/>
        </w:rPr>
        <w:t xml:space="preserve">, and </w:t>
      </w:r>
      <w:r w:rsidR="00DD07AF" w:rsidRPr="00F91BEF">
        <w:rPr>
          <w:rFonts w:ascii="Arial" w:hAnsi="Arial" w:cs="Arial"/>
          <w:i/>
        </w:rPr>
        <w:t>μ</w:t>
      </w:r>
      <w:r w:rsidR="00DD07AF" w:rsidRPr="00F91BEF">
        <w:rPr>
          <w:rFonts w:ascii="Arial" w:hAnsi="Arial" w:cs="Arial"/>
        </w:rPr>
        <w:t>=8.91</w:t>
      </w:r>
      <w:r w:rsidR="00C3694D" w:rsidRPr="00F91BEF">
        <w:rPr>
          <w:rFonts w:ascii="Arial" w:hAnsi="Arial" w:cs="Arial"/>
        </w:rPr>
        <w:t>x10</w:t>
      </w:r>
      <w:r w:rsidR="00C3694D" w:rsidRPr="00F91BEF">
        <w:rPr>
          <w:rFonts w:ascii="Arial" w:hAnsi="Arial" w:cs="Arial"/>
          <w:vertAlign w:val="superscript"/>
        </w:rPr>
        <w:t>-4</w:t>
      </w:r>
      <w:r w:rsidR="00DD07AF" w:rsidRPr="00F91BEF">
        <w:rPr>
          <w:rFonts w:ascii="Arial" w:hAnsi="Arial" w:cs="Arial"/>
        </w:rPr>
        <w:t xml:space="preserve"> kg/[m.s], the latter two of which assume a fresh groundwater temperature of 25</w:t>
      </w:r>
      <w:r w:rsidR="00DD07AF" w:rsidRPr="00F91BEF">
        <w:rPr>
          <w:rFonts w:ascii="Arial" w:hAnsi="Arial" w:cs="Arial"/>
          <w:vertAlign w:val="superscript"/>
        </w:rPr>
        <w:t>o</w:t>
      </w:r>
      <w:r w:rsidR="00DD07AF" w:rsidRPr="00F91BEF">
        <w:rPr>
          <w:rFonts w:ascii="Arial" w:hAnsi="Arial" w:cs="Arial"/>
        </w:rPr>
        <w:t>C</w:t>
      </w:r>
      <w:r w:rsidRPr="00F91BEF">
        <w:rPr>
          <w:rFonts w:ascii="Arial" w:hAnsi="Arial" w:cs="Arial"/>
        </w:rPr>
        <w:t>.</w:t>
      </w:r>
    </w:p>
    <w:p w:rsidR="00EA37CA" w:rsidRDefault="00EA37CA" w:rsidP="001C3374">
      <w:pPr>
        <w:pStyle w:val="Body"/>
      </w:pPr>
    </w:p>
    <w:p w:rsidR="00DD07AF" w:rsidRDefault="00DD07AF" w:rsidP="00F91BEF">
      <w:pPr>
        <w:pStyle w:val="BRNormal"/>
      </w:pPr>
      <w:r>
        <w:t>The sample sizes used to calculate mean porosities and median permeabilities differ significantly from those used by CSIRO (2012c). Mean porosity values for the Evergreen Formation and Precipice Sandstone are comparable to those reported by CSIRO (2012c), while the reported mean porosity of the Hutton Sandstone is approximately four per</w:t>
      </w:r>
      <w:r w:rsidR="00F91BEF">
        <w:t xml:space="preserve"> </w:t>
      </w:r>
      <w:r>
        <w:t>cent lower. Median permeabilities are orders of magnitude smaller than those reported by CSIRO (2012c); however, this may be due to the different statistical measure and/or datasets used in the analyses.</w:t>
      </w:r>
    </w:p>
    <w:p w:rsidR="00F863AB" w:rsidRPr="00B00A9B" w:rsidRDefault="003614FB" w:rsidP="00F91BEF">
      <w:pPr>
        <w:pStyle w:val="BRNormal"/>
      </w:pPr>
      <w:r w:rsidRPr="003614FB">
        <w:t>The Queensland State Government administers two databases containing data relating to hydraulic properties: the Queensland Groundwater Database (QGD), managed by the Department of Envi</w:t>
      </w:r>
      <w:r w:rsidR="00F91BEF">
        <w:t>ronment and Heritage Protection,</w:t>
      </w:r>
      <w:r w:rsidRPr="003614FB">
        <w:t xml:space="preserve"> and the Queensland Petroleum Exploration Database (QPED</w:t>
      </w:r>
      <w:r w:rsidR="00F91BEF">
        <w:t>) (DNRM 2014c),</w:t>
      </w:r>
      <w:r w:rsidRPr="003614FB">
        <w:t xml:space="preserve"> managed by the Geological Survey of Queensland. These data sources (available upon request) contain field-based measurements of unit thickness, permeability, porosity, hydraulic conductivity, transmissivity and storativity. The Queensland Water Commission developed a groundwater flow model (QWC 2012</w:t>
      </w:r>
      <w:r w:rsidR="004E5011">
        <w:t>a</w:t>
      </w:r>
      <w:r w:rsidR="00F91BEF">
        <w:t>;</w:t>
      </w:r>
      <w:r w:rsidRPr="003614FB">
        <w:t xml:space="preserve"> QWC 2012c) in order to independently estimate the effects of CSG production. This work summarised more than 13</w:t>
      </w:r>
      <w:r w:rsidR="000C5378">
        <w:t xml:space="preserve"> </w:t>
      </w:r>
      <w:r w:rsidRPr="003614FB">
        <w:t>000</w:t>
      </w:r>
      <w:r w:rsidR="000C5378">
        <w:t> </w:t>
      </w:r>
      <w:r w:rsidRPr="003614FB">
        <w:t xml:space="preserve">drill stem test records from the </w:t>
      </w:r>
      <w:r w:rsidR="008170B3" w:rsidRPr="003614FB">
        <w:t xml:space="preserve">Queensland Petroleum Exploration Database </w:t>
      </w:r>
      <w:r w:rsidRPr="003614FB">
        <w:t xml:space="preserve">and more than 1000 pumping test records from the </w:t>
      </w:r>
      <w:r w:rsidR="008E4761" w:rsidRPr="003614FB">
        <w:t xml:space="preserve">Queensland Groundwater Database </w:t>
      </w:r>
      <w:r w:rsidRPr="003614FB">
        <w:t xml:space="preserve">(Table </w:t>
      </w:r>
      <w:r w:rsidR="00FA5429">
        <w:t>12</w:t>
      </w:r>
      <w:r w:rsidRPr="003614FB">
        <w:t>). As of January 2013, this represent</w:t>
      </w:r>
      <w:r w:rsidR="00023337">
        <w:t>ed</w:t>
      </w:r>
      <w:r w:rsidRPr="003614FB">
        <w:t xml:space="preserve"> the most up-to-date and publically available synthesis of </w:t>
      </w:r>
      <w:r w:rsidR="008E4761" w:rsidRPr="003614FB">
        <w:t xml:space="preserve">Queensland Groundwater Database </w:t>
      </w:r>
      <w:r w:rsidRPr="003614FB">
        <w:t xml:space="preserve">and </w:t>
      </w:r>
      <w:r w:rsidR="008E4761" w:rsidRPr="003614FB">
        <w:t xml:space="preserve">Queensland Petroleum Exploration Database </w:t>
      </w:r>
      <w:r w:rsidRPr="003614FB">
        <w:t>hydraulic conductivity data.</w:t>
      </w:r>
    </w:p>
    <w:p w:rsidR="00D414C3" w:rsidRDefault="00D414C3" w:rsidP="00D414C3">
      <w:pPr>
        <w:pStyle w:val="BRNormal"/>
      </w:pPr>
      <w:r>
        <w:t>Higher median and maximum hydraulic conductivities are associated with unconsolidated alluvial media, and with aquifer units such as the Gubberamunda, Hutton and Precipice Sandstone units. Conversely, lower</w:t>
      </w:r>
      <w:r w:rsidRPr="00ED3D5C">
        <w:t xml:space="preserve"> median and maximum hydraulic conductivities are associated with</w:t>
      </w:r>
      <w:r>
        <w:t xml:space="preserve"> the Westbourne Formation, Walloon Aquitards, and Evergreen Formation.</w:t>
      </w:r>
    </w:p>
    <w:p w:rsidR="00D414C3" w:rsidRDefault="00D414C3" w:rsidP="004E5011">
      <w:pPr>
        <w:pStyle w:val="Caption"/>
      </w:pPr>
    </w:p>
    <w:p w:rsidR="000C5378" w:rsidRDefault="000C5378" w:rsidP="000C5378">
      <w:pPr>
        <w:rPr>
          <w:lang w:val="en-AU" w:eastAsia="en-AU"/>
        </w:rPr>
      </w:pPr>
    </w:p>
    <w:p w:rsidR="000C5378" w:rsidRDefault="000C5378" w:rsidP="000C5378">
      <w:pPr>
        <w:rPr>
          <w:lang w:val="en-AU" w:eastAsia="en-AU"/>
        </w:rPr>
      </w:pPr>
    </w:p>
    <w:p w:rsidR="000C5378" w:rsidRPr="000C5378" w:rsidRDefault="000C5378" w:rsidP="000C5378">
      <w:pPr>
        <w:rPr>
          <w:lang w:val="en-AU" w:eastAsia="en-AU"/>
        </w:rPr>
      </w:pPr>
    </w:p>
    <w:p w:rsidR="00DD07AF" w:rsidRDefault="004E5011" w:rsidP="004E5011">
      <w:pPr>
        <w:pStyle w:val="Caption"/>
      </w:pPr>
      <w:r w:rsidRPr="006F2073">
        <w:lastRenderedPageBreak/>
        <w:t xml:space="preserve">Table </w:t>
      </w:r>
      <w:r w:rsidR="00E23933" w:rsidRPr="006F2073">
        <w:rPr>
          <w:b/>
          <w:noProof w:val="0"/>
        </w:rPr>
        <w:fldChar w:fldCharType="begin"/>
      </w:r>
      <w:r w:rsidRPr="006F2073">
        <w:instrText xml:space="preserve"> SEQ Table \* ARABIC </w:instrText>
      </w:r>
      <w:r w:rsidR="00E23933" w:rsidRPr="006F2073">
        <w:rPr>
          <w:b/>
          <w:noProof w:val="0"/>
        </w:rPr>
        <w:fldChar w:fldCharType="separate"/>
      </w:r>
      <w:r w:rsidR="00FA5429">
        <w:t>12</w:t>
      </w:r>
      <w:r w:rsidR="00E23933" w:rsidRPr="006F2073">
        <w:rPr>
          <w:b/>
        </w:rPr>
        <w:fldChar w:fldCharType="end"/>
      </w:r>
      <w:r w:rsidR="00DD07AF" w:rsidRPr="008C7B99">
        <w:t xml:space="preserve"> </w:t>
      </w:r>
      <w:r w:rsidR="00DD07AF">
        <w:t xml:space="preserve">Horizontal hydraulic conductivity (m/d) measurements for various units of the Surat Basin </w:t>
      </w:r>
      <w:r w:rsidR="000C5378">
        <w:t>(</w:t>
      </w:r>
      <w:r w:rsidR="00F976E1">
        <w:t>© Copyright</w:t>
      </w:r>
      <w:r w:rsidR="000C5378">
        <w:t xml:space="preserve">, </w:t>
      </w:r>
      <w:r w:rsidR="00DD07AF">
        <w:t>QWC 2012</w:t>
      </w:r>
      <w:r>
        <w:t>a</w:t>
      </w:r>
      <w:r w:rsidR="00DD07AF">
        <w:t>)</w:t>
      </w:r>
      <w:r>
        <w:t>.</w:t>
      </w:r>
    </w:p>
    <w:tbl>
      <w:tblPr>
        <w:tblStyle w:val="TableGrid11"/>
        <w:tblW w:w="0" w:type="auto"/>
        <w:tblInd w:w="108" w:type="dxa"/>
        <w:tblLook w:val="04A0"/>
      </w:tblPr>
      <w:tblGrid>
        <w:gridCol w:w="4110"/>
        <w:gridCol w:w="1184"/>
        <w:gridCol w:w="1275"/>
        <w:gridCol w:w="1276"/>
        <w:gridCol w:w="1150"/>
      </w:tblGrid>
      <w:tr w:rsidR="00DD07AF" w:rsidRPr="00D414C3" w:rsidTr="000C5378">
        <w:trPr>
          <w:tblHeader/>
        </w:trPr>
        <w:tc>
          <w:tcPr>
            <w:tcW w:w="4110" w:type="dxa"/>
            <w:tcBorders>
              <w:top w:val="single" w:sz="4" w:space="0" w:color="auto"/>
              <w:left w:val="single" w:sz="4" w:space="0" w:color="auto"/>
              <w:bottom w:val="single" w:sz="4" w:space="0" w:color="auto"/>
              <w:right w:val="single" w:sz="4" w:space="0" w:color="auto"/>
            </w:tcBorders>
            <w:shd w:val="clear" w:color="auto" w:fill="C6D9F1" w:themeFill="text2" w:themeFillTint="33"/>
          </w:tcPr>
          <w:p w:rsidR="00DD07AF" w:rsidRPr="00D414C3" w:rsidRDefault="00DD07AF" w:rsidP="00470AD4">
            <w:pPr>
              <w:pStyle w:val="Tableheading"/>
            </w:pPr>
            <w:r w:rsidRPr="00D414C3">
              <w:t>Unit</w:t>
            </w:r>
          </w:p>
        </w:tc>
        <w:tc>
          <w:tcPr>
            <w:tcW w:w="1184" w:type="dxa"/>
            <w:tcBorders>
              <w:top w:val="single" w:sz="4" w:space="0" w:color="auto"/>
              <w:left w:val="single" w:sz="4" w:space="0" w:color="auto"/>
              <w:bottom w:val="single" w:sz="4" w:space="0" w:color="auto"/>
              <w:right w:val="single" w:sz="4" w:space="0" w:color="auto"/>
            </w:tcBorders>
            <w:shd w:val="clear" w:color="auto" w:fill="C6D9F1" w:themeFill="text2" w:themeFillTint="33"/>
          </w:tcPr>
          <w:p w:rsidR="00DD07AF" w:rsidRPr="00D414C3" w:rsidRDefault="00DD07AF" w:rsidP="00470AD4">
            <w:pPr>
              <w:pStyle w:val="Tableheading"/>
            </w:pPr>
            <w:r w:rsidRPr="00D414C3">
              <w:t>n</w:t>
            </w:r>
          </w:p>
        </w:tc>
        <w:tc>
          <w:tcPr>
            <w:tcW w:w="1275" w:type="dxa"/>
            <w:tcBorders>
              <w:top w:val="single" w:sz="4" w:space="0" w:color="auto"/>
              <w:left w:val="single" w:sz="4" w:space="0" w:color="auto"/>
              <w:bottom w:val="single" w:sz="4" w:space="0" w:color="auto"/>
              <w:right w:val="single" w:sz="4" w:space="0" w:color="auto"/>
            </w:tcBorders>
            <w:shd w:val="clear" w:color="auto" w:fill="C6D9F1" w:themeFill="text2" w:themeFillTint="33"/>
          </w:tcPr>
          <w:p w:rsidR="00DD07AF" w:rsidRPr="00D414C3" w:rsidRDefault="00DD07AF" w:rsidP="00470AD4">
            <w:pPr>
              <w:pStyle w:val="Tableheading"/>
            </w:pPr>
            <w:r w:rsidRPr="00D414C3">
              <w:t>minimum</w:t>
            </w:r>
          </w:p>
        </w:tc>
        <w:tc>
          <w:tcPr>
            <w:tcW w:w="1276" w:type="dxa"/>
            <w:tcBorders>
              <w:top w:val="single" w:sz="4" w:space="0" w:color="auto"/>
              <w:left w:val="single" w:sz="4" w:space="0" w:color="auto"/>
              <w:bottom w:val="single" w:sz="4" w:space="0" w:color="auto"/>
              <w:right w:val="single" w:sz="4" w:space="0" w:color="auto"/>
            </w:tcBorders>
            <w:shd w:val="clear" w:color="auto" w:fill="C6D9F1" w:themeFill="text2" w:themeFillTint="33"/>
          </w:tcPr>
          <w:p w:rsidR="00DD07AF" w:rsidRPr="00D414C3" w:rsidRDefault="00DD07AF" w:rsidP="00470AD4">
            <w:pPr>
              <w:pStyle w:val="Tableheading"/>
            </w:pPr>
            <w:r w:rsidRPr="00D414C3">
              <w:t>median</w:t>
            </w:r>
          </w:p>
        </w:tc>
        <w:tc>
          <w:tcPr>
            <w:tcW w:w="1150" w:type="dxa"/>
            <w:tcBorders>
              <w:top w:val="single" w:sz="4" w:space="0" w:color="auto"/>
              <w:left w:val="single" w:sz="4" w:space="0" w:color="auto"/>
              <w:bottom w:val="single" w:sz="4" w:space="0" w:color="auto"/>
              <w:right w:val="single" w:sz="4" w:space="0" w:color="auto"/>
            </w:tcBorders>
            <w:shd w:val="clear" w:color="auto" w:fill="C6D9F1" w:themeFill="text2" w:themeFillTint="33"/>
          </w:tcPr>
          <w:p w:rsidR="00DD07AF" w:rsidRPr="00D414C3" w:rsidRDefault="00DD07AF" w:rsidP="00470AD4">
            <w:pPr>
              <w:pStyle w:val="Tableheading"/>
            </w:pPr>
            <w:r w:rsidRPr="00D414C3">
              <w:t>maximum</w:t>
            </w:r>
          </w:p>
        </w:tc>
      </w:tr>
      <w:tr w:rsidR="00DD07AF" w:rsidRPr="00D414C3" w:rsidTr="000C5378">
        <w:tc>
          <w:tcPr>
            <w:tcW w:w="4110" w:type="dxa"/>
            <w:tcBorders>
              <w:top w:val="single" w:sz="4" w:space="0" w:color="auto"/>
              <w:bottom w:val="single" w:sz="4" w:space="0" w:color="auto"/>
            </w:tcBorders>
          </w:tcPr>
          <w:p w:rsidR="00DD07AF" w:rsidRPr="00D414C3" w:rsidRDefault="00DD07AF" w:rsidP="00CB2FBB">
            <w:pPr>
              <w:pStyle w:val="Tabletext"/>
            </w:pPr>
            <w:r w:rsidRPr="00D414C3">
              <w:t>Alluvium</w:t>
            </w:r>
          </w:p>
        </w:tc>
        <w:tc>
          <w:tcPr>
            <w:tcW w:w="1184" w:type="dxa"/>
            <w:tcBorders>
              <w:top w:val="single" w:sz="4" w:space="0" w:color="auto"/>
              <w:bottom w:val="single" w:sz="4" w:space="0" w:color="auto"/>
            </w:tcBorders>
          </w:tcPr>
          <w:p w:rsidR="00DD07AF" w:rsidRPr="00D414C3" w:rsidRDefault="00DD07AF" w:rsidP="00CB2FBB">
            <w:pPr>
              <w:pStyle w:val="Tabletext"/>
            </w:pPr>
            <w:r w:rsidRPr="00D414C3">
              <w:t>101</w:t>
            </w:r>
          </w:p>
        </w:tc>
        <w:tc>
          <w:tcPr>
            <w:tcW w:w="1275" w:type="dxa"/>
            <w:tcBorders>
              <w:top w:val="single" w:sz="4" w:space="0" w:color="auto"/>
              <w:bottom w:val="single" w:sz="4" w:space="0" w:color="auto"/>
            </w:tcBorders>
            <w:vAlign w:val="center"/>
          </w:tcPr>
          <w:p w:rsidR="00DD07AF" w:rsidRPr="00D414C3" w:rsidRDefault="00DD07AF" w:rsidP="00CB2FBB">
            <w:pPr>
              <w:pStyle w:val="Tabletext"/>
            </w:pPr>
            <w:r w:rsidRPr="00D414C3">
              <w:t>0.14</w:t>
            </w:r>
          </w:p>
        </w:tc>
        <w:tc>
          <w:tcPr>
            <w:tcW w:w="1276" w:type="dxa"/>
            <w:tcBorders>
              <w:top w:val="single" w:sz="4" w:space="0" w:color="auto"/>
              <w:bottom w:val="single" w:sz="4" w:space="0" w:color="auto"/>
            </w:tcBorders>
            <w:vAlign w:val="center"/>
          </w:tcPr>
          <w:p w:rsidR="00DD07AF" w:rsidRPr="00D414C3" w:rsidRDefault="00DD07AF" w:rsidP="00CB2FBB">
            <w:pPr>
              <w:pStyle w:val="Tabletext"/>
            </w:pPr>
            <w:r w:rsidRPr="00D414C3">
              <w:t>8.60</w:t>
            </w:r>
          </w:p>
        </w:tc>
        <w:tc>
          <w:tcPr>
            <w:tcW w:w="1150" w:type="dxa"/>
            <w:tcBorders>
              <w:top w:val="single" w:sz="4" w:space="0" w:color="auto"/>
              <w:bottom w:val="single" w:sz="4" w:space="0" w:color="auto"/>
            </w:tcBorders>
            <w:vAlign w:val="center"/>
          </w:tcPr>
          <w:p w:rsidR="00DD07AF" w:rsidRPr="00D414C3" w:rsidRDefault="00DD07AF" w:rsidP="00CB2FBB">
            <w:pPr>
              <w:pStyle w:val="Tabletext"/>
            </w:pPr>
            <w:r w:rsidRPr="00D414C3">
              <w:t>1500</w:t>
            </w:r>
          </w:p>
        </w:tc>
      </w:tr>
      <w:tr w:rsidR="00DD07AF" w:rsidRPr="00D414C3" w:rsidTr="000C5378">
        <w:tc>
          <w:tcPr>
            <w:tcW w:w="4110" w:type="dxa"/>
            <w:tcBorders>
              <w:top w:val="single" w:sz="4" w:space="0" w:color="auto"/>
              <w:bottom w:val="single" w:sz="4" w:space="0" w:color="auto"/>
            </w:tcBorders>
          </w:tcPr>
          <w:p w:rsidR="00DD07AF" w:rsidRPr="00D414C3" w:rsidRDefault="00DD07AF" w:rsidP="00CB2FBB">
            <w:pPr>
              <w:pStyle w:val="Tabletext"/>
            </w:pPr>
            <w:r w:rsidRPr="00D414C3">
              <w:t>Main Range Volcanics</w:t>
            </w:r>
          </w:p>
        </w:tc>
        <w:tc>
          <w:tcPr>
            <w:tcW w:w="1184" w:type="dxa"/>
            <w:tcBorders>
              <w:top w:val="single" w:sz="4" w:space="0" w:color="auto"/>
              <w:bottom w:val="single" w:sz="4" w:space="0" w:color="auto"/>
            </w:tcBorders>
          </w:tcPr>
          <w:p w:rsidR="00DD07AF" w:rsidRPr="00D414C3" w:rsidRDefault="00DD07AF" w:rsidP="00CB2FBB">
            <w:pPr>
              <w:pStyle w:val="Tabletext"/>
            </w:pPr>
            <w:r w:rsidRPr="00D414C3">
              <w:t>14</w:t>
            </w:r>
          </w:p>
        </w:tc>
        <w:tc>
          <w:tcPr>
            <w:tcW w:w="1275" w:type="dxa"/>
            <w:tcBorders>
              <w:top w:val="single" w:sz="4" w:space="0" w:color="auto"/>
              <w:bottom w:val="single" w:sz="4" w:space="0" w:color="auto"/>
            </w:tcBorders>
            <w:vAlign w:val="center"/>
          </w:tcPr>
          <w:p w:rsidR="00DD07AF" w:rsidRPr="00D414C3" w:rsidRDefault="00DD07AF" w:rsidP="00CB2FBB">
            <w:pPr>
              <w:pStyle w:val="Tabletext"/>
            </w:pPr>
            <w:r w:rsidRPr="00D414C3">
              <w:t>0.02</w:t>
            </w:r>
          </w:p>
        </w:tc>
        <w:tc>
          <w:tcPr>
            <w:tcW w:w="1276" w:type="dxa"/>
            <w:tcBorders>
              <w:top w:val="single" w:sz="4" w:space="0" w:color="auto"/>
              <w:bottom w:val="single" w:sz="4" w:space="0" w:color="auto"/>
            </w:tcBorders>
            <w:vAlign w:val="center"/>
          </w:tcPr>
          <w:p w:rsidR="00DD07AF" w:rsidRPr="00D414C3" w:rsidRDefault="00DD07AF" w:rsidP="00CB2FBB">
            <w:pPr>
              <w:pStyle w:val="Tabletext"/>
            </w:pPr>
            <w:r w:rsidRPr="00D414C3">
              <w:t>0.54</w:t>
            </w:r>
          </w:p>
        </w:tc>
        <w:tc>
          <w:tcPr>
            <w:tcW w:w="1150" w:type="dxa"/>
            <w:tcBorders>
              <w:top w:val="single" w:sz="4" w:space="0" w:color="auto"/>
              <w:bottom w:val="single" w:sz="4" w:space="0" w:color="auto"/>
            </w:tcBorders>
            <w:vAlign w:val="center"/>
          </w:tcPr>
          <w:p w:rsidR="00DD07AF" w:rsidRPr="00D414C3" w:rsidRDefault="00DD07AF" w:rsidP="00CB2FBB">
            <w:pPr>
              <w:pStyle w:val="Tabletext"/>
            </w:pPr>
            <w:r w:rsidRPr="00D414C3">
              <w:t>6.8</w:t>
            </w:r>
          </w:p>
        </w:tc>
      </w:tr>
      <w:tr w:rsidR="00DD07AF" w:rsidRPr="00D414C3" w:rsidTr="000C5378">
        <w:tc>
          <w:tcPr>
            <w:tcW w:w="4110" w:type="dxa"/>
            <w:tcBorders>
              <w:top w:val="single" w:sz="4" w:space="0" w:color="auto"/>
              <w:bottom w:val="single" w:sz="4" w:space="0" w:color="auto"/>
            </w:tcBorders>
          </w:tcPr>
          <w:p w:rsidR="00DD07AF" w:rsidRPr="00D414C3" w:rsidRDefault="00DD07AF" w:rsidP="00CB2FBB">
            <w:pPr>
              <w:pStyle w:val="Tabletext"/>
            </w:pPr>
            <w:r w:rsidRPr="00D414C3">
              <w:t>Rolling Downs Group</w:t>
            </w:r>
          </w:p>
        </w:tc>
        <w:tc>
          <w:tcPr>
            <w:tcW w:w="1184" w:type="dxa"/>
            <w:tcBorders>
              <w:top w:val="single" w:sz="4" w:space="0" w:color="auto"/>
              <w:bottom w:val="single" w:sz="4" w:space="0" w:color="auto"/>
            </w:tcBorders>
          </w:tcPr>
          <w:p w:rsidR="00DD07AF" w:rsidRPr="00D414C3" w:rsidRDefault="00DD07AF" w:rsidP="00CB2FBB">
            <w:pPr>
              <w:pStyle w:val="Tabletext"/>
            </w:pPr>
            <w:r w:rsidRPr="00D414C3">
              <w:t>61</w:t>
            </w:r>
          </w:p>
        </w:tc>
        <w:tc>
          <w:tcPr>
            <w:tcW w:w="1275" w:type="dxa"/>
            <w:tcBorders>
              <w:top w:val="single" w:sz="4" w:space="0" w:color="auto"/>
              <w:bottom w:val="single" w:sz="4" w:space="0" w:color="auto"/>
            </w:tcBorders>
            <w:vAlign w:val="center"/>
          </w:tcPr>
          <w:p w:rsidR="00DD07AF" w:rsidRPr="00D414C3" w:rsidRDefault="00DD07AF" w:rsidP="00CB2FBB">
            <w:pPr>
              <w:pStyle w:val="Tabletext"/>
            </w:pPr>
            <w:r w:rsidRPr="00D414C3">
              <w:t>4.40</w:t>
            </w:r>
            <w:r w:rsidR="00C3694D" w:rsidRPr="00D414C3">
              <w:t>x</w:t>
            </w:r>
            <w:r w:rsidR="008530AE" w:rsidRPr="00D414C3">
              <w:t>10</w:t>
            </w:r>
            <w:r w:rsidR="008530AE" w:rsidRPr="00D414C3">
              <w:rPr>
                <w:vertAlign w:val="superscript"/>
              </w:rPr>
              <w:t>-4</w:t>
            </w:r>
          </w:p>
        </w:tc>
        <w:tc>
          <w:tcPr>
            <w:tcW w:w="1276" w:type="dxa"/>
            <w:tcBorders>
              <w:top w:val="single" w:sz="4" w:space="0" w:color="auto"/>
              <w:bottom w:val="single" w:sz="4" w:space="0" w:color="auto"/>
            </w:tcBorders>
            <w:vAlign w:val="center"/>
          </w:tcPr>
          <w:p w:rsidR="00DD07AF" w:rsidRPr="00D414C3" w:rsidRDefault="00DD07AF" w:rsidP="00CB2FBB">
            <w:pPr>
              <w:pStyle w:val="Tabletext"/>
            </w:pPr>
            <w:r w:rsidRPr="00D414C3">
              <w:t>0.03</w:t>
            </w:r>
          </w:p>
        </w:tc>
        <w:tc>
          <w:tcPr>
            <w:tcW w:w="1150" w:type="dxa"/>
            <w:tcBorders>
              <w:top w:val="single" w:sz="4" w:space="0" w:color="auto"/>
              <w:bottom w:val="single" w:sz="4" w:space="0" w:color="auto"/>
            </w:tcBorders>
            <w:vAlign w:val="center"/>
          </w:tcPr>
          <w:p w:rsidR="00DD07AF" w:rsidRPr="00D414C3" w:rsidRDefault="00DD07AF" w:rsidP="00CB2FBB">
            <w:pPr>
              <w:pStyle w:val="Tabletext"/>
            </w:pPr>
            <w:r w:rsidRPr="00D414C3">
              <w:t>1.0</w:t>
            </w:r>
          </w:p>
        </w:tc>
      </w:tr>
      <w:tr w:rsidR="00DD07AF" w:rsidRPr="00D414C3" w:rsidTr="000C5378">
        <w:trPr>
          <w:trHeight w:val="369"/>
        </w:trPr>
        <w:tc>
          <w:tcPr>
            <w:tcW w:w="4110" w:type="dxa"/>
            <w:tcBorders>
              <w:top w:val="single" w:sz="4" w:space="0" w:color="auto"/>
              <w:bottom w:val="single" w:sz="4" w:space="0" w:color="auto"/>
            </w:tcBorders>
          </w:tcPr>
          <w:p w:rsidR="00DD07AF" w:rsidRPr="00D414C3" w:rsidRDefault="002635AA" w:rsidP="00CB2FBB">
            <w:pPr>
              <w:pStyle w:val="Tabletext"/>
            </w:pPr>
            <w:r>
              <w:t>Bungil/</w:t>
            </w:r>
            <w:r w:rsidR="00DD07AF" w:rsidRPr="00D414C3">
              <w:t>Mooga Sandstone</w:t>
            </w:r>
          </w:p>
        </w:tc>
        <w:tc>
          <w:tcPr>
            <w:tcW w:w="1184" w:type="dxa"/>
            <w:tcBorders>
              <w:top w:val="single" w:sz="4" w:space="0" w:color="auto"/>
              <w:bottom w:val="single" w:sz="4" w:space="0" w:color="auto"/>
            </w:tcBorders>
          </w:tcPr>
          <w:p w:rsidR="00DD07AF" w:rsidRPr="00D414C3" w:rsidRDefault="00DD07AF" w:rsidP="00CB2FBB">
            <w:pPr>
              <w:pStyle w:val="Tabletext"/>
            </w:pPr>
            <w:r w:rsidRPr="00D414C3">
              <w:t>290</w:t>
            </w:r>
          </w:p>
        </w:tc>
        <w:tc>
          <w:tcPr>
            <w:tcW w:w="1275" w:type="dxa"/>
            <w:tcBorders>
              <w:top w:val="single" w:sz="4" w:space="0" w:color="auto"/>
              <w:bottom w:val="single" w:sz="4" w:space="0" w:color="auto"/>
            </w:tcBorders>
            <w:vAlign w:val="center"/>
          </w:tcPr>
          <w:p w:rsidR="00DD07AF" w:rsidRPr="00D414C3" w:rsidRDefault="00DD07AF" w:rsidP="00CB2FBB">
            <w:pPr>
              <w:pStyle w:val="Tabletext"/>
            </w:pPr>
            <w:r w:rsidRPr="00D414C3">
              <w:t>2.80</w:t>
            </w:r>
            <w:r w:rsidR="00C3694D" w:rsidRPr="00D414C3">
              <w:t>x</w:t>
            </w:r>
            <w:r w:rsidR="008530AE" w:rsidRPr="00D414C3">
              <w:t>10</w:t>
            </w:r>
            <w:r w:rsidR="008530AE" w:rsidRPr="00D414C3">
              <w:rPr>
                <w:vertAlign w:val="superscript"/>
              </w:rPr>
              <w:t>-5</w:t>
            </w:r>
          </w:p>
        </w:tc>
        <w:tc>
          <w:tcPr>
            <w:tcW w:w="1276" w:type="dxa"/>
            <w:tcBorders>
              <w:top w:val="single" w:sz="4" w:space="0" w:color="auto"/>
              <w:bottom w:val="single" w:sz="4" w:space="0" w:color="auto"/>
            </w:tcBorders>
            <w:vAlign w:val="center"/>
          </w:tcPr>
          <w:p w:rsidR="00DD07AF" w:rsidRPr="00D414C3" w:rsidRDefault="00DD07AF" w:rsidP="00CB2FBB">
            <w:pPr>
              <w:pStyle w:val="Tabletext"/>
            </w:pPr>
            <w:r w:rsidRPr="00D414C3">
              <w:t>0.04</w:t>
            </w:r>
          </w:p>
        </w:tc>
        <w:tc>
          <w:tcPr>
            <w:tcW w:w="1150" w:type="dxa"/>
            <w:tcBorders>
              <w:top w:val="single" w:sz="4" w:space="0" w:color="auto"/>
              <w:bottom w:val="single" w:sz="4" w:space="0" w:color="auto"/>
            </w:tcBorders>
            <w:vAlign w:val="center"/>
          </w:tcPr>
          <w:p w:rsidR="00DD07AF" w:rsidRPr="00D414C3" w:rsidRDefault="00DD07AF" w:rsidP="00CB2FBB">
            <w:pPr>
              <w:pStyle w:val="Tabletext"/>
            </w:pPr>
            <w:r w:rsidRPr="00D414C3">
              <w:t>5.4</w:t>
            </w:r>
          </w:p>
        </w:tc>
      </w:tr>
      <w:tr w:rsidR="00DD07AF" w:rsidRPr="00D414C3" w:rsidTr="000C5378">
        <w:tc>
          <w:tcPr>
            <w:tcW w:w="4110" w:type="dxa"/>
            <w:tcBorders>
              <w:top w:val="single" w:sz="4" w:space="0" w:color="auto"/>
              <w:bottom w:val="single" w:sz="4" w:space="0" w:color="auto"/>
            </w:tcBorders>
          </w:tcPr>
          <w:p w:rsidR="00DD07AF" w:rsidRPr="00D414C3" w:rsidRDefault="00DD07AF" w:rsidP="00CB2FBB">
            <w:pPr>
              <w:pStyle w:val="Tabletext"/>
            </w:pPr>
            <w:r w:rsidRPr="00D414C3">
              <w:t>Orallo Formation</w:t>
            </w:r>
          </w:p>
        </w:tc>
        <w:tc>
          <w:tcPr>
            <w:tcW w:w="1184" w:type="dxa"/>
            <w:tcBorders>
              <w:top w:val="single" w:sz="4" w:space="0" w:color="auto"/>
              <w:bottom w:val="single" w:sz="4" w:space="0" w:color="auto"/>
            </w:tcBorders>
          </w:tcPr>
          <w:p w:rsidR="00DD07AF" w:rsidRPr="00D414C3" w:rsidRDefault="00DD07AF" w:rsidP="00CB2FBB">
            <w:pPr>
              <w:pStyle w:val="Tabletext"/>
            </w:pPr>
            <w:r w:rsidRPr="00D414C3">
              <w:t>78</w:t>
            </w:r>
          </w:p>
        </w:tc>
        <w:tc>
          <w:tcPr>
            <w:tcW w:w="1275" w:type="dxa"/>
            <w:tcBorders>
              <w:top w:val="single" w:sz="4" w:space="0" w:color="auto"/>
              <w:bottom w:val="single" w:sz="4" w:space="0" w:color="auto"/>
            </w:tcBorders>
            <w:vAlign w:val="center"/>
          </w:tcPr>
          <w:p w:rsidR="00DD07AF" w:rsidRPr="00D414C3" w:rsidRDefault="00DD07AF" w:rsidP="00CB2FBB">
            <w:pPr>
              <w:pStyle w:val="Tabletext"/>
            </w:pPr>
            <w:r w:rsidRPr="00D414C3">
              <w:t>9.30</w:t>
            </w:r>
            <w:r w:rsidR="00C3694D" w:rsidRPr="00D414C3">
              <w:t>x</w:t>
            </w:r>
            <w:r w:rsidR="008530AE" w:rsidRPr="00D414C3">
              <w:t>10</w:t>
            </w:r>
            <w:r w:rsidR="008530AE" w:rsidRPr="00D414C3">
              <w:rPr>
                <w:vertAlign w:val="superscript"/>
              </w:rPr>
              <w:t>-5</w:t>
            </w:r>
          </w:p>
        </w:tc>
        <w:tc>
          <w:tcPr>
            <w:tcW w:w="1276" w:type="dxa"/>
            <w:tcBorders>
              <w:top w:val="single" w:sz="4" w:space="0" w:color="auto"/>
              <w:bottom w:val="single" w:sz="4" w:space="0" w:color="auto"/>
            </w:tcBorders>
            <w:vAlign w:val="center"/>
          </w:tcPr>
          <w:p w:rsidR="00DD07AF" w:rsidRPr="00D414C3" w:rsidRDefault="00DD07AF" w:rsidP="00CB2FBB">
            <w:pPr>
              <w:pStyle w:val="Tabletext"/>
            </w:pPr>
            <w:r w:rsidRPr="00D414C3">
              <w:t>0.30</w:t>
            </w:r>
          </w:p>
        </w:tc>
        <w:tc>
          <w:tcPr>
            <w:tcW w:w="1150" w:type="dxa"/>
            <w:tcBorders>
              <w:top w:val="single" w:sz="4" w:space="0" w:color="auto"/>
              <w:bottom w:val="single" w:sz="4" w:space="0" w:color="auto"/>
            </w:tcBorders>
            <w:vAlign w:val="center"/>
          </w:tcPr>
          <w:p w:rsidR="00DD07AF" w:rsidRPr="00D414C3" w:rsidRDefault="00DD07AF" w:rsidP="00CB2FBB">
            <w:pPr>
              <w:pStyle w:val="Tabletext"/>
            </w:pPr>
            <w:r w:rsidRPr="00D414C3">
              <w:t>5.9</w:t>
            </w:r>
          </w:p>
        </w:tc>
      </w:tr>
      <w:tr w:rsidR="00DD07AF" w:rsidRPr="00D414C3" w:rsidTr="000C5378">
        <w:tc>
          <w:tcPr>
            <w:tcW w:w="4110" w:type="dxa"/>
            <w:tcBorders>
              <w:top w:val="single" w:sz="4" w:space="0" w:color="auto"/>
              <w:bottom w:val="single" w:sz="4" w:space="0" w:color="auto"/>
            </w:tcBorders>
          </w:tcPr>
          <w:p w:rsidR="00DD07AF" w:rsidRPr="00D414C3" w:rsidRDefault="00DD07AF" w:rsidP="00CB2FBB">
            <w:pPr>
              <w:pStyle w:val="Tabletext"/>
            </w:pPr>
            <w:r w:rsidRPr="00D414C3">
              <w:t>Gubberamunda Sandstone</w:t>
            </w:r>
          </w:p>
        </w:tc>
        <w:tc>
          <w:tcPr>
            <w:tcW w:w="1184" w:type="dxa"/>
            <w:tcBorders>
              <w:top w:val="single" w:sz="4" w:space="0" w:color="auto"/>
              <w:bottom w:val="single" w:sz="4" w:space="0" w:color="auto"/>
            </w:tcBorders>
          </w:tcPr>
          <w:p w:rsidR="00DD07AF" w:rsidRPr="00D414C3" w:rsidRDefault="00DD07AF" w:rsidP="00CB2FBB">
            <w:pPr>
              <w:pStyle w:val="Tabletext"/>
            </w:pPr>
            <w:r w:rsidRPr="00D414C3">
              <w:t>154</w:t>
            </w:r>
          </w:p>
        </w:tc>
        <w:tc>
          <w:tcPr>
            <w:tcW w:w="1275" w:type="dxa"/>
            <w:tcBorders>
              <w:top w:val="single" w:sz="4" w:space="0" w:color="auto"/>
              <w:bottom w:val="single" w:sz="4" w:space="0" w:color="auto"/>
            </w:tcBorders>
            <w:vAlign w:val="center"/>
          </w:tcPr>
          <w:p w:rsidR="00DD07AF" w:rsidRPr="00D414C3" w:rsidRDefault="00DD07AF" w:rsidP="00CB2FBB">
            <w:pPr>
              <w:pStyle w:val="Tabletext"/>
            </w:pPr>
            <w:r w:rsidRPr="00D414C3">
              <w:t>3.70</w:t>
            </w:r>
            <w:r w:rsidR="00C3694D" w:rsidRPr="00D414C3">
              <w:t>x</w:t>
            </w:r>
            <w:r w:rsidR="008530AE" w:rsidRPr="00D414C3">
              <w:t>10</w:t>
            </w:r>
            <w:r w:rsidR="008530AE" w:rsidRPr="00D414C3">
              <w:rPr>
                <w:vertAlign w:val="superscript"/>
              </w:rPr>
              <w:t>-3</w:t>
            </w:r>
          </w:p>
        </w:tc>
        <w:tc>
          <w:tcPr>
            <w:tcW w:w="1276" w:type="dxa"/>
            <w:tcBorders>
              <w:top w:val="single" w:sz="4" w:space="0" w:color="auto"/>
              <w:bottom w:val="single" w:sz="4" w:space="0" w:color="auto"/>
            </w:tcBorders>
            <w:vAlign w:val="center"/>
          </w:tcPr>
          <w:p w:rsidR="00DD07AF" w:rsidRPr="00D414C3" w:rsidRDefault="00DD07AF" w:rsidP="00CB2FBB">
            <w:pPr>
              <w:pStyle w:val="Tabletext"/>
            </w:pPr>
            <w:r w:rsidRPr="00D414C3">
              <w:t>0.85</w:t>
            </w:r>
          </w:p>
        </w:tc>
        <w:tc>
          <w:tcPr>
            <w:tcW w:w="1150" w:type="dxa"/>
            <w:tcBorders>
              <w:top w:val="single" w:sz="4" w:space="0" w:color="auto"/>
              <w:bottom w:val="single" w:sz="4" w:space="0" w:color="auto"/>
            </w:tcBorders>
            <w:vAlign w:val="center"/>
          </w:tcPr>
          <w:p w:rsidR="00DD07AF" w:rsidRPr="00D414C3" w:rsidRDefault="00DD07AF" w:rsidP="00CB2FBB">
            <w:pPr>
              <w:pStyle w:val="Tabletext"/>
            </w:pPr>
            <w:r w:rsidRPr="00D414C3">
              <w:t>33</w:t>
            </w:r>
          </w:p>
        </w:tc>
      </w:tr>
      <w:tr w:rsidR="00DD07AF" w:rsidRPr="00D414C3" w:rsidTr="000C5378">
        <w:tc>
          <w:tcPr>
            <w:tcW w:w="4110" w:type="dxa"/>
            <w:tcBorders>
              <w:top w:val="single" w:sz="4" w:space="0" w:color="auto"/>
              <w:bottom w:val="single" w:sz="4" w:space="0" w:color="auto"/>
            </w:tcBorders>
          </w:tcPr>
          <w:p w:rsidR="00DD07AF" w:rsidRPr="00D414C3" w:rsidRDefault="00DD07AF" w:rsidP="00CB2FBB">
            <w:pPr>
              <w:pStyle w:val="Tabletext"/>
            </w:pPr>
            <w:r w:rsidRPr="00D414C3">
              <w:t>Westbourne Formation</w:t>
            </w:r>
          </w:p>
        </w:tc>
        <w:tc>
          <w:tcPr>
            <w:tcW w:w="1184" w:type="dxa"/>
            <w:tcBorders>
              <w:top w:val="single" w:sz="4" w:space="0" w:color="auto"/>
              <w:bottom w:val="single" w:sz="4" w:space="0" w:color="auto"/>
            </w:tcBorders>
          </w:tcPr>
          <w:p w:rsidR="00DD07AF" w:rsidRPr="00D414C3" w:rsidRDefault="00DD07AF" w:rsidP="00CB2FBB">
            <w:pPr>
              <w:pStyle w:val="Tabletext"/>
            </w:pPr>
            <w:r w:rsidRPr="00D414C3">
              <w:t>140</w:t>
            </w:r>
          </w:p>
        </w:tc>
        <w:tc>
          <w:tcPr>
            <w:tcW w:w="1275" w:type="dxa"/>
            <w:tcBorders>
              <w:top w:val="single" w:sz="4" w:space="0" w:color="auto"/>
              <w:bottom w:val="single" w:sz="4" w:space="0" w:color="auto"/>
            </w:tcBorders>
            <w:vAlign w:val="center"/>
          </w:tcPr>
          <w:p w:rsidR="00DD07AF" w:rsidRPr="00D414C3" w:rsidRDefault="00DD07AF" w:rsidP="00CB2FBB">
            <w:pPr>
              <w:pStyle w:val="Tabletext"/>
            </w:pPr>
            <w:r w:rsidRPr="00D414C3">
              <w:t>1.90</w:t>
            </w:r>
            <w:r w:rsidR="00C3694D" w:rsidRPr="00D414C3">
              <w:t>x</w:t>
            </w:r>
            <w:r w:rsidR="008530AE" w:rsidRPr="00D414C3">
              <w:t>10</w:t>
            </w:r>
            <w:r w:rsidR="008530AE" w:rsidRPr="00D414C3">
              <w:rPr>
                <w:vertAlign w:val="superscript"/>
              </w:rPr>
              <w:t>-5</w:t>
            </w:r>
          </w:p>
        </w:tc>
        <w:tc>
          <w:tcPr>
            <w:tcW w:w="1276" w:type="dxa"/>
            <w:tcBorders>
              <w:top w:val="single" w:sz="4" w:space="0" w:color="auto"/>
              <w:bottom w:val="single" w:sz="4" w:space="0" w:color="auto"/>
            </w:tcBorders>
            <w:vAlign w:val="center"/>
          </w:tcPr>
          <w:p w:rsidR="00DD07AF" w:rsidRPr="00D414C3" w:rsidRDefault="00DD07AF" w:rsidP="00CB2FBB">
            <w:pPr>
              <w:pStyle w:val="Tabletext"/>
            </w:pPr>
            <w:r w:rsidRPr="00D414C3">
              <w:t>0.01</w:t>
            </w:r>
          </w:p>
        </w:tc>
        <w:tc>
          <w:tcPr>
            <w:tcW w:w="1150" w:type="dxa"/>
            <w:tcBorders>
              <w:top w:val="single" w:sz="4" w:space="0" w:color="auto"/>
              <w:bottom w:val="single" w:sz="4" w:space="0" w:color="auto"/>
            </w:tcBorders>
            <w:vAlign w:val="center"/>
          </w:tcPr>
          <w:p w:rsidR="00DD07AF" w:rsidRPr="00D414C3" w:rsidRDefault="00DD07AF" w:rsidP="00CB2FBB">
            <w:pPr>
              <w:pStyle w:val="Tabletext"/>
            </w:pPr>
            <w:r w:rsidRPr="00D414C3">
              <w:t>4.6</w:t>
            </w:r>
          </w:p>
        </w:tc>
      </w:tr>
      <w:tr w:rsidR="00DD07AF" w:rsidRPr="00D414C3" w:rsidTr="000C5378">
        <w:tc>
          <w:tcPr>
            <w:tcW w:w="4110" w:type="dxa"/>
            <w:tcBorders>
              <w:top w:val="single" w:sz="4" w:space="0" w:color="auto"/>
              <w:bottom w:val="single" w:sz="4" w:space="0" w:color="auto"/>
            </w:tcBorders>
          </w:tcPr>
          <w:p w:rsidR="00DD07AF" w:rsidRPr="00D414C3" w:rsidRDefault="00DD07AF" w:rsidP="00CB2FBB">
            <w:pPr>
              <w:pStyle w:val="Tabletext"/>
            </w:pPr>
            <w:r w:rsidRPr="00D414C3">
              <w:t>Springbok Sandstone</w:t>
            </w:r>
          </w:p>
        </w:tc>
        <w:tc>
          <w:tcPr>
            <w:tcW w:w="1184" w:type="dxa"/>
            <w:tcBorders>
              <w:top w:val="single" w:sz="4" w:space="0" w:color="auto"/>
              <w:bottom w:val="single" w:sz="4" w:space="0" w:color="auto"/>
            </w:tcBorders>
          </w:tcPr>
          <w:p w:rsidR="00DD07AF" w:rsidRPr="00D414C3" w:rsidRDefault="00DD07AF" w:rsidP="00CB2FBB">
            <w:pPr>
              <w:pStyle w:val="Tabletext"/>
            </w:pPr>
            <w:r w:rsidRPr="00D414C3">
              <w:t>55</w:t>
            </w:r>
          </w:p>
        </w:tc>
        <w:tc>
          <w:tcPr>
            <w:tcW w:w="1275" w:type="dxa"/>
            <w:tcBorders>
              <w:top w:val="single" w:sz="4" w:space="0" w:color="auto"/>
              <w:bottom w:val="single" w:sz="4" w:space="0" w:color="auto"/>
            </w:tcBorders>
            <w:vAlign w:val="center"/>
          </w:tcPr>
          <w:p w:rsidR="00DD07AF" w:rsidRPr="00D414C3" w:rsidRDefault="00DD07AF" w:rsidP="00CB2FBB">
            <w:pPr>
              <w:pStyle w:val="Tabletext"/>
            </w:pPr>
            <w:r w:rsidRPr="00D414C3">
              <w:t>1.70</w:t>
            </w:r>
            <w:r w:rsidR="00C3694D" w:rsidRPr="00D414C3">
              <w:t>x</w:t>
            </w:r>
            <w:r w:rsidR="008530AE" w:rsidRPr="00D414C3">
              <w:t>10</w:t>
            </w:r>
            <w:r w:rsidR="008530AE" w:rsidRPr="00D414C3">
              <w:rPr>
                <w:vertAlign w:val="superscript"/>
              </w:rPr>
              <w:t>-6</w:t>
            </w:r>
          </w:p>
        </w:tc>
        <w:tc>
          <w:tcPr>
            <w:tcW w:w="1276" w:type="dxa"/>
            <w:tcBorders>
              <w:top w:val="single" w:sz="4" w:space="0" w:color="auto"/>
              <w:bottom w:val="single" w:sz="4" w:space="0" w:color="auto"/>
            </w:tcBorders>
            <w:vAlign w:val="center"/>
          </w:tcPr>
          <w:p w:rsidR="00DD07AF" w:rsidRPr="00D414C3" w:rsidRDefault="00DD07AF" w:rsidP="00CB2FBB">
            <w:pPr>
              <w:pStyle w:val="Tabletext"/>
            </w:pPr>
            <w:r w:rsidRPr="00D414C3">
              <w:t>4.10</w:t>
            </w:r>
            <w:r w:rsidR="00C3694D" w:rsidRPr="00D414C3">
              <w:t>x</w:t>
            </w:r>
            <w:r w:rsidR="008530AE" w:rsidRPr="00D414C3">
              <w:t>10</w:t>
            </w:r>
            <w:r w:rsidR="008530AE" w:rsidRPr="00D414C3">
              <w:rPr>
                <w:vertAlign w:val="superscript"/>
              </w:rPr>
              <w:t>-3</w:t>
            </w:r>
          </w:p>
        </w:tc>
        <w:tc>
          <w:tcPr>
            <w:tcW w:w="1150" w:type="dxa"/>
            <w:tcBorders>
              <w:top w:val="single" w:sz="4" w:space="0" w:color="auto"/>
              <w:bottom w:val="single" w:sz="4" w:space="0" w:color="auto"/>
            </w:tcBorders>
            <w:vAlign w:val="center"/>
          </w:tcPr>
          <w:p w:rsidR="00DD07AF" w:rsidRPr="00D414C3" w:rsidRDefault="00DD07AF" w:rsidP="00CB2FBB">
            <w:pPr>
              <w:pStyle w:val="Tabletext"/>
            </w:pPr>
            <w:r w:rsidRPr="00D414C3">
              <w:t>4.1</w:t>
            </w:r>
          </w:p>
        </w:tc>
      </w:tr>
      <w:tr w:rsidR="00DD07AF" w:rsidRPr="00D414C3" w:rsidTr="000C5378">
        <w:tc>
          <w:tcPr>
            <w:tcW w:w="4110" w:type="dxa"/>
            <w:tcBorders>
              <w:top w:val="single" w:sz="4" w:space="0" w:color="auto"/>
              <w:bottom w:val="single" w:sz="4" w:space="0" w:color="auto"/>
            </w:tcBorders>
          </w:tcPr>
          <w:p w:rsidR="00DD07AF" w:rsidRPr="00D414C3" w:rsidRDefault="00DD07AF" w:rsidP="00CB2FBB">
            <w:pPr>
              <w:pStyle w:val="Tabletext"/>
              <w:rPr>
                <w:highlight w:val="yellow"/>
              </w:rPr>
            </w:pPr>
            <w:r w:rsidRPr="00D414C3">
              <w:t>Walloon Aquitards</w:t>
            </w:r>
          </w:p>
        </w:tc>
        <w:tc>
          <w:tcPr>
            <w:tcW w:w="1184" w:type="dxa"/>
            <w:tcBorders>
              <w:top w:val="single" w:sz="4" w:space="0" w:color="auto"/>
              <w:bottom w:val="single" w:sz="4" w:space="0" w:color="auto"/>
            </w:tcBorders>
          </w:tcPr>
          <w:p w:rsidR="00DD07AF" w:rsidRPr="00D414C3" w:rsidRDefault="00DD07AF" w:rsidP="00CB2FBB">
            <w:pPr>
              <w:pStyle w:val="Tabletext"/>
            </w:pPr>
            <w:r w:rsidRPr="00D414C3">
              <w:t>123</w:t>
            </w:r>
          </w:p>
        </w:tc>
        <w:tc>
          <w:tcPr>
            <w:tcW w:w="1275" w:type="dxa"/>
            <w:tcBorders>
              <w:top w:val="single" w:sz="4" w:space="0" w:color="auto"/>
              <w:bottom w:val="single" w:sz="4" w:space="0" w:color="auto"/>
            </w:tcBorders>
            <w:vAlign w:val="center"/>
          </w:tcPr>
          <w:p w:rsidR="00DD07AF" w:rsidRPr="00D414C3" w:rsidRDefault="00DD07AF" w:rsidP="00CB2FBB">
            <w:pPr>
              <w:pStyle w:val="Tabletext"/>
            </w:pPr>
            <w:r w:rsidRPr="00D414C3">
              <w:t>2.60</w:t>
            </w:r>
            <w:r w:rsidR="00C3694D" w:rsidRPr="00D414C3">
              <w:t>x</w:t>
            </w:r>
            <w:r w:rsidR="008530AE" w:rsidRPr="00D414C3">
              <w:t>10</w:t>
            </w:r>
            <w:r w:rsidR="008530AE" w:rsidRPr="00D414C3">
              <w:rPr>
                <w:vertAlign w:val="superscript"/>
              </w:rPr>
              <w:t>-6</w:t>
            </w:r>
          </w:p>
        </w:tc>
        <w:tc>
          <w:tcPr>
            <w:tcW w:w="1276" w:type="dxa"/>
            <w:tcBorders>
              <w:top w:val="single" w:sz="4" w:space="0" w:color="auto"/>
              <w:bottom w:val="single" w:sz="4" w:space="0" w:color="auto"/>
            </w:tcBorders>
            <w:vAlign w:val="center"/>
          </w:tcPr>
          <w:p w:rsidR="00DD07AF" w:rsidRPr="00D414C3" w:rsidRDefault="00DD07AF" w:rsidP="00CB2FBB">
            <w:pPr>
              <w:pStyle w:val="Tabletext"/>
            </w:pPr>
            <w:r w:rsidRPr="00D414C3">
              <w:t>0.01</w:t>
            </w:r>
          </w:p>
        </w:tc>
        <w:tc>
          <w:tcPr>
            <w:tcW w:w="1150" w:type="dxa"/>
            <w:tcBorders>
              <w:top w:val="single" w:sz="4" w:space="0" w:color="auto"/>
              <w:bottom w:val="single" w:sz="4" w:space="0" w:color="auto"/>
            </w:tcBorders>
            <w:vAlign w:val="center"/>
          </w:tcPr>
          <w:p w:rsidR="00DD07AF" w:rsidRPr="00D414C3" w:rsidRDefault="00DD07AF" w:rsidP="00CB2FBB">
            <w:pPr>
              <w:pStyle w:val="Tabletext"/>
            </w:pPr>
            <w:r w:rsidRPr="00D414C3">
              <w:t>1.5</w:t>
            </w:r>
          </w:p>
        </w:tc>
      </w:tr>
      <w:tr w:rsidR="00DD07AF" w:rsidRPr="00D414C3" w:rsidTr="000C5378">
        <w:tc>
          <w:tcPr>
            <w:tcW w:w="4110" w:type="dxa"/>
            <w:tcBorders>
              <w:top w:val="single" w:sz="4" w:space="0" w:color="auto"/>
              <w:bottom w:val="single" w:sz="4" w:space="0" w:color="auto"/>
            </w:tcBorders>
          </w:tcPr>
          <w:p w:rsidR="00DD07AF" w:rsidRPr="00D414C3" w:rsidRDefault="00DD07AF" w:rsidP="00CB2FBB">
            <w:pPr>
              <w:pStyle w:val="Tabletext"/>
            </w:pPr>
            <w:r w:rsidRPr="00D414C3">
              <w:t>Walloon Productive Coal</w:t>
            </w:r>
          </w:p>
        </w:tc>
        <w:tc>
          <w:tcPr>
            <w:tcW w:w="1184" w:type="dxa"/>
            <w:tcBorders>
              <w:top w:val="single" w:sz="4" w:space="0" w:color="auto"/>
              <w:bottom w:val="single" w:sz="4" w:space="0" w:color="auto"/>
            </w:tcBorders>
          </w:tcPr>
          <w:p w:rsidR="00DD07AF" w:rsidRPr="00D414C3" w:rsidRDefault="00DD07AF" w:rsidP="00CB2FBB">
            <w:pPr>
              <w:pStyle w:val="Tabletext"/>
            </w:pPr>
            <w:r w:rsidRPr="00D414C3">
              <w:t>217</w:t>
            </w:r>
          </w:p>
        </w:tc>
        <w:tc>
          <w:tcPr>
            <w:tcW w:w="1275" w:type="dxa"/>
            <w:tcBorders>
              <w:top w:val="single" w:sz="4" w:space="0" w:color="auto"/>
              <w:bottom w:val="single" w:sz="4" w:space="0" w:color="auto"/>
            </w:tcBorders>
            <w:vAlign w:val="center"/>
          </w:tcPr>
          <w:p w:rsidR="00DD07AF" w:rsidRPr="00D414C3" w:rsidRDefault="00DD07AF" w:rsidP="00CB2FBB">
            <w:pPr>
              <w:pStyle w:val="Tabletext"/>
            </w:pPr>
            <w:r w:rsidRPr="00D414C3">
              <w:t>8.30</w:t>
            </w:r>
            <w:r w:rsidR="00C3694D" w:rsidRPr="00D414C3">
              <w:t>x</w:t>
            </w:r>
            <w:r w:rsidR="008530AE" w:rsidRPr="00D414C3">
              <w:t>10</w:t>
            </w:r>
            <w:r w:rsidR="008530AE" w:rsidRPr="00D414C3">
              <w:rPr>
                <w:vertAlign w:val="superscript"/>
              </w:rPr>
              <w:t>-5</w:t>
            </w:r>
          </w:p>
        </w:tc>
        <w:tc>
          <w:tcPr>
            <w:tcW w:w="1276" w:type="dxa"/>
            <w:tcBorders>
              <w:top w:val="single" w:sz="4" w:space="0" w:color="auto"/>
              <w:bottom w:val="single" w:sz="4" w:space="0" w:color="auto"/>
            </w:tcBorders>
            <w:vAlign w:val="center"/>
          </w:tcPr>
          <w:p w:rsidR="00DD07AF" w:rsidRPr="00D414C3" w:rsidRDefault="00DD07AF" w:rsidP="00CB2FBB">
            <w:pPr>
              <w:pStyle w:val="Tabletext"/>
            </w:pPr>
            <w:r w:rsidRPr="00D414C3">
              <w:t>0.08</w:t>
            </w:r>
          </w:p>
        </w:tc>
        <w:tc>
          <w:tcPr>
            <w:tcW w:w="1150" w:type="dxa"/>
            <w:tcBorders>
              <w:top w:val="single" w:sz="4" w:space="0" w:color="auto"/>
              <w:bottom w:val="single" w:sz="4" w:space="0" w:color="auto"/>
            </w:tcBorders>
            <w:vAlign w:val="center"/>
          </w:tcPr>
          <w:p w:rsidR="00DD07AF" w:rsidRPr="00D414C3" w:rsidRDefault="00DD07AF" w:rsidP="00CB2FBB">
            <w:pPr>
              <w:pStyle w:val="Tabletext"/>
            </w:pPr>
            <w:r w:rsidRPr="00D414C3">
              <w:t>2.2</w:t>
            </w:r>
          </w:p>
        </w:tc>
      </w:tr>
      <w:tr w:rsidR="00DD07AF" w:rsidRPr="00D414C3" w:rsidTr="000C5378">
        <w:tc>
          <w:tcPr>
            <w:tcW w:w="4110" w:type="dxa"/>
            <w:tcBorders>
              <w:top w:val="single" w:sz="4" w:space="0" w:color="auto"/>
              <w:bottom w:val="single" w:sz="4" w:space="0" w:color="auto"/>
            </w:tcBorders>
          </w:tcPr>
          <w:p w:rsidR="00DD07AF" w:rsidRPr="00D414C3" w:rsidRDefault="00DD07AF" w:rsidP="00CB2FBB">
            <w:pPr>
              <w:pStyle w:val="Tabletext"/>
            </w:pPr>
            <w:r w:rsidRPr="00D414C3">
              <w:t>Hutton Sandstone</w:t>
            </w:r>
          </w:p>
        </w:tc>
        <w:tc>
          <w:tcPr>
            <w:tcW w:w="1184" w:type="dxa"/>
            <w:tcBorders>
              <w:top w:val="single" w:sz="4" w:space="0" w:color="auto"/>
              <w:bottom w:val="single" w:sz="4" w:space="0" w:color="auto"/>
            </w:tcBorders>
          </w:tcPr>
          <w:p w:rsidR="00DD07AF" w:rsidRPr="00D414C3" w:rsidRDefault="00DD07AF" w:rsidP="00CB2FBB">
            <w:pPr>
              <w:pStyle w:val="Tabletext"/>
            </w:pPr>
            <w:r w:rsidRPr="00D414C3">
              <w:t>1427</w:t>
            </w:r>
          </w:p>
        </w:tc>
        <w:tc>
          <w:tcPr>
            <w:tcW w:w="1275" w:type="dxa"/>
            <w:tcBorders>
              <w:top w:val="single" w:sz="4" w:space="0" w:color="auto"/>
              <w:bottom w:val="single" w:sz="4" w:space="0" w:color="auto"/>
            </w:tcBorders>
            <w:vAlign w:val="center"/>
          </w:tcPr>
          <w:p w:rsidR="00DD07AF" w:rsidRPr="00D414C3" w:rsidRDefault="00DD07AF" w:rsidP="00CB2FBB">
            <w:pPr>
              <w:pStyle w:val="Tabletext"/>
            </w:pPr>
            <w:r w:rsidRPr="00D414C3">
              <w:t>8.30</w:t>
            </w:r>
            <w:r w:rsidR="00C3694D" w:rsidRPr="00D414C3">
              <w:t>x</w:t>
            </w:r>
            <w:r w:rsidR="008530AE" w:rsidRPr="00D414C3">
              <w:t>10</w:t>
            </w:r>
            <w:r w:rsidR="008530AE" w:rsidRPr="00D414C3">
              <w:rPr>
                <w:vertAlign w:val="superscript"/>
              </w:rPr>
              <w:t>-6</w:t>
            </w:r>
          </w:p>
        </w:tc>
        <w:tc>
          <w:tcPr>
            <w:tcW w:w="1276" w:type="dxa"/>
            <w:tcBorders>
              <w:top w:val="single" w:sz="4" w:space="0" w:color="auto"/>
              <w:bottom w:val="single" w:sz="4" w:space="0" w:color="auto"/>
            </w:tcBorders>
            <w:vAlign w:val="center"/>
          </w:tcPr>
          <w:p w:rsidR="00DD07AF" w:rsidRPr="00D414C3" w:rsidRDefault="00DD07AF" w:rsidP="00CB2FBB">
            <w:pPr>
              <w:pStyle w:val="Tabletext"/>
            </w:pPr>
            <w:r w:rsidRPr="00D414C3">
              <w:t>0.05</w:t>
            </w:r>
          </w:p>
        </w:tc>
        <w:tc>
          <w:tcPr>
            <w:tcW w:w="1150" w:type="dxa"/>
            <w:tcBorders>
              <w:top w:val="single" w:sz="4" w:space="0" w:color="auto"/>
              <w:bottom w:val="single" w:sz="4" w:space="0" w:color="auto"/>
            </w:tcBorders>
            <w:vAlign w:val="center"/>
          </w:tcPr>
          <w:p w:rsidR="00DD07AF" w:rsidRPr="00D414C3" w:rsidRDefault="00DD07AF" w:rsidP="00CB2FBB">
            <w:pPr>
              <w:pStyle w:val="Tabletext"/>
            </w:pPr>
            <w:r w:rsidRPr="00D414C3">
              <w:t>13</w:t>
            </w:r>
          </w:p>
        </w:tc>
      </w:tr>
      <w:tr w:rsidR="00DD07AF" w:rsidRPr="00D414C3" w:rsidTr="000C5378">
        <w:tc>
          <w:tcPr>
            <w:tcW w:w="4110" w:type="dxa"/>
            <w:tcBorders>
              <w:top w:val="single" w:sz="4" w:space="0" w:color="auto"/>
              <w:bottom w:val="single" w:sz="4" w:space="0" w:color="auto"/>
            </w:tcBorders>
          </w:tcPr>
          <w:p w:rsidR="00DD07AF" w:rsidRPr="00D414C3" w:rsidRDefault="00DD07AF" w:rsidP="00CB2FBB">
            <w:pPr>
              <w:pStyle w:val="Tabletext"/>
            </w:pPr>
            <w:r w:rsidRPr="00D414C3">
              <w:t>Evergreen Formation</w:t>
            </w:r>
          </w:p>
        </w:tc>
        <w:tc>
          <w:tcPr>
            <w:tcW w:w="1184" w:type="dxa"/>
            <w:tcBorders>
              <w:top w:val="single" w:sz="4" w:space="0" w:color="auto"/>
              <w:bottom w:val="single" w:sz="4" w:space="0" w:color="auto"/>
            </w:tcBorders>
          </w:tcPr>
          <w:p w:rsidR="00DD07AF" w:rsidRPr="00D414C3" w:rsidRDefault="00DD07AF" w:rsidP="00CB2FBB">
            <w:pPr>
              <w:pStyle w:val="Tabletext"/>
            </w:pPr>
            <w:r w:rsidRPr="00D414C3">
              <w:t>1113</w:t>
            </w:r>
          </w:p>
        </w:tc>
        <w:tc>
          <w:tcPr>
            <w:tcW w:w="1275" w:type="dxa"/>
            <w:tcBorders>
              <w:top w:val="single" w:sz="4" w:space="0" w:color="auto"/>
              <w:bottom w:val="single" w:sz="4" w:space="0" w:color="auto"/>
            </w:tcBorders>
            <w:vAlign w:val="center"/>
          </w:tcPr>
          <w:p w:rsidR="00DD07AF" w:rsidRPr="00D414C3" w:rsidRDefault="00DD07AF" w:rsidP="00CB2FBB">
            <w:pPr>
              <w:pStyle w:val="Tabletext"/>
            </w:pPr>
            <w:r w:rsidRPr="00D414C3">
              <w:t>4.30</w:t>
            </w:r>
            <w:r w:rsidR="00C3694D" w:rsidRPr="00D414C3">
              <w:t>x</w:t>
            </w:r>
            <w:r w:rsidR="008530AE" w:rsidRPr="00D414C3">
              <w:t>10</w:t>
            </w:r>
            <w:r w:rsidR="008530AE" w:rsidRPr="00D414C3">
              <w:rPr>
                <w:vertAlign w:val="superscript"/>
              </w:rPr>
              <w:t>-6</w:t>
            </w:r>
          </w:p>
        </w:tc>
        <w:tc>
          <w:tcPr>
            <w:tcW w:w="1276" w:type="dxa"/>
            <w:tcBorders>
              <w:top w:val="single" w:sz="4" w:space="0" w:color="auto"/>
              <w:bottom w:val="single" w:sz="4" w:space="0" w:color="auto"/>
            </w:tcBorders>
            <w:vAlign w:val="center"/>
          </w:tcPr>
          <w:p w:rsidR="00DD07AF" w:rsidRPr="00D414C3" w:rsidRDefault="00DD07AF" w:rsidP="00CB2FBB">
            <w:pPr>
              <w:pStyle w:val="Tabletext"/>
            </w:pPr>
            <w:r w:rsidRPr="00D414C3">
              <w:t>3.40</w:t>
            </w:r>
            <w:r w:rsidR="00C3694D" w:rsidRPr="00D414C3">
              <w:t>x</w:t>
            </w:r>
            <w:r w:rsidR="008530AE" w:rsidRPr="00D414C3">
              <w:t>10</w:t>
            </w:r>
            <w:r w:rsidR="008530AE" w:rsidRPr="00D414C3">
              <w:rPr>
                <w:vertAlign w:val="superscript"/>
              </w:rPr>
              <w:t>-3</w:t>
            </w:r>
          </w:p>
        </w:tc>
        <w:tc>
          <w:tcPr>
            <w:tcW w:w="1150" w:type="dxa"/>
            <w:tcBorders>
              <w:top w:val="single" w:sz="4" w:space="0" w:color="auto"/>
              <w:bottom w:val="single" w:sz="4" w:space="0" w:color="auto"/>
            </w:tcBorders>
            <w:vAlign w:val="center"/>
          </w:tcPr>
          <w:p w:rsidR="00DD07AF" w:rsidRPr="00D414C3" w:rsidRDefault="00DD07AF" w:rsidP="00CB2FBB">
            <w:pPr>
              <w:pStyle w:val="Tabletext"/>
            </w:pPr>
            <w:r w:rsidRPr="00D414C3">
              <w:t>6.9</w:t>
            </w:r>
          </w:p>
        </w:tc>
      </w:tr>
      <w:tr w:rsidR="00DD07AF" w:rsidRPr="00D414C3" w:rsidTr="000C5378">
        <w:tc>
          <w:tcPr>
            <w:tcW w:w="4110" w:type="dxa"/>
            <w:tcBorders>
              <w:top w:val="single" w:sz="4" w:space="0" w:color="auto"/>
              <w:bottom w:val="single" w:sz="4" w:space="0" w:color="auto"/>
            </w:tcBorders>
          </w:tcPr>
          <w:p w:rsidR="00DD07AF" w:rsidRPr="00D414C3" w:rsidRDefault="00DD07AF" w:rsidP="00CB2FBB">
            <w:pPr>
              <w:pStyle w:val="Tabletext"/>
            </w:pPr>
            <w:r w:rsidRPr="00D414C3">
              <w:t>Precipice Sandstone</w:t>
            </w:r>
          </w:p>
        </w:tc>
        <w:tc>
          <w:tcPr>
            <w:tcW w:w="1184" w:type="dxa"/>
            <w:tcBorders>
              <w:top w:val="single" w:sz="4" w:space="0" w:color="auto"/>
              <w:bottom w:val="single" w:sz="4" w:space="0" w:color="auto"/>
            </w:tcBorders>
          </w:tcPr>
          <w:p w:rsidR="00DD07AF" w:rsidRPr="00D414C3" w:rsidRDefault="00DD07AF" w:rsidP="00CB2FBB">
            <w:pPr>
              <w:pStyle w:val="Tabletext"/>
            </w:pPr>
            <w:r w:rsidRPr="00D414C3">
              <w:t>1745</w:t>
            </w:r>
          </w:p>
        </w:tc>
        <w:tc>
          <w:tcPr>
            <w:tcW w:w="1275" w:type="dxa"/>
            <w:tcBorders>
              <w:top w:val="single" w:sz="4" w:space="0" w:color="auto"/>
              <w:bottom w:val="single" w:sz="4" w:space="0" w:color="auto"/>
            </w:tcBorders>
            <w:vAlign w:val="center"/>
          </w:tcPr>
          <w:p w:rsidR="00DD07AF" w:rsidRPr="00D414C3" w:rsidRDefault="00DD07AF" w:rsidP="00CB2FBB">
            <w:pPr>
              <w:pStyle w:val="Tabletext"/>
            </w:pPr>
            <w:r w:rsidRPr="00D414C3">
              <w:t>2.60</w:t>
            </w:r>
            <w:r w:rsidR="00C3694D" w:rsidRPr="00D414C3">
              <w:t>x</w:t>
            </w:r>
            <w:r w:rsidR="008530AE" w:rsidRPr="00D414C3">
              <w:t>10</w:t>
            </w:r>
            <w:r w:rsidR="008530AE" w:rsidRPr="00D414C3">
              <w:rPr>
                <w:vertAlign w:val="superscript"/>
              </w:rPr>
              <w:t>-6</w:t>
            </w:r>
          </w:p>
        </w:tc>
        <w:tc>
          <w:tcPr>
            <w:tcW w:w="1276" w:type="dxa"/>
            <w:tcBorders>
              <w:top w:val="single" w:sz="4" w:space="0" w:color="auto"/>
              <w:bottom w:val="single" w:sz="4" w:space="0" w:color="auto"/>
            </w:tcBorders>
            <w:vAlign w:val="center"/>
          </w:tcPr>
          <w:p w:rsidR="00DD07AF" w:rsidRPr="00D414C3" w:rsidRDefault="00DD07AF" w:rsidP="00CB2FBB">
            <w:pPr>
              <w:pStyle w:val="Tabletext"/>
            </w:pPr>
            <w:r w:rsidRPr="00D414C3">
              <w:t>0.02</w:t>
            </w:r>
          </w:p>
        </w:tc>
        <w:tc>
          <w:tcPr>
            <w:tcW w:w="1150" w:type="dxa"/>
            <w:tcBorders>
              <w:top w:val="single" w:sz="4" w:space="0" w:color="auto"/>
              <w:bottom w:val="single" w:sz="4" w:space="0" w:color="auto"/>
            </w:tcBorders>
            <w:vAlign w:val="center"/>
          </w:tcPr>
          <w:p w:rsidR="00DD07AF" w:rsidRPr="00D414C3" w:rsidRDefault="00DD07AF" w:rsidP="00CB2FBB">
            <w:pPr>
              <w:pStyle w:val="Tabletext"/>
            </w:pPr>
            <w:r w:rsidRPr="00D414C3">
              <w:t>23</w:t>
            </w:r>
          </w:p>
        </w:tc>
      </w:tr>
    </w:tbl>
    <w:p w:rsidR="00D414C3" w:rsidRDefault="00D414C3" w:rsidP="00D414C3">
      <w:pPr>
        <w:pStyle w:val="BRNormal"/>
      </w:pPr>
    </w:p>
    <w:p w:rsidR="00DD07AF" w:rsidRDefault="00DD07AF" w:rsidP="005F6513">
      <w:pPr>
        <w:pStyle w:val="Heading3"/>
      </w:pPr>
      <w:bookmarkStart w:id="590" w:name="_Toc381961143"/>
      <w:r>
        <w:t>Model-based estimates</w:t>
      </w:r>
      <w:bookmarkEnd w:id="590"/>
    </w:p>
    <w:p w:rsidR="00DD07AF" w:rsidRDefault="00DD07AF" w:rsidP="00D414C3">
      <w:pPr>
        <w:pStyle w:val="BRNormal"/>
      </w:pPr>
      <w:r w:rsidRPr="005961D3">
        <w:t>As discussed in chapter 3, estimates of hydraulic properties obtained from inverse models assume a correct choice of conceptual model and are therefore inherently subject to uncertainty. Since models are always imperfect representations of reality, inaccuracies in estimated values may be due to compensatory effects, such as accounting for misrepresentations of model stresses such as recharge and discharge</w:t>
      </w:r>
      <w:r>
        <w:t xml:space="preserve"> (Doherty </w:t>
      </w:r>
      <w:r w:rsidR="00C353DD">
        <w:t>&amp;</w:t>
      </w:r>
      <w:r>
        <w:t xml:space="preserve"> Welter 2010)</w:t>
      </w:r>
      <w:r w:rsidRPr="005961D3">
        <w:t>.</w:t>
      </w:r>
    </w:p>
    <w:p w:rsidR="00DD07AF" w:rsidRDefault="00DD07AF" w:rsidP="00D414C3">
      <w:pPr>
        <w:pStyle w:val="BRNormal"/>
      </w:pPr>
      <w:r>
        <w:t xml:space="preserve">Since the late 1970s, groundwater models have been developed to represent various parts of the Surat Basin. A summary including these models was provided in Smith and Welsh (2011). Parameterisation </w:t>
      </w:r>
      <w:r w:rsidRPr="003C6513">
        <w:t xml:space="preserve">of such models </w:t>
      </w:r>
      <w:r>
        <w:t xml:space="preserve">is often based upon the calibration of model outputs to observations of </w:t>
      </w:r>
      <w:r w:rsidRPr="003C6513">
        <w:t>hydraulic heads</w:t>
      </w:r>
      <w:r>
        <w:t xml:space="preserve">. A summary of hydraulic property values estimated through model calibration is presented </w:t>
      </w:r>
      <w:r w:rsidR="008B41DF">
        <w:t xml:space="preserve">in </w:t>
      </w:r>
      <w:r w:rsidR="00D43D3D">
        <w:t>T</w:t>
      </w:r>
      <w:r w:rsidR="008B41DF">
        <w:t>able</w:t>
      </w:r>
      <w:r w:rsidR="00FA5429">
        <w:t>s</w:t>
      </w:r>
      <w:r w:rsidR="008B41DF">
        <w:t xml:space="preserve"> </w:t>
      </w:r>
      <w:r w:rsidR="00FA5429">
        <w:t>13, 14 and 15</w:t>
      </w:r>
      <w:r>
        <w:t>.</w:t>
      </w:r>
      <w:r w:rsidR="00D43D3D">
        <w:t xml:space="preserve"> The majority of the models simulate alluvial aquifer systems and do not represent consolidated GAB units; therefore the relevance of these models to future aquifer </w:t>
      </w:r>
      <w:r w:rsidR="00D43D3D" w:rsidRPr="00E53318">
        <w:t>connectivity</w:t>
      </w:r>
      <w:r w:rsidR="00D43D3D">
        <w:t xml:space="preserve"> studies is minimal.</w:t>
      </w:r>
    </w:p>
    <w:p w:rsidR="00D414C3" w:rsidRDefault="00D414C3" w:rsidP="00D414C3">
      <w:pPr>
        <w:pStyle w:val="BRNormal"/>
      </w:pPr>
      <w:r>
        <w:t xml:space="preserve">As part of environmental assessment requirements, four hydrogeological models of the </w:t>
      </w:r>
      <w:r w:rsidRPr="003C4C89">
        <w:t xml:space="preserve">Surat Basin </w:t>
      </w:r>
      <w:r>
        <w:t xml:space="preserve">have been created by each of Australia Pacific Liquified Natural </w:t>
      </w:r>
      <w:r w:rsidR="00B011CD">
        <w:t>Gas (</w:t>
      </w:r>
      <w:r>
        <w:t>LNG), Arrow Energy,</w:t>
      </w:r>
      <w:r w:rsidRPr="00233B63">
        <w:t xml:space="preserve"> </w:t>
      </w:r>
      <w:r w:rsidR="00C353DD">
        <w:t>Gladstone LNG</w:t>
      </w:r>
      <w:r w:rsidR="00B011CD">
        <w:t xml:space="preserve"> and Queensland Curtis LNG</w:t>
      </w:r>
      <w:r>
        <w:t xml:space="preserve">. Each of the models represents the majority of the stratigraphic layers of the GAB in the Surat Basin. The </w:t>
      </w:r>
      <w:r w:rsidRPr="00E53318">
        <w:t>following</w:t>
      </w:r>
      <w:r>
        <w:t xml:space="preserve"> tables summarise the horizontal and vertical </w:t>
      </w:r>
      <w:r w:rsidRPr="007C1757">
        <w:t xml:space="preserve">hydraulic </w:t>
      </w:r>
      <w:r>
        <w:t xml:space="preserve">conductivity values ascribed to each hydrogeological unit by each of the four numerical models. </w:t>
      </w:r>
      <w:r w:rsidRPr="00B5271A">
        <w:t>Each model was based upon hydraulic property values derived from exploration activities, Queensland government databa</w:t>
      </w:r>
      <w:r w:rsidR="00C353DD">
        <w:t xml:space="preserve">ses, </w:t>
      </w:r>
      <w:proofErr w:type="gramStart"/>
      <w:r w:rsidR="00C353DD">
        <w:t>various</w:t>
      </w:r>
      <w:proofErr w:type="gramEnd"/>
      <w:r w:rsidR="00C353DD">
        <w:t xml:space="preserve"> literature sources</w:t>
      </w:r>
      <w:r w:rsidRPr="00B5271A">
        <w:t xml:space="preserve"> and subsequently adjusted through model calibration to hydraulic head observations and estimated aquifer fluxes (Coffey 2012; WorleyParsons 2010a</w:t>
      </w:r>
      <w:r>
        <w:t>;</w:t>
      </w:r>
      <w:r w:rsidRPr="00B5271A">
        <w:t xml:space="preserve"> Golder A</w:t>
      </w:r>
      <w:r>
        <w:t>ssociates 2009; MatrixPlus 2009</w:t>
      </w:r>
      <w:r w:rsidRPr="00B5271A">
        <w:t>).</w:t>
      </w:r>
    </w:p>
    <w:p w:rsidR="002E7ECD" w:rsidRDefault="002E7ECD" w:rsidP="00D414C3">
      <w:pPr>
        <w:pStyle w:val="BRNormal"/>
      </w:pPr>
    </w:p>
    <w:p w:rsidR="00DD07AF" w:rsidRPr="008C7B99" w:rsidRDefault="00D414C3" w:rsidP="00D414C3">
      <w:pPr>
        <w:pStyle w:val="Caption"/>
      </w:pPr>
      <w:proofErr w:type="gramStart"/>
      <w:r w:rsidRPr="006F2073">
        <w:lastRenderedPageBreak/>
        <w:t xml:space="preserve">Table </w:t>
      </w:r>
      <w:r w:rsidR="00E23933" w:rsidRPr="006F2073">
        <w:rPr>
          <w:b/>
          <w:noProof w:val="0"/>
        </w:rPr>
        <w:fldChar w:fldCharType="begin"/>
      </w:r>
      <w:r w:rsidRPr="006F2073">
        <w:instrText xml:space="preserve"> SEQ Table \* ARABIC </w:instrText>
      </w:r>
      <w:r w:rsidR="00E23933" w:rsidRPr="006F2073">
        <w:rPr>
          <w:b/>
          <w:noProof w:val="0"/>
        </w:rPr>
        <w:fldChar w:fldCharType="separate"/>
      </w:r>
      <w:r w:rsidR="00FA5429">
        <w:t>13</w:t>
      </w:r>
      <w:r w:rsidR="00E23933" w:rsidRPr="006F2073">
        <w:rPr>
          <w:b/>
        </w:rPr>
        <w:fldChar w:fldCharType="end"/>
      </w:r>
      <w:r>
        <w:rPr>
          <w:b/>
        </w:rPr>
        <w:t xml:space="preserve"> </w:t>
      </w:r>
      <w:r w:rsidR="00DD07AF" w:rsidRPr="00863382">
        <w:t xml:space="preserve">Summary of hydrogeological models of the </w:t>
      </w:r>
      <w:r w:rsidR="00DD07AF">
        <w:t xml:space="preserve">Surat </w:t>
      </w:r>
      <w:r w:rsidR="00DD07AF" w:rsidRPr="00863382">
        <w:t xml:space="preserve">Basin </w:t>
      </w:r>
      <w:r w:rsidR="00C353DD">
        <w:t>(</w:t>
      </w:r>
      <w:r w:rsidR="00F976E1">
        <w:t>© Copyright</w:t>
      </w:r>
      <w:r w:rsidR="00C353DD">
        <w:t xml:space="preserve">, Smith &amp; Welsh </w:t>
      </w:r>
      <w:r w:rsidR="00DD07AF" w:rsidRPr="00863382">
        <w:t>2011</w:t>
      </w:r>
      <w:r w:rsidR="00DD07AF">
        <w:t>)</w:t>
      </w:r>
      <w:r>
        <w:t>.</w:t>
      </w:r>
      <w:proofErr w:type="gramEnd"/>
    </w:p>
    <w:tbl>
      <w:tblPr>
        <w:tblStyle w:val="TableGrid"/>
        <w:tblW w:w="0" w:type="auto"/>
        <w:tblBorders>
          <w:insideH w:val="single" w:sz="4" w:space="0" w:color="808080" w:themeColor="background1" w:themeShade="80"/>
          <w:insideV w:val="single" w:sz="4" w:space="0" w:color="808080" w:themeColor="background1" w:themeShade="80"/>
        </w:tblBorders>
        <w:tblCellMar>
          <w:left w:w="57" w:type="dxa"/>
          <w:right w:w="57" w:type="dxa"/>
        </w:tblCellMar>
        <w:tblLook w:val="04A0"/>
      </w:tblPr>
      <w:tblGrid>
        <w:gridCol w:w="1634"/>
        <w:gridCol w:w="1418"/>
        <w:gridCol w:w="1417"/>
        <w:gridCol w:w="1134"/>
        <w:gridCol w:w="1134"/>
        <w:gridCol w:w="1134"/>
        <w:gridCol w:w="1134"/>
      </w:tblGrid>
      <w:tr w:rsidR="00DD07AF" w:rsidRPr="00D414C3" w:rsidTr="00566235">
        <w:trPr>
          <w:tblHeader/>
        </w:trPr>
        <w:tc>
          <w:tcPr>
            <w:tcW w:w="1634" w:type="dxa"/>
            <w:tcBorders>
              <w:top w:val="single" w:sz="4" w:space="0" w:color="auto"/>
              <w:left w:val="single" w:sz="4" w:space="0" w:color="auto"/>
              <w:bottom w:val="single" w:sz="4" w:space="0" w:color="auto"/>
              <w:right w:val="single" w:sz="4" w:space="0" w:color="auto"/>
            </w:tcBorders>
            <w:shd w:val="clear" w:color="auto" w:fill="C6D9F1" w:themeFill="text2" w:themeFillTint="33"/>
          </w:tcPr>
          <w:p w:rsidR="00DD07AF" w:rsidRPr="00D414C3" w:rsidRDefault="00DD07AF" w:rsidP="00470AD4">
            <w:pPr>
              <w:pStyle w:val="Tableheading"/>
            </w:pPr>
            <w:r w:rsidRPr="00D414C3">
              <w:t>Model name</w:t>
            </w:r>
          </w:p>
        </w:tc>
        <w:tc>
          <w:tcPr>
            <w:tcW w:w="1418" w:type="dxa"/>
            <w:tcBorders>
              <w:top w:val="single" w:sz="4" w:space="0" w:color="auto"/>
              <w:left w:val="single" w:sz="4" w:space="0" w:color="auto"/>
              <w:bottom w:val="single" w:sz="4" w:space="0" w:color="auto"/>
              <w:right w:val="single" w:sz="4" w:space="0" w:color="auto"/>
            </w:tcBorders>
            <w:shd w:val="clear" w:color="auto" w:fill="C6D9F1" w:themeFill="text2" w:themeFillTint="33"/>
          </w:tcPr>
          <w:p w:rsidR="00DD07AF" w:rsidRPr="00D414C3" w:rsidRDefault="00DD07AF" w:rsidP="00470AD4">
            <w:pPr>
              <w:pStyle w:val="Tableheading"/>
            </w:pPr>
            <w:r w:rsidRPr="00D414C3">
              <w:t>Reference(s)</w:t>
            </w:r>
          </w:p>
        </w:tc>
        <w:tc>
          <w:tcPr>
            <w:tcW w:w="1417" w:type="dxa"/>
            <w:tcBorders>
              <w:top w:val="single" w:sz="4" w:space="0" w:color="auto"/>
              <w:left w:val="single" w:sz="4" w:space="0" w:color="auto"/>
              <w:bottom w:val="single" w:sz="4" w:space="0" w:color="auto"/>
              <w:right w:val="single" w:sz="4" w:space="0" w:color="auto"/>
            </w:tcBorders>
            <w:shd w:val="clear" w:color="auto" w:fill="C6D9F1" w:themeFill="text2" w:themeFillTint="33"/>
          </w:tcPr>
          <w:p w:rsidR="00DD07AF" w:rsidRPr="00D414C3" w:rsidRDefault="00DD07AF" w:rsidP="00470AD4">
            <w:pPr>
              <w:pStyle w:val="Tableheading"/>
            </w:pPr>
            <w:r w:rsidRPr="00D414C3">
              <w:t>Relevant unit(s)</w:t>
            </w:r>
          </w:p>
        </w:tc>
        <w:tc>
          <w:tcPr>
            <w:tcW w:w="1134" w:type="dxa"/>
            <w:tcBorders>
              <w:top w:val="single" w:sz="4" w:space="0" w:color="auto"/>
              <w:left w:val="single" w:sz="4" w:space="0" w:color="auto"/>
              <w:bottom w:val="single" w:sz="4" w:space="0" w:color="auto"/>
              <w:right w:val="single" w:sz="4" w:space="0" w:color="auto"/>
            </w:tcBorders>
            <w:shd w:val="clear" w:color="auto" w:fill="C6D9F1" w:themeFill="text2" w:themeFillTint="33"/>
          </w:tcPr>
          <w:p w:rsidR="00DD07AF" w:rsidRPr="00D414C3" w:rsidRDefault="00DD07AF" w:rsidP="00470AD4">
            <w:pPr>
              <w:pStyle w:val="Tableheading"/>
            </w:pPr>
            <w:r w:rsidRPr="00D414C3">
              <w:rPr>
                <w:i/>
              </w:rPr>
              <w:t>K</w:t>
            </w:r>
            <w:r w:rsidRPr="00D414C3">
              <w:rPr>
                <w:i/>
                <w:vertAlign w:val="subscript"/>
              </w:rPr>
              <w:t>h</w:t>
            </w:r>
            <w:r w:rsidRPr="00D414C3">
              <w:t xml:space="preserve">  (m/d)</w:t>
            </w:r>
          </w:p>
        </w:tc>
        <w:tc>
          <w:tcPr>
            <w:tcW w:w="1134" w:type="dxa"/>
            <w:tcBorders>
              <w:top w:val="single" w:sz="4" w:space="0" w:color="auto"/>
              <w:left w:val="single" w:sz="4" w:space="0" w:color="auto"/>
              <w:bottom w:val="single" w:sz="4" w:space="0" w:color="auto"/>
              <w:right w:val="single" w:sz="4" w:space="0" w:color="auto"/>
            </w:tcBorders>
            <w:shd w:val="clear" w:color="auto" w:fill="C6D9F1" w:themeFill="text2" w:themeFillTint="33"/>
          </w:tcPr>
          <w:p w:rsidR="00DD07AF" w:rsidRPr="00D414C3" w:rsidRDefault="00DD07AF" w:rsidP="00470AD4">
            <w:pPr>
              <w:pStyle w:val="Tableheading"/>
            </w:pPr>
            <w:r w:rsidRPr="00D414C3">
              <w:rPr>
                <w:i/>
              </w:rPr>
              <w:t>K</w:t>
            </w:r>
            <w:r w:rsidRPr="00D414C3">
              <w:rPr>
                <w:i/>
                <w:vertAlign w:val="subscript"/>
              </w:rPr>
              <w:t>v</w:t>
            </w:r>
            <w:r w:rsidRPr="00D414C3">
              <w:t xml:space="preserve">  (m/d)</w:t>
            </w:r>
          </w:p>
        </w:tc>
        <w:tc>
          <w:tcPr>
            <w:tcW w:w="1134" w:type="dxa"/>
            <w:tcBorders>
              <w:top w:val="single" w:sz="4" w:space="0" w:color="auto"/>
              <w:left w:val="single" w:sz="4" w:space="0" w:color="auto"/>
              <w:bottom w:val="single" w:sz="4" w:space="0" w:color="auto"/>
              <w:right w:val="single" w:sz="4" w:space="0" w:color="auto"/>
            </w:tcBorders>
            <w:shd w:val="clear" w:color="auto" w:fill="C6D9F1" w:themeFill="text2" w:themeFillTint="33"/>
          </w:tcPr>
          <w:p w:rsidR="00DD07AF" w:rsidRPr="00D414C3" w:rsidRDefault="00DD07AF" w:rsidP="00470AD4">
            <w:pPr>
              <w:pStyle w:val="Tableheading"/>
            </w:pPr>
            <w:r w:rsidRPr="00D414C3">
              <w:rPr>
                <w:i/>
              </w:rPr>
              <w:t>S</w:t>
            </w:r>
            <w:r w:rsidRPr="00D414C3">
              <w:rPr>
                <w:i/>
                <w:vertAlign w:val="subscript"/>
              </w:rPr>
              <w:t>s</w:t>
            </w:r>
            <w:r w:rsidRPr="00D414C3">
              <w:t xml:space="preserve">  (/m)</w:t>
            </w:r>
          </w:p>
        </w:tc>
        <w:tc>
          <w:tcPr>
            <w:tcW w:w="1134" w:type="dxa"/>
            <w:tcBorders>
              <w:top w:val="single" w:sz="4" w:space="0" w:color="auto"/>
              <w:left w:val="single" w:sz="4" w:space="0" w:color="auto"/>
              <w:bottom w:val="single" w:sz="4" w:space="0" w:color="auto"/>
              <w:right w:val="single" w:sz="4" w:space="0" w:color="auto"/>
            </w:tcBorders>
            <w:shd w:val="clear" w:color="auto" w:fill="C6D9F1" w:themeFill="text2" w:themeFillTint="33"/>
          </w:tcPr>
          <w:p w:rsidR="00DD07AF" w:rsidRPr="00D414C3" w:rsidRDefault="00DD07AF" w:rsidP="00470AD4">
            <w:pPr>
              <w:pStyle w:val="Tableheading"/>
              <w:rPr>
                <w:vertAlign w:val="subscript"/>
              </w:rPr>
            </w:pPr>
            <w:r w:rsidRPr="00D414C3">
              <w:t>S</w:t>
            </w:r>
            <w:r w:rsidRPr="00D414C3">
              <w:rPr>
                <w:vertAlign w:val="subscript"/>
              </w:rPr>
              <w:t>y</w:t>
            </w:r>
          </w:p>
        </w:tc>
      </w:tr>
      <w:tr w:rsidR="00C353DD" w:rsidRPr="00D414C3" w:rsidTr="00566235">
        <w:tc>
          <w:tcPr>
            <w:tcW w:w="1634" w:type="dxa"/>
            <w:tcBorders>
              <w:top w:val="single" w:sz="4" w:space="0" w:color="auto"/>
              <w:left w:val="single" w:sz="4" w:space="0" w:color="auto"/>
              <w:bottom w:val="nil"/>
              <w:right w:val="single" w:sz="4" w:space="0" w:color="auto"/>
            </w:tcBorders>
          </w:tcPr>
          <w:p w:rsidR="00C353DD" w:rsidRPr="00D414C3" w:rsidRDefault="00C353DD" w:rsidP="00CB2FBB">
            <w:pPr>
              <w:pStyle w:val="Tabletext"/>
            </w:pPr>
            <w:r w:rsidRPr="00D414C3">
              <w:t>Dumaresq Border Rivers</w:t>
            </w:r>
          </w:p>
        </w:tc>
        <w:tc>
          <w:tcPr>
            <w:tcW w:w="1418" w:type="dxa"/>
            <w:tcBorders>
              <w:top w:val="single" w:sz="4" w:space="0" w:color="auto"/>
              <w:left w:val="single" w:sz="4" w:space="0" w:color="auto"/>
              <w:bottom w:val="nil"/>
              <w:right w:val="single" w:sz="4" w:space="0" w:color="auto"/>
            </w:tcBorders>
            <w:shd w:val="clear" w:color="auto" w:fill="auto"/>
          </w:tcPr>
          <w:p w:rsidR="00C353DD" w:rsidRPr="00D414C3" w:rsidRDefault="00C353DD" w:rsidP="00CB2FBB">
            <w:pPr>
              <w:pStyle w:val="Tabletext"/>
            </w:pPr>
            <w:r w:rsidRPr="00D414C3">
              <w:t>Chen (2003), Welsh (2008)</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C353DD" w:rsidRPr="00D414C3" w:rsidRDefault="00C353DD" w:rsidP="00CB2FBB">
            <w:pPr>
              <w:pStyle w:val="Tabletext"/>
            </w:pPr>
            <w:r w:rsidRPr="00D414C3">
              <w:t>Alluvium (unconfined)</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C353DD" w:rsidRPr="00D414C3" w:rsidRDefault="00C353DD" w:rsidP="00CB2FBB">
            <w:pPr>
              <w:pStyle w:val="Tabletext"/>
            </w:pPr>
            <w:r w:rsidRPr="00D414C3">
              <w:t>5.8x10</w:t>
            </w:r>
            <w:r w:rsidRPr="00D414C3">
              <w:rPr>
                <w:vertAlign w:val="superscript"/>
              </w:rPr>
              <w:t>-3</w:t>
            </w:r>
            <w:r w:rsidRPr="00D414C3">
              <w:t xml:space="preserve"> - 7.8</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C353DD" w:rsidRPr="00D414C3" w:rsidRDefault="00C353DD" w:rsidP="00CB2FBB">
            <w:pPr>
              <w:pStyle w:val="Tabletext"/>
            </w:pPr>
            <w:r w:rsidRPr="00D414C3">
              <w:t>8.6x10</w:t>
            </w:r>
            <w:r w:rsidRPr="00D414C3">
              <w:rPr>
                <w:vertAlign w:val="superscript"/>
              </w:rPr>
              <w:t>-7</w:t>
            </w:r>
            <w:r w:rsidRPr="00D414C3">
              <w:t xml:space="preserve"> - 4.8x10</w:t>
            </w:r>
            <w:r w:rsidRPr="00D414C3">
              <w:rPr>
                <w:vertAlign w:val="superscript"/>
              </w:rPr>
              <w:t>-5</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C353DD" w:rsidRPr="00D414C3" w:rsidRDefault="00C353DD" w:rsidP="00CB2FBB">
            <w:pPr>
              <w:pStyle w:val="Tabletext"/>
            </w:pPr>
            <w:r w:rsidRPr="00D414C3">
              <w:t>-</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C353DD" w:rsidRPr="00D414C3" w:rsidRDefault="00C353DD" w:rsidP="00CB2FBB">
            <w:pPr>
              <w:pStyle w:val="Tabletext"/>
            </w:pPr>
            <w:r w:rsidRPr="00D414C3">
              <w:t>6.6x10</w:t>
            </w:r>
            <w:r w:rsidRPr="00D414C3">
              <w:rPr>
                <w:vertAlign w:val="superscript"/>
              </w:rPr>
              <w:t>-3</w:t>
            </w:r>
            <w:r w:rsidRPr="00D414C3">
              <w:t xml:space="preserve"> - 0.05</w:t>
            </w:r>
          </w:p>
        </w:tc>
      </w:tr>
      <w:tr w:rsidR="00C353DD" w:rsidRPr="00D414C3" w:rsidTr="00566235">
        <w:tc>
          <w:tcPr>
            <w:tcW w:w="1634" w:type="dxa"/>
            <w:tcBorders>
              <w:top w:val="nil"/>
              <w:left w:val="single" w:sz="4" w:space="0" w:color="auto"/>
              <w:bottom w:val="single" w:sz="4" w:space="0" w:color="auto"/>
              <w:right w:val="single" w:sz="4" w:space="0" w:color="auto"/>
            </w:tcBorders>
          </w:tcPr>
          <w:p w:rsidR="00C353DD" w:rsidRPr="00D414C3" w:rsidRDefault="00C353DD" w:rsidP="00CB2FBB">
            <w:pPr>
              <w:pStyle w:val="Tabletext"/>
            </w:pPr>
          </w:p>
        </w:tc>
        <w:tc>
          <w:tcPr>
            <w:tcW w:w="1418" w:type="dxa"/>
            <w:tcBorders>
              <w:top w:val="nil"/>
              <w:left w:val="single" w:sz="4" w:space="0" w:color="auto"/>
              <w:bottom w:val="single" w:sz="4" w:space="0" w:color="auto"/>
              <w:right w:val="single" w:sz="4" w:space="0" w:color="auto"/>
            </w:tcBorders>
            <w:shd w:val="clear" w:color="auto" w:fill="auto"/>
          </w:tcPr>
          <w:p w:rsidR="00C353DD" w:rsidRPr="00D414C3" w:rsidRDefault="00C353DD" w:rsidP="00CB2FBB">
            <w:pPr>
              <w:pStyle w:val="Tabletext"/>
            </w:pP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C353DD" w:rsidRPr="00D414C3" w:rsidRDefault="00C353DD" w:rsidP="00CB2FBB">
            <w:pPr>
              <w:pStyle w:val="Tabletext"/>
            </w:pPr>
            <w:r w:rsidRPr="00D414C3">
              <w:t>Alluvium (confined)</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C353DD" w:rsidRPr="00D414C3" w:rsidRDefault="00C353DD" w:rsidP="00CB2FBB">
            <w:pPr>
              <w:pStyle w:val="Tabletext"/>
            </w:pPr>
            <w:r w:rsidRPr="00D414C3">
              <w:t>0.5 - 100</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C353DD" w:rsidRPr="00D414C3" w:rsidRDefault="00C353DD" w:rsidP="00CB2FBB">
            <w:pPr>
              <w:pStyle w:val="Tabletext"/>
            </w:pPr>
            <w:r w:rsidRPr="00D414C3">
              <w:t>-</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C353DD" w:rsidRPr="00D414C3" w:rsidRDefault="00C353DD" w:rsidP="00CB2FBB">
            <w:pPr>
              <w:pStyle w:val="Tabletext"/>
            </w:pPr>
            <w:r w:rsidRPr="00D414C3">
              <w:t>8.6x10</w:t>
            </w:r>
            <w:r w:rsidRPr="00D414C3">
              <w:rPr>
                <w:vertAlign w:val="superscript"/>
              </w:rPr>
              <w:t>-7</w:t>
            </w:r>
            <w:r w:rsidRPr="00D414C3">
              <w:t xml:space="preserve"> - 10</w:t>
            </w:r>
            <w:r w:rsidRPr="00D414C3">
              <w:rPr>
                <w:vertAlign w:val="superscript"/>
              </w:rPr>
              <w:t>-3</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C353DD" w:rsidRPr="00D414C3" w:rsidRDefault="00C353DD" w:rsidP="00CB2FBB">
            <w:pPr>
              <w:pStyle w:val="Tabletext"/>
            </w:pPr>
            <w:r w:rsidRPr="00D414C3">
              <w:t>-</w:t>
            </w:r>
          </w:p>
        </w:tc>
      </w:tr>
      <w:tr w:rsidR="00DD07AF" w:rsidRPr="00D414C3" w:rsidTr="00566235">
        <w:tc>
          <w:tcPr>
            <w:tcW w:w="1634" w:type="dxa"/>
            <w:tcBorders>
              <w:top w:val="single" w:sz="4" w:space="0" w:color="auto"/>
              <w:left w:val="single" w:sz="4" w:space="0" w:color="auto"/>
              <w:bottom w:val="single" w:sz="4" w:space="0" w:color="auto"/>
              <w:right w:val="single" w:sz="4" w:space="0" w:color="auto"/>
            </w:tcBorders>
          </w:tcPr>
          <w:p w:rsidR="00DD07AF" w:rsidRPr="00D414C3" w:rsidRDefault="00DD07AF" w:rsidP="00CB2FBB">
            <w:pPr>
              <w:pStyle w:val="Tabletext"/>
            </w:pPr>
            <w:r w:rsidRPr="00D414C3">
              <w:t>Lower Gwydir</w:t>
            </w: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DD07AF" w:rsidRPr="00D414C3" w:rsidRDefault="00DD07AF" w:rsidP="00CB2FBB">
            <w:pPr>
              <w:pStyle w:val="Tabletext"/>
            </w:pPr>
            <w:r w:rsidRPr="00D414C3">
              <w:t>Bilge (2002)</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DD07AF" w:rsidRPr="00D414C3" w:rsidRDefault="00DD07AF" w:rsidP="00CB2FBB">
            <w:pPr>
              <w:pStyle w:val="Tabletext"/>
            </w:pPr>
            <w:r w:rsidRPr="00D414C3">
              <w:t>Alluvium</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DD07AF" w:rsidRPr="00D414C3" w:rsidRDefault="00DD07AF" w:rsidP="00CB2FBB">
            <w:pPr>
              <w:pStyle w:val="Tabletext"/>
            </w:pPr>
            <w:r w:rsidRPr="00D414C3">
              <w:t>0.01 - 70</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DD07AF" w:rsidRPr="00D414C3" w:rsidRDefault="00DD07AF" w:rsidP="00CB2FBB">
            <w:pPr>
              <w:pStyle w:val="Tabletext"/>
            </w:pPr>
            <w:r w:rsidRPr="00D414C3">
              <w:t>not reported</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DD07AF" w:rsidRPr="00D414C3" w:rsidRDefault="00C3694D" w:rsidP="00CB2FBB">
            <w:pPr>
              <w:pStyle w:val="Tabletext"/>
            </w:pPr>
            <w:r w:rsidRPr="00D414C3">
              <w:t>10</w:t>
            </w:r>
            <w:r w:rsidRPr="00D414C3">
              <w:rPr>
                <w:vertAlign w:val="superscript"/>
              </w:rPr>
              <w:t>-5</w:t>
            </w:r>
            <w:r w:rsidR="00DD07AF" w:rsidRPr="00D414C3">
              <w:t xml:space="preserve"> - </w:t>
            </w:r>
            <w:r w:rsidRPr="00D414C3">
              <w:t>10</w:t>
            </w:r>
            <w:r w:rsidRPr="00D414C3">
              <w:rPr>
                <w:vertAlign w:val="superscript"/>
              </w:rPr>
              <w:t>-3</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DD07AF" w:rsidRPr="00D414C3" w:rsidRDefault="00DD07AF" w:rsidP="00CB2FBB">
            <w:pPr>
              <w:pStyle w:val="Tabletext"/>
            </w:pPr>
            <w:r w:rsidRPr="00D414C3">
              <w:t>0.05 - 0.35</w:t>
            </w:r>
          </w:p>
        </w:tc>
      </w:tr>
      <w:tr w:rsidR="00C353DD" w:rsidRPr="00D414C3" w:rsidTr="00566235">
        <w:tc>
          <w:tcPr>
            <w:tcW w:w="1634" w:type="dxa"/>
            <w:tcBorders>
              <w:top w:val="single" w:sz="4" w:space="0" w:color="auto"/>
              <w:left w:val="single" w:sz="4" w:space="0" w:color="auto"/>
              <w:bottom w:val="nil"/>
              <w:right w:val="single" w:sz="4" w:space="0" w:color="auto"/>
            </w:tcBorders>
          </w:tcPr>
          <w:p w:rsidR="00C353DD" w:rsidRPr="00D414C3" w:rsidRDefault="00C353DD" w:rsidP="00CB2FBB">
            <w:pPr>
              <w:pStyle w:val="Tabletext"/>
            </w:pPr>
            <w:r w:rsidRPr="00D414C3">
              <w:t>Lower Macquarie</w:t>
            </w:r>
          </w:p>
        </w:tc>
        <w:tc>
          <w:tcPr>
            <w:tcW w:w="1418" w:type="dxa"/>
            <w:tcBorders>
              <w:top w:val="single" w:sz="4" w:space="0" w:color="auto"/>
              <w:left w:val="single" w:sz="4" w:space="0" w:color="auto"/>
              <w:bottom w:val="nil"/>
              <w:right w:val="single" w:sz="4" w:space="0" w:color="auto"/>
            </w:tcBorders>
            <w:shd w:val="clear" w:color="auto" w:fill="auto"/>
          </w:tcPr>
          <w:p w:rsidR="00C353DD" w:rsidRPr="00D414C3" w:rsidRDefault="00C353DD" w:rsidP="00CB2FBB">
            <w:pPr>
              <w:pStyle w:val="Tabletext"/>
            </w:pPr>
            <w:r w:rsidRPr="00D414C3">
              <w:t>Bilge (2007)</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C353DD" w:rsidRPr="00D414C3" w:rsidRDefault="00C353DD" w:rsidP="00CB2FBB">
            <w:pPr>
              <w:pStyle w:val="Tabletext"/>
            </w:pPr>
            <w:r w:rsidRPr="00D414C3">
              <w:t>Alluvium</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C353DD" w:rsidRPr="00D414C3" w:rsidRDefault="00C353DD" w:rsidP="00CB2FBB">
            <w:pPr>
              <w:pStyle w:val="Tabletext"/>
            </w:pPr>
            <w:r w:rsidRPr="00D414C3">
              <w:t>0.01 - 20</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C353DD" w:rsidRPr="00D414C3" w:rsidRDefault="00C353DD" w:rsidP="00CB2FBB">
            <w:pPr>
              <w:pStyle w:val="Tabletext"/>
            </w:pPr>
            <w:r w:rsidRPr="00D414C3">
              <w:t>10</w:t>
            </w:r>
            <w:r w:rsidRPr="00D414C3">
              <w:rPr>
                <w:vertAlign w:val="superscript"/>
              </w:rPr>
              <w:t>-5</w:t>
            </w:r>
            <w:r w:rsidRPr="00D414C3">
              <w:t xml:space="preserve"> - 0.01</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C353DD" w:rsidRPr="00D414C3" w:rsidRDefault="00C353DD" w:rsidP="00CB2FBB">
            <w:pPr>
              <w:pStyle w:val="Tabletext"/>
            </w:pPr>
            <w:r w:rsidRPr="00D414C3">
              <w:t>-</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C353DD" w:rsidRPr="00D414C3" w:rsidRDefault="00C353DD" w:rsidP="00CB2FBB">
            <w:pPr>
              <w:pStyle w:val="Tabletext"/>
            </w:pPr>
            <w:r w:rsidRPr="00D414C3">
              <w:t>0.09 -</w:t>
            </w:r>
            <w:r>
              <w:t xml:space="preserve"> </w:t>
            </w:r>
            <w:r w:rsidRPr="00D414C3">
              <w:t>0.23</w:t>
            </w:r>
          </w:p>
        </w:tc>
      </w:tr>
      <w:tr w:rsidR="00C353DD" w:rsidRPr="00D414C3" w:rsidTr="00566235">
        <w:tc>
          <w:tcPr>
            <w:tcW w:w="1634" w:type="dxa"/>
            <w:tcBorders>
              <w:top w:val="nil"/>
              <w:left w:val="single" w:sz="4" w:space="0" w:color="auto"/>
              <w:bottom w:val="single" w:sz="4" w:space="0" w:color="auto"/>
              <w:right w:val="single" w:sz="4" w:space="0" w:color="auto"/>
            </w:tcBorders>
          </w:tcPr>
          <w:p w:rsidR="00C353DD" w:rsidRPr="00D414C3" w:rsidRDefault="00C353DD" w:rsidP="00CB2FBB">
            <w:pPr>
              <w:pStyle w:val="Tabletext"/>
            </w:pPr>
          </w:p>
        </w:tc>
        <w:tc>
          <w:tcPr>
            <w:tcW w:w="1418" w:type="dxa"/>
            <w:tcBorders>
              <w:top w:val="nil"/>
              <w:left w:val="single" w:sz="4" w:space="0" w:color="auto"/>
              <w:bottom w:val="single" w:sz="4" w:space="0" w:color="auto"/>
              <w:right w:val="single" w:sz="4" w:space="0" w:color="auto"/>
            </w:tcBorders>
            <w:shd w:val="clear" w:color="auto" w:fill="auto"/>
          </w:tcPr>
          <w:p w:rsidR="00C353DD" w:rsidRPr="00D414C3" w:rsidRDefault="00C353DD" w:rsidP="00CB2FBB">
            <w:pPr>
              <w:pStyle w:val="Tabletext"/>
            </w:pP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C353DD" w:rsidRPr="00D414C3" w:rsidRDefault="00C353DD" w:rsidP="00CB2FBB">
            <w:pPr>
              <w:pStyle w:val="Tabletext"/>
            </w:pPr>
            <w:r w:rsidRPr="00D414C3">
              <w:t>Pilliga Sandstone</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C353DD" w:rsidRPr="00D414C3" w:rsidRDefault="00C353DD" w:rsidP="00CB2FBB">
            <w:pPr>
              <w:pStyle w:val="Tabletext"/>
            </w:pPr>
            <w:r w:rsidRPr="00D414C3">
              <w:t>0.01 - 10</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C353DD" w:rsidRPr="00D414C3" w:rsidRDefault="00C353DD" w:rsidP="00CB2FBB">
            <w:pPr>
              <w:pStyle w:val="Tabletext"/>
            </w:pPr>
            <w:r w:rsidRPr="00D414C3">
              <w:t>10</w:t>
            </w:r>
            <w:r w:rsidRPr="00D414C3">
              <w:rPr>
                <w:vertAlign w:val="superscript"/>
              </w:rPr>
              <w:t>-5</w:t>
            </w:r>
            <w:r w:rsidRPr="00D414C3">
              <w:t xml:space="preserve"> - 6.0x10</w:t>
            </w:r>
            <w:r w:rsidRPr="00D414C3">
              <w:rPr>
                <w:vertAlign w:val="superscript"/>
              </w:rPr>
              <w:t>-3</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C353DD" w:rsidRPr="00D414C3" w:rsidRDefault="00C353DD" w:rsidP="00CB2FBB">
            <w:pPr>
              <w:pStyle w:val="Tabletext"/>
            </w:pPr>
            <w:r w:rsidRPr="00D414C3">
              <w:t>10</w:t>
            </w:r>
            <w:r w:rsidRPr="00D414C3">
              <w:rPr>
                <w:vertAlign w:val="superscript"/>
              </w:rPr>
              <w:t>-4</w:t>
            </w:r>
            <w:r w:rsidRPr="00D414C3">
              <w:t xml:space="preserve"> - 10</w:t>
            </w:r>
            <w:r w:rsidRPr="00D414C3">
              <w:rPr>
                <w:vertAlign w:val="superscript"/>
              </w:rPr>
              <w:t>-6</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C353DD" w:rsidRPr="00D414C3" w:rsidRDefault="00C353DD" w:rsidP="00CB2FBB">
            <w:pPr>
              <w:pStyle w:val="Tabletext"/>
            </w:pPr>
          </w:p>
        </w:tc>
      </w:tr>
      <w:tr w:rsidR="00DD07AF" w:rsidRPr="00D414C3" w:rsidTr="00566235">
        <w:tc>
          <w:tcPr>
            <w:tcW w:w="1634" w:type="dxa"/>
            <w:tcBorders>
              <w:top w:val="single" w:sz="4" w:space="0" w:color="auto"/>
              <w:left w:val="single" w:sz="4" w:space="0" w:color="auto"/>
              <w:bottom w:val="single" w:sz="4" w:space="0" w:color="auto"/>
              <w:right w:val="single" w:sz="4" w:space="0" w:color="auto"/>
            </w:tcBorders>
            <w:shd w:val="clear" w:color="auto" w:fill="auto"/>
          </w:tcPr>
          <w:p w:rsidR="00DD07AF" w:rsidRPr="00D414C3" w:rsidRDefault="00DD07AF" w:rsidP="00CB2FBB">
            <w:pPr>
              <w:pStyle w:val="Tabletext"/>
            </w:pPr>
            <w:r w:rsidRPr="00D414C3">
              <w:t>Lower Namoi</w:t>
            </w: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DD07AF" w:rsidRPr="00D414C3" w:rsidRDefault="00DD07AF" w:rsidP="00CB2FBB">
            <w:pPr>
              <w:pStyle w:val="Tabletext"/>
            </w:pPr>
            <w:r w:rsidRPr="00D414C3">
              <w:t>Merrick (2001)</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DD07AF" w:rsidRPr="00D414C3" w:rsidRDefault="00DD07AF" w:rsidP="00CB2FBB">
            <w:pPr>
              <w:pStyle w:val="Tabletext"/>
            </w:pPr>
            <w:r w:rsidRPr="00D414C3">
              <w:t>not reported</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DD07AF" w:rsidRPr="00D414C3" w:rsidRDefault="00DD07AF" w:rsidP="00CB2FBB">
            <w:pPr>
              <w:pStyle w:val="Tabletext"/>
            </w:pPr>
            <w:r w:rsidRPr="00D414C3">
              <w:t>-</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DD07AF" w:rsidRPr="00D414C3" w:rsidRDefault="00DD07AF" w:rsidP="00CB2FBB">
            <w:pPr>
              <w:pStyle w:val="Tabletext"/>
            </w:pPr>
            <w:r w:rsidRPr="00D414C3">
              <w:t>-</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DD07AF" w:rsidRPr="00D414C3" w:rsidRDefault="00DD07AF" w:rsidP="00CB2FBB">
            <w:pPr>
              <w:pStyle w:val="Tabletext"/>
            </w:pPr>
            <w:r w:rsidRPr="00D414C3">
              <w:t>-</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DD07AF" w:rsidRPr="00D414C3" w:rsidRDefault="00DD07AF" w:rsidP="00CB2FBB">
            <w:pPr>
              <w:pStyle w:val="Tabletext"/>
            </w:pPr>
            <w:r w:rsidRPr="00D414C3">
              <w:t>-</w:t>
            </w:r>
          </w:p>
        </w:tc>
      </w:tr>
      <w:tr w:rsidR="00DD07AF" w:rsidRPr="00D414C3" w:rsidTr="00566235">
        <w:tc>
          <w:tcPr>
            <w:tcW w:w="1634" w:type="dxa"/>
            <w:tcBorders>
              <w:top w:val="single" w:sz="4" w:space="0" w:color="auto"/>
              <w:left w:val="single" w:sz="4" w:space="0" w:color="auto"/>
              <w:bottom w:val="single" w:sz="4" w:space="0" w:color="auto"/>
              <w:right w:val="single" w:sz="4" w:space="0" w:color="auto"/>
            </w:tcBorders>
            <w:shd w:val="clear" w:color="auto" w:fill="auto"/>
          </w:tcPr>
          <w:p w:rsidR="00DD07AF" w:rsidRPr="00D414C3" w:rsidRDefault="00DD07AF" w:rsidP="00CB2FBB">
            <w:pPr>
              <w:pStyle w:val="Tabletext"/>
            </w:pPr>
            <w:r w:rsidRPr="00D414C3">
              <w:t>Moree</w:t>
            </w: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DD07AF" w:rsidRPr="00D414C3" w:rsidRDefault="00DD07AF" w:rsidP="00CB2FBB">
            <w:pPr>
              <w:pStyle w:val="Tabletext"/>
            </w:pPr>
            <w:r w:rsidRPr="00D414C3">
              <w:t>Hopkins (1996)</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DD07AF" w:rsidRPr="00D414C3" w:rsidRDefault="00DD07AF" w:rsidP="00CB2FBB">
            <w:pPr>
              <w:pStyle w:val="Tabletext"/>
            </w:pPr>
            <w:r w:rsidRPr="00D414C3">
              <w:t>not reported</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DD07AF" w:rsidRPr="00D414C3" w:rsidRDefault="00DD07AF" w:rsidP="00CB2FBB">
            <w:pPr>
              <w:pStyle w:val="Tabletext"/>
            </w:pPr>
            <w:r w:rsidRPr="00D414C3">
              <w:t>-</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DD07AF" w:rsidRPr="00D414C3" w:rsidRDefault="00DD07AF" w:rsidP="00CB2FBB">
            <w:pPr>
              <w:pStyle w:val="Tabletext"/>
            </w:pPr>
            <w:r w:rsidRPr="00D414C3">
              <w:t>-</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DD07AF" w:rsidRPr="00D414C3" w:rsidRDefault="00DD07AF" w:rsidP="00CB2FBB">
            <w:pPr>
              <w:pStyle w:val="Tabletext"/>
            </w:pPr>
            <w:r w:rsidRPr="00D414C3">
              <w:t>-</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DD07AF" w:rsidRPr="00D414C3" w:rsidRDefault="00DD07AF" w:rsidP="00CB2FBB">
            <w:pPr>
              <w:pStyle w:val="Tabletext"/>
            </w:pPr>
            <w:r w:rsidRPr="00D414C3">
              <w:t>-</w:t>
            </w:r>
          </w:p>
        </w:tc>
      </w:tr>
      <w:tr w:rsidR="00C353DD" w:rsidRPr="00D414C3" w:rsidTr="00566235">
        <w:tc>
          <w:tcPr>
            <w:tcW w:w="1634" w:type="dxa"/>
            <w:tcBorders>
              <w:top w:val="single" w:sz="4" w:space="0" w:color="auto"/>
              <w:left w:val="single" w:sz="4" w:space="0" w:color="auto"/>
              <w:bottom w:val="nil"/>
              <w:right w:val="single" w:sz="4" w:space="0" w:color="auto"/>
            </w:tcBorders>
            <w:shd w:val="clear" w:color="auto" w:fill="auto"/>
          </w:tcPr>
          <w:p w:rsidR="00C353DD" w:rsidRPr="00D414C3" w:rsidRDefault="00C353DD" w:rsidP="00CB2FBB">
            <w:pPr>
              <w:pStyle w:val="Tabletext"/>
            </w:pPr>
            <w:r w:rsidRPr="00D414C3">
              <w:t>Narrabri Coal Project</w:t>
            </w:r>
          </w:p>
        </w:tc>
        <w:tc>
          <w:tcPr>
            <w:tcW w:w="1418" w:type="dxa"/>
            <w:tcBorders>
              <w:top w:val="single" w:sz="4" w:space="0" w:color="auto"/>
              <w:left w:val="single" w:sz="4" w:space="0" w:color="auto"/>
              <w:bottom w:val="nil"/>
              <w:right w:val="single" w:sz="4" w:space="0" w:color="auto"/>
            </w:tcBorders>
            <w:shd w:val="clear" w:color="auto" w:fill="auto"/>
          </w:tcPr>
          <w:p w:rsidR="00C353DD" w:rsidRPr="00D414C3" w:rsidRDefault="00C353DD" w:rsidP="00CB2FBB">
            <w:pPr>
              <w:pStyle w:val="Tabletext"/>
            </w:pPr>
            <w:r w:rsidRPr="00D414C3">
              <w:t>Aquaterra (2009)</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C353DD" w:rsidRPr="00D414C3" w:rsidRDefault="00C353DD" w:rsidP="00CB2FBB">
            <w:pPr>
              <w:pStyle w:val="Tabletext"/>
            </w:pPr>
            <w:r w:rsidRPr="00D414C3">
              <w:t>Alluvium</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C353DD" w:rsidRPr="00D414C3" w:rsidRDefault="00C353DD" w:rsidP="00CB2FBB">
            <w:pPr>
              <w:pStyle w:val="Tabletext"/>
            </w:pPr>
            <w:r w:rsidRPr="00D414C3">
              <w:t>0.3 - 5</w:t>
            </w:r>
          </w:p>
        </w:tc>
        <w:tc>
          <w:tcPr>
            <w:tcW w:w="1134" w:type="dxa"/>
            <w:tcBorders>
              <w:top w:val="single" w:sz="4" w:space="0" w:color="auto"/>
              <w:left w:val="single" w:sz="4" w:space="0" w:color="auto"/>
              <w:bottom w:val="single" w:sz="4" w:space="0" w:color="auto"/>
              <w:right w:val="single" w:sz="4" w:space="0" w:color="auto"/>
            </w:tcBorders>
          </w:tcPr>
          <w:p w:rsidR="00C353DD" w:rsidRPr="00D414C3" w:rsidRDefault="00C353DD" w:rsidP="00CB2FBB">
            <w:pPr>
              <w:pStyle w:val="Tabletext"/>
            </w:pPr>
            <w:r w:rsidRPr="00D414C3">
              <w:t>5.0x10</w:t>
            </w:r>
            <w:r w:rsidRPr="00D414C3">
              <w:rPr>
                <w:vertAlign w:val="superscript"/>
              </w:rPr>
              <w:t>-4</w:t>
            </w:r>
            <w:r w:rsidRPr="00D414C3">
              <w:t xml:space="preserve"> - 5.0x10</w:t>
            </w:r>
            <w:r w:rsidRPr="00D414C3">
              <w:rPr>
                <w:vertAlign w:val="superscript"/>
              </w:rPr>
              <w:t>-3</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C353DD" w:rsidRPr="00D414C3" w:rsidRDefault="00C353DD" w:rsidP="00CB2FBB">
            <w:pPr>
              <w:pStyle w:val="Tabletext"/>
            </w:pPr>
            <w:r w:rsidRPr="00D414C3">
              <w:t>5.0x10</w:t>
            </w:r>
            <w:r w:rsidRPr="00D414C3">
              <w:rPr>
                <w:vertAlign w:val="superscript"/>
              </w:rPr>
              <w:t>-6</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C353DD" w:rsidRPr="00D414C3" w:rsidRDefault="00C353DD" w:rsidP="00CB2FBB">
            <w:pPr>
              <w:pStyle w:val="Tabletext"/>
            </w:pPr>
            <w:r w:rsidRPr="00D414C3">
              <w:t>0.1</w:t>
            </w:r>
          </w:p>
        </w:tc>
      </w:tr>
      <w:tr w:rsidR="00C353DD" w:rsidRPr="00D414C3" w:rsidTr="00566235">
        <w:tc>
          <w:tcPr>
            <w:tcW w:w="1634" w:type="dxa"/>
            <w:tcBorders>
              <w:top w:val="nil"/>
              <w:left w:val="single" w:sz="4" w:space="0" w:color="auto"/>
              <w:bottom w:val="nil"/>
              <w:right w:val="single" w:sz="4" w:space="0" w:color="auto"/>
            </w:tcBorders>
            <w:shd w:val="clear" w:color="auto" w:fill="auto"/>
          </w:tcPr>
          <w:p w:rsidR="00C353DD" w:rsidRPr="00D414C3" w:rsidRDefault="00C353DD" w:rsidP="00CB2FBB">
            <w:pPr>
              <w:pStyle w:val="Tabletext"/>
            </w:pPr>
          </w:p>
        </w:tc>
        <w:tc>
          <w:tcPr>
            <w:tcW w:w="1418" w:type="dxa"/>
            <w:tcBorders>
              <w:top w:val="nil"/>
              <w:left w:val="single" w:sz="4" w:space="0" w:color="auto"/>
              <w:bottom w:val="nil"/>
              <w:right w:val="single" w:sz="4" w:space="0" w:color="auto"/>
            </w:tcBorders>
            <w:shd w:val="clear" w:color="auto" w:fill="auto"/>
          </w:tcPr>
          <w:p w:rsidR="00C353DD" w:rsidRPr="00D414C3" w:rsidRDefault="00C353DD" w:rsidP="00CB2FBB">
            <w:pPr>
              <w:pStyle w:val="Tabletext"/>
            </w:pP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C353DD" w:rsidRPr="00D414C3" w:rsidRDefault="00C353DD" w:rsidP="00CB2FBB">
            <w:pPr>
              <w:pStyle w:val="Tabletext"/>
            </w:pPr>
            <w:r w:rsidRPr="00D414C3">
              <w:t>Pilliga Sandstone</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C353DD" w:rsidRPr="00D414C3" w:rsidRDefault="00C353DD" w:rsidP="00CB2FBB">
            <w:pPr>
              <w:pStyle w:val="Tabletext"/>
            </w:pPr>
            <w:r w:rsidRPr="00D414C3">
              <w:t>4.0x10</w:t>
            </w:r>
            <w:r w:rsidRPr="00D414C3">
              <w:rPr>
                <w:vertAlign w:val="superscript"/>
              </w:rPr>
              <w:t>-3</w:t>
            </w:r>
            <w:r w:rsidRPr="00D414C3">
              <w:t xml:space="preserve"> - 0.3</w:t>
            </w:r>
          </w:p>
        </w:tc>
        <w:tc>
          <w:tcPr>
            <w:tcW w:w="1134" w:type="dxa"/>
            <w:tcBorders>
              <w:top w:val="single" w:sz="4" w:space="0" w:color="auto"/>
              <w:left w:val="single" w:sz="4" w:space="0" w:color="auto"/>
              <w:bottom w:val="single" w:sz="4" w:space="0" w:color="auto"/>
              <w:right w:val="single" w:sz="4" w:space="0" w:color="auto"/>
            </w:tcBorders>
          </w:tcPr>
          <w:p w:rsidR="00C353DD" w:rsidRPr="00D414C3" w:rsidRDefault="00C353DD" w:rsidP="00CB2FBB">
            <w:pPr>
              <w:pStyle w:val="Tabletext"/>
            </w:pPr>
            <w:r w:rsidRPr="00D414C3">
              <w:t>1.5x10</w:t>
            </w:r>
            <w:r w:rsidRPr="00D414C3">
              <w:rPr>
                <w:vertAlign w:val="superscript"/>
              </w:rPr>
              <w:t>-5</w:t>
            </w:r>
            <w:r w:rsidRPr="00D414C3">
              <w:t xml:space="preserve"> - 2.0x10</w:t>
            </w:r>
            <w:r w:rsidRPr="00D414C3">
              <w:rPr>
                <w:vertAlign w:val="superscript"/>
              </w:rPr>
              <w:t>-3</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C353DD" w:rsidRPr="00D414C3" w:rsidRDefault="00C353DD" w:rsidP="00CB2FBB">
            <w:pPr>
              <w:pStyle w:val="Tabletext"/>
            </w:pPr>
            <w:r w:rsidRPr="00D414C3">
              <w:t>5.0x10</w:t>
            </w:r>
            <w:r w:rsidRPr="00D414C3">
              <w:rPr>
                <w:vertAlign w:val="superscript"/>
              </w:rPr>
              <w:t>-6</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C353DD" w:rsidRPr="00D414C3" w:rsidRDefault="00C353DD" w:rsidP="00CB2FBB">
            <w:pPr>
              <w:pStyle w:val="Tabletext"/>
            </w:pPr>
            <w:r w:rsidRPr="00D414C3">
              <w:t>0.1</w:t>
            </w:r>
          </w:p>
        </w:tc>
      </w:tr>
      <w:tr w:rsidR="00C353DD" w:rsidRPr="00D414C3" w:rsidTr="00566235">
        <w:tc>
          <w:tcPr>
            <w:tcW w:w="1634" w:type="dxa"/>
            <w:tcBorders>
              <w:top w:val="nil"/>
              <w:left w:val="single" w:sz="4" w:space="0" w:color="auto"/>
              <w:bottom w:val="single" w:sz="4" w:space="0" w:color="auto"/>
              <w:right w:val="single" w:sz="4" w:space="0" w:color="auto"/>
            </w:tcBorders>
            <w:shd w:val="clear" w:color="auto" w:fill="auto"/>
          </w:tcPr>
          <w:p w:rsidR="00C353DD" w:rsidRPr="00D414C3" w:rsidRDefault="00C353DD" w:rsidP="00CB2FBB">
            <w:pPr>
              <w:pStyle w:val="Tabletext"/>
            </w:pPr>
          </w:p>
        </w:tc>
        <w:tc>
          <w:tcPr>
            <w:tcW w:w="1418" w:type="dxa"/>
            <w:tcBorders>
              <w:top w:val="nil"/>
              <w:left w:val="single" w:sz="4" w:space="0" w:color="auto"/>
              <w:bottom w:val="single" w:sz="4" w:space="0" w:color="auto"/>
              <w:right w:val="single" w:sz="4" w:space="0" w:color="auto"/>
            </w:tcBorders>
            <w:shd w:val="clear" w:color="auto" w:fill="auto"/>
          </w:tcPr>
          <w:p w:rsidR="00C353DD" w:rsidRPr="00D414C3" w:rsidRDefault="00C353DD" w:rsidP="00CB2FBB">
            <w:pPr>
              <w:pStyle w:val="Tabletext"/>
            </w:pP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C353DD" w:rsidRPr="00D414C3" w:rsidRDefault="00C353DD" w:rsidP="00CB2FBB">
            <w:pPr>
              <w:pStyle w:val="Tabletext"/>
            </w:pPr>
            <w:r w:rsidRPr="00D414C3">
              <w:t>Purlawaugh Formation</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C353DD" w:rsidRPr="00D414C3" w:rsidRDefault="00C353DD" w:rsidP="00CB2FBB">
            <w:pPr>
              <w:pStyle w:val="Tabletext"/>
            </w:pPr>
            <w:r w:rsidRPr="00D414C3">
              <w:t>4.0x10</w:t>
            </w:r>
            <w:r w:rsidRPr="00D414C3">
              <w:rPr>
                <w:vertAlign w:val="superscript"/>
              </w:rPr>
              <w:t>-3</w:t>
            </w:r>
            <w:r w:rsidRPr="00D414C3">
              <w:t xml:space="preserve"> - 0.02</w:t>
            </w:r>
          </w:p>
        </w:tc>
        <w:tc>
          <w:tcPr>
            <w:tcW w:w="1134" w:type="dxa"/>
            <w:tcBorders>
              <w:top w:val="single" w:sz="4" w:space="0" w:color="auto"/>
              <w:left w:val="single" w:sz="4" w:space="0" w:color="auto"/>
              <w:bottom w:val="single" w:sz="4" w:space="0" w:color="auto"/>
              <w:right w:val="single" w:sz="4" w:space="0" w:color="auto"/>
            </w:tcBorders>
          </w:tcPr>
          <w:p w:rsidR="00C353DD" w:rsidRPr="00D414C3" w:rsidRDefault="00C353DD" w:rsidP="00CB2FBB">
            <w:pPr>
              <w:pStyle w:val="Tabletext"/>
            </w:pPr>
            <w:r w:rsidRPr="00D414C3">
              <w:t>6.0x10</w:t>
            </w:r>
            <w:r w:rsidRPr="00D414C3">
              <w:rPr>
                <w:vertAlign w:val="superscript"/>
              </w:rPr>
              <w:t>-6</w:t>
            </w:r>
            <w:r w:rsidRPr="00D414C3">
              <w:t xml:space="preserve"> - 1.0x10</w:t>
            </w:r>
            <w:r w:rsidRPr="00D414C3">
              <w:rPr>
                <w:vertAlign w:val="superscript"/>
              </w:rPr>
              <w:t>-3</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C353DD" w:rsidRPr="00D414C3" w:rsidRDefault="00C353DD" w:rsidP="00CB2FBB">
            <w:pPr>
              <w:pStyle w:val="Tabletext"/>
            </w:pPr>
            <w:r w:rsidRPr="00D414C3">
              <w:t>5.0x10</w:t>
            </w:r>
            <w:r w:rsidRPr="00D414C3">
              <w:rPr>
                <w:vertAlign w:val="superscript"/>
              </w:rPr>
              <w:t>-6</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C353DD" w:rsidRPr="00D414C3" w:rsidRDefault="00C353DD" w:rsidP="00CB2FBB">
            <w:pPr>
              <w:pStyle w:val="Tabletext"/>
            </w:pPr>
            <w:r w:rsidRPr="00D414C3">
              <w:t>10</w:t>
            </w:r>
            <w:r w:rsidRPr="00D414C3">
              <w:rPr>
                <w:vertAlign w:val="superscript"/>
              </w:rPr>
              <w:t>-3</w:t>
            </w:r>
          </w:p>
        </w:tc>
      </w:tr>
      <w:tr w:rsidR="00DD07AF" w:rsidRPr="00D414C3" w:rsidTr="00566235">
        <w:tc>
          <w:tcPr>
            <w:tcW w:w="1634" w:type="dxa"/>
            <w:tcBorders>
              <w:top w:val="single" w:sz="4" w:space="0" w:color="auto"/>
              <w:left w:val="single" w:sz="4" w:space="0" w:color="auto"/>
              <w:bottom w:val="single" w:sz="4" w:space="0" w:color="auto"/>
              <w:right w:val="single" w:sz="4" w:space="0" w:color="auto"/>
            </w:tcBorders>
          </w:tcPr>
          <w:p w:rsidR="00DD07AF" w:rsidRPr="00D414C3" w:rsidRDefault="00DD07AF" w:rsidP="00CB2FBB">
            <w:pPr>
              <w:pStyle w:val="Tabletext"/>
            </w:pPr>
            <w:r w:rsidRPr="00D414C3">
              <w:t>Upper Condamine</w:t>
            </w: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DD07AF" w:rsidRPr="00D414C3" w:rsidRDefault="00DD07AF" w:rsidP="00CB2FBB">
            <w:pPr>
              <w:pStyle w:val="Tabletext"/>
            </w:pPr>
            <w:r w:rsidRPr="00D414C3">
              <w:t xml:space="preserve">Barnett </w:t>
            </w:r>
            <w:r w:rsidR="00DD140E">
              <w:t>&amp;</w:t>
            </w:r>
            <w:r w:rsidRPr="00D414C3">
              <w:t xml:space="preserve"> Muller (2008)</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DD07AF" w:rsidRPr="00D414C3" w:rsidRDefault="00DD07AF" w:rsidP="00CB2FBB">
            <w:pPr>
              <w:pStyle w:val="Tabletext"/>
            </w:pPr>
            <w:r w:rsidRPr="00D414C3">
              <w:t>Alluvium</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DD07AF" w:rsidRPr="00D414C3" w:rsidRDefault="00DD07AF" w:rsidP="00CB2FBB">
            <w:pPr>
              <w:pStyle w:val="Tabletext"/>
            </w:pPr>
            <w:r w:rsidRPr="00D414C3">
              <w:t>0.01 - 12</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DD07AF" w:rsidRPr="00D414C3" w:rsidRDefault="00C3694D" w:rsidP="00CB2FBB">
            <w:pPr>
              <w:pStyle w:val="Tabletext"/>
            </w:pPr>
            <w:r w:rsidRPr="00D414C3">
              <w:t>10</w:t>
            </w:r>
            <w:r w:rsidRPr="00D414C3">
              <w:rPr>
                <w:vertAlign w:val="superscript"/>
              </w:rPr>
              <w:t>-3</w:t>
            </w:r>
            <w:r w:rsidR="00DD07AF" w:rsidRPr="00D414C3">
              <w:t xml:space="preserve"> - 1</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DD07AF" w:rsidRPr="00D414C3" w:rsidRDefault="00DD07AF" w:rsidP="00CB2FBB">
            <w:pPr>
              <w:pStyle w:val="Tabletext"/>
            </w:pPr>
            <w:r w:rsidRPr="00D414C3">
              <w:t>5</w:t>
            </w:r>
            <w:r w:rsidR="00AD4570" w:rsidRPr="00D414C3">
              <w:t>.0</w:t>
            </w:r>
            <w:r w:rsidR="00C3694D" w:rsidRPr="00D414C3">
              <w:t>x10</w:t>
            </w:r>
            <w:r w:rsidR="00C3694D" w:rsidRPr="00D414C3">
              <w:rPr>
                <w:vertAlign w:val="superscript"/>
              </w:rPr>
              <w:t>-6</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DD07AF" w:rsidRPr="00D414C3" w:rsidRDefault="00DD07AF" w:rsidP="00CB2FBB">
            <w:pPr>
              <w:pStyle w:val="Tabletext"/>
            </w:pPr>
            <w:r w:rsidRPr="00D414C3">
              <w:t>0.04 - 0.06</w:t>
            </w:r>
          </w:p>
        </w:tc>
      </w:tr>
    </w:tbl>
    <w:p w:rsidR="00DD07AF" w:rsidRPr="00307AE2" w:rsidRDefault="00EA37CA" w:rsidP="00BE7A62">
      <w:pPr>
        <w:pStyle w:val="BRNormal"/>
        <w:spacing w:before="120"/>
        <w:rPr>
          <w:sz w:val="18"/>
          <w:szCs w:val="18"/>
        </w:rPr>
      </w:pPr>
      <w:r w:rsidRPr="00307AE2">
        <w:rPr>
          <w:sz w:val="18"/>
          <w:szCs w:val="18"/>
        </w:rPr>
        <w:t xml:space="preserve">Note: </w:t>
      </w:r>
      <w:r w:rsidR="00DD07AF" w:rsidRPr="00307AE2">
        <w:rPr>
          <w:i/>
          <w:sz w:val="18"/>
          <w:szCs w:val="18"/>
        </w:rPr>
        <w:t>K</w:t>
      </w:r>
      <w:r w:rsidR="00DD07AF" w:rsidRPr="00307AE2">
        <w:rPr>
          <w:i/>
          <w:sz w:val="18"/>
          <w:szCs w:val="18"/>
          <w:vertAlign w:val="subscript"/>
        </w:rPr>
        <w:t>h</w:t>
      </w:r>
      <w:r w:rsidR="00DD07AF" w:rsidRPr="00307AE2">
        <w:rPr>
          <w:sz w:val="18"/>
          <w:szCs w:val="18"/>
        </w:rPr>
        <w:t xml:space="preserve">=horizontal hydraulic conductivity, </w:t>
      </w:r>
      <w:r w:rsidR="00DD07AF" w:rsidRPr="00307AE2">
        <w:rPr>
          <w:i/>
          <w:sz w:val="18"/>
          <w:szCs w:val="18"/>
        </w:rPr>
        <w:t>K</w:t>
      </w:r>
      <w:r w:rsidR="00DD07AF" w:rsidRPr="00307AE2">
        <w:rPr>
          <w:i/>
          <w:sz w:val="18"/>
          <w:szCs w:val="18"/>
          <w:vertAlign w:val="subscript"/>
        </w:rPr>
        <w:t>v</w:t>
      </w:r>
      <w:r w:rsidR="00DD07AF" w:rsidRPr="00307AE2">
        <w:rPr>
          <w:sz w:val="18"/>
          <w:szCs w:val="18"/>
        </w:rPr>
        <w:t xml:space="preserve">=vertical hydraulic conductivity, </w:t>
      </w:r>
      <w:r w:rsidR="00DD07AF" w:rsidRPr="00307AE2">
        <w:rPr>
          <w:i/>
          <w:sz w:val="18"/>
          <w:szCs w:val="18"/>
        </w:rPr>
        <w:t>S</w:t>
      </w:r>
      <w:r w:rsidR="00DD07AF" w:rsidRPr="00307AE2">
        <w:rPr>
          <w:i/>
          <w:sz w:val="18"/>
          <w:szCs w:val="18"/>
          <w:vertAlign w:val="subscript"/>
        </w:rPr>
        <w:t>s</w:t>
      </w:r>
      <w:r w:rsidR="00DD07AF" w:rsidRPr="00307AE2">
        <w:rPr>
          <w:sz w:val="18"/>
          <w:szCs w:val="18"/>
        </w:rPr>
        <w:t xml:space="preserve">=specific storage, </w:t>
      </w:r>
      <w:r w:rsidR="00DD07AF" w:rsidRPr="00307AE2">
        <w:rPr>
          <w:i/>
          <w:sz w:val="18"/>
          <w:szCs w:val="18"/>
        </w:rPr>
        <w:t>S</w:t>
      </w:r>
      <w:r w:rsidR="00DD07AF" w:rsidRPr="00307AE2">
        <w:rPr>
          <w:i/>
          <w:sz w:val="18"/>
          <w:szCs w:val="18"/>
          <w:vertAlign w:val="subscript"/>
        </w:rPr>
        <w:t>y</w:t>
      </w:r>
      <w:r w:rsidRPr="00307AE2">
        <w:rPr>
          <w:sz w:val="18"/>
          <w:szCs w:val="18"/>
        </w:rPr>
        <w:t>=specific yield.</w:t>
      </w:r>
    </w:p>
    <w:p w:rsidR="00D43D3D" w:rsidRDefault="00D43D3D" w:rsidP="00307AE2">
      <w:pPr>
        <w:pStyle w:val="BRNormal"/>
      </w:pPr>
      <w:r>
        <w:t>The A</w:t>
      </w:r>
      <w:r w:rsidR="00B011CD">
        <w:t xml:space="preserve">ustralia </w:t>
      </w:r>
      <w:r>
        <w:t>P</w:t>
      </w:r>
      <w:r w:rsidR="00B011CD">
        <w:t xml:space="preserve">acific </w:t>
      </w:r>
      <w:r>
        <w:t>LNG model uses a specific storage value of 4</w:t>
      </w:r>
      <w:r w:rsidR="00C3694D">
        <w:t>x10</w:t>
      </w:r>
      <w:r w:rsidR="00C3694D" w:rsidRPr="00C3694D">
        <w:rPr>
          <w:vertAlign w:val="superscript"/>
        </w:rPr>
        <w:t>-6</w:t>
      </w:r>
      <w:r>
        <w:t xml:space="preserve"> /m for all modelled layers (WorleyParsons 2010b). The Arrow Energy model uses a specific storage value of 5</w:t>
      </w:r>
      <w:r w:rsidR="00C3694D">
        <w:t>x10</w:t>
      </w:r>
      <w:r w:rsidR="00C3694D" w:rsidRPr="00C3694D">
        <w:rPr>
          <w:vertAlign w:val="superscript"/>
        </w:rPr>
        <w:t>-6</w:t>
      </w:r>
      <w:r>
        <w:t xml:space="preserve"> /m for </w:t>
      </w:r>
      <w:r w:rsidRPr="00DE5F8B">
        <w:t>all modelled layers</w:t>
      </w:r>
      <w:r>
        <w:t xml:space="preserve"> except subunits of the Walloon Coal Measures (1</w:t>
      </w:r>
      <w:r w:rsidR="00C3694D">
        <w:t>x10</w:t>
      </w:r>
      <w:r w:rsidR="00C3694D" w:rsidRPr="00C3694D">
        <w:rPr>
          <w:vertAlign w:val="superscript"/>
        </w:rPr>
        <w:t>-6</w:t>
      </w:r>
      <w:r>
        <w:t xml:space="preserve"> to 5</w:t>
      </w:r>
      <w:r w:rsidR="00C3694D">
        <w:t>x10</w:t>
      </w:r>
      <w:r w:rsidR="00C3694D" w:rsidRPr="00C3694D">
        <w:rPr>
          <w:vertAlign w:val="superscript"/>
        </w:rPr>
        <w:t>-6</w:t>
      </w:r>
      <w:r>
        <w:t xml:space="preserve"> /m; SWS 2011). The G</w:t>
      </w:r>
      <w:r w:rsidR="00F87DE2">
        <w:t xml:space="preserve">ladstone </w:t>
      </w:r>
      <w:r>
        <w:t>LNG model uses a wide range of specific storage values, ranging from 8</w:t>
      </w:r>
      <w:r w:rsidR="00C3694D">
        <w:t>x10</w:t>
      </w:r>
      <w:r w:rsidR="00C3694D" w:rsidRPr="00C3694D">
        <w:rPr>
          <w:vertAlign w:val="superscript"/>
        </w:rPr>
        <w:t>-6</w:t>
      </w:r>
      <w:r>
        <w:t xml:space="preserve"> /m for the Hutton and Precipice Sandstone units, to 1</w:t>
      </w:r>
      <w:r w:rsidR="00C3694D">
        <w:t>x10</w:t>
      </w:r>
      <w:r w:rsidR="00C3694D" w:rsidRPr="00C3694D">
        <w:rPr>
          <w:vertAlign w:val="superscript"/>
        </w:rPr>
        <w:t>-4</w:t>
      </w:r>
      <w:r>
        <w:t xml:space="preserve"> /m for the Cainozic and Alluvium units (MatrixPlus 2009). The Q</w:t>
      </w:r>
      <w:r w:rsidR="00F87DE2">
        <w:t xml:space="preserve">ueensland </w:t>
      </w:r>
      <w:r>
        <w:t>C</w:t>
      </w:r>
      <w:r w:rsidR="00F87DE2">
        <w:t xml:space="preserve">urtis </w:t>
      </w:r>
      <w:r>
        <w:t>LNG model uses a storativity value of 5</w:t>
      </w:r>
      <w:r w:rsidR="00C3694D">
        <w:t>x10</w:t>
      </w:r>
      <w:r w:rsidR="00C3694D" w:rsidRPr="00C3694D">
        <w:rPr>
          <w:vertAlign w:val="superscript"/>
        </w:rPr>
        <w:t>-4</w:t>
      </w:r>
      <w:r>
        <w:t xml:space="preserve"> for all units above the Gubberamunda Sandstone and a value of 5</w:t>
      </w:r>
      <w:r w:rsidR="00C3694D">
        <w:t>x10</w:t>
      </w:r>
      <w:r w:rsidR="00C3694D" w:rsidRPr="00C3694D">
        <w:rPr>
          <w:vertAlign w:val="superscript"/>
        </w:rPr>
        <w:t>-5</w:t>
      </w:r>
      <w:r>
        <w:t xml:space="preserve"> for all units below, inclusive (Golder Associates 2009).</w:t>
      </w:r>
    </w:p>
    <w:p w:rsidR="00307AE2" w:rsidRDefault="00307AE2" w:rsidP="005F6513">
      <w:pPr>
        <w:pStyle w:val="Heading2"/>
      </w:pPr>
      <w:bookmarkStart w:id="591" w:name="_Toc381961144"/>
      <w:bookmarkStart w:id="592" w:name="_Toc389055245"/>
      <w:r>
        <w:t>Geomechanical properties</w:t>
      </w:r>
      <w:bookmarkEnd w:id="591"/>
      <w:bookmarkEnd w:id="592"/>
    </w:p>
    <w:p w:rsidR="00307AE2" w:rsidRDefault="00307AE2" w:rsidP="00307AE2">
      <w:pPr>
        <w:pStyle w:val="BRNormal"/>
      </w:pPr>
      <w:r w:rsidRPr="002E3718">
        <w:t>A range of geomechanical properties of Surat Basin aquifers and aquitards are of relevance to assessing the potential for induced mec</w:t>
      </w:r>
      <w:r w:rsidR="001168AD">
        <w:t>hanical deformation, fracturing</w:t>
      </w:r>
      <w:r w:rsidRPr="002E3718">
        <w:t xml:space="preserve"> and seismicity. Such properties may include geological unit permeabilities</w:t>
      </w:r>
      <w:r w:rsidR="001168AD">
        <w:t>, Poisson’s Ratio</w:t>
      </w:r>
      <w:r>
        <w:t xml:space="preserve"> and Young’s Modulus</w:t>
      </w:r>
      <w:r w:rsidRPr="002E3718">
        <w:t xml:space="preserve">; </w:t>
      </w:r>
      <w:r>
        <w:t>shale volume data for</w:t>
      </w:r>
      <w:r w:rsidRPr="002E3718">
        <w:t xml:space="preserve"> aquitard seals; the location, type and throw of faults; horizontal and vertical stress directions and magnitudes; and the volumetric rates of fluid extraction involved in mining operations. Borehole leakage presents an additional hazard of intensive drilling operations. </w:t>
      </w:r>
      <w:r w:rsidRPr="005636BF">
        <w:rPr>
          <w:color w:val="auto"/>
        </w:rPr>
        <w:t>Currently, there are no published syntheses of geomechanical properties in the Surat Basin, nor published studies of the potential for induced geomechanical stresses resulting from mining operations.</w:t>
      </w:r>
    </w:p>
    <w:p w:rsidR="00FA5429" w:rsidRDefault="00FA5429" w:rsidP="00307AE2">
      <w:pPr>
        <w:pStyle w:val="Caption"/>
      </w:pPr>
    </w:p>
    <w:p w:rsidR="00DD07AF" w:rsidRDefault="00307AE2" w:rsidP="00307AE2">
      <w:pPr>
        <w:pStyle w:val="Caption"/>
      </w:pPr>
      <w:r w:rsidRPr="006F2073">
        <w:t xml:space="preserve">Table </w:t>
      </w:r>
      <w:r w:rsidR="00E23933" w:rsidRPr="006F2073">
        <w:rPr>
          <w:b/>
          <w:noProof w:val="0"/>
        </w:rPr>
        <w:fldChar w:fldCharType="begin"/>
      </w:r>
      <w:r w:rsidRPr="006F2073">
        <w:instrText xml:space="preserve"> SEQ Table \* ARABIC </w:instrText>
      </w:r>
      <w:r w:rsidR="00E23933" w:rsidRPr="006F2073">
        <w:rPr>
          <w:b/>
          <w:noProof w:val="0"/>
        </w:rPr>
        <w:fldChar w:fldCharType="separate"/>
      </w:r>
      <w:r w:rsidR="00FA5429">
        <w:t>14</w:t>
      </w:r>
      <w:r w:rsidR="00E23933" w:rsidRPr="006F2073">
        <w:rPr>
          <w:b/>
        </w:rPr>
        <w:fldChar w:fldCharType="end"/>
      </w:r>
      <w:r w:rsidR="00DD07AF" w:rsidRPr="008C7B99">
        <w:t xml:space="preserve"> </w:t>
      </w:r>
      <w:r w:rsidR="00DD07AF">
        <w:t>Horizontal hydraulic conductivity (m/d) values for various Surat Basin units used by coal seam gas models</w:t>
      </w:r>
      <w:r w:rsidR="00BE457B">
        <w:t xml:space="preserve"> (</w:t>
      </w:r>
      <w:r w:rsidR="00F976E1">
        <w:t>© Copyright</w:t>
      </w:r>
      <w:r w:rsidR="00BE457B">
        <w:t xml:space="preserve">, USQ 2011; </w:t>
      </w:r>
      <w:r w:rsidR="00BE457B" w:rsidRPr="00307AE2">
        <w:t>also SWS 2011</w:t>
      </w:r>
      <w:r w:rsidR="00BE457B">
        <w:t xml:space="preserve">; </w:t>
      </w:r>
      <w:r w:rsidR="00BE457B" w:rsidRPr="00307AE2">
        <w:t>WorleyParsons 2010b</w:t>
      </w:r>
      <w:r w:rsidR="00BE457B">
        <w:t>;</w:t>
      </w:r>
      <w:r w:rsidR="00BE457B" w:rsidRPr="00307AE2">
        <w:t xml:space="preserve"> Golder Associates 2009; MatrixPlus 2009</w:t>
      </w:r>
      <w:r w:rsidR="00BE457B">
        <w:t>)</w:t>
      </w:r>
      <w:r>
        <w:t>.</w:t>
      </w:r>
    </w:p>
    <w:tbl>
      <w:tblPr>
        <w:tblStyle w:val="TableGrid11"/>
        <w:tblW w:w="8931" w:type="dxa"/>
        <w:tblInd w:w="108" w:type="dxa"/>
        <w:tblLook w:val="04A0"/>
      </w:tblPr>
      <w:tblGrid>
        <w:gridCol w:w="2698"/>
        <w:gridCol w:w="1701"/>
        <w:gridCol w:w="1417"/>
        <w:gridCol w:w="1559"/>
        <w:gridCol w:w="1556"/>
      </w:tblGrid>
      <w:tr w:rsidR="00DD07AF" w:rsidRPr="00307AE2" w:rsidTr="00BE457B">
        <w:trPr>
          <w:tblHeader/>
        </w:trPr>
        <w:tc>
          <w:tcPr>
            <w:tcW w:w="2698" w:type="dxa"/>
            <w:tcBorders>
              <w:bottom w:val="single" w:sz="4" w:space="0" w:color="auto"/>
            </w:tcBorders>
            <w:shd w:val="clear" w:color="auto" w:fill="C6D9F1" w:themeFill="text2" w:themeFillTint="33"/>
          </w:tcPr>
          <w:p w:rsidR="00DD07AF" w:rsidRPr="00307AE2" w:rsidRDefault="00DD07AF" w:rsidP="00470AD4">
            <w:pPr>
              <w:pStyle w:val="Tableheading"/>
            </w:pPr>
            <w:r w:rsidRPr="00307AE2">
              <w:t>Unit</w:t>
            </w:r>
          </w:p>
        </w:tc>
        <w:tc>
          <w:tcPr>
            <w:tcW w:w="1701" w:type="dxa"/>
            <w:tcBorders>
              <w:bottom w:val="single" w:sz="4" w:space="0" w:color="auto"/>
            </w:tcBorders>
            <w:shd w:val="clear" w:color="auto" w:fill="C6D9F1" w:themeFill="text2" w:themeFillTint="33"/>
          </w:tcPr>
          <w:p w:rsidR="00DD07AF" w:rsidRPr="00307AE2" w:rsidRDefault="00DD07AF" w:rsidP="00470AD4">
            <w:pPr>
              <w:pStyle w:val="Tableheading"/>
            </w:pPr>
            <w:r w:rsidRPr="00307AE2">
              <w:t>A</w:t>
            </w:r>
            <w:r w:rsidR="00B011CD">
              <w:t xml:space="preserve">ustralia </w:t>
            </w:r>
            <w:r w:rsidRPr="00307AE2">
              <w:t>P</w:t>
            </w:r>
            <w:r w:rsidR="00B011CD">
              <w:t xml:space="preserve">acific </w:t>
            </w:r>
            <w:r w:rsidRPr="00307AE2">
              <w:t>LNG</w:t>
            </w:r>
          </w:p>
        </w:tc>
        <w:tc>
          <w:tcPr>
            <w:tcW w:w="1417" w:type="dxa"/>
            <w:tcBorders>
              <w:bottom w:val="single" w:sz="4" w:space="0" w:color="auto"/>
            </w:tcBorders>
            <w:shd w:val="clear" w:color="auto" w:fill="C6D9F1" w:themeFill="text2" w:themeFillTint="33"/>
          </w:tcPr>
          <w:p w:rsidR="00DD07AF" w:rsidRPr="00307AE2" w:rsidRDefault="00DD07AF" w:rsidP="00470AD4">
            <w:pPr>
              <w:pStyle w:val="Tableheading"/>
            </w:pPr>
            <w:r w:rsidRPr="00307AE2">
              <w:t>Arrow</w:t>
            </w:r>
          </w:p>
        </w:tc>
        <w:tc>
          <w:tcPr>
            <w:tcW w:w="1559" w:type="dxa"/>
            <w:tcBorders>
              <w:bottom w:val="single" w:sz="4" w:space="0" w:color="auto"/>
            </w:tcBorders>
            <w:shd w:val="clear" w:color="auto" w:fill="C6D9F1" w:themeFill="text2" w:themeFillTint="33"/>
          </w:tcPr>
          <w:p w:rsidR="00DD07AF" w:rsidRPr="00307AE2" w:rsidRDefault="00DD07AF" w:rsidP="00470AD4">
            <w:pPr>
              <w:pStyle w:val="Tableheading"/>
            </w:pPr>
            <w:r w:rsidRPr="00307AE2">
              <w:t>G</w:t>
            </w:r>
            <w:r w:rsidR="00B011CD">
              <w:t xml:space="preserve">ladstone </w:t>
            </w:r>
            <w:r w:rsidRPr="00307AE2">
              <w:t>LNG</w:t>
            </w:r>
          </w:p>
        </w:tc>
        <w:tc>
          <w:tcPr>
            <w:tcW w:w="1556" w:type="dxa"/>
            <w:tcBorders>
              <w:bottom w:val="single" w:sz="4" w:space="0" w:color="auto"/>
            </w:tcBorders>
            <w:shd w:val="clear" w:color="auto" w:fill="C6D9F1" w:themeFill="text2" w:themeFillTint="33"/>
          </w:tcPr>
          <w:p w:rsidR="00DD07AF" w:rsidRPr="00307AE2" w:rsidRDefault="00DD07AF" w:rsidP="00470AD4">
            <w:pPr>
              <w:pStyle w:val="Tableheading"/>
            </w:pPr>
            <w:r w:rsidRPr="00307AE2">
              <w:t>Q</w:t>
            </w:r>
            <w:r w:rsidR="00B011CD">
              <w:t xml:space="preserve">ueensland </w:t>
            </w:r>
            <w:r w:rsidRPr="00307AE2">
              <w:t>C</w:t>
            </w:r>
            <w:r w:rsidR="00B011CD">
              <w:t xml:space="preserve">urtis </w:t>
            </w:r>
            <w:r w:rsidRPr="00307AE2">
              <w:t>LNG</w:t>
            </w:r>
          </w:p>
        </w:tc>
      </w:tr>
      <w:tr w:rsidR="00DD07AF" w:rsidRPr="00307AE2" w:rsidTr="00BE457B">
        <w:tc>
          <w:tcPr>
            <w:tcW w:w="2698" w:type="dxa"/>
            <w:tcBorders>
              <w:top w:val="single" w:sz="4" w:space="0" w:color="auto"/>
              <w:left w:val="single" w:sz="4" w:space="0" w:color="auto"/>
              <w:bottom w:val="single" w:sz="4" w:space="0" w:color="auto"/>
              <w:right w:val="single" w:sz="4" w:space="0" w:color="auto"/>
            </w:tcBorders>
          </w:tcPr>
          <w:p w:rsidR="00DD07AF" w:rsidRPr="00307AE2" w:rsidRDefault="00DD07AF" w:rsidP="00CB2FBB">
            <w:pPr>
              <w:pStyle w:val="Tabletext"/>
            </w:pPr>
            <w:r w:rsidRPr="00307AE2">
              <w:t>Cainozic and Alluvium</w:t>
            </w:r>
          </w:p>
        </w:tc>
        <w:tc>
          <w:tcPr>
            <w:tcW w:w="1701" w:type="dxa"/>
            <w:tcBorders>
              <w:top w:val="single" w:sz="4" w:space="0" w:color="auto"/>
              <w:left w:val="single" w:sz="4" w:space="0" w:color="auto"/>
              <w:bottom w:val="single" w:sz="4" w:space="0" w:color="auto"/>
              <w:right w:val="single" w:sz="4" w:space="0" w:color="auto"/>
            </w:tcBorders>
          </w:tcPr>
          <w:p w:rsidR="00DD07AF" w:rsidRPr="00307AE2" w:rsidRDefault="00DD07AF" w:rsidP="00CB2FBB">
            <w:pPr>
              <w:pStyle w:val="Tabletext"/>
            </w:pPr>
            <w:r w:rsidRPr="00307AE2">
              <w:t xml:space="preserve">0.22 to 5 </w:t>
            </w:r>
          </w:p>
        </w:tc>
        <w:tc>
          <w:tcPr>
            <w:tcW w:w="1417" w:type="dxa"/>
            <w:tcBorders>
              <w:top w:val="single" w:sz="4" w:space="0" w:color="auto"/>
              <w:left w:val="single" w:sz="4" w:space="0" w:color="auto"/>
              <w:bottom w:val="single" w:sz="4" w:space="0" w:color="auto"/>
              <w:right w:val="single" w:sz="4" w:space="0" w:color="auto"/>
            </w:tcBorders>
          </w:tcPr>
          <w:p w:rsidR="00DD07AF" w:rsidRPr="00307AE2" w:rsidRDefault="00DD07AF" w:rsidP="00CB2FBB">
            <w:pPr>
              <w:pStyle w:val="Tabletext"/>
            </w:pPr>
            <w:r w:rsidRPr="00307AE2">
              <w:t>5</w:t>
            </w:r>
          </w:p>
        </w:tc>
        <w:tc>
          <w:tcPr>
            <w:tcW w:w="1559" w:type="dxa"/>
            <w:tcBorders>
              <w:top w:val="single" w:sz="4" w:space="0" w:color="auto"/>
              <w:left w:val="single" w:sz="4" w:space="0" w:color="auto"/>
              <w:bottom w:val="single" w:sz="4" w:space="0" w:color="auto"/>
              <w:right w:val="single" w:sz="4" w:space="0" w:color="auto"/>
            </w:tcBorders>
          </w:tcPr>
          <w:p w:rsidR="00DD07AF" w:rsidRPr="00307AE2" w:rsidRDefault="00DD07AF" w:rsidP="00CB2FBB">
            <w:pPr>
              <w:pStyle w:val="Tabletext"/>
            </w:pPr>
            <w:r w:rsidRPr="00307AE2">
              <w:t>0.31</w:t>
            </w:r>
          </w:p>
        </w:tc>
        <w:tc>
          <w:tcPr>
            <w:tcW w:w="1556" w:type="dxa"/>
            <w:tcBorders>
              <w:top w:val="single" w:sz="4" w:space="0" w:color="auto"/>
              <w:left w:val="single" w:sz="4" w:space="0" w:color="auto"/>
              <w:bottom w:val="single" w:sz="4" w:space="0" w:color="auto"/>
              <w:right w:val="single" w:sz="4" w:space="0" w:color="auto"/>
            </w:tcBorders>
          </w:tcPr>
          <w:p w:rsidR="00DD07AF" w:rsidRPr="00307AE2" w:rsidRDefault="00DD07AF" w:rsidP="00CB2FBB">
            <w:pPr>
              <w:pStyle w:val="Tabletext"/>
            </w:pPr>
            <w:r w:rsidRPr="00307AE2">
              <w:t>3.6</w:t>
            </w:r>
            <w:r w:rsidR="00C3694D" w:rsidRPr="00307AE2">
              <w:t>x10</w:t>
            </w:r>
            <w:r w:rsidR="00C3694D" w:rsidRPr="00307AE2">
              <w:rPr>
                <w:vertAlign w:val="superscript"/>
              </w:rPr>
              <w:t>-3</w:t>
            </w:r>
            <w:r w:rsidRPr="00307AE2">
              <w:t xml:space="preserve"> to 3.6</w:t>
            </w:r>
            <w:r w:rsidR="00C3694D" w:rsidRPr="00307AE2">
              <w:t>x10</w:t>
            </w:r>
            <w:r w:rsidR="00C3694D" w:rsidRPr="00307AE2">
              <w:rPr>
                <w:vertAlign w:val="superscript"/>
              </w:rPr>
              <w:t>-2</w:t>
            </w:r>
          </w:p>
        </w:tc>
      </w:tr>
      <w:tr w:rsidR="00DD07AF" w:rsidRPr="00307AE2" w:rsidTr="00BE457B">
        <w:tc>
          <w:tcPr>
            <w:tcW w:w="2698" w:type="dxa"/>
            <w:tcBorders>
              <w:top w:val="single" w:sz="4" w:space="0" w:color="auto"/>
              <w:left w:val="single" w:sz="4" w:space="0" w:color="auto"/>
              <w:bottom w:val="single" w:sz="4" w:space="0" w:color="auto"/>
              <w:right w:val="single" w:sz="4" w:space="0" w:color="auto"/>
            </w:tcBorders>
          </w:tcPr>
          <w:p w:rsidR="00DD07AF" w:rsidRPr="00307AE2" w:rsidRDefault="00DD07AF" w:rsidP="00CB2FBB">
            <w:pPr>
              <w:pStyle w:val="Tabletext"/>
            </w:pPr>
            <w:r w:rsidRPr="00307AE2">
              <w:t>Rolling Downs Group</w:t>
            </w:r>
          </w:p>
        </w:tc>
        <w:tc>
          <w:tcPr>
            <w:tcW w:w="1701" w:type="dxa"/>
            <w:tcBorders>
              <w:top w:val="single" w:sz="4" w:space="0" w:color="auto"/>
              <w:left w:val="single" w:sz="4" w:space="0" w:color="auto"/>
              <w:bottom w:val="single" w:sz="4" w:space="0" w:color="auto"/>
              <w:right w:val="single" w:sz="4" w:space="0" w:color="auto"/>
            </w:tcBorders>
          </w:tcPr>
          <w:p w:rsidR="00DD07AF" w:rsidRPr="00307AE2" w:rsidRDefault="00DD07AF" w:rsidP="00CB2FBB">
            <w:pPr>
              <w:pStyle w:val="Tabletext"/>
            </w:pPr>
            <w:r w:rsidRPr="00307AE2">
              <w:t>0.05</w:t>
            </w:r>
          </w:p>
        </w:tc>
        <w:tc>
          <w:tcPr>
            <w:tcW w:w="1417" w:type="dxa"/>
            <w:tcBorders>
              <w:top w:val="single" w:sz="4" w:space="0" w:color="auto"/>
              <w:left w:val="single" w:sz="4" w:space="0" w:color="auto"/>
              <w:bottom w:val="single" w:sz="4" w:space="0" w:color="auto"/>
              <w:right w:val="single" w:sz="4" w:space="0" w:color="auto"/>
            </w:tcBorders>
          </w:tcPr>
          <w:p w:rsidR="00DD07AF" w:rsidRPr="00307AE2" w:rsidRDefault="00C3694D" w:rsidP="00CB2FBB">
            <w:pPr>
              <w:pStyle w:val="Tabletext"/>
            </w:pPr>
            <w:r w:rsidRPr="00307AE2">
              <w:t>10</w:t>
            </w:r>
            <w:r w:rsidRPr="00307AE2">
              <w:rPr>
                <w:vertAlign w:val="superscript"/>
              </w:rPr>
              <w:t>-3</w:t>
            </w:r>
          </w:p>
        </w:tc>
        <w:tc>
          <w:tcPr>
            <w:tcW w:w="1559" w:type="dxa"/>
            <w:tcBorders>
              <w:top w:val="single" w:sz="4" w:space="0" w:color="auto"/>
              <w:left w:val="single" w:sz="4" w:space="0" w:color="auto"/>
              <w:bottom w:val="single" w:sz="4" w:space="0" w:color="auto"/>
              <w:right w:val="single" w:sz="4" w:space="0" w:color="auto"/>
            </w:tcBorders>
          </w:tcPr>
          <w:p w:rsidR="00DD07AF" w:rsidRPr="00307AE2" w:rsidRDefault="00DD07AF" w:rsidP="00CB2FBB">
            <w:pPr>
              <w:pStyle w:val="Tabletext"/>
            </w:pPr>
            <w:r w:rsidRPr="00307AE2">
              <w:t>0.027</w:t>
            </w:r>
          </w:p>
        </w:tc>
        <w:tc>
          <w:tcPr>
            <w:tcW w:w="1556" w:type="dxa"/>
            <w:tcBorders>
              <w:top w:val="single" w:sz="4" w:space="0" w:color="auto"/>
              <w:left w:val="single" w:sz="4" w:space="0" w:color="auto"/>
              <w:bottom w:val="single" w:sz="4" w:space="0" w:color="auto"/>
              <w:right w:val="single" w:sz="4" w:space="0" w:color="auto"/>
            </w:tcBorders>
          </w:tcPr>
          <w:p w:rsidR="00DD07AF" w:rsidRPr="00307AE2" w:rsidRDefault="00DD07AF" w:rsidP="00CB2FBB">
            <w:pPr>
              <w:pStyle w:val="Tabletext"/>
            </w:pPr>
            <w:r w:rsidRPr="00307AE2">
              <w:t>3.6</w:t>
            </w:r>
            <w:r w:rsidR="00C3694D" w:rsidRPr="00307AE2">
              <w:t>x10</w:t>
            </w:r>
            <w:r w:rsidR="00C3694D" w:rsidRPr="00307AE2">
              <w:rPr>
                <w:vertAlign w:val="superscript"/>
              </w:rPr>
              <w:t>-3</w:t>
            </w:r>
            <w:r w:rsidRPr="00307AE2">
              <w:t xml:space="preserve"> to 3.6</w:t>
            </w:r>
            <w:r w:rsidR="00C3694D" w:rsidRPr="00307AE2">
              <w:t>x10</w:t>
            </w:r>
            <w:r w:rsidR="00C3694D" w:rsidRPr="00307AE2">
              <w:rPr>
                <w:vertAlign w:val="superscript"/>
              </w:rPr>
              <w:t>-2</w:t>
            </w:r>
          </w:p>
        </w:tc>
      </w:tr>
      <w:tr w:rsidR="00DD07AF" w:rsidRPr="00307AE2" w:rsidTr="00BE457B">
        <w:tc>
          <w:tcPr>
            <w:tcW w:w="2698" w:type="dxa"/>
            <w:tcBorders>
              <w:top w:val="single" w:sz="4" w:space="0" w:color="auto"/>
              <w:left w:val="single" w:sz="4" w:space="0" w:color="auto"/>
              <w:bottom w:val="single" w:sz="4" w:space="0" w:color="auto"/>
              <w:right w:val="single" w:sz="4" w:space="0" w:color="auto"/>
            </w:tcBorders>
          </w:tcPr>
          <w:p w:rsidR="00DD07AF" w:rsidRPr="00307AE2" w:rsidRDefault="00DD07AF" w:rsidP="00CB2FBB">
            <w:pPr>
              <w:pStyle w:val="Tabletext"/>
            </w:pPr>
            <w:r w:rsidRPr="00307AE2">
              <w:t>Bungil Formation</w:t>
            </w:r>
          </w:p>
        </w:tc>
        <w:tc>
          <w:tcPr>
            <w:tcW w:w="1701" w:type="dxa"/>
            <w:tcBorders>
              <w:top w:val="single" w:sz="4" w:space="0" w:color="auto"/>
              <w:left w:val="single" w:sz="4" w:space="0" w:color="auto"/>
              <w:bottom w:val="single" w:sz="4" w:space="0" w:color="auto"/>
              <w:right w:val="single" w:sz="4" w:space="0" w:color="auto"/>
            </w:tcBorders>
          </w:tcPr>
          <w:p w:rsidR="00DD07AF" w:rsidRPr="00307AE2" w:rsidRDefault="00DD07AF" w:rsidP="00CB2FBB">
            <w:pPr>
              <w:pStyle w:val="Tabletext"/>
            </w:pPr>
            <w:r w:rsidRPr="00307AE2">
              <w:t>0.12</w:t>
            </w:r>
          </w:p>
        </w:tc>
        <w:tc>
          <w:tcPr>
            <w:tcW w:w="1417" w:type="dxa"/>
            <w:tcBorders>
              <w:top w:val="single" w:sz="4" w:space="0" w:color="auto"/>
              <w:left w:val="single" w:sz="4" w:space="0" w:color="auto"/>
              <w:bottom w:val="single" w:sz="4" w:space="0" w:color="auto"/>
              <w:right w:val="single" w:sz="4" w:space="0" w:color="auto"/>
            </w:tcBorders>
          </w:tcPr>
          <w:p w:rsidR="00DD07AF" w:rsidRPr="00307AE2" w:rsidRDefault="00C3694D" w:rsidP="00CB2FBB">
            <w:pPr>
              <w:pStyle w:val="Tabletext"/>
            </w:pPr>
            <w:r w:rsidRPr="00307AE2">
              <w:t>10</w:t>
            </w:r>
            <w:r w:rsidRPr="00307AE2">
              <w:rPr>
                <w:vertAlign w:val="superscript"/>
              </w:rPr>
              <w:t>-3</w:t>
            </w:r>
          </w:p>
        </w:tc>
        <w:tc>
          <w:tcPr>
            <w:tcW w:w="1559" w:type="dxa"/>
            <w:tcBorders>
              <w:top w:val="single" w:sz="4" w:space="0" w:color="auto"/>
              <w:left w:val="single" w:sz="4" w:space="0" w:color="auto"/>
              <w:bottom w:val="single" w:sz="4" w:space="0" w:color="auto"/>
              <w:right w:val="single" w:sz="4" w:space="0" w:color="auto"/>
            </w:tcBorders>
          </w:tcPr>
          <w:p w:rsidR="00DD07AF" w:rsidRPr="00307AE2" w:rsidRDefault="00DD07AF" w:rsidP="00CB2FBB">
            <w:pPr>
              <w:pStyle w:val="Tabletext"/>
            </w:pPr>
            <w:r w:rsidRPr="00307AE2">
              <w:t>0.022</w:t>
            </w:r>
          </w:p>
        </w:tc>
        <w:tc>
          <w:tcPr>
            <w:tcW w:w="1556" w:type="dxa"/>
            <w:tcBorders>
              <w:top w:val="single" w:sz="4" w:space="0" w:color="auto"/>
              <w:left w:val="single" w:sz="4" w:space="0" w:color="auto"/>
              <w:bottom w:val="single" w:sz="4" w:space="0" w:color="auto"/>
              <w:right w:val="single" w:sz="4" w:space="0" w:color="auto"/>
            </w:tcBorders>
          </w:tcPr>
          <w:p w:rsidR="00DD07AF" w:rsidRPr="00307AE2" w:rsidRDefault="00DD07AF" w:rsidP="00CB2FBB">
            <w:pPr>
              <w:pStyle w:val="Tabletext"/>
            </w:pPr>
            <w:r w:rsidRPr="00307AE2">
              <w:t>3.6</w:t>
            </w:r>
            <w:r w:rsidR="00C3694D" w:rsidRPr="00307AE2">
              <w:t>x10</w:t>
            </w:r>
            <w:r w:rsidR="00C3694D" w:rsidRPr="00307AE2">
              <w:rPr>
                <w:vertAlign w:val="superscript"/>
              </w:rPr>
              <w:t>-3</w:t>
            </w:r>
            <w:r w:rsidRPr="00307AE2">
              <w:t xml:space="preserve"> to 3.6</w:t>
            </w:r>
            <w:r w:rsidR="00C3694D" w:rsidRPr="00307AE2">
              <w:t>x10</w:t>
            </w:r>
            <w:r w:rsidR="00C3694D" w:rsidRPr="00307AE2">
              <w:rPr>
                <w:vertAlign w:val="superscript"/>
              </w:rPr>
              <w:t>-2</w:t>
            </w:r>
          </w:p>
        </w:tc>
      </w:tr>
      <w:tr w:rsidR="00DD07AF" w:rsidRPr="00307AE2" w:rsidTr="00BE457B">
        <w:tc>
          <w:tcPr>
            <w:tcW w:w="2698" w:type="dxa"/>
            <w:tcBorders>
              <w:top w:val="single" w:sz="4" w:space="0" w:color="auto"/>
              <w:left w:val="single" w:sz="4" w:space="0" w:color="auto"/>
              <w:bottom w:val="single" w:sz="4" w:space="0" w:color="auto"/>
              <w:right w:val="single" w:sz="4" w:space="0" w:color="auto"/>
            </w:tcBorders>
          </w:tcPr>
          <w:p w:rsidR="00DD07AF" w:rsidRPr="00307AE2" w:rsidRDefault="00DD07AF" w:rsidP="00CB2FBB">
            <w:pPr>
              <w:pStyle w:val="Tabletext"/>
            </w:pPr>
            <w:r w:rsidRPr="00307AE2">
              <w:t>Mooga Sandstone</w:t>
            </w:r>
          </w:p>
        </w:tc>
        <w:tc>
          <w:tcPr>
            <w:tcW w:w="1701" w:type="dxa"/>
            <w:tcBorders>
              <w:top w:val="single" w:sz="4" w:space="0" w:color="auto"/>
              <w:left w:val="single" w:sz="4" w:space="0" w:color="auto"/>
              <w:bottom w:val="single" w:sz="4" w:space="0" w:color="auto"/>
              <w:right w:val="single" w:sz="4" w:space="0" w:color="auto"/>
            </w:tcBorders>
          </w:tcPr>
          <w:p w:rsidR="00DD07AF" w:rsidRPr="00307AE2" w:rsidRDefault="00DD07AF" w:rsidP="00CB2FBB">
            <w:pPr>
              <w:pStyle w:val="Tabletext"/>
            </w:pPr>
            <w:r w:rsidRPr="00307AE2">
              <w:t>0.12</w:t>
            </w:r>
          </w:p>
        </w:tc>
        <w:tc>
          <w:tcPr>
            <w:tcW w:w="1417" w:type="dxa"/>
            <w:tcBorders>
              <w:top w:val="single" w:sz="4" w:space="0" w:color="auto"/>
              <w:left w:val="single" w:sz="4" w:space="0" w:color="auto"/>
              <w:bottom w:val="single" w:sz="4" w:space="0" w:color="auto"/>
              <w:right w:val="single" w:sz="4" w:space="0" w:color="auto"/>
            </w:tcBorders>
          </w:tcPr>
          <w:p w:rsidR="00DD07AF" w:rsidRPr="00307AE2" w:rsidRDefault="00DD07AF" w:rsidP="00CB2FBB">
            <w:pPr>
              <w:pStyle w:val="Tabletext"/>
            </w:pPr>
            <w:r w:rsidRPr="00307AE2">
              <w:t>0.5</w:t>
            </w:r>
          </w:p>
        </w:tc>
        <w:tc>
          <w:tcPr>
            <w:tcW w:w="1559" w:type="dxa"/>
            <w:tcBorders>
              <w:top w:val="single" w:sz="4" w:space="0" w:color="auto"/>
              <w:left w:val="single" w:sz="4" w:space="0" w:color="auto"/>
              <w:bottom w:val="single" w:sz="4" w:space="0" w:color="auto"/>
              <w:right w:val="single" w:sz="4" w:space="0" w:color="auto"/>
            </w:tcBorders>
          </w:tcPr>
          <w:p w:rsidR="00DD07AF" w:rsidRPr="00307AE2" w:rsidRDefault="00DD07AF" w:rsidP="00CB2FBB">
            <w:pPr>
              <w:pStyle w:val="Tabletext"/>
            </w:pPr>
            <w:r w:rsidRPr="00307AE2">
              <w:t>0.117</w:t>
            </w:r>
          </w:p>
        </w:tc>
        <w:tc>
          <w:tcPr>
            <w:tcW w:w="1556" w:type="dxa"/>
            <w:tcBorders>
              <w:top w:val="single" w:sz="4" w:space="0" w:color="auto"/>
              <w:left w:val="single" w:sz="4" w:space="0" w:color="auto"/>
              <w:bottom w:val="single" w:sz="4" w:space="0" w:color="auto"/>
              <w:right w:val="single" w:sz="4" w:space="0" w:color="auto"/>
            </w:tcBorders>
          </w:tcPr>
          <w:p w:rsidR="00DD07AF" w:rsidRPr="00307AE2" w:rsidRDefault="00DD07AF" w:rsidP="00CB2FBB">
            <w:pPr>
              <w:pStyle w:val="Tabletext"/>
            </w:pPr>
            <w:r w:rsidRPr="00307AE2">
              <w:t>3.6</w:t>
            </w:r>
            <w:r w:rsidR="00C3694D" w:rsidRPr="00307AE2">
              <w:t>x10</w:t>
            </w:r>
            <w:r w:rsidR="00C3694D" w:rsidRPr="00307AE2">
              <w:rPr>
                <w:vertAlign w:val="superscript"/>
              </w:rPr>
              <w:t>-3</w:t>
            </w:r>
            <w:r w:rsidRPr="00307AE2">
              <w:t xml:space="preserve"> to 3.6</w:t>
            </w:r>
            <w:r w:rsidR="00C3694D" w:rsidRPr="00307AE2">
              <w:t>x10</w:t>
            </w:r>
            <w:r w:rsidR="00C3694D" w:rsidRPr="00307AE2">
              <w:rPr>
                <w:vertAlign w:val="superscript"/>
              </w:rPr>
              <w:t>-2</w:t>
            </w:r>
          </w:p>
        </w:tc>
      </w:tr>
      <w:tr w:rsidR="00DD07AF" w:rsidRPr="00307AE2" w:rsidTr="00BE457B">
        <w:tc>
          <w:tcPr>
            <w:tcW w:w="2698" w:type="dxa"/>
            <w:tcBorders>
              <w:top w:val="single" w:sz="4" w:space="0" w:color="auto"/>
              <w:left w:val="single" w:sz="4" w:space="0" w:color="auto"/>
              <w:bottom w:val="single" w:sz="4" w:space="0" w:color="auto"/>
              <w:right w:val="single" w:sz="4" w:space="0" w:color="auto"/>
            </w:tcBorders>
          </w:tcPr>
          <w:p w:rsidR="00DD07AF" w:rsidRPr="00307AE2" w:rsidRDefault="00DD07AF" w:rsidP="00CB2FBB">
            <w:pPr>
              <w:pStyle w:val="Tabletext"/>
            </w:pPr>
            <w:r w:rsidRPr="00307AE2">
              <w:t>Orallo Formation</w:t>
            </w:r>
          </w:p>
        </w:tc>
        <w:tc>
          <w:tcPr>
            <w:tcW w:w="1701" w:type="dxa"/>
            <w:tcBorders>
              <w:top w:val="single" w:sz="4" w:space="0" w:color="auto"/>
              <w:left w:val="single" w:sz="4" w:space="0" w:color="auto"/>
              <w:bottom w:val="single" w:sz="4" w:space="0" w:color="auto"/>
              <w:right w:val="single" w:sz="4" w:space="0" w:color="auto"/>
            </w:tcBorders>
          </w:tcPr>
          <w:p w:rsidR="00DD07AF" w:rsidRPr="00307AE2" w:rsidRDefault="00DD07AF" w:rsidP="00CB2FBB">
            <w:pPr>
              <w:pStyle w:val="Tabletext"/>
            </w:pPr>
            <w:r w:rsidRPr="00307AE2">
              <w:t>0.12</w:t>
            </w:r>
          </w:p>
        </w:tc>
        <w:tc>
          <w:tcPr>
            <w:tcW w:w="1417" w:type="dxa"/>
            <w:tcBorders>
              <w:top w:val="single" w:sz="4" w:space="0" w:color="auto"/>
              <w:left w:val="single" w:sz="4" w:space="0" w:color="auto"/>
              <w:bottom w:val="single" w:sz="4" w:space="0" w:color="auto"/>
              <w:right w:val="single" w:sz="4" w:space="0" w:color="auto"/>
            </w:tcBorders>
          </w:tcPr>
          <w:p w:rsidR="00DD07AF" w:rsidRPr="00307AE2" w:rsidRDefault="00DD07AF" w:rsidP="00CB2FBB">
            <w:pPr>
              <w:pStyle w:val="Tabletext"/>
            </w:pPr>
            <w:r w:rsidRPr="00307AE2">
              <w:t>0.1</w:t>
            </w:r>
          </w:p>
        </w:tc>
        <w:tc>
          <w:tcPr>
            <w:tcW w:w="1559" w:type="dxa"/>
            <w:tcBorders>
              <w:top w:val="single" w:sz="4" w:space="0" w:color="auto"/>
              <w:left w:val="single" w:sz="4" w:space="0" w:color="auto"/>
              <w:bottom w:val="single" w:sz="4" w:space="0" w:color="auto"/>
              <w:right w:val="single" w:sz="4" w:space="0" w:color="auto"/>
            </w:tcBorders>
          </w:tcPr>
          <w:p w:rsidR="00DD07AF" w:rsidRPr="00307AE2" w:rsidRDefault="00DD07AF" w:rsidP="00CB2FBB">
            <w:pPr>
              <w:pStyle w:val="Tabletext"/>
            </w:pPr>
            <w:r w:rsidRPr="00307AE2">
              <w:t>0.25</w:t>
            </w:r>
          </w:p>
        </w:tc>
        <w:tc>
          <w:tcPr>
            <w:tcW w:w="1556" w:type="dxa"/>
            <w:tcBorders>
              <w:top w:val="single" w:sz="4" w:space="0" w:color="auto"/>
              <w:left w:val="single" w:sz="4" w:space="0" w:color="auto"/>
              <w:bottom w:val="single" w:sz="4" w:space="0" w:color="auto"/>
              <w:right w:val="single" w:sz="4" w:space="0" w:color="auto"/>
            </w:tcBorders>
          </w:tcPr>
          <w:p w:rsidR="00DD07AF" w:rsidRPr="00307AE2" w:rsidRDefault="00DD07AF" w:rsidP="00CB2FBB">
            <w:pPr>
              <w:pStyle w:val="Tabletext"/>
            </w:pPr>
            <w:r w:rsidRPr="00307AE2">
              <w:t>3.6</w:t>
            </w:r>
            <w:r w:rsidR="00C3694D" w:rsidRPr="00307AE2">
              <w:t>x10</w:t>
            </w:r>
            <w:r w:rsidR="00C3694D" w:rsidRPr="00307AE2">
              <w:rPr>
                <w:vertAlign w:val="superscript"/>
              </w:rPr>
              <w:t>-3</w:t>
            </w:r>
            <w:r w:rsidRPr="00307AE2">
              <w:t xml:space="preserve"> to 3.6</w:t>
            </w:r>
            <w:r w:rsidR="00C3694D" w:rsidRPr="00307AE2">
              <w:t>x10</w:t>
            </w:r>
            <w:r w:rsidR="00C3694D" w:rsidRPr="00307AE2">
              <w:rPr>
                <w:vertAlign w:val="superscript"/>
              </w:rPr>
              <w:t>-2</w:t>
            </w:r>
          </w:p>
        </w:tc>
      </w:tr>
      <w:tr w:rsidR="00DD07AF" w:rsidRPr="00307AE2" w:rsidTr="00BE457B">
        <w:tc>
          <w:tcPr>
            <w:tcW w:w="2698" w:type="dxa"/>
            <w:tcBorders>
              <w:top w:val="single" w:sz="4" w:space="0" w:color="auto"/>
              <w:left w:val="single" w:sz="4" w:space="0" w:color="auto"/>
              <w:bottom w:val="single" w:sz="4" w:space="0" w:color="auto"/>
              <w:right w:val="single" w:sz="4" w:space="0" w:color="auto"/>
            </w:tcBorders>
          </w:tcPr>
          <w:p w:rsidR="00DD07AF" w:rsidRPr="00307AE2" w:rsidRDefault="00DD07AF" w:rsidP="00CB2FBB">
            <w:pPr>
              <w:pStyle w:val="Tabletext"/>
            </w:pPr>
            <w:r w:rsidRPr="00307AE2">
              <w:t>Gubberamunda Sandstone</w:t>
            </w:r>
          </w:p>
        </w:tc>
        <w:tc>
          <w:tcPr>
            <w:tcW w:w="1701" w:type="dxa"/>
            <w:tcBorders>
              <w:top w:val="single" w:sz="4" w:space="0" w:color="auto"/>
              <w:left w:val="single" w:sz="4" w:space="0" w:color="auto"/>
              <w:bottom w:val="single" w:sz="4" w:space="0" w:color="auto"/>
              <w:right w:val="single" w:sz="4" w:space="0" w:color="auto"/>
            </w:tcBorders>
          </w:tcPr>
          <w:p w:rsidR="00DD07AF" w:rsidRPr="00307AE2" w:rsidRDefault="00DD07AF" w:rsidP="00CB2FBB">
            <w:pPr>
              <w:pStyle w:val="Tabletext"/>
            </w:pPr>
            <w:r w:rsidRPr="00307AE2">
              <w:t>0.31</w:t>
            </w:r>
          </w:p>
        </w:tc>
        <w:tc>
          <w:tcPr>
            <w:tcW w:w="1417" w:type="dxa"/>
            <w:tcBorders>
              <w:top w:val="single" w:sz="4" w:space="0" w:color="auto"/>
              <w:left w:val="single" w:sz="4" w:space="0" w:color="auto"/>
              <w:bottom w:val="single" w:sz="4" w:space="0" w:color="auto"/>
              <w:right w:val="single" w:sz="4" w:space="0" w:color="auto"/>
            </w:tcBorders>
          </w:tcPr>
          <w:p w:rsidR="00DD07AF" w:rsidRPr="00307AE2" w:rsidRDefault="00DD07AF" w:rsidP="00CB2FBB">
            <w:pPr>
              <w:pStyle w:val="Tabletext"/>
            </w:pPr>
            <w:r w:rsidRPr="00307AE2">
              <w:t>0.5</w:t>
            </w:r>
          </w:p>
        </w:tc>
        <w:tc>
          <w:tcPr>
            <w:tcW w:w="1559" w:type="dxa"/>
            <w:tcBorders>
              <w:top w:val="single" w:sz="4" w:space="0" w:color="auto"/>
              <w:left w:val="single" w:sz="4" w:space="0" w:color="auto"/>
              <w:bottom w:val="single" w:sz="4" w:space="0" w:color="auto"/>
              <w:right w:val="single" w:sz="4" w:space="0" w:color="auto"/>
            </w:tcBorders>
          </w:tcPr>
          <w:p w:rsidR="00DD07AF" w:rsidRPr="00307AE2" w:rsidRDefault="00DD07AF" w:rsidP="00CB2FBB">
            <w:pPr>
              <w:pStyle w:val="Tabletext"/>
            </w:pPr>
            <w:r w:rsidRPr="00307AE2">
              <w:t>0.49</w:t>
            </w:r>
          </w:p>
        </w:tc>
        <w:tc>
          <w:tcPr>
            <w:tcW w:w="1556" w:type="dxa"/>
            <w:tcBorders>
              <w:top w:val="single" w:sz="4" w:space="0" w:color="auto"/>
              <w:left w:val="single" w:sz="4" w:space="0" w:color="auto"/>
              <w:bottom w:val="single" w:sz="4" w:space="0" w:color="auto"/>
              <w:right w:val="single" w:sz="4" w:space="0" w:color="auto"/>
            </w:tcBorders>
          </w:tcPr>
          <w:p w:rsidR="00DD07AF" w:rsidRPr="00307AE2" w:rsidRDefault="00DD07AF" w:rsidP="00CB2FBB">
            <w:pPr>
              <w:pStyle w:val="Tabletext"/>
            </w:pPr>
            <w:r w:rsidRPr="00307AE2">
              <w:t>0.036 to 0.36</w:t>
            </w:r>
          </w:p>
        </w:tc>
      </w:tr>
      <w:tr w:rsidR="00DD07AF" w:rsidRPr="00307AE2" w:rsidTr="00BE457B">
        <w:tc>
          <w:tcPr>
            <w:tcW w:w="2698" w:type="dxa"/>
            <w:tcBorders>
              <w:top w:val="single" w:sz="4" w:space="0" w:color="auto"/>
              <w:left w:val="single" w:sz="4" w:space="0" w:color="auto"/>
              <w:bottom w:val="single" w:sz="4" w:space="0" w:color="auto"/>
              <w:right w:val="single" w:sz="4" w:space="0" w:color="auto"/>
            </w:tcBorders>
          </w:tcPr>
          <w:p w:rsidR="00DD07AF" w:rsidRPr="00307AE2" w:rsidRDefault="00DD07AF" w:rsidP="00CB2FBB">
            <w:pPr>
              <w:pStyle w:val="Tabletext"/>
            </w:pPr>
            <w:r w:rsidRPr="00307AE2">
              <w:t>Westbourne Formation</w:t>
            </w:r>
          </w:p>
        </w:tc>
        <w:tc>
          <w:tcPr>
            <w:tcW w:w="1701" w:type="dxa"/>
            <w:tcBorders>
              <w:top w:val="single" w:sz="4" w:space="0" w:color="auto"/>
              <w:left w:val="single" w:sz="4" w:space="0" w:color="auto"/>
              <w:bottom w:val="single" w:sz="4" w:space="0" w:color="auto"/>
              <w:right w:val="single" w:sz="4" w:space="0" w:color="auto"/>
            </w:tcBorders>
          </w:tcPr>
          <w:p w:rsidR="00DD07AF" w:rsidRPr="00307AE2" w:rsidRDefault="00DD07AF" w:rsidP="00CB2FBB">
            <w:pPr>
              <w:pStyle w:val="Tabletext"/>
            </w:pPr>
            <w:r w:rsidRPr="00307AE2">
              <w:t>5.6</w:t>
            </w:r>
            <w:r w:rsidR="00C3694D" w:rsidRPr="00307AE2">
              <w:t>x10</w:t>
            </w:r>
            <w:r w:rsidR="00C3694D" w:rsidRPr="00307AE2">
              <w:rPr>
                <w:vertAlign w:val="superscript"/>
              </w:rPr>
              <w:t>-3</w:t>
            </w:r>
          </w:p>
        </w:tc>
        <w:tc>
          <w:tcPr>
            <w:tcW w:w="1417" w:type="dxa"/>
            <w:tcBorders>
              <w:top w:val="single" w:sz="4" w:space="0" w:color="auto"/>
              <w:left w:val="single" w:sz="4" w:space="0" w:color="auto"/>
              <w:bottom w:val="single" w:sz="4" w:space="0" w:color="auto"/>
              <w:right w:val="single" w:sz="4" w:space="0" w:color="auto"/>
            </w:tcBorders>
          </w:tcPr>
          <w:p w:rsidR="00DD07AF" w:rsidRPr="00307AE2" w:rsidRDefault="00C3694D" w:rsidP="00CB2FBB">
            <w:pPr>
              <w:pStyle w:val="Tabletext"/>
            </w:pPr>
            <w:r w:rsidRPr="00307AE2">
              <w:t>10</w:t>
            </w:r>
            <w:r w:rsidRPr="00307AE2">
              <w:rPr>
                <w:vertAlign w:val="superscript"/>
              </w:rPr>
              <w:t>-3</w:t>
            </w:r>
          </w:p>
        </w:tc>
        <w:tc>
          <w:tcPr>
            <w:tcW w:w="1559" w:type="dxa"/>
            <w:tcBorders>
              <w:top w:val="single" w:sz="4" w:space="0" w:color="auto"/>
              <w:left w:val="single" w:sz="4" w:space="0" w:color="auto"/>
              <w:bottom w:val="single" w:sz="4" w:space="0" w:color="auto"/>
              <w:right w:val="single" w:sz="4" w:space="0" w:color="auto"/>
            </w:tcBorders>
          </w:tcPr>
          <w:p w:rsidR="00DD07AF" w:rsidRPr="00307AE2" w:rsidRDefault="00DD07AF" w:rsidP="00CB2FBB">
            <w:pPr>
              <w:pStyle w:val="Tabletext"/>
            </w:pPr>
            <w:r w:rsidRPr="00307AE2">
              <w:t>2.6</w:t>
            </w:r>
            <w:r w:rsidR="00C3694D" w:rsidRPr="00307AE2">
              <w:t>x10</w:t>
            </w:r>
            <w:r w:rsidR="00C3694D" w:rsidRPr="00307AE2">
              <w:rPr>
                <w:vertAlign w:val="superscript"/>
              </w:rPr>
              <w:t>-3</w:t>
            </w:r>
          </w:p>
        </w:tc>
        <w:tc>
          <w:tcPr>
            <w:tcW w:w="1556" w:type="dxa"/>
            <w:tcBorders>
              <w:top w:val="single" w:sz="4" w:space="0" w:color="auto"/>
              <w:left w:val="single" w:sz="4" w:space="0" w:color="auto"/>
              <w:bottom w:val="single" w:sz="4" w:space="0" w:color="auto"/>
              <w:right w:val="single" w:sz="4" w:space="0" w:color="auto"/>
            </w:tcBorders>
          </w:tcPr>
          <w:p w:rsidR="00DD07AF" w:rsidRPr="00307AE2" w:rsidRDefault="00C3694D" w:rsidP="00CB2FBB">
            <w:pPr>
              <w:pStyle w:val="Tabletext"/>
            </w:pPr>
            <w:r w:rsidRPr="00307AE2">
              <w:t>10</w:t>
            </w:r>
            <w:r w:rsidRPr="00307AE2">
              <w:rPr>
                <w:vertAlign w:val="superscript"/>
              </w:rPr>
              <w:t>-4</w:t>
            </w:r>
            <w:r w:rsidR="00AD4570" w:rsidRPr="00307AE2">
              <w:t xml:space="preserve"> to </w:t>
            </w:r>
            <w:r w:rsidRPr="00307AE2">
              <w:t>10</w:t>
            </w:r>
            <w:r w:rsidRPr="00307AE2">
              <w:rPr>
                <w:vertAlign w:val="superscript"/>
              </w:rPr>
              <w:t>-3</w:t>
            </w:r>
          </w:p>
        </w:tc>
      </w:tr>
      <w:tr w:rsidR="00DD07AF" w:rsidRPr="00307AE2" w:rsidTr="00BE457B">
        <w:tc>
          <w:tcPr>
            <w:tcW w:w="2698" w:type="dxa"/>
            <w:tcBorders>
              <w:top w:val="single" w:sz="4" w:space="0" w:color="auto"/>
              <w:left w:val="single" w:sz="4" w:space="0" w:color="auto"/>
              <w:bottom w:val="single" w:sz="4" w:space="0" w:color="auto"/>
              <w:right w:val="single" w:sz="4" w:space="0" w:color="auto"/>
            </w:tcBorders>
          </w:tcPr>
          <w:p w:rsidR="00DD07AF" w:rsidRPr="00307AE2" w:rsidRDefault="00DD07AF" w:rsidP="00CB2FBB">
            <w:pPr>
              <w:pStyle w:val="Tabletext"/>
            </w:pPr>
            <w:r w:rsidRPr="00307AE2">
              <w:t>Springbok Sandstone</w:t>
            </w:r>
          </w:p>
        </w:tc>
        <w:tc>
          <w:tcPr>
            <w:tcW w:w="1701" w:type="dxa"/>
            <w:tcBorders>
              <w:top w:val="single" w:sz="4" w:space="0" w:color="auto"/>
              <w:left w:val="single" w:sz="4" w:space="0" w:color="auto"/>
              <w:bottom w:val="single" w:sz="4" w:space="0" w:color="auto"/>
              <w:right w:val="single" w:sz="4" w:space="0" w:color="auto"/>
            </w:tcBorders>
          </w:tcPr>
          <w:p w:rsidR="00DD07AF" w:rsidRPr="00307AE2" w:rsidRDefault="00DD07AF" w:rsidP="00CB2FBB">
            <w:pPr>
              <w:pStyle w:val="Tabletext"/>
            </w:pPr>
            <w:r w:rsidRPr="00307AE2">
              <w:t>0.28</w:t>
            </w:r>
          </w:p>
        </w:tc>
        <w:tc>
          <w:tcPr>
            <w:tcW w:w="1417" w:type="dxa"/>
            <w:tcBorders>
              <w:top w:val="single" w:sz="4" w:space="0" w:color="auto"/>
              <w:left w:val="single" w:sz="4" w:space="0" w:color="auto"/>
              <w:bottom w:val="single" w:sz="4" w:space="0" w:color="auto"/>
              <w:right w:val="single" w:sz="4" w:space="0" w:color="auto"/>
            </w:tcBorders>
          </w:tcPr>
          <w:p w:rsidR="00DD07AF" w:rsidRPr="00307AE2" w:rsidRDefault="00DD07AF" w:rsidP="00CB2FBB">
            <w:pPr>
              <w:pStyle w:val="Tabletext"/>
            </w:pPr>
            <w:r w:rsidRPr="00307AE2">
              <w:t>0.5</w:t>
            </w:r>
          </w:p>
        </w:tc>
        <w:tc>
          <w:tcPr>
            <w:tcW w:w="1559" w:type="dxa"/>
            <w:tcBorders>
              <w:top w:val="single" w:sz="4" w:space="0" w:color="auto"/>
              <w:left w:val="single" w:sz="4" w:space="0" w:color="auto"/>
              <w:bottom w:val="single" w:sz="4" w:space="0" w:color="auto"/>
              <w:right w:val="single" w:sz="4" w:space="0" w:color="auto"/>
            </w:tcBorders>
          </w:tcPr>
          <w:p w:rsidR="00DD07AF" w:rsidRPr="00307AE2" w:rsidRDefault="00DD07AF" w:rsidP="00CB2FBB">
            <w:pPr>
              <w:pStyle w:val="Tabletext"/>
            </w:pPr>
            <w:r w:rsidRPr="00307AE2">
              <w:t>0.12</w:t>
            </w:r>
          </w:p>
        </w:tc>
        <w:tc>
          <w:tcPr>
            <w:tcW w:w="1556" w:type="dxa"/>
            <w:tcBorders>
              <w:top w:val="single" w:sz="4" w:space="0" w:color="auto"/>
              <w:left w:val="single" w:sz="4" w:space="0" w:color="auto"/>
              <w:bottom w:val="single" w:sz="4" w:space="0" w:color="auto"/>
              <w:right w:val="single" w:sz="4" w:space="0" w:color="auto"/>
            </w:tcBorders>
          </w:tcPr>
          <w:p w:rsidR="00DD07AF" w:rsidRPr="00307AE2" w:rsidRDefault="00DD07AF" w:rsidP="00CB2FBB">
            <w:pPr>
              <w:pStyle w:val="Tabletext"/>
            </w:pPr>
            <w:r w:rsidRPr="00307AE2">
              <w:t>1.25</w:t>
            </w:r>
          </w:p>
        </w:tc>
      </w:tr>
      <w:tr w:rsidR="00DD07AF" w:rsidRPr="00307AE2" w:rsidTr="00BE457B">
        <w:tc>
          <w:tcPr>
            <w:tcW w:w="2698" w:type="dxa"/>
            <w:tcBorders>
              <w:top w:val="single" w:sz="4" w:space="0" w:color="auto"/>
              <w:left w:val="single" w:sz="4" w:space="0" w:color="auto"/>
              <w:bottom w:val="single" w:sz="4" w:space="0" w:color="auto"/>
              <w:right w:val="single" w:sz="4" w:space="0" w:color="auto"/>
            </w:tcBorders>
          </w:tcPr>
          <w:p w:rsidR="00DD07AF" w:rsidRPr="00307AE2" w:rsidRDefault="00DD07AF" w:rsidP="00CB2FBB">
            <w:pPr>
              <w:pStyle w:val="Tabletext"/>
              <w:rPr>
                <w:highlight w:val="yellow"/>
              </w:rPr>
            </w:pPr>
            <w:r w:rsidRPr="00307AE2">
              <w:t>Walloon Coal Measures</w:t>
            </w:r>
          </w:p>
        </w:tc>
        <w:tc>
          <w:tcPr>
            <w:tcW w:w="1701" w:type="dxa"/>
            <w:tcBorders>
              <w:top w:val="single" w:sz="4" w:space="0" w:color="auto"/>
              <w:left w:val="single" w:sz="4" w:space="0" w:color="auto"/>
              <w:bottom w:val="single" w:sz="4" w:space="0" w:color="auto"/>
              <w:right w:val="single" w:sz="4" w:space="0" w:color="auto"/>
            </w:tcBorders>
          </w:tcPr>
          <w:p w:rsidR="00DD07AF" w:rsidRPr="00307AE2" w:rsidRDefault="00DD07AF" w:rsidP="00CB2FBB">
            <w:pPr>
              <w:pStyle w:val="Tabletext"/>
            </w:pPr>
            <w:r w:rsidRPr="00307AE2">
              <w:t>1.5</w:t>
            </w:r>
            <w:r w:rsidR="00C3694D" w:rsidRPr="00307AE2">
              <w:t>x10</w:t>
            </w:r>
            <w:r w:rsidR="00C3694D" w:rsidRPr="00307AE2">
              <w:rPr>
                <w:vertAlign w:val="superscript"/>
              </w:rPr>
              <w:t>-4</w:t>
            </w:r>
            <w:r w:rsidRPr="00307AE2">
              <w:t xml:space="preserve"> to 0.14</w:t>
            </w:r>
          </w:p>
        </w:tc>
        <w:tc>
          <w:tcPr>
            <w:tcW w:w="1417" w:type="dxa"/>
            <w:tcBorders>
              <w:top w:val="single" w:sz="4" w:space="0" w:color="auto"/>
              <w:left w:val="single" w:sz="4" w:space="0" w:color="auto"/>
              <w:bottom w:val="single" w:sz="4" w:space="0" w:color="auto"/>
              <w:right w:val="single" w:sz="4" w:space="0" w:color="auto"/>
            </w:tcBorders>
          </w:tcPr>
          <w:p w:rsidR="00DD07AF" w:rsidRPr="00307AE2" w:rsidRDefault="00C3694D" w:rsidP="00CB2FBB">
            <w:pPr>
              <w:pStyle w:val="Tabletext"/>
            </w:pPr>
            <w:r w:rsidRPr="00307AE2">
              <w:t>10</w:t>
            </w:r>
            <w:r w:rsidRPr="00307AE2">
              <w:rPr>
                <w:vertAlign w:val="superscript"/>
              </w:rPr>
              <w:t>-3</w:t>
            </w:r>
            <w:r w:rsidR="00DD07AF" w:rsidRPr="00307AE2">
              <w:t xml:space="preserve"> to 0.05</w:t>
            </w:r>
          </w:p>
        </w:tc>
        <w:tc>
          <w:tcPr>
            <w:tcW w:w="1559" w:type="dxa"/>
            <w:tcBorders>
              <w:top w:val="single" w:sz="4" w:space="0" w:color="auto"/>
              <w:left w:val="single" w:sz="4" w:space="0" w:color="auto"/>
              <w:bottom w:val="single" w:sz="4" w:space="0" w:color="auto"/>
              <w:right w:val="single" w:sz="4" w:space="0" w:color="auto"/>
            </w:tcBorders>
          </w:tcPr>
          <w:p w:rsidR="00DD07AF" w:rsidRPr="00307AE2" w:rsidRDefault="00DD07AF" w:rsidP="00CB2FBB">
            <w:pPr>
              <w:pStyle w:val="Tabletext"/>
            </w:pPr>
            <w:r w:rsidRPr="00307AE2">
              <w:t>1.1</w:t>
            </w:r>
            <w:r w:rsidR="00C3694D" w:rsidRPr="00307AE2">
              <w:t>x10</w:t>
            </w:r>
            <w:r w:rsidR="00C3694D" w:rsidRPr="00307AE2">
              <w:rPr>
                <w:vertAlign w:val="superscript"/>
              </w:rPr>
              <w:t>-3</w:t>
            </w:r>
            <w:r w:rsidRPr="00307AE2">
              <w:t xml:space="preserve"> to 4</w:t>
            </w:r>
            <w:r w:rsidR="00C3694D" w:rsidRPr="00307AE2">
              <w:t>x10</w:t>
            </w:r>
            <w:r w:rsidR="00C3694D" w:rsidRPr="00307AE2">
              <w:rPr>
                <w:vertAlign w:val="superscript"/>
              </w:rPr>
              <w:t>-3</w:t>
            </w:r>
          </w:p>
        </w:tc>
        <w:tc>
          <w:tcPr>
            <w:tcW w:w="1556" w:type="dxa"/>
            <w:tcBorders>
              <w:top w:val="single" w:sz="4" w:space="0" w:color="auto"/>
              <w:left w:val="single" w:sz="4" w:space="0" w:color="auto"/>
              <w:bottom w:val="single" w:sz="4" w:space="0" w:color="auto"/>
              <w:right w:val="single" w:sz="4" w:space="0" w:color="auto"/>
            </w:tcBorders>
          </w:tcPr>
          <w:p w:rsidR="00DD07AF" w:rsidRPr="00307AE2" w:rsidRDefault="00DD07AF" w:rsidP="00CB2FBB">
            <w:pPr>
              <w:pStyle w:val="Tabletext"/>
            </w:pPr>
            <w:r w:rsidRPr="00307AE2">
              <w:t>5</w:t>
            </w:r>
            <w:r w:rsidR="00AD4570" w:rsidRPr="00307AE2">
              <w:t>.0</w:t>
            </w:r>
            <w:r w:rsidR="00C3694D" w:rsidRPr="00307AE2">
              <w:t>x10</w:t>
            </w:r>
            <w:r w:rsidR="00C3694D" w:rsidRPr="00307AE2">
              <w:rPr>
                <w:vertAlign w:val="superscript"/>
              </w:rPr>
              <w:t>-4</w:t>
            </w:r>
            <w:r w:rsidRPr="00307AE2">
              <w:t xml:space="preserve"> to 1.36</w:t>
            </w:r>
          </w:p>
        </w:tc>
      </w:tr>
      <w:tr w:rsidR="00DD07AF" w:rsidRPr="00307AE2" w:rsidTr="00BE457B">
        <w:tc>
          <w:tcPr>
            <w:tcW w:w="2698" w:type="dxa"/>
            <w:tcBorders>
              <w:top w:val="single" w:sz="4" w:space="0" w:color="auto"/>
              <w:left w:val="single" w:sz="4" w:space="0" w:color="auto"/>
              <w:bottom w:val="single" w:sz="4" w:space="0" w:color="auto"/>
              <w:right w:val="single" w:sz="4" w:space="0" w:color="auto"/>
            </w:tcBorders>
          </w:tcPr>
          <w:p w:rsidR="00DD07AF" w:rsidRPr="00307AE2" w:rsidRDefault="00DD07AF" w:rsidP="00CB2FBB">
            <w:pPr>
              <w:pStyle w:val="Tabletext"/>
            </w:pPr>
            <w:r w:rsidRPr="00307AE2">
              <w:t>Eurombah Formation</w:t>
            </w:r>
          </w:p>
        </w:tc>
        <w:tc>
          <w:tcPr>
            <w:tcW w:w="1701" w:type="dxa"/>
            <w:tcBorders>
              <w:top w:val="single" w:sz="4" w:space="0" w:color="auto"/>
              <w:left w:val="single" w:sz="4" w:space="0" w:color="auto"/>
              <w:bottom w:val="single" w:sz="4" w:space="0" w:color="auto"/>
              <w:right w:val="single" w:sz="4" w:space="0" w:color="auto"/>
            </w:tcBorders>
          </w:tcPr>
          <w:p w:rsidR="00DD07AF" w:rsidRPr="00307AE2" w:rsidRDefault="00DD07AF" w:rsidP="00CB2FBB">
            <w:pPr>
              <w:pStyle w:val="Tabletext"/>
            </w:pPr>
            <w:r w:rsidRPr="00307AE2">
              <w:t>6.2</w:t>
            </w:r>
            <w:r w:rsidR="00C3694D" w:rsidRPr="00307AE2">
              <w:t>x10</w:t>
            </w:r>
            <w:r w:rsidR="00C3694D" w:rsidRPr="00307AE2">
              <w:rPr>
                <w:vertAlign w:val="superscript"/>
              </w:rPr>
              <w:t>-4</w:t>
            </w:r>
          </w:p>
        </w:tc>
        <w:tc>
          <w:tcPr>
            <w:tcW w:w="1417" w:type="dxa"/>
            <w:tcBorders>
              <w:top w:val="single" w:sz="4" w:space="0" w:color="auto"/>
              <w:left w:val="single" w:sz="4" w:space="0" w:color="auto"/>
              <w:bottom w:val="single" w:sz="4" w:space="0" w:color="auto"/>
              <w:right w:val="single" w:sz="4" w:space="0" w:color="auto"/>
            </w:tcBorders>
          </w:tcPr>
          <w:p w:rsidR="00DD07AF" w:rsidRPr="00307AE2" w:rsidRDefault="00DD07AF" w:rsidP="00CB2FBB">
            <w:pPr>
              <w:pStyle w:val="Tabletext"/>
            </w:pPr>
            <w:r w:rsidRPr="00307AE2">
              <w:t>0.05</w:t>
            </w:r>
          </w:p>
        </w:tc>
        <w:tc>
          <w:tcPr>
            <w:tcW w:w="1559" w:type="dxa"/>
            <w:tcBorders>
              <w:top w:val="single" w:sz="4" w:space="0" w:color="auto"/>
              <w:left w:val="single" w:sz="4" w:space="0" w:color="auto"/>
              <w:bottom w:val="single" w:sz="4" w:space="0" w:color="auto"/>
              <w:right w:val="single" w:sz="4" w:space="0" w:color="auto"/>
            </w:tcBorders>
          </w:tcPr>
          <w:p w:rsidR="00DD07AF" w:rsidRPr="00307AE2" w:rsidRDefault="00DD07AF" w:rsidP="00CB2FBB">
            <w:pPr>
              <w:pStyle w:val="Tabletext"/>
            </w:pPr>
            <w:r w:rsidRPr="00307AE2">
              <w:t>1.1</w:t>
            </w:r>
            <w:r w:rsidR="00C3694D" w:rsidRPr="00307AE2">
              <w:t>x10</w:t>
            </w:r>
            <w:r w:rsidR="00C3694D" w:rsidRPr="00307AE2">
              <w:rPr>
                <w:vertAlign w:val="superscript"/>
              </w:rPr>
              <w:t>-3</w:t>
            </w:r>
          </w:p>
        </w:tc>
        <w:tc>
          <w:tcPr>
            <w:tcW w:w="1556" w:type="dxa"/>
            <w:tcBorders>
              <w:top w:val="single" w:sz="4" w:space="0" w:color="auto"/>
              <w:left w:val="single" w:sz="4" w:space="0" w:color="auto"/>
              <w:bottom w:val="single" w:sz="4" w:space="0" w:color="auto"/>
              <w:right w:val="single" w:sz="4" w:space="0" w:color="auto"/>
            </w:tcBorders>
          </w:tcPr>
          <w:p w:rsidR="00DD07AF" w:rsidRPr="00307AE2" w:rsidRDefault="00DD07AF" w:rsidP="00CB2FBB">
            <w:pPr>
              <w:pStyle w:val="Tabletext"/>
            </w:pPr>
            <w:r w:rsidRPr="00307AE2">
              <w:t>2.5</w:t>
            </w:r>
            <w:r w:rsidR="00C3694D" w:rsidRPr="00307AE2">
              <w:t>x10</w:t>
            </w:r>
            <w:r w:rsidR="00C3694D" w:rsidRPr="00307AE2">
              <w:rPr>
                <w:vertAlign w:val="superscript"/>
              </w:rPr>
              <w:t>-4</w:t>
            </w:r>
            <w:r w:rsidRPr="00307AE2">
              <w:t xml:space="preserve"> to 2.5</w:t>
            </w:r>
            <w:r w:rsidR="00C3694D" w:rsidRPr="00307AE2">
              <w:t>x10</w:t>
            </w:r>
            <w:r w:rsidR="00C3694D" w:rsidRPr="00307AE2">
              <w:rPr>
                <w:vertAlign w:val="superscript"/>
              </w:rPr>
              <w:t>-3</w:t>
            </w:r>
          </w:p>
        </w:tc>
      </w:tr>
      <w:tr w:rsidR="00DD07AF" w:rsidRPr="00307AE2" w:rsidTr="00BE457B">
        <w:tc>
          <w:tcPr>
            <w:tcW w:w="2698" w:type="dxa"/>
            <w:tcBorders>
              <w:top w:val="single" w:sz="4" w:space="0" w:color="auto"/>
              <w:left w:val="single" w:sz="4" w:space="0" w:color="auto"/>
              <w:bottom w:val="single" w:sz="4" w:space="0" w:color="auto"/>
              <w:right w:val="single" w:sz="4" w:space="0" w:color="auto"/>
            </w:tcBorders>
          </w:tcPr>
          <w:p w:rsidR="00DD07AF" w:rsidRPr="00307AE2" w:rsidRDefault="00DD07AF" w:rsidP="00CB2FBB">
            <w:pPr>
              <w:pStyle w:val="Tabletext"/>
            </w:pPr>
            <w:r w:rsidRPr="00307AE2">
              <w:t>Upper Hutton Sandstone</w:t>
            </w:r>
          </w:p>
        </w:tc>
        <w:tc>
          <w:tcPr>
            <w:tcW w:w="1701" w:type="dxa"/>
            <w:tcBorders>
              <w:top w:val="single" w:sz="4" w:space="0" w:color="auto"/>
              <w:left w:val="single" w:sz="4" w:space="0" w:color="auto"/>
              <w:bottom w:val="single" w:sz="4" w:space="0" w:color="auto"/>
              <w:right w:val="single" w:sz="4" w:space="0" w:color="auto"/>
            </w:tcBorders>
          </w:tcPr>
          <w:p w:rsidR="00DD07AF" w:rsidRPr="00307AE2" w:rsidRDefault="00DD07AF" w:rsidP="00CB2FBB">
            <w:pPr>
              <w:pStyle w:val="Tabletext"/>
            </w:pPr>
            <w:r w:rsidRPr="00307AE2">
              <w:t>2.4</w:t>
            </w:r>
          </w:p>
        </w:tc>
        <w:tc>
          <w:tcPr>
            <w:tcW w:w="1417" w:type="dxa"/>
            <w:tcBorders>
              <w:top w:val="single" w:sz="4" w:space="0" w:color="auto"/>
              <w:left w:val="single" w:sz="4" w:space="0" w:color="auto"/>
              <w:bottom w:val="single" w:sz="4" w:space="0" w:color="auto"/>
              <w:right w:val="single" w:sz="4" w:space="0" w:color="auto"/>
            </w:tcBorders>
          </w:tcPr>
          <w:p w:rsidR="00DD07AF" w:rsidRPr="00307AE2" w:rsidRDefault="00DD07AF" w:rsidP="00CB2FBB">
            <w:pPr>
              <w:pStyle w:val="Tabletext"/>
            </w:pPr>
            <w:r w:rsidRPr="00307AE2">
              <w:t>0.1</w:t>
            </w:r>
          </w:p>
        </w:tc>
        <w:tc>
          <w:tcPr>
            <w:tcW w:w="1559" w:type="dxa"/>
            <w:tcBorders>
              <w:top w:val="single" w:sz="4" w:space="0" w:color="auto"/>
              <w:left w:val="single" w:sz="4" w:space="0" w:color="auto"/>
              <w:bottom w:val="single" w:sz="4" w:space="0" w:color="auto"/>
              <w:right w:val="single" w:sz="4" w:space="0" w:color="auto"/>
            </w:tcBorders>
          </w:tcPr>
          <w:p w:rsidR="00DD07AF" w:rsidRPr="00307AE2" w:rsidRDefault="00DD07AF" w:rsidP="00CB2FBB">
            <w:pPr>
              <w:pStyle w:val="Tabletext"/>
            </w:pPr>
            <w:r w:rsidRPr="00307AE2">
              <w:t>0.13</w:t>
            </w:r>
          </w:p>
        </w:tc>
        <w:tc>
          <w:tcPr>
            <w:tcW w:w="1556" w:type="dxa"/>
            <w:tcBorders>
              <w:top w:val="single" w:sz="4" w:space="0" w:color="auto"/>
              <w:left w:val="single" w:sz="4" w:space="0" w:color="auto"/>
              <w:bottom w:val="single" w:sz="4" w:space="0" w:color="auto"/>
              <w:right w:val="single" w:sz="4" w:space="0" w:color="auto"/>
            </w:tcBorders>
          </w:tcPr>
          <w:p w:rsidR="00DD07AF" w:rsidRPr="00307AE2" w:rsidRDefault="00DD07AF" w:rsidP="00CB2FBB">
            <w:pPr>
              <w:pStyle w:val="Tabletext"/>
            </w:pPr>
            <w:r w:rsidRPr="00307AE2">
              <w:t>0.01 - 0.1</w:t>
            </w:r>
          </w:p>
        </w:tc>
      </w:tr>
      <w:tr w:rsidR="00DD07AF" w:rsidRPr="00307AE2" w:rsidTr="00BE457B">
        <w:tc>
          <w:tcPr>
            <w:tcW w:w="2698" w:type="dxa"/>
            <w:tcBorders>
              <w:top w:val="single" w:sz="4" w:space="0" w:color="auto"/>
              <w:left w:val="single" w:sz="4" w:space="0" w:color="auto"/>
              <w:bottom w:val="single" w:sz="4" w:space="0" w:color="auto"/>
              <w:right w:val="single" w:sz="4" w:space="0" w:color="auto"/>
            </w:tcBorders>
          </w:tcPr>
          <w:p w:rsidR="00DD07AF" w:rsidRPr="00307AE2" w:rsidRDefault="00DD07AF" w:rsidP="00CB2FBB">
            <w:pPr>
              <w:pStyle w:val="Tabletext"/>
            </w:pPr>
            <w:r w:rsidRPr="00307AE2">
              <w:t>Lower Hutton Sandstone</w:t>
            </w:r>
          </w:p>
        </w:tc>
        <w:tc>
          <w:tcPr>
            <w:tcW w:w="1701" w:type="dxa"/>
            <w:tcBorders>
              <w:top w:val="single" w:sz="4" w:space="0" w:color="auto"/>
              <w:left w:val="single" w:sz="4" w:space="0" w:color="auto"/>
              <w:bottom w:val="single" w:sz="4" w:space="0" w:color="auto"/>
              <w:right w:val="single" w:sz="4" w:space="0" w:color="auto"/>
            </w:tcBorders>
          </w:tcPr>
          <w:p w:rsidR="00DD07AF" w:rsidRPr="00307AE2" w:rsidRDefault="00DD07AF" w:rsidP="00CB2FBB">
            <w:pPr>
              <w:pStyle w:val="Tabletext"/>
            </w:pPr>
            <w:r w:rsidRPr="00307AE2">
              <w:t>0.12</w:t>
            </w:r>
          </w:p>
        </w:tc>
        <w:tc>
          <w:tcPr>
            <w:tcW w:w="1417" w:type="dxa"/>
            <w:tcBorders>
              <w:top w:val="single" w:sz="4" w:space="0" w:color="auto"/>
              <w:left w:val="single" w:sz="4" w:space="0" w:color="auto"/>
              <w:bottom w:val="single" w:sz="4" w:space="0" w:color="auto"/>
              <w:right w:val="single" w:sz="4" w:space="0" w:color="auto"/>
            </w:tcBorders>
          </w:tcPr>
          <w:p w:rsidR="00DD07AF" w:rsidRPr="00307AE2" w:rsidRDefault="00DD07AF" w:rsidP="00CB2FBB">
            <w:pPr>
              <w:pStyle w:val="Tabletext"/>
            </w:pPr>
            <w:r w:rsidRPr="00307AE2">
              <w:t>0.1</w:t>
            </w:r>
          </w:p>
        </w:tc>
        <w:tc>
          <w:tcPr>
            <w:tcW w:w="1559" w:type="dxa"/>
            <w:tcBorders>
              <w:top w:val="single" w:sz="4" w:space="0" w:color="auto"/>
              <w:left w:val="single" w:sz="4" w:space="0" w:color="auto"/>
              <w:bottom w:val="single" w:sz="4" w:space="0" w:color="auto"/>
              <w:right w:val="single" w:sz="4" w:space="0" w:color="auto"/>
            </w:tcBorders>
          </w:tcPr>
          <w:p w:rsidR="00DD07AF" w:rsidRPr="00307AE2" w:rsidRDefault="00DD07AF" w:rsidP="00CB2FBB">
            <w:pPr>
              <w:pStyle w:val="Tabletext"/>
            </w:pPr>
            <w:r w:rsidRPr="00307AE2">
              <w:t>0.13</w:t>
            </w:r>
          </w:p>
        </w:tc>
        <w:tc>
          <w:tcPr>
            <w:tcW w:w="1556" w:type="dxa"/>
            <w:tcBorders>
              <w:top w:val="single" w:sz="4" w:space="0" w:color="auto"/>
              <w:left w:val="single" w:sz="4" w:space="0" w:color="auto"/>
              <w:bottom w:val="single" w:sz="4" w:space="0" w:color="auto"/>
              <w:right w:val="single" w:sz="4" w:space="0" w:color="auto"/>
            </w:tcBorders>
          </w:tcPr>
          <w:p w:rsidR="00DD07AF" w:rsidRPr="00307AE2" w:rsidRDefault="00DD07AF" w:rsidP="00CB2FBB">
            <w:pPr>
              <w:pStyle w:val="Tabletext"/>
            </w:pPr>
            <w:r w:rsidRPr="00307AE2">
              <w:t>0.01 - 0.1</w:t>
            </w:r>
          </w:p>
        </w:tc>
      </w:tr>
      <w:tr w:rsidR="00DD07AF" w:rsidRPr="00307AE2" w:rsidTr="00BE457B">
        <w:tc>
          <w:tcPr>
            <w:tcW w:w="2698" w:type="dxa"/>
            <w:tcBorders>
              <w:top w:val="single" w:sz="4" w:space="0" w:color="auto"/>
              <w:left w:val="single" w:sz="4" w:space="0" w:color="auto"/>
              <w:bottom w:val="single" w:sz="4" w:space="0" w:color="auto"/>
              <w:right w:val="single" w:sz="4" w:space="0" w:color="auto"/>
            </w:tcBorders>
          </w:tcPr>
          <w:p w:rsidR="00DD07AF" w:rsidRPr="00307AE2" w:rsidRDefault="00DD07AF" w:rsidP="00CB2FBB">
            <w:pPr>
              <w:pStyle w:val="Tabletext"/>
            </w:pPr>
            <w:r w:rsidRPr="00307AE2">
              <w:t>Evergreen Formation</w:t>
            </w:r>
          </w:p>
        </w:tc>
        <w:tc>
          <w:tcPr>
            <w:tcW w:w="1701" w:type="dxa"/>
            <w:tcBorders>
              <w:top w:val="single" w:sz="4" w:space="0" w:color="auto"/>
              <w:left w:val="single" w:sz="4" w:space="0" w:color="auto"/>
              <w:bottom w:val="single" w:sz="4" w:space="0" w:color="auto"/>
              <w:right w:val="single" w:sz="4" w:space="0" w:color="auto"/>
            </w:tcBorders>
          </w:tcPr>
          <w:p w:rsidR="00DD07AF" w:rsidRPr="00307AE2" w:rsidRDefault="00DD07AF" w:rsidP="00CB2FBB">
            <w:pPr>
              <w:pStyle w:val="Tabletext"/>
            </w:pPr>
            <w:r w:rsidRPr="00307AE2">
              <w:t>6.5</w:t>
            </w:r>
            <w:r w:rsidR="00C3694D" w:rsidRPr="00307AE2">
              <w:t>x10</w:t>
            </w:r>
            <w:r w:rsidR="00C3694D" w:rsidRPr="00307AE2">
              <w:rPr>
                <w:vertAlign w:val="superscript"/>
              </w:rPr>
              <w:t>-4</w:t>
            </w:r>
          </w:p>
        </w:tc>
        <w:tc>
          <w:tcPr>
            <w:tcW w:w="1417" w:type="dxa"/>
            <w:tcBorders>
              <w:top w:val="single" w:sz="4" w:space="0" w:color="auto"/>
              <w:left w:val="single" w:sz="4" w:space="0" w:color="auto"/>
              <w:bottom w:val="single" w:sz="4" w:space="0" w:color="auto"/>
              <w:right w:val="single" w:sz="4" w:space="0" w:color="auto"/>
            </w:tcBorders>
          </w:tcPr>
          <w:p w:rsidR="00DD07AF" w:rsidRPr="00307AE2" w:rsidRDefault="00C3694D" w:rsidP="00CB2FBB">
            <w:pPr>
              <w:pStyle w:val="Tabletext"/>
            </w:pPr>
            <w:r w:rsidRPr="00307AE2">
              <w:t>10</w:t>
            </w:r>
            <w:r w:rsidRPr="00307AE2">
              <w:rPr>
                <w:vertAlign w:val="superscript"/>
              </w:rPr>
              <w:t>-3</w:t>
            </w:r>
          </w:p>
        </w:tc>
        <w:tc>
          <w:tcPr>
            <w:tcW w:w="1559" w:type="dxa"/>
            <w:tcBorders>
              <w:top w:val="single" w:sz="4" w:space="0" w:color="auto"/>
              <w:left w:val="single" w:sz="4" w:space="0" w:color="auto"/>
              <w:bottom w:val="single" w:sz="4" w:space="0" w:color="auto"/>
              <w:right w:val="single" w:sz="4" w:space="0" w:color="auto"/>
            </w:tcBorders>
          </w:tcPr>
          <w:p w:rsidR="00DD07AF" w:rsidRPr="00307AE2" w:rsidRDefault="00DD07AF" w:rsidP="00CB2FBB">
            <w:pPr>
              <w:pStyle w:val="Tabletext"/>
            </w:pPr>
            <w:r w:rsidRPr="00307AE2">
              <w:t>3</w:t>
            </w:r>
            <w:r w:rsidR="00AD4570" w:rsidRPr="00307AE2">
              <w:t>.0</w:t>
            </w:r>
            <w:r w:rsidR="00C3694D" w:rsidRPr="00307AE2">
              <w:t>x10</w:t>
            </w:r>
            <w:r w:rsidR="00C3694D" w:rsidRPr="00307AE2">
              <w:rPr>
                <w:vertAlign w:val="superscript"/>
              </w:rPr>
              <w:t>-3</w:t>
            </w:r>
          </w:p>
        </w:tc>
        <w:tc>
          <w:tcPr>
            <w:tcW w:w="1556" w:type="dxa"/>
            <w:tcBorders>
              <w:top w:val="single" w:sz="4" w:space="0" w:color="auto"/>
              <w:left w:val="single" w:sz="4" w:space="0" w:color="auto"/>
              <w:bottom w:val="single" w:sz="4" w:space="0" w:color="auto"/>
              <w:right w:val="single" w:sz="4" w:space="0" w:color="auto"/>
            </w:tcBorders>
          </w:tcPr>
          <w:p w:rsidR="00DD07AF" w:rsidRPr="00307AE2" w:rsidRDefault="00C3694D" w:rsidP="00CB2FBB">
            <w:pPr>
              <w:pStyle w:val="Tabletext"/>
            </w:pPr>
            <w:r w:rsidRPr="00307AE2">
              <w:t>10</w:t>
            </w:r>
            <w:r w:rsidRPr="00307AE2">
              <w:rPr>
                <w:vertAlign w:val="superscript"/>
              </w:rPr>
              <w:t>-4</w:t>
            </w:r>
            <w:r w:rsidR="00DD07AF" w:rsidRPr="00307AE2">
              <w:t xml:space="preserve"> - 0.01</w:t>
            </w:r>
          </w:p>
        </w:tc>
      </w:tr>
      <w:tr w:rsidR="00307AE2" w:rsidRPr="00307AE2" w:rsidTr="00BE457B">
        <w:tc>
          <w:tcPr>
            <w:tcW w:w="2698" w:type="dxa"/>
            <w:tcBorders>
              <w:top w:val="single" w:sz="4" w:space="0" w:color="auto"/>
              <w:left w:val="single" w:sz="4" w:space="0" w:color="auto"/>
              <w:bottom w:val="single" w:sz="4" w:space="0" w:color="auto"/>
              <w:right w:val="single" w:sz="4" w:space="0" w:color="auto"/>
            </w:tcBorders>
          </w:tcPr>
          <w:p w:rsidR="00307AE2" w:rsidRPr="00307AE2" w:rsidRDefault="00307AE2" w:rsidP="00CB2FBB">
            <w:pPr>
              <w:pStyle w:val="Tabletext"/>
            </w:pPr>
            <w:r w:rsidRPr="00307AE2">
              <w:t>Precipice Sandstone</w:t>
            </w:r>
          </w:p>
        </w:tc>
        <w:tc>
          <w:tcPr>
            <w:tcW w:w="1701" w:type="dxa"/>
            <w:tcBorders>
              <w:top w:val="single" w:sz="4" w:space="0" w:color="auto"/>
              <w:left w:val="single" w:sz="4" w:space="0" w:color="auto"/>
              <w:bottom w:val="single" w:sz="4" w:space="0" w:color="auto"/>
              <w:right w:val="single" w:sz="4" w:space="0" w:color="auto"/>
            </w:tcBorders>
          </w:tcPr>
          <w:p w:rsidR="00307AE2" w:rsidRPr="00307AE2" w:rsidRDefault="00307AE2" w:rsidP="00CB2FBB">
            <w:pPr>
              <w:pStyle w:val="Tabletext"/>
            </w:pPr>
            <w:r w:rsidRPr="00307AE2">
              <w:t>3.1</w:t>
            </w:r>
          </w:p>
        </w:tc>
        <w:tc>
          <w:tcPr>
            <w:tcW w:w="1417" w:type="dxa"/>
            <w:tcBorders>
              <w:top w:val="single" w:sz="4" w:space="0" w:color="auto"/>
              <w:left w:val="single" w:sz="4" w:space="0" w:color="auto"/>
              <w:bottom w:val="single" w:sz="4" w:space="0" w:color="auto"/>
              <w:right w:val="single" w:sz="4" w:space="0" w:color="auto"/>
            </w:tcBorders>
          </w:tcPr>
          <w:p w:rsidR="00307AE2" w:rsidRPr="00307AE2" w:rsidRDefault="00307AE2" w:rsidP="00CB2FBB">
            <w:pPr>
              <w:pStyle w:val="Tabletext"/>
            </w:pPr>
            <w:r w:rsidRPr="00307AE2">
              <w:t>1</w:t>
            </w:r>
          </w:p>
        </w:tc>
        <w:tc>
          <w:tcPr>
            <w:tcW w:w="1559" w:type="dxa"/>
            <w:tcBorders>
              <w:top w:val="single" w:sz="4" w:space="0" w:color="auto"/>
              <w:left w:val="single" w:sz="4" w:space="0" w:color="auto"/>
              <w:bottom w:val="single" w:sz="4" w:space="0" w:color="auto"/>
              <w:right w:val="single" w:sz="4" w:space="0" w:color="auto"/>
            </w:tcBorders>
          </w:tcPr>
          <w:p w:rsidR="00307AE2" w:rsidRPr="00307AE2" w:rsidRDefault="00307AE2" w:rsidP="00CB2FBB">
            <w:pPr>
              <w:pStyle w:val="Tabletext"/>
            </w:pPr>
            <w:r w:rsidRPr="00307AE2">
              <w:t>0.21</w:t>
            </w:r>
          </w:p>
        </w:tc>
        <w:tc>
          <w:tcPr>
            <w:tcW w:w="1556" w:type="dxa"/>
            <w:tcBorders>
              <w:top w:val="single" w:sz="4" w:space="0" w:color="auto"/>
              <w:left w:val="single" w:sz="4" w:space="0" w:color="auto"/>
              <w:bottom w:val="single" w:sz="4" w:space="0" w:color="auto"/>
              <w:right w:val="single" w:sz="4" w:space="0" w:color="auto"/>
            </w:tcBorders>
          </w:tcPr>
          <w:p w:rsidR="00307AE2" w:rsidRPr="00307AE2" w:rsidRDefault="00307AE2" w:rsidP="00CB2FBB">
            <w:pPr>
              <w:pStyle w:val="Tabletext"/>
            </w:pPr>
            <w:r w:rsidRPr="00307AE2">
              <w:t>0.38 - 3.8</w:t>
            </w:r>
          </w:p>
        </w:tc>
      </w:tr>
    </w:tbl>
    <w:p w:rsidR="00D43D3D" w:rsidRDefault="00D43D3D" w:rsidP="001C3374">
      <w:pPr>
        <w:pStyle w:val="Body"/>
      </w:pPr>
    </w:p>
    <w:p w:rsidR="00307AE2" w:rsidRDefault="00307AE2" w:rsidP="00307AE2">
      <w:pPr>
        <w:pStyle w:val="Caption"/>
      </w:pPr>
    </w:p>
    <w:p w:rsidR="00307AE2" w:rsidRDefault="00307AE2" w:rsidP="00307AE2">
      <w:pPr>
        <w:pStyle w:val="Caption"/>
      </w:pPr>
    </w:p>
    <w:p w:rsidR="00307AE2" w:rsidRDefault="00307AE2" w:rsidP="00307AE2">
      <w:pPr>
        <w:pStyle w:val="Caption"/>
      </w:pPr>
    </w:p>
    <w:p w:rsidR="00307AE2" w:rsidRDefault="00307AE2" w:rsidP="00307AE2">
      <w:pPr>
        <w:pStyle w:val="Caption"/>
      </w:pPr>
    </w:p>
    <w:p w:rsidR="00307AE2" w:rsidRDefault="00307AE2" w:rsidP="00307AE2">
      <w:pPr>
        <w:pStyle w:val="Caption"/>
      </w:pPr>
    </w:p>
    <w:p w:rsidR="00307AE2" w:rsidRDefault="00307AE2" w:rsidP="00307AE2">
      <w:pPr>
        <w:pStyle w:val="Caption"/>
      </w:pPr>
    </w:p>
    <w:p w:rsidR="00307AE2" w:rsidRDefault="00307AE2" w:rsidP="00307AE2">
      <w:pPr>
        <w:pStyle w:val="Caption"/>
      </w:pPr>
    </w:p>
    <w:p w:rsidR="00307AE2" w:rsidRDefault="00307AE2" w:rsidP="00307AE2">
      <w:pPr>
        <w:pStyle w:val="Caption"/>
      </w:pPr>
    </w:p>
    <w:p w:rsidR="00307AE2" w:rsidRDefault="00307AE2" w:rsidP="00307AE2">
      <w:pPr>
        <w:pStyle w:val="Caption"/>
      </w:pPr>
    </w:p>
    <w:p w:rsidR="00307AE2" w:rsidRDefault="00307AE2" w:rsidP="00307AE2">
      <w:pPr>
        <w:pStyle w:val="Caption"/>
      </w:pPr>
    </w:p>
    <w:p w:rsidR="00307AE2" w:rsidRDefault="00307AE2" w:rsidP="00307AE2">
      <w:pPr>
        <w:pStyle w:val="Caption"/>
      </w:pPr>
    </w:p>
    <w:p w:rsidR="00DD07AF" w:rsidRDefault="00307AE2" w:rsidP="00307AE2">
      <w:pPr>
        <w:pStyle w:val="Caption"/>
      </w:pPr>
      <w:r w:rsidRPr="006F2073">
        <w:lastRenderedPageBreak/>
        <w:t xml:space="preserve">Table </w:t>
      </w:r>
      <w:r w:rsidR="00E23933" w:rsidRPr="006F2073">
        <w:rPr>
          <w:b/>
          <w:noProof w:val="0"/>
        </w:rPr>
        <w:fldChar w:fldCharType="begin"/>
      </w:r>
      <w:r w:rsidRPr="006F2073">
        <w:instrText xml:space="preserve"> SEQ Table \* ARABIC </w:instrText>
      </w:r>
      <w:r w:rsidR="00E23933" w:rsidRPr="006F2073">
        <w:rPr>
          <w:b/>
          <w:noProof w:val="0"/>
        </w:rPr>
        <w:fldChar w:fldCharType="separate"/>
      </w:r>
      <w:r>
        <w:t>15</w:t>
      </w:r>
      <w:r w:rsidR="00E23933" w:rsidRPr="006F2073">
        <w:rPr>
          <w:b/>
        </w:rPr>
        <w:fldChar w:fldCharType="end"/>
      </w:r>
      <w:r>
        <w:rPr>
          <w:b/>
        </w:rPr>
        <w:t xml:space="preserve"> </w:t>
      </w:r>
      <w:r w:rsidR="00DD07AF">
        <w:t xml:space="preserve">Vertical </w:t>
      </w:r>
      <w:r w:rsidR="00DD07AF" w:rsidRPr="00863382">
        <w:t>hydraulic conductivity (m/d) values for various Surat Basin units used by coal seam gas models</w:t>
      </w:r>
      <w:r w:rsidR="00BE457B">
        <w:t xml:space="preserve"> (</w:t>
      </w:r>
      <w:r w:rsidR="00F976E1">
        <w:t>© Copyright</w:t>
      </w:r>
      <w:r w:rsidR="00BE457B">
        <w:t>, USQ 2011; also SWS</w:t>
      </w:r>
      <w:r w:rsidR="00BE457B" w:rsidRPr="00E64F53">
        <w:t xml:space="preserve"> 2011</w:t>
      </w:r>
      <w:r w:rsidR="00BE457B">
        <w:t>; WorleyParsons</w:t>
      </w:r>
      <w:r w:rsidR="00BE457B" w:rsidRPr="00E64F53">
        <w:t xml:space="preserve"> 2010b</w:t>
      </w:r>
      <w:r w:rsidR="00BE457B">
        <w:t>; Golder Associates 2009; MatrixPlus 2009)</w:t>
      </w:r>
      <w:r>
        <w:t>.</w:t>
      </w:r>
    </w:p>
    <w:tbl>
      <w:tblPr>
        <w:tblStyle w:val="TableGrid11"/>
        <w:tblW w:w="8996" w:type="dxa"/>
        <w:tblInd w:w="108" w:type="dxa"/>
        <w:tblLook w:val="04A0"/>
      </w:tblPr>
      <w:tblGrid>
        <w:gridCol w:w="2464"/>
        <w:gridCol w:w="1701"/>
        <w:gridCol w:w="1417"/>
        <w:gridCol w:w="1701"/>
        <w:gridCol w:w="1713"/>
      </w:tblGrid>
      <w:tr w:rsidR="00F87DE2" w:rsidRPr="00307AE2" w:rsidTr="00BE7A62">
        <w:trPr>
          <w:tblHeader/>
        </w:trPr>
        <w:tc>
          <w:tcPr>
            <w:tcW w:w="2464" w:type="dxa"/>
            <w:shd w:val="clear" w:color="auto" w:fill="C6D9F1" w:themeFill="text2" w:themeFillTint="33"/>
          </w:tcPr>
          <w:p w:rsidR="00F87DE2" w:rsidRPr="00307AE2" w:rsidRDefault="00F87DE2" w:rsidP="00470AD4">
            <w:pPr>
              <w:pStyle w:val="Tableheading"/>
            </w:pPr>
            <w:r w:rsidRPr="00307AE2">
              <w:t>Unit</w:t>
            </w:r>
          </w:p>
        </w:tc>
        <w:tc>
          <w:tcPr>
            <w:tcW w:w="1701" w:type="dxa"/>
            <w:shd w:val="clear" w:color="auto" w:fill="C6D9F1" w:themeFill="text2" w:themeFillTint="33"/>
          </w:tcPr>
          <w:p w:rsidR="00F87DE2" w:rsidRPr="00307AE2" w:rsidRDefault="00F87DE2" w:rsidP="00470AD4">
            <w:pPr>
              <w:pStyle w:val="Tableheading"/>
            </w:pPr>
            <w:r w:rsidRPr="00307AE2">
              <w:t>A</w:t>
            </w:r>
            <w:r>
              <w:t xml:space="preserve">ustralia </w:t>
            </w:r>
            <w:r w:rsidRPr="00307AE2">
              <w:t>P</w:t>
            </w:r>
            <w:r>
              <w:t xml:space="preserve">acific </w:t>
            </w:r>
            <w:r w:rsidRPr="00307AE2">
              <w:t>LNG</w:t>
            </w:r>
          </w:p>
        </w:tc>
        <w:tc>
          <w:tcPr>
            <w:tcW w:w="1417" w:type="dxa"/>
            <w:shd w:val="clear" w:color="auto" w:fill="C6D9F1" w:themeFill="text2" w:themeFillTint="33"/>
          </w:tcPr>
          <w:p w:rsidR="00F87DE2" w:rsidRPr="00307AE2" w:rsidRDefault="00F87DE2" w:rsidP="00470AD4">
            <w:pPr>
              <w:pStyle w:val="Tableheading"/>
            </w:pPr>
            <w:r w:rsidRPr="00307AE2">
              <w:t>Arrow</w:t>
            </w:r>
          </w:p>
        </w:tc>
        <w:tc>
          <w:tcPr>
            <w:tcW w:w="1701" w:type="dxa"/>
            <w:shd w:val="clear" w:color="auto" w:fill="C6D9F1" w:themeFill="text2" w:themeFillTint="33"/>
          </w:tcPr>
          <w:p w:rsidR="00F87DE2" w:rsidRPr="00307AE2" w:rsidRDefault="00F87DE2" w:rsidP="00470AD4">
            <w:pPr>
              <w:pStyle w:val="Tableheading"/>
            </w:pPr>
            <w:r w:rsidRPr="00307AE2">
              <w:t>G</w:t>
            </w:r>
            <w:r>
              <w:t xml:space="preserve">ladstone </w:t>
            </w:r>
            <w:r w:rsidRPr="00307AE2">
              <w:t>LNG</w:t>
            </w:r>
          </w:p>
        </w:tc>
        <w:tc>
          <w:tcPr>
            <w:tcW w:w="1713" w:type="dxa"/>
            <w:shd w:val="clear" w:color="auto" w:fill="C6D9F1" w:themeFill="text2" w:themeFillTint="33"/>
          </w:tcPr>
          <w:p w:rsidR="00F87DE2" w:rsidRPr="00307AE2" w:rsidRDefault="00F87DE2" w:rsidP="00470AD4">
            <w:pPr>
              <w:pStyle w:val="Tableheading"/>
            </w:pPr>
            <w:r w:rsidRPr="00307AE2">
              <w:t>Q</w:t>
            </w:r>
            <w:r>
              <w:t xml:space="preserve">ueensland </w:t>
            </w:r>
            <w:r w:rsidRPr="00307AE2">
              <w:t>C</w:t>
            </w:r>
            <w:r>
              <w:t xml:space="preserve">urtis </w:t>
            </w:r>
            <w:r w:rsidRPr="00307AE2">
              <w:t>LNG</w:t>
            </w:r>
          </w:p>
        </w:tc>
      </w:tr>
      <w:tr w:rsidR="00F87DE2" w:rsidRPr="00307AE2" w:rsidTr="00BE7A62">
        <w:tc>
          <w:tcPr>
            <w:tcW w:w="2464" w:type="dxa"/>
          </w:tcPr>
          <w:p w:rsidR="00F87DE2" w:rsidRPr="00307AE2" w:rsidRDefault="00F87DE2" w:rsidP="00CB2FBB">
            <w:pPr>
              <w:pStyle w:val="Tabletext"/>
            </w:pPr>
            <w:r w:rsidRPr="00307AE2">
              <w:t>Cainozic and Alluvium</w:t>
            </w:r>
          </w:p>
        </w:tc>
        <w:tc>
          <w:tcPr>
            <w:tcW w:w="1701" w:type="dxa"/>
            <w:vAlign w:val="bottom"/>
          </w:tcPr>
          <w:p w:rsidR="00F87DE2" w:rsidRPr="00307AE2" w:rsidRDefault="00F87DE2" w:rsidP="00CB2FBB">
            <w:pPr>
              <w:pStyle w:val="Tabletext"/>
            </w:pPr>
            <w:r w:rsidRPr="00307AE2">
              <w:t>7.3x10</w:t>
            </w:r>
            <w:r w:rsidRPr="00307AE2">
              <w:rPr>
                <w:vertAlign w:val="superscript"/>
              </w:rPr>
              <w:t>-3</w:t>
            </w:r>
            <w:r w:rsidRPr="00307AE2">
              <w:t xml:space="preserve"> to 0.167</w:t>
            </w:r>
          </w:p>
        </w:tc>
        <w:tc>
          <w:tcPr>
            <w:tcW w:w="1417" w:type="dxa"/>
            <w:vAlign w:val="bottom"/>
          </w:tcPr>
          <w:p w:rsidR="00F87DE2" w:rsidRPr="00307AE2" w:rsidRDefault="00F87DE2" w:rsidP="00CB2FBB">
            <w:pPr>
              <w:pStyle w:val="Tabletext"/>
            </w:pPr>
            <w:r w:rsidRPr="00307AE2">
              <w:t>0.5</w:t>
            </w:r>
          </w:p>
        </w:tc>
        <w:tc>
          <w:tcPr>
            <w:tcW w:w="1701" w:type="dxa"/>
            <w:vAlign w:val="bottom"/>
          </w:tcPr>
          <w:p w:rsidR="00F87DE2" w:rsidRPr="00307AE2" w:rsidRDefault="00F87DE2" w:rsidP="00CB2FBB">
            <w:pPr>
              <w:pStyle w:val="Tabletext"/>
            </w:pPr>
            <w:r w:rsidRPr="00307AE2">
              <w:t>0.031</w:t>
            </w:r>
          </w:p>
        </w:tc>
        <w:tc>
          <w:tcPr>
            <w:tcW w:w="1713" w:type="dxa"/>
            <w:vAlign w:val="bottom"/>
          </w:tcPr>
          <w:p w:rsidR="00F87DE2" w:rsidRPr="00307AE2" w:rsidRDefault="00F87DE2" w:rsidP="00CB2FBB">
            <w:pPr>
              <w:pStyle w:val="Tabletext"/>
            </w:pPr>
            <w:r w:rsidRPr="00307AE2">
              <w:t>7.2x10</w:t>
            </w:r>
            <w:r w:rsidRPr="00307AE2">
              <w:rPr>
                <w:vertAlign w:val="superscript"/>
              </w:rPr>
              <w:t>-4</w:t>
            </w:r>
            <w:r w:rsidRPr="00307AE2">
              <w:t xml:space="preserve"> to 7.2x10</w:t>
            </w:r>
            <w:r w:rsidRPr="00307AE2">
              <w:rPr>
                <w:vertAlign w:val="superscript"/>
              </w:rPr>
              <w:t>-3</w:t>
            </w:r>
          </w:p>
        </w:tc>
      </w:tr>
      <w:tr w:rsidR="00F87DE2" w:rsidRPr="00307AE2" w:rsidTr="00BE7A62">
        <w:tc>
          <w:tcPr>
            <w:tcW w:w="2464" w:type="dxa"/>
          </w:tcPr>
          <w:p w:rsidR="00F87DE2" w:rsidRPr="00307AE2" w:rsidRDefault="00F87DE2" w:rsidP="00CB2FBB">
            <w:pPr>
              <w:pStyle w:val="Tabletext"/>
            </w:pPr>
            <w:r w:rsidRPr="00307AE2">
              <w:t>Rolling Downs Group</w:t>
            </w:r>
          </w:p>
        </w:tc>
        <w:tc>
          <w:tcPr>
            <w:tcW w:w="1701" w:type="dxa"/>
            <w:vAlign w:val="bottom"/>
          </w:tcPr>
          <w:p w:rsidR="00F87DE2" w:rsidRPr="00307AE2" w:rsidRDefault="00F87DE2" w:rsidP="00CB2FBB">
            <w:pPr>
              <w:pStyle w:val="Tabletext"/>
            </w:pPr>
            <w:r w:rsidRPr="00307AE2">
              <w:t>1.67x10</w:t>
            </w:r>
            <w:r w:rsidRPr="00307AE2">
              <w:rPr>
                <w:vertAlign w:val="superscript"/>
              </w:rPr>
              <w:t>-4</w:t>
            </w:r>
          </w:p>
        </w:tc>
        <w:tc>
          <w:tcPr>
            <w:tcW w:w="1417" w:type="dxa"/>
            <w:vAlign w:val="bottom"/>
          </w:tcPr>
          <w:p w:rsidR="00F87DE2" w:rsidRPr="00307AE2" w:rsidRDefault="00F87DE2" w:rsidP="00CB2FBB">
            <w:pPr>
              <w:pStyle w:val="Tabletext"/>
            </w:pPr>
            <w:r w:rsidRPr="00307AE2">
              <w:t>10</w:t>
            </w:r>
            <w:r w:rsidRPr="00307AE2">
              <w:rPr>
                <w:vertAlign w:val="superscript"/>
              </w:rPr>
              <w:t>-5</w:t>
            </w:r>
          </w:p>
        </w:tc>
        <w:tc>
          <w:tcPr>
            <w:tcW w:w="1701" w:type="dxa"/>
            <w:vAlign w:val="bottom"/>
          </w:tcPr>
          <w:p w:rsidR="00F87DE2" w:rsidRPr="00307AE2" w:rsidRDefault="00F87DE2" w:rsidP="00CB2FBB">
            <w:pPr>
              <w:pStyle w:val="Tabletext"/>
            </w:pPr>
            <w:r w:rsidRPr="00307AE2">
              <w:t>2.7x10</w:t>
            </w:r>
            <w:r w:rsidRPr="00307AE2">
              <w:rPr>
                <w:vertAlign w:val="superscript"/>
              </w:rPr>
              <w:t>-4</w:t>
            </w:r>
          </w:p>
        </w:tc>
        <w:tc>
          <w:tcPr>
            <w:tcW w:w="1713" w:type="dxa"/>
            <w:vAlign w:val="bottom"/>
          </w:tcPr>
          <w:p w:rsidR="00F87DE2" w:rsidRPr="00307AE2" w:rsidRDefault="00F87DE2" w:rsidP="00CB2FBB">
            <w:pPr>
              <w:pStyle w:val="Tabletext"/>
            </w:pPr>
            <w:r w:rsidRPr="00307AE2">
              <w:t>7.2x10</w:t>
            </w:r>
            <w:r w:rsidRPr="00307AE2">
              <w:rPr>
                <w:vertAlign w:val="superscript"/>
              </w:rPr>
              <w:t>-4</w:t>
            </w:r>
            <w:r w:rsidRPr="00307AE2">
              <w:t xml:space="preserve"> to 7.2x10</w:t>
            </w:r>
            <w:r w:rsidRPr="00307AE2">
              <w:rPr>
                <w:vertAlign w:val="superscript"/>
              </w:rPr>
              <w:t>-3</w:t>
            </w:r>
          </w:p>
        </w:tc>
      </w:tr>
      <w:tr w:rsidR="00F87DE2" w:rsidRPr="00307AE2" w:rsidTr="00BE7A62">
        <w:tc>
          <w:tcPr>
            <w:tcW w:w="2464" w:type="dxa"/>
          </w:tcPr>
          <w:p w:rsidR="00F87DE2" w:rsidRPr="00307AE2" w:rsidRDefault="00F87DE2" w:rsidP="00CB2FBB">
            <w:pPr>
              <w:pStyle w:val="Tabletext"/>
            </w:pPr>
            <w:r w:rsidRPr="00307AE2">
              <w:t>Bungil Sandstone</w:t>
            </w:r>
          </w:p>
        </w:tc>
        <w:tc>
          <w:tcPr>
            <w:tcW w:w="1701" w:type="dxa"/>
            <w:vAlign w:val="bottom"/>
          </w:tcPr>
          <w:p w:rsidR="00F87DE2" w:rsidRPr="00307AE2" w:rsidRDefault="00F87DE2" w:rsidP="00CB2FBB">
            <w:pPr>
              <w:pStyle w:val="Tabletext"/>
            </w:pPr>
            <w:r w:rsidRPr="00307AE2">
              <w:t>4.0x10</w:t>
            </w:r>
            <w:r w:rsidRPr="00307AE2">
              <w:rPr>
                <w:vertAlign w:val="superscript"/>
              </w:rPr>
              <w:t>-3</w:t>
            </w:r>
          </w:p>
        </w:tc>
        <w:tc>
          <w:tcPr>
            <w:tcW w:w="1417" w:type="dxa"/>
            <w:vAlign w:val="bottom"/>
          </w:tcPr>
          <w:p w:rsidR="00F87DE2" w:rsidRPr="00307AE2" w:rsidRDefault="00F87DE2" w:rsidP="00CB2FBB">
            <w:pPr>
              <w:pStyle w:val="Tabletext"/>
            </w:pPr>
            <w:r w:rsidRPr="00307AE2">
              <w:t>10</w:t>
            </w:r>
            <w:r w:rsidRPr="00307AE2">
              <w:rPr>
                <w:vertAlign w:val="superscript"/>
              </w:rPr>
              <w:t>-5</w:t>
            </w:r>
          </w:p>
        </w:tc>
        <w:tc>
          <w:tcPr>
            <w:tcW w:w="1701" w:type="dxa"/>
            <w:vAlign w:val="bottom"/>
          </w:tcPr>
          <w:p w:rsidR="00F87DE2" w:rsidRPr="00307AE2" w:rsidRDefault="00F87DE2" w:rsidP="00CB2FBB">
            <w:pPr>
              <w:pStyle w:val="Tabletext"/>
            </w:pPr>
            <w:r w:rsidRPr="00307AE2">
              <w:t>2.2x10</w:t>
            </w:r>
            <w:r w:rsidRPr="00307AE2">
              <w:rPr>
                <w:vertAlign w:val="superscript"/>
              </w:rPr>
              <w:t>-3</w:t>
            </w:r>
          </w:p>
        </w:tc>
        <w:tc>
          <w:tcPr>
            <w:tcW w:w="1713" w:type="dxa"/>
            <w:vAlign w:val="bottom"/>
          </w:tcPr>
          <w:p w:rsidR="00F87DE2" w:rsidRPr="00307AE2" w:rsidRDefault="00F87DE2" w:rsidP="00CB2FBB">
            <w:pPr>
              <w:pStyle w:val="Tabletext"/>
            </w:pPr>
            <w:r w:rsidRPr="00307AE2">
              <w:t>7.2x10</w:t>
            </w:r>
            <w:r w:rsidRPr="00307AE2">
              <w:rPr>
                <w:vertAlign w:val="superscript"/>
              </w:rPr>
              <w:t>-4</w:t>
            </w:r>
            <w:r w:rsidRPr="00307AE2">
              <w:t xml:space="preserve"> to 7.2x10</w:t>
            </w:r>
            <w:r w:rsidRPr="00307AE2">
              <w:rPr>
                <w:vertAlign w:val="superscript"/>
              </w:rPr>
              <w:t>-3</w:t>
            </w:r>
          </w:p>
        </w:tc>
      </w:tr>
      <w:tr w:rsidR="00F87DE2" w:rsidRPr="00307AE2" w:rsidTr="00BE7A62">
        <w:tc>
          <w:tcPr>
            <w:tcW w:w="2464" w:type="dxa"/>
          </w:tcPr>
          <w:p w:rsidR="00F87DE2" w:rsidRPr="00307AE2" w:rsidRDefault="00F87DE2" w:rsidP="00CB2FBB">
            <w:pPr>
              <w:pStyle w:val="Tabletext"/>
            </w:pPr>
            <w:r w:rsidRPr="00307AE2">
              <w:t>Mooga Sandstone</w:t>
            </w:r>
          </w:p>
        </w:tc>
        <w:tc>
          <w:tcPr>
            <w:tcW w:w="1701" w:type="dxa"/>
            <w:vAlign w:val="bottom"/>
          </w:tcPr>
          <w:p w:rsidR="00F87DE2" w:rsidRPr="00307AE2" w:rsidRDefault="00F87DE2" w:rsidP="00CB2FBB">
            <w:pPr>
              <w:pStyle w:val="Tabletext"/>
            </w:pPr>
            <w:r w:rsidRPr="00307AE2">
              <w:t>4.0x10</w:t>
            </w:r>
            <w:r w:rsidRPr="00307AE2">
              <w:rPr>
                <w:vertAlign w:val="superscript"/>
              </w:rPr>
              <w:t>-3</w:t>
            </w:r>
          </w:p>
        </w:tc>
        <w:tc>
          <w:tcPr>
            <w:tcW w:w="1417" w:type="dxa"/>
            <w:vAlign w:val="bottom"/>
          </w:tcPr>
          <w:p w:rsidR="00F87DE2" w:rsidRPr="00307AE2" w:rsidRDefault="00F87DE2" w:rsidP="00CB2FBB">
            <w:pPr>
              <w:pStyle w:val="Tabletext"/>
            </w:pPr>
            <w:r w:rsidRPr="00307AE2">
              <w:t>0.05</w:t>
            </w:r>
          </w:p>
        </w:tc>
        <w:tc>
          <w:tcPr>
            <w:tcW w:w="1701" w:type="dxa"/>
            <w:vAlign w:val="bottom"/>
          </w:tcPr>
          <w:p w:rsidR="00F87DE2" w:rsidRPr="00307AE2" w:rsidRDefault="00F87DE2" w:rsidP="00CB2FBB">
            <w:pPr>
              <w:pStyle w:val="Tabletext"/>
            </w:pPr>
            <w:r w:rsidRPr="00307AE2">
              <w:t>0.0117</w:t>
            </w:r>
          </w:p>
        </w:tc>
        <w:tc>
          <w:tcPr>
            <w:tcW w:w="1713" w:type="dxa"/>
            <w:vAlign w:val="bottom"/>
          </w:tcPr>
          <w:p w:rsidR="00F87DE2" w:rsidRPr="00307AE2" w:rsidRDefault="00F87DE2" w:rsidP="00CB2FBB">
            <w:pPr>
              <w:pStyle w:val="Tabletext"/>
            </w:pPr>
            <w:r w:rsidRPr="00307AE2">
              <w:t>7.2x10</w:t>
            </w:r>
            <w:r w:rsidRPr="00307AE2">
              <w:rPr>
                <w:vertAlign w:val="superscript"/>
              </w:rPr>
              <w:t>-4</w:t>
            </w:r>
            <w:r w:rsidRPr="00307AE2">
              <w:t xml:space="preserve"> to 7.2x10</w:t>
            </w:r>
            <w:r w:rsidRPr="00307AE2">
              <w:rPr>
                <w:vertAlign w:val="superscript"/>
              </w:rPr>
              <w:t>-3</w:t>
            </w:r>
          </w:p>
        </w:tc>
      </w:tr>
      <w:tr w:rsidR="00F87DE2" w:rsidRPr="00307AE2" w:rsidTr="00BE7A62">
        <w:tc>
          <w:tcPr>
            <w:tcW w:w="2464" w:type="dxa"/>
          </w:tcPr>
          <w:p w:rsidR="00F87DE2" w:rsidRPr="00307AE2" w:rsidRDefault="00F87DE2" w:rsidP="00CB2FBB">
            <w:pPr>
              <w:pStyle w:val="Tabletext"/>
            </w:pPr>
            <w:r w:rsidRPr="00307AE2">
              <w:t>Orallo Formation</w:t>
            </w:r>
          </w:p>
        </w:tc>
        <w:tc>
          <w:tcPr>
            <w:tcW w:w="1701" w:type="dxa"/>
            <w:vAlign w:val="bottom"/>
          </w:tcPr>
          <w:p w:rsidR="00F87DE2" w:rsidRPr="00307AE2" w:rsidRDefault="00F87DE2" w:rsidP="00CB2FBB">
            <w:pPr>
              <w:pStyle w:val="Tabletext"/>
            </w:pPr>
            <w:r w:rsidRPr="00307AE2">
              <w:t>4.0x10</w:t>
            </w:r>
            <w:r w:rsidRPr="00307AE2">
              <w:rPr>
                <w:vertAlign w:val="superscript"/>
              </w:rPr>
              <w:t>-3</w:t>
            </w:r>
          </w:p>
        </w:tc>
        <w:tc>
          <w:tcPr>
            <w:tcW w:w="1417" w:type="dxa"/>
            <w:vAlign w:val="bottom"/>
          </w:tcPr>
          <w:p w:rsidR="00F87DE2" w:rsidRPr="00307AE2" w:rsidRDefault="00F87DE2" w:rsidP="00CB2FBB">
            <w:pPr>
              <w:pStyle w:val="Tabletext"/>
            </w:pPr>
            <w:r w:rsidRPr="00307AE2">
              <w:t>2.0x10</w:t>
            </w:r>
            <w:r w:rsidRPr="00307AE2">
              <w:rPr>
                <w:vertAlign w:val="superscript"/>
              </w:rPr>
              <w:t>-3</w:t>
            </w:r>
          </w:p>
        </w:tc>
        <w:tc>
          <w:tcPr>
            <w:tcW w:w="1701" w:type="dxa"/>
            <w:vAlign w:val="bottom"/>
          </w:tcPr>
          <w:p w:rsidR="00F87DE2" w:rsidRPr="00307AE2" w:rsidRDefault="00F87DE2" w:rsidP="00CB2FBB">
            <w:pPr>
              <w:pStyle w:val="Tabletext"/>
            </w:pPr>
            <w:r w:rsidRPr="00307AE2">
              <w:t>2.5x10</w:t>
            </w:r>
            <w:r w:rsidRPr="00307AE2">
              <w:rPr>
                <w:vertAlign w:val="superscript"/>
              </w:rPr>
              <w:t>-5</w:t>
            </w:r>
          </w:p>
        </w:tc>
        <w:tc>
          <w:tcPr>
            <w:tcW w:w="1713" w:type="dxa"/>
            <w:vAlign w:val="bottom"/>
          </w:tcPr>
          <w:p w:rsidR="00F87DE2" w:rsidRPr="00307AE2" w:rsidRDefault="00F87DE2" w:rsidP="00CB2FBB">
            <w:pPr>
              <w:pStyle w:val="Tabletext"/>
            </w:pPr>
            <w:r w:rsidRPr="00307AE2">
              <w:t>7.2x10</w:t>
            </w:r>
            <w:r w:rsidRPr="00307AE2">
              <w:rPr>
                <w:vertAlign w:val="superscript"/>
              </w:rPr>
              <w:t>-4</w:t>
            </w:r>
            <w:r w:rsidRPr="00307AE2">
              <w:t xml:space="preserve"> to 7.2x10</w:t>
            </w:r>
            <w:r w:rsidRPr="00307AE2">
              <w:rPr>
                <w:vertAlign w:val="superscript"/>
              </w:rPr>
              <w:t>-3</w:t>
            </w:r>
          </w:p>
        </w:tc>
      </w:tr>
      <w:tr w:rsidR="00F87DE2" w:rsidRPr="00307AE2" w:rsidTr="00BE7A62">
        <w:tc>
          <w:tcPr>
            <w:tcW w:w="2464" w:type="dxa"/>
          </w:tcPr>
          <w:p w:rsidR="00F87DE2" w:rsidRPr="00307AE2" w:rsidRDefault="00F87DE2" w:rsidP="00CB2FBB">
            <w:pPr>
              <w:pStyle w:val="Tabletext"/>
            </w:pPr>
            <w:r w:rsidRPr="00307AE2">
              <w:t>Gubberamunda Sandstone</w:t>
            </w:r>
          </w:p>
        </w:tc>
        <w:tc>
          <w:tcPr>
            <w:tcW w:w="1701" w:type="dxa"/>
            <w:vAlign w:val="bottom"/>
          </w:tcPr>
          <w:p w:rsidR="00F87DE2" w:rsidRPr="00307AE2" w:rsidRDefault="00F87DE2" w:rsidP="00CB2FBB">
            <w:pPr>
              <w:pStyle w:val="Tabletext"/>
            </w:pPr>
            <w:r w:rsidRPr="00307AE2">
              <w:t>0.0103</w:t>
            </w:r>
          </w:p>
        </w:tc>
        <w:tc>
          <w:tcPr>
            <w:tcW w:w="1417" w:type="dxa"/>
            <w:vAlign w:val="bottom"/>
          </w:tcPr>
          <w:p w:rsidR="00F87DE2" w:rsidRPr="00307AE2" w:rsidRDefault="00F87DE2" w:rsidP="00CB2FBB">
            <w:pPr>
              <w:pStyle w:val="Tabletext"/>
            </w:pPr>
            <w:r w:rsidRPr="00307AE2">
              <w:t>0.05</w:t>
            </w:r>
          </w:p>
        </w:tc>
        <w:tc>
          <w:tcPr>
            <w:tcW w:w="1701" w:type="dxa"/>
            <w:vAlign w:val="bottom"/>
          </w:tcPr>
          <w:p w:rsidR="00F87DE2" w:rsidRPr="00307AE2" w:rsidRDefault="00F87DE2" w:rsidP="00CB2FBB">
            <w:pPr>
              <w:pStyle w:val="Tabletext"/>
            </w:pPr>
            <w:r w:rsidRPr="00307AE2">
              <w:t>0.049</w:t>
            </w:r>
          </w:p>
        </w:tc>
        <w:tc>
          <w:tcPr>
            <w:tcW w:w="1713" w:type="dxa"/>
            <w:vAlign w:val="bottom"/>
          </w:tcPr>
          <w:p w:rsidR="00F87DE2" w:rsidRPr="00307AE2" w:rsidRDefault="00F87DE2" w:rsidP="00CB2FBB">
            <w:pPr>
              <w:pStyle w:val="Tabletext"/>
            </w:pPr>
            <w:r w:rsidRPr="00307AE2">
              <w:t>7.2x10</w:t>
            </w:r>
            <w:r w:rsidRPr="00307AE2">
              <w:rPr>
                <w:vertAlign w:val="superscript"/>
              </w:rPr>
              <w:t>-4</w:t>
            </w:r>
            <w:r w:rsidRPr="00307AE2">
              <w:t xml:space="preserve"> to 7.2x10</w:t>
            </w:r>
            <w:r w:rsidRPr="00307AE2">
              <w:rPr>
                <w:vertAlign w:val="superscript"/>
              </w:rPr>
              <w:t>-3</w:t>
            </w:r>
          </w:p>
        </w:tc>
      </w:tr>
      <w:tr w:rsidR="00F87DE2" w:rsidRPr="00307AE2" w:rsidTr="00BE7A62">
        <w:tc>
          <w:tcPr>
            <w:tcW w:w="2464" w:type="dxa"/>
          </w:tcPr>
          <w:p w:rsidR="00F87DE2" w:rsidRPr="00307AE2" w:rsidRDefault="00F87DE2" w:rsidP="00CB2FBB">
            <w:pPr>
              <w:pStyle w:val="Tabletext"/>
            </w:pPr>
            <w:r w:rsidRPr="00307AE2">
              <w:t>Westbourne Formation</w:t>
            </w:r>
          </w:p>
        </w:tc>
        <w:tc>
          <w:tcPr>
            <w:tcW w:w="1701" w:type="dxa"/>
            <w:vAlign w:val="bottom"/>
          </w:tcPr>
          <w:p w:rsidR="00F87DE2" w:rsidRPr="00307AE2" w:rsidRDefault="00F87DE2" w:rsidP="00CB2FBB">
            <w:pPr>
              <w:pStyle w:val="Tabletext"/>
            </w:pPr>
            <w:r w:rsidRPr="00307AE2">
              <w:t>1.87x10</w:t>
            </w:r>
            <w:r w:rsidRPr="00307AE2">
              <w:rPr>
                <w:vertAlign w:val="superscript"/>
              </w:rPr>
              <w:t>-5</w:t>
            </w:r>
          </w:p>
        </w:tc>
        <w:tc>
          <w:tcPr>
            <w:tcW w:w="1417" w:type="dxa"/>
            <w:vAlign w:val="bottom"/>
          </w:tcPr>
          <w:p w:rsidR="00F87DE2" w:rsidRPr="00307AE2" w:rsidRDefault="00F87DE2" w:rsidP="00CB2FBB">
            <w:pPr>
              <w:pStyle w:val="Tabletext"/>
            </w:pPr>
            <w:r w:rsidRPr="00307AE2">
              <w:t>10</w:t>
            </w:r>
            <w:r w:rsidRPr="00307AE2">
              <w:rPr>
                <w:vertAlign w:val="superscript"/>
              </w:rPr>
              <w:t>-5</w:t>
            </w:r>
          </w:p>
        </w:tc>
        <w:tc>
          <w:tcPr>
            <w:tcW w:w="1701" w:type="dxa"/>
            <w:vAlign w:val="bottom"/>
          </w:tcPr>
          <w:p w:rsidR="00F87DE2" w:rsidRPr="00307AE2" w:rsidRDefault="00F87DE2" w:rsidP="00CB2FBB">
            <w:pPr>
              <w:pStyle w:val="Tabletext"/>
            </w:pPr>
            <w:r w:rsidRPr="00307AE2">
              <w:t>2.6x10</w:t>
            </w:r>
            <w:r w:rsidRPr="00307AE2">
              <w:rPr>
                <w:vertAlign w:val="superscript"/>
              </w:rPr>
              <w:t>-5</w:t>
            </w:r>
          </w:p>
        </w:tc>
        <w:tc>
          <w:tcPr>
            <w:tcW w:w="1713" w:type="dxa"/>
            <w:vAlign w:val="bottom"/>
          </w:tcPr>
          <w:p w:rsidR="00F87DE2" w:rsidRPr="00307AE2" w:rsidRDefault="00F87DE2" w:rsidP="00CB2FBB">
            <w:pPr>
              <w:pStyle w:val="Tabletext"/>
            </w:pPr>
            <w:r w:rsidRPr="00307AE2">
              <w:t>2.0x10</w:t>
            </w:r>
            <w:r w:rsidRPr="00307AE2">
              <w:rPr>
                <w:vertAlign w:val="superscript"/>
              </w:rPr>
              <w:t>-6</w:t>
            </w:r>
            <w:r w:rsidRPr="00307AE2">
              <w:t xml:space="preserve"> to 2.0x10</w:t>
            </w:r>
            <w:r w:rsidRPr="00307AE2">
              <w:rPr>
                <w:vertAlign w:val="superscript"/>
              </w:rPr>
              <w:t>-5</w:t>
            </w:r>
          </w:p>
        </w:tc>
      </w:tr>
      <w:tr w:rsidR="00F87DE2" w:rsidRPr="00307AE2" w:rsidTr="00BE7A62">
        <w:tc>
          <w:tcPr>
            <w:tcW w:w="2464" w:type="dxa"/>
          </w:tcPr>
          <w:p w:rsidR="00F87DE2" w:rsidRPr="00307AE2" w:rsidRDefault="00F87DE2" w:rsidP="00CB2FBB">
            <w:pPr>
              <w:pStyle w:val="Tabletext"/>
            </w:pPr>
            <w:r w:rsidRPr="00307AE2">
              <w:t>Springbok Sandstone</w:t>
            </w:r>
          </w:p>
        </w:tc>
        <w:tc>
          <w:tcPr>
            <w:tcW w:w="1701" w:type="dxa"/>
            <w:vAlign w:val="bottom"/>
          </w:tcPr>
          <w:p w:rsidR="00F87DE2" w:rsidRPr="00307AE2" w:rsidRDefault="00F87DE2" w:rsidP="00CB2FBB">
            <w:pPr>
              <w:pStyle w:val="Tabletext"/>
            </w:pPr>
            <w:r w:rsidRPr="00307AE2">
              <w:t>9.33x10</w:t>
            </w:r>
            <w:r w:rsidRPr="00307AE2">
              <w:rPr>
                <w:vertAlign w:val="superscript"/>
              </w:rPr>
              <w:t>-3</w:t>
            </w:r>
          </w:p>
        </w:tc>
        <w:tc>
          <w:tcPr>
            <w:tcW w:w="1417" w:type="dxa"/>
            <w:vAlign w:val="bottom"/>
          </w:tcPr>
          <w:p w:rsidR="00F87DE2" w:rsidRPr="00307AE2" w:rsidRDefault="00F87DE2" w:rsidP="00CB2FBB">
            <w:pPr>
              <w:pStyle w:val="Tabletext"/>
            </w:pPr>
            <w:r w:rsidRPr="00307AE2">
              <w:t>0.05</w:t>
            </w:r>
          </w:p>
        </w:tc>
        <w:tc>
          <w:tcPr>
            <w:tcW w:w="1701" w:type="dxa"/>
            <w:vAlign w:val="bottom"/>
          </w:tcPr>
          <w:p w:rsidR="00F87DE2" w:rsidRPr="00307AE2" w:rsidRDefault="00F87DE2" w:rsidP="00CB2FBB">
            <w:pPr>
              <w:pStyle w:val="Tabletext"/>
            </w:pPr>
            <w:r w:rsidRPr="00307AE2">
              <w:t>0.012</w:t>
            </w:r>
          </w:p>
        </w:tc>
        <w:tc>
          <w:tcPr>
            <w:tcW w:w="1713" w:type="dxa"/>
            <w:vAlign w:val="bottom"/>
          </w:tcPr>
          <w:p w:rsidR="00F87DE2" w:rsidRPr="00307AE2" w:rsidRDefault="00F87DE2" w:rsidP="00CB2FBB">
            <w:pPr>
              <w:pStyle w:val="Tabletext"/>
            </w:pPr>
            <w:r w:rsidRPr="00307AE2">
              <w:t>0.025</w:t>
            </w:r>
          </w:p>
        </w:tc>
      </w:tr>
      <w:tr w:rsidR="00F87DE2" w:rsidRPr="00307AE2" w:rsidTr="00BE7A62">
        <w:tc>
          <w:tcPr>
            <w:tcW w:w="2464" w:type="dxa"/>
          </w:tcPr>
          <w:p w:rsidR="00F87DE2" w:rsidRPr="00307AE2" w:rsidRDefault="00F87DE2" w:rsidP="00CB2FBB">
            <w:pPr>
              <w:pStyle w:val="Tabletext"/>
            </w:pPr>
            <w:r w:rsidRPr="00307AE2">
              <w:t>Walloon Coal Measures</w:t>
            </w:r>
          </w:p>
        </w:tc>
        <w:tc>
          <w:tcPr>
            <w:tcW w:w="1701" w:type="dxa"/>
            <w:vAlign w:val="bottom"/>
          </w:tcPr>
          <w:p w:rsidR="00F87DE2" w:rsidRPr="00307AE2" w:rsidRDefault="00F87DE2" w:rsidP="00CB2FBB">
            <w:pPr>
              <w:pStyle w:val="Tabletext"/>
            </w:pPr>
            <w:r w:rsidRPr="00307AE2">
              <w:t>5.0x10</w:t>
            </w:r>
            <w:r w:rsidRPr="00307AE2">
              <w:rPr>
                <w:vertAlign w:val="superscript"/>
              </w:rPr>
              <w:t>-7</w:t>
            </w:r>
            <w:r w:rsidRPr="00307AE2">
              <w:t xml:space="preserve"> to 4.67x10</w:t>
            </w:r>
            <w:r w:rsidRPr="00307AE2">
              <w:rPr>
                <w:vertAlign w:val="superscript"/>
              </w:rPr>
              <w:t>-3</w:t>
            </w:r>
          </w:p>
        </w:tc>
        <w:tc>
          <w:tcPr>
            <w:tcW w:w="1417" w:type="dxa"/>
            <w:vAlign w:val="bottom"/>
          </w:tcPr>
          <w:p w:rsidR="00F87DE2" w:rsidRPr="00307AE2" w:rsidRDefault="00F87DE2" w:rsidP="00CB2FBB">
            <w:pPr>
              <w:pStyle w:val="Tabletext"/>
            </w:pPr>
            <w:r w:rsidRPr="00307AE2">
              <w:t>10</w:t>
            </w:r>
            <w:r w:rsidRPr="00307AE2">
              <w:rPr>
                <w:vertAlign w:val="superscript"/>
              </w:rPr>
              <w:t>-5</w:t>
            </w:r>
            <w:r w:rsidRPr="00307AE2">
              <w:t xml:space="preserve"> to 10</w:t>
            </w:r>
            <w:r w:rsidRPr="00307AE2">
              <w:rPr>
                <w:vertAlign w:val="superscript"/>
              </w:rPr>
              <w:t>-3</w:t>
            </w:r>
          </w:p>
        </w:tc>
        <w:tc>
          <w:tcPr>
            <w:tcW w:w="1701" w:type="dxa"/>
            <w:vAlign w:val="bottom"/>
          </w:tcPr>
          <w:p w:rsidR="00F87DE2" w:rsidRPr="00307AE2" w:rsidRDefault="00F87DE2" w:rsidP="00CB2FBB">
            <w:pPr>
              <w:pStyle w:val="Tabletext"/>
            </w:pPr>
            <w:r w:rsidRPr="00307AE2">
              <w:t>1.5x10</w:t>
            </w:r>
            <w:r w:rsidRPr="00307AE2">
              <w:rPr>
                <w:vertAlign w:val="superscript"/>
              </w:rPr>
              <w:t>-6</w:t>
            </w:r>
            <w:r w:rsidRPr="00307AE2">
              <w:t xml:space="preserve"> to 4.0x10</w:t>
            </w:r>
            <w:r w:rsidRPr="00307AE2">
              <w:rPr>
                <w:vertAlign w:val="superscript"/>
              </w:rPr>
              <w:t>-4</w:t>
            </w:r>
          </w:p>
        </w:tc>
        <w:tc>
          <w:tcPr>
            <w:tcW w:w="1713" w:type="dxa"/>
            <w:vAlign w:val="bottom"/>
          </w:tcPr>
          <w:p w:rsidR="00F87DE2" w:rsidRPr="00307AE2" w:rsidRDefault="00F87DE2" w:rsidP="00CB2FBB">
            <w:pPr>
              <w:pStyle w:val="Tabletext"/>
            </w:pPr>
            <w:r w:rsidRPr="00307AE2">
              <w:t>5.0x10</w:t>
            </w:r>
            <w:r w:rsidRPr="00307AE2">
              <w:rPr>
                <w:vertAlign w:val="superscript"/>
              </w:rPr>
              <w:t>-7</w:t>
            </w:r>
            <w:r w:rsidRPr="00307AE2">
              <w:t xml:space="preserve"> to 0.453</w:t>
            </w:r>
          </w:p>
        </w:tc>
      </w:tr>
      <w:tr w:rsidR="00F87DE2" w:rsidRPr="00307AE2" w:rsidTr="00BE7A62">
        <w:tc>
          <w:tcPr>
            <w:tcW w:w="2464" w:type="dxa"/>
          </w:tcPr>
          <w:p w:rsidR="00F87DE2" w:rsidRPr="00307AE2" w:rsidRDefault="00F87DE2" w:rsidP="00CB2FBB">
            <w:pPr>
              <w:pStyle w:val="Tabletext"/>
            </w:pPr>
            <w:r w:rsidRPr="00307AE2">
              <w:t>Eurombah Formation</w:t>
            </w:r>
          </w:p>
        </w:tc>
        <w:tc>
          <w:tcPr>
            <w:tcW w:w="1701" w:type="dxa"/>
            <w:vAlign w:val="bottom"/>
          </w:tcPr>
          <w:p w:rsidR="00F87DE2" w:rsidRPr="00307AE2" w:rsidRDefault="00F87DE2" w:rsidP="00CB2FBB">
            <w:pPr>
              <w:pStyle w:val="Tabletext"/>
            </w:pPr>
            <w:r w:rsidRPr="00307AE2">
              <w:t>2.07x10</w:t>
            </w:r>
            <w:r w:rsidRPr="00307AE2">
              <w:rPr>
                <w:vertAlign w:val="superscript"/>
              </w:rPr>
              <w:t>-6</w:t>
            </w:r>
          </w:p>
        </w:tc>
        <w:tc>
          <w:tcPr>
            <w:tcW w:w="1417" w:type="dxa"/>
            <w:vAlign w:val="bottom"/>
          </w:tcPr>
          <w:p w:rsidR="00F87DE2" w:rsidRPr="00307AE2" w:rsidRDefault="00F87DE2" w:rsidP="00CB2FBB">
            <w:pPr>
              <w:pStyle w:val="Tabletext"/>
            </w:pPr>
            <w:r w:rsidRPr="00307AE2">
              <w:t>10</w:t>
            </w:r>
            <w:r w:rsidRPr="00307AE2">
              <w:rPr>
                <w:vertAlign w:val="superscript"/>
              </w:rPr>
              <w:t>-3</w:t>
            </w:r>
          </w:p>
        </w:tc>
        <w:tc>
          <w:tcPr>
            <w:tcW w:w="1701" w:type="dxa"/>
            <w:vAlign w:val="bottom"/>
          </w:tcPr>
          <w:p w:rsidR="00F87DE2" w:rsidRPr="00307AE2" w:rsidRDefault="00F87DE2" w:rsidP="00CB2FBB">
            <w:pPr>
              <w:pStyle w:val="Tabletext"/>
            </w:pPr>
            <w:r w:rsidRPr="00307AE2">
              <w:t>1.1x10</w:t>
            </w:r>
            <w:r w:rsidRPr="00307AE2">
              <w:rPr>
                <w:vertAlign w:val="superscript"/>
              </w:rPr>
              <w:t>-5</w:t>
            </w:r>
          </w:p>
        </w:tc>
        <w:tc>
          <w:tcPr>
            <w:tcW w:w="1713" w:type="dxa"/>
            <w:vAlign w:val="bottom"/>
          </w:tcPr>
          <w:p w:rsidR="00F87DE2" w:rsidRPr="00307AE2" w:rsidRDefault="00F87DE2" w:rsidP="00CB2FBB">
            <w:pPr>
              <w:pStyle w:val="Tabletext"/>
            </w:pPr>
            <w:r w:rsidRPr="00307AE2">
              <w:t>5.0x10</w:t>
            </w:r>
            <w:r w:rsidRPr="00307AE2">
              <w:rPr>
                <w:vertAlign w:val="superscript"/>
              </w:rPr>
              <w:t>-7</w:t>
            </w:r>
            <w:r w:rsidRPr="00307AE2">
              <w:t xml:space="preserve"> to 5.0x10</w:t>
            </w:r>
            <w:r w:rsidRPr="00307AE2">
              <w:rPr>
                <w:vertAlign w:val="superscript"/>
              </w:rPr>
              <w:t>-6</w:t>
            </w:r>
          </w:p>
        </w:tc>
      </w:tr>
      <w:tr w:rsidR="00F87DE2" w:rsidRPr="00307AE2" w:rsidTr="00BE7A62">
        <w:tc>
          <w:tcPr>
            <w:tcW w:w="2464" w:type="dxa"/>
          </w:tcPr>
          <w:p w:rsidR="00F87DE2" w:rsidRPr="00307AE2" w:rsidRDefault="00F87DE2" w:rsidP="00CB2FBB">
            <w:pPr>
              <w:pStyle w:val="Tabletext"/>
            </w:pPr>
            <w:r w:rsidRPr="00307AE2">
              <w:t>Upper Hutton Sandstone</w:t>
            </w:r>
          </w:p>
        </w:tc>
        <w:tc>
          <w:tcPr>
            <w:tcW w:w="1701" w:type="dxa"/>
            <w:vAlign w:val="bottom"/>
          </w:tcPr>
          <w:p w:rsidR="00F87DE2" w:rsidRPr="00307AE2" w:rsidRDefault="00F87DE2" w:rsidP="00CB2FBB">
            <w:pPr>
              <w:pStyle w:val="Tabletext"/>
            </w:pPr>
            <w:r w:rsidRPr="00307AE2">
              <w:t>0.08</w:t>
            </w:r>
          </w:p>
        </w:tc>
        <w:tc>
          <w:tcPr>
            <w:tcW w:w="1417" w:type="dxa"/>
            <w:vAlign w:val="bottom"/>
          </w:tcPr>
          <w:p w:rsidR="00F87DE2" w:rsidRPr="00307AE2" w:rsidRDefault="00F87DE2" w:rsidP="00CB2FBB">
            <w:pPr>
              <w:pStyle w:val="Tabletext"/>
            </w:pPr>
            <w:r w:rsidRPr="00307AE2">
              <w:t>2.0x10</w:t>
            </w:r>
            <w:r w:rsidRPr="00307AE2">
              <w:rPr>
                <w:vertAlign w:val="superscript"/>
              </w:rPr>
              <w:t>-3</w:t>
            </w:r>
          </w:p>
        </w:tc>
        <w:tc>
          <w:tcPr>
            <w:tcW w:w="1701" w:type="dxa"/>
            <w:vAlign w:val="bottom"/>
          </w:tcPr>
          <w:p w:rsidR="00F87DE2" w:rsidRPr="00307AE2" w:rsidRDefault="00F87DE2" w:rsidP="00CB2FBB">
            <w:pPr>
              <w:pStyle w:val="Tabletext"/>
            </w:pPr>
            <w:r w:rsidRPr="00307AE2">
              <w:t>0.013</w:t>
            </w:r>
          </w:p>
        </w:tc>
        <w:tc>
          <w:tcPr>
            <w:tcW w:w="1713" w:type="dxa"/>
            <w:vAlign w:val="bottom"/>
          </w:tcPr>
          <w:p w:rsidR="00F87DE2" w:rsidRPr="00307AE2" w:rsidRDefault="00F87DE2" w:rsidP="00CB2FBB">
            <w:pPr>
              <w:pStyle w:val="Tabletext"/>
            </w:pPr>
            <w:r w:rsidRPr="00307AE2">
              <w:t>1.4x10</w:t>
            </w:r>
            <w:r w:rsidRPr="00307AE2">
              <w:rPr>
                <w:vertAlign w:val="superscript"/>
              </w:rPr>
              <w:t>-3</w:t>
            </w:r>
            <w:r w:rsidRPr="00307AE2">
              <w:t xml:space="preserve"> to 1.4x10</w:t>
            </w:r>
            <w:r w:rsidRPr="00307AE2">
              <w:rPr>
                <w:vertAlign w:val="superscript"/>
              </w:rPr>
              <w:t>-2</w:t>
            </w:r>
          </w:p>
        </w:tc>
      </w:tr>
      <w:tr w:rsidR="00F87DE2" w:rsidRPr="00307AE2" w:rsidTr="00BE7A62">
        <w:tc>
          <w:tcPr>
            <w:tcW w:w="2464" w:type="dxa"/>
          </w:tcPr>
          <w:p w:rsidR="00F87DE2" w:rsidRPr="00307AE2" w:rsidRDefault="00F87DE2" w:rsidP="00CB2FBB">
            <w:pPr>
              <w:pStyle w:val="Tabletext"/>
            </w:pPr>
            <w:r w:rsidRPr="00307AE2">
              <w:t>Lower Hutton Sandstone</w:t>
            </w:r>
          </w:p>
        </w:tc>
        <w:tc>
          <w:tcPr>
            <w:tcW w:w="1701" w:type="dxa"/>
            <w:vAlign w:val="bottom"/>
          </w:tcPr>
          <w:p w:rsidR="00F87DE2" w:rsidRPr="00307AE2" w:rsidRDefault="00F87DE2" w:rsidP="00CB2FBB">
            <w:pPr>
              <w:pStyle w:val="Tabletext"/>
            </w:pPr>
            <w:r w:rsidRPr="00307AE2">
              <w:t>4.0x10</w:t>
            </w:r>
            <w:r w:rsidRPr="00307AE2">
              <w:rPr>
                <w:vertAlign w:val="superscript"/>
              </w:rPr>
              <w:t>-3</w:t>
            </w:r>
          </w:p>
        </w:tc>
        <w:tc>
          <w:tcPr>
            <w:tcW w:w="1417" w:type="dxa"/>
            <w:vAlign w:val="bottom"/>
          </w:tcPr>
          <w:p w:rsidR="00F87DE2" w:rsidRPr="00307AE2" w:rsidRDefault="00F87DE2" w:rsidP="00CB2FBB">
            <w:pPr>
              <w:pStyle w:val="Tabletext"/>
            </w:pPr>
            <w:r w:rsidRPr="00307AE2">
              <w:t>2.0x10</w:t>
            </w:r>
            <w:r w:rsidRPr="00307AE2">
              <w:rPr>
                <w:vertAlign w:val="superscript"/>
              </w:rPr>
              <w:t>-3</w:t>
            </w:r>
          </w:p>
        </w:tc>
        <w:tc>
          <w:tcPr>
            <w:tcW w:w="1701" w:type="dxa"/>
            <w:vAlign w:val="bottom"/>
          </w:tcPr>
          <w:p w:rsidR="00F87DE2" w:rsidRPr="00307AE2" w:rsidRDefault="00F87DE2" w:rsidP="00CB2FBB">
            <w:pPr>
              <w:pStyle w:val="Tabletext"/>
            </w:pPr>
            <w:r w:rsidRPr="00307AE2">
              <w:t>0.013</w:t>
            </w:r>
          </w:p>
        </w:tc>
        <w:tc>
          <w:tcPr>
            <w:tcW w:w="1713" w:type="dxa"/>
            <w:vAlign w:val="bottom"/>
          </w:tcPr>
          <w:p w:rsidR="00F87DE2" w:rsidRPr="00307AE2" w:rsidRDefault="00F87DE2" w:rsidP="00CB2FBB">
            <w:pPr>
              <w:pStyle w:val="Tabletext"/>
            </w:pPr>
            <w:r w:rsidRPr="00307AE2">
              <w:t>1.4x10</w:t>
            </w:r>
            <w:r w:rsidRPr="00307AE2">
              <w:rPr>
                <w:vertAlign w:val="superscript"/>
              </w:rPr>
              <w:t>-3</w:t>
            </w:r>
            <w:r w:rsidRPr="00307AE2">
              <w:t xml:space="preserve"> to 1.4x10</w:t>
            </w:r>
            <w:r w:rsidRPr="00307AE2">
              <w:rPr>
                <w:vertAlign w:val="superscript"/>
              </w:rPr>
              <w:t>-2</w:t>
            </w:r>
          </w:p>
        </w:tc>
      </w:tr>
      <w:tr w:rsidR="00F87DE2" w:rsidRPr="00307AE2" w:rsidTr="00BE7A62">
        <w:tc>
          <w:tcPr>
            <w:tcW w:w="2464" w:type="dxa"/>
          </w:tcPr>
          <w:p w:rsidR="00F87DE2" w:rsidRPr="00307AE2" w:rsidRDefault="00F87DE2" w:rsidP="00CB2FBB">
            <w:pPr>
              <w:pStyle w:val="Tabletext"/>
            </w:pPr>
            <w:r w:rsidRPr="00307AE2">
              <w:t>Evergreen Formation</w:t>
            </w:r>
          </w:p>
        </w:tc>
        <w:tc>
          <w:tcPr>
            <w:tcW w:w="1701" w:type="dxa"/>
            <w:vAlign w:val="bottom"/>
          </w:tcPr>
          <w:p w:rsidR="00F87DE2" w:rsidRPr="00307AE2" w:rsidRDefault="00F87DE2" w:rsidP="00CB2FBB">
            <w:pPr>
              <w:pStyle w:val="Tabletext"/>
            </w:pPr>
            <w:r w:rsidRPr="00307AE2">
              <w:t>2.17x10</w:t>
            </w:r>
            <w:r w:rsidRPr="00307AE2">
              <w:rPr>
                <w:vertAlign w:val="superscript"/>
              </w:rPr>
              <w:t>-6</w:t>
            </w:r>
          </w:p>
        </w:tc>
        <w:tc>
          <w:tcPr>
            <w:tcW w:w="1417" w:type="dxa"/>
            <w:vAlign w:val="bottom"/>
          </w:tcPr>
          <w:p w:rsidR="00F87DE2" w:rsidRPr="00307AE2" w:rsidRDefault="00F87DE2" w:rsidP="00CB2FBB">
            <w:pPr>
              <w:pStyle w:val="Tabletext"/>
            </w:pPr>
            <w:r w:rsidRPr="00307AE2">
              <w:t>10</w:t>
            </w:r>
            <w:r w:rsidRPr="00307AE2">
              <w:rPr>
                <w:vertAlign w:val="superscript"/>
              </w:rPr>
              <w:t>-5</w:t>
            </w:r>
          </w:p>
        </w:tc>
        <w:tc>
          <w:tcPr>
            <w:tcW w:w="1701" w:type="dxa"/>
            <w:vAlign w:val="bottom"/>
          </w:tcPr>
          <w:p w:rsidR="00F87DE2" w:rsidRPr="00307AE2" w:rsidRDefault="00F87DE2" w:rsidP="00CB2FBB">
            <w:pPr>
              <w:pStyle w:val="Tabletext"/>
            </w:pPr>
            <w:r w:rsidRPr="00307AE2">
              <w:t>0.013</w:t>
            </w:r>
          </w:p>
        </w:tc>
        <w:tc>
          <w:tcPr>
            <w:tcW w:w="1713" w:type="dxa"/>
            <w:vAlign w:val="bottom"/>
          </w:tcPr>
          <w:p w:rsidR="00F87DE2" w:rsidRPr="00307AE2" w:rsidRDefault="00F87DE2" w:rsidP="00CB2FBB">
            <w:pPr>
              <w:pStyle w:val="Tabletext"/>
            </w:pPr>
            <w:r w:rsidRPr="00307AE2">
              <w:t>1.4x10</w:t>
            </w:r>
            <w:r w:rsidRPr="00307AE2">
              <w:rPr>
                <w:vertAlign w:val="superscript"/>
              </w:rPr>
              <w:t>-3</w:t>
            </w:r>
            <w:r w:rsidRPr="00307AE2">
              <w:t xml:space="preserve"> to 1.4x10</w:t>
            </w:r>
            <w:r w:rsidRPr="00307AE2">
              <w:rPr>
                <w:vertAlign w:val="superscript"/>
              </w:rPr>
              <w:t>-2</w:t>
            </w:r>
          </w:p>
        </w:tc>
      </w:tr>
      <w:tr w:rsidR="00F87DE2" w:rsidRPr="00307AE2" w:rsidTr="00BE7A62">
        <w:tc>
          <w:tcPr>
            <w:tcW w:w="2464" w:type="dxa"/>
          </w:tcPr>
          <w:p w:rsidR="00F87DE2" w:rsidRPr="00307AE2" w:rsidRDefault="00F87DE2" w:rsidP="00CB2FBB">
            <w:pPr>
              <w:pStyle w:val="Tabletext"/>
            </w:pPr>
            <w:r w:rsidRPr="00307AE2">
              <w:t>Precipice Sandstone</w:t>
            </w:r>
          </w:p>
        </w:tc>
        <w:tc>
          <w:tcPr>
            <w:tcW w:w="1701" w:type="dxa"/>
            <w:vAlign w:val="bottom"/>
          </w:tcPr>
          <w:p w:rsidR="00F87DE2" w:rsidRPr="00307AE2" w:rsidRDefault="00F87DE2" w:rsidP="00CB2FBB">
            <w:pPr>
              <w:pStyle w:val="Tabletext"/>
            </w:pPr>
            <w:r w:rsidRPr="00307AE2">
              <w:t>0.103</w:t>
            </w:r>
          </w:p>
        </w:tc>
        <w:tc>
          <w:tcPr>
            <w:tcW w:w="1417" w:type="dxa"/>
            <w:vAlign w:val="bottom"/>
          </w:tcPr>
          <w:p w:rsidR="00F87DE2" w:rsidRPr="00307AE2" w:rsidRDefault="00F87DE2" w:rsidP="00CB2FBB">
            <w:pPr>
              <w:pStyle w:val="Tabletext"/>
            </w:pPr>
            <w:r w:rsidRPr="00307AE2">
              <w:t>0.1</w:t>
            </w:r>
          </w:p>
        </w:tc>
        <w:tc>
          <w:tcPr>
            <w:tcW w:w="1701" w:type="dxa"/>
            <w:vAlign w:val="bottom"/>
          </w:tcPr>
          <w:p w:rsidR="00F87DE2" w:rsidRPr="00307AE2" w:rsidRDefault="00F87DE2" w:rsidP="00CB2FBB">
            <w:pPr>
              <w:pStyle w:val="Tabletext"/>
            </w:pPr>
            <w:r w:rsidRPr="00307AE2">
              <w:t>3.0x10</w:t>
            </w:r>
            <w:r w:rsidRPr="00307AE2">
              <w:rPr>
                <w:vertAlign w:val="superscript"/>
              </w:rPr>
              <w:t>-5</w:t>
            </w:r>
          </w:p>
        </w:tc>
        <w:tc>
          <w:tcPr>
            <w:tcW w:w="1713" w:type="dxa"/>
            <w:vAlign w:val="bottom"/>
          </w:tcPr>
          <w:p w:rsidR="00F87DE2" w:rsidRPr="00307AE2" w:rsidRDefault="00F87DE2" w:rsidP="00CB2FBB">
            <w:pPr>
              <w:pStyle w:val="Tabletext"/>
            </w:pPr>
            <w:r w:rsidRPr="00307AE2">
              <w:t>2.0x10</w:t>
            </w:r>
            <w:r w:rsidRPr="00307AE2">
              <w:rPr>
                <w:vertAlign w:val="superscript"/>
              </w:rPr>
              <w:t>-6</w:t>
            </w:r>
            <w:r w:rsidRPr="00307AE2">
              <w:t xml:space="preserve"> to 2.0x10</w:t>
            </w:r>
            <w:r w:rsidRPr="00307AE2">
              <w:rPr>
                <w:vertAlign w:val="superscript"/>
              </w:rPr>
              <w:t>-4</w:t>
            </w:r>
          </w:p>
        </w:tc>
      </w:tr>
    </w:tbl>
    <w:p w:rsidR="00307AE2" w:rsidRDefault="00307AE2" w:rsidP="001C3374">
      <w:pPr>
        <w:pStyle w:val="Body"/>
      </w:pPr>
    </w:p>
    <w:p w:rsidR="00DD07AF" w:rsidRDefault="00DD07AF" w:rsidP="005F6513">
      <w:pPr>
        <w:pStyle w:val="Heading3"/>
      </w:pPr>
      <w:bookmarkStart w:id="593" w:name="_Toc381961145"/>
      <w:r>
        <w:t>Properties relating to induced geomechanical stresses</w:t>
      </w:r>
      <w:bookmarkEnd w:id="593"/>
    </w:p>
    <w:p w:rsidR="00DD07AF" w:rsidRDefault="00DD07AF" w:rsidP="00307AE2">
      <w:pPr>
        <w:pStyle w:val="BRNormal"/>
      </w:pPr>
      <w:r>
        <w:t>Pressure and permeability data are available from the CSIRO PressurePlot database (</w:t>
      </w:r>
      <w:r w:rsidR="00307AE2">
        <w:t>CSIRO 2007</w:t>
      </w:r>
      <w:r>
        <w:t xml:space="preserve">) and from relevant state government databases such as </w:t>
      </w:r>
      <w:r w:rsidR="008170B3" w:rsidRPr="003614FB">
        <w:t>Queensland Petroleum Exploration Database</w:t>
      </w:r>
      <w:r w:rsidR="008170B3">
        <w:t xml:space="preserve"> </w:t>
      </w:r>
      <w:r w:rsidR="00365155">
        <w:t>(DNRM 2014c)</w:t>
      </w:r>
      <w:r>
        <w:t xml:space="preserve"> and the </w:t>
      </w:r>
      <w:r w:rsidRPr="000426DB">
        <w:t>South Australian Resources Information Geoserver</w:t>
      </w:r>
      <w:r>
        <w:t xml:space="preserve"> </w:t>
      </w:r>
      <w:r w:rsidR="00365155">
        <w:t>(SARIG 2014)</w:t>
      </w:r>
      <w:r>
        <w:t>.</w:t>
      </w:r>
      <w:r w:rsidRPr="0044313E">
        <w:t xml:space="preserve"> </w:t>
      </w:r>
      <w:r>
        <w:t>A</w:t>
      </w:r>
      <w:r w:rsidRPr="0044313E">
        <w:t xml:space="preserve">s described in section </w:t>
      </w:r>
      <w:r>
        <w:t>6</w:t>
      </w:r>
      <w:r w:rsidRPr="0044313E">
        <w:t>.3</w:t>
      </w:r>
      <w:r>
        <w:t xml:space="preserve">, permeability data for the Surat Basin were recently </w:t>
      </w:r>
      <w:r w:rsidRPr="0044313E">
        <w:t>summarised by GABWRA (CSIRO 2012</w:t>
      </w:r>
      <w:r>
        <w:t>c</w:t>
      </w:r>
      <w:r w:rsidRPr="0044313E">
        <w:t>)</w:t>
      </w:r>
      <w:r>
        <w:t>, as were temperature data.</w:t>
      </w:r>
      <w:r w:rsidRPr="0044313E">
        <w:t xml:space="preserve"> The clay composition of </w:t>
      </w:r>
      <w:r>
        <w:t>Surat Basin</w:t>
      </w:r>
      <w:r w:rsidRPr="0044313E">
        <w:t xml:space="preserve"> aquitards is poorly characterised, particularly spatially.</w:t>
      </w:r>
      <w:r>
        <w:t xml:space="preserve"> </w:t>
      </w:r>
      <w:r w:rsidRPr="000426DB">
        <w:t xml:space="preserve">The locations of significant faults in the </w:t>
      </w:r>
      <w:r>
        <w:t xml:space="preserve">Surat Basin </w:t>
      </w:r>
      <w:r w:rsidRPr="000426DB">
        <w:t>have been well-documented and have also been summarised</w:t>
      </w:r>
      <w:r>
        <w:t xml:space="preserve"> recently by GABWRA (CSIRO 2012</w:t>
      </w:r>
      <w:r w:rsidRPr="000426DB">
        <w:t xml:space="preserve">c) from foundation works by the </w:t>
      </w:r>
      <w:r w:rsidR="00F87DE2">
        <w:t>Geological Survey of Queensland</w:t>
      </w:r>
      <w:r>
        <w:t>,</w:t>
      </w:r>
      <w:r w:rsidRPr="002E3718">
        <w:t xml:space="preserve"> such as Quarantotto (1989).</w:t>
      </w:r>
      <w:r w:rsidRPr="000426DB">
        <w:t xml:space="preserve"> Fault types and throw information may also be obtained from </w:t>
      </w:r>
      <w:r w:rsidR="00F87DE2" w:rsidRPr="003614FB">
        <w:t xml:space="preserve">Geological Survey of Queensland </w:t>
      </w:r>
      <w:r w:rsidRPr="000426DB">
        <w:t>Bulletins.</w:t>
      </w:r>
      <w:r>
        <w:t xml:space="preserve"> </w:t>
      </w:r>
      <w:r w:rsidRPr="0044313E">
        <w:t xml:space="preserve">Horizontal stress directions at a continental scale may be obtained from the Australian Stress </w:t>
      </w:r>
      <w:r w:rsidRPr="0044313E">
        <w:lastRenderedPageBreak/>
        <w:t>Map (Hillis et al. 1998</w:t>
      </w:r>
      <w:r w:rsidR="00365155">
        <w:t>)</w:t>
      </w:r>
      <w:r w:rsidRPr="0044313E">
        <w:t xml:space="preserve">. Horizontal stress over much of the </w:t>
      </w:r>
      <w:r>
        <w:t xml:space="preserve">Surat Basin </w:t>
      </w:r>
      <w:r w:rsidRPr="0044313E">
        <w:t>is in a northeast-southwest orientation</w:t>
      </w:r>
      <w:r>
        <w:t xml:space="preserve">. </w:t>
      </w:r>
      <w:r w:rsidRPr="0044313E">
        <w:t xml:space="preserve">Vertical stress magnitudes </w:t>
      </w:r>
      <w:r>
        <w:t>are a function of</w:t>
      </w:r>
      <w:r w:rsidRPr="0044313E">
        <w:t xml:space="preserve"> depth (Mildren et al. 2002)</w:t>
      </w:r>
      <w:r>
        <w:t xml:space="preserve"> and may be </w:t>
      </w:r>
      <w:r w:rsidRPr="0044313E">
        <w:t xml:space="preserve">estimated from </w:t>
      </w:r>
      <w:r>
        <w:t>bore</w:t>
      </w:r>
      <w:r w:rsidRPr="0044313E">
        <w:t xml:space="preserve">log </w:t>
      </w:r>
      <w:r>
        <w:t>data</w:t>
      </w:r>
      <w:r w:rsidRPr="0044313E">
        <w:t>.</w:t>
      </w:r>
      <w:r>
        <w:t xml:space="preserve"> Finally, local estimates of future rates of fluid extractions by CSG operations may be obtained from relevant Environmental Impact Statements. Maximum </w:t>
      </w:r>
      <w:r w:rsidRPr="00860CD0">
        <w:t xml:space="preserve">total </w:t>
      </w:r>
      <w:r>
        <w:t>extraction rates have bee</w:t>
      </w:r>
      <w:r w:rsidR="00BE457B">
        <w:t>n projected at approximately 10 </w:t>
      </w:r>
      <w:r>
        <w:t>ML/d (G</w:t>
      </w:r>
      <w:r w:rsidR="00F87DE2">
        <w:t xml:space="preserve">ladstone </w:t>
      </w:r>
      <w:r w:rsidR="00BE457B">
        <w:t>LNG), 140 ML/d (Arrow), 170 </w:t>
      </w:r>
      <w:r>
        <w:t>ML/d (A</w:t>
      </w:r>
      <w:r w:rsidR="00F87DE2">
        <w:t xml:space="preserve">ustralia </w:t>
      </w:r>
      <w:r>
        <w:t>P</w:t>
      </w:r>
      <w:r w:rsidR="00F87DE2">
        <w:t xml:space="preserve">acific </w:t>
      </w:r>
      <w:r w:rsidR="00BE457B">
        <w:t>LNG) and 200 </w:t>
      </w:r>
      <w:r>
        <w:t>ML/d (Q</w:t>
      </w:r>
      <w:r w:rsidR="00F87DE2">
        <w:t xml:space="preserve">ueensland </w:t>
      </w:r>
      <w:r>
        <w:t>C</w:t>
      </w:r>
      <w:r w:rsidR="00F87DE2">
        <w:t xml:space="preserve">urtis </w:t>
      </w:r>
      <w:r>
        <w:t xml:space="preserve">LNG) (SWS 2011). </w:t>
      </w:r>
      <w:r w:rsidRPr="002E3718">
        <w:t>Alternatively, the CSG water production forecasting model developed by Klohn Crippen Berger (2011) for DERM</w:t>
      </w:r>
      <w:r w:rsidR="006106C5">
        <w:rPr>
          <w:rStyle w:val="FootnoteReference"/>
        </w:rPr>
        <w:footnoteReference w:id="3"/>
      </w:r>
      <w:r w:rsidRPr="002E3718">
        <w:t xml:space="preserve"> (Qld) could be used to provide a local-scale estimate.</w:t>
      </w:r>
    </w:p>
    <w:p w:rsidR="00DD07AF" w:rsidRDefault="00DD07AF" w:rsidP="00365155">
      <w:pPr>
        <w:pStyle w:val="BRNormal"/>
      </w:pPr>
      <w:r w:rsidRPr="002E3718">
        <w:t>As part of Environmental Impact Statement reporting for the A</w:t>
      </w:r>
      <w:r w:rsidR="00F87DE2">
        <w:t xml:space="preserve">ustralia </w:t>
      </w:r>
      <w:r w:rsidRPr="002E3718">
        <w:t>P</w:t>
      </w:r>
      <w:r w:rsidR="00F87DE2">
        <w:t xml:space="preserve">acific </w:t>
      </w:r>
      <w:r w:rsidRPr="002E3718">
        <w:t>LNG</w:t>
      </w:r>
      <w:r w:rsidR="00365155">
        <w:t xml:space="preserve"> project, Worley</w:t>
      </w:r>
      <w:r>
        <w:t>Parsons (2010a</w:t>
      </w:r>
      <w:r w:rsidRPr="002E3718">
        <w:t xml:space="preserve">) used a simplified qualitative method to estimate the hazard of land subsidence caused by aquifer compression. Using projected drawdowns from a numerical model, the authors estimated that the potential </w:t>
      </w:r>
      <w:r w:rsidR="00AD4570">
        <w:t>for</w:t>
      </w:r>
      <w:r w:rsidRPr="002E3718">
        <w:t xml:space="preserve"> compaction was less than half a metre across the Surat Basin</w:t>
      </w:r>
      <w:r w:rsidR="00AD4570">
        <w:t xml:space="preserve"> </w:t>
      </w:r>
      <w:r w:rsidR="00AD4570" w:rsidRPr="00AD4570">
        <w:t>region, which may be considered significant in the context of a broad area of relatively flat topography</w:t>
      </w:r>
      <w:r w:rsidRPr="002E3718">
        <w:t>. The likelihood of subsidence being propagated to the land surface was estimated to be low, due to the incompressibility of aquifer units between the surface and the Walloon Coal Measures.</w:t>
      </w:r>
    </w:p>
    <w:p w:rsidR="00DD07AF" w:rsidRDefault="00DD07AF" w:rsidP="00365155">
      <w:pPr>
        <w:pStyle w:val="BRNormal"/>
      </w:pPr>
      <w:r w:rsidRPr="002E3718">
        <w:t xml:space="preserve">Hodgkinson and Grigorescu (2012) summarised a number of available datasets that are relevant to the potential for carbon sequestration in the Surat Basin. These included the </w:t>
      </w:r>
      <w:r w:rsidR="008E4761" w:rsidRPr="003614FB">
        <w:t>Queensland Petroleum Exploration Database</w:t>
      </w:r>
      <w:r w:rsidR="008E4761" w:rsidRPr="002E3718">
        <w:t xml:space="preserve"> </w:t>
      </w:r>
      <w:r w:rsidRPr="002E3718">
        <w:t>and Q</w:t>
      </w:r>
      <w:r w:rsidR="008E4761">
        <w:t xml:space="preserve">ueensland </w:t>
      </w:r>
      <w:r w:rsidRPr="002E3718">
        <w:t>G</w:t>
      </w:r>
      <w:r w:rsidR="008E4761">
        <w:t xml:space="preserve">roundwater </w:t>
      </w:r>
      <w:r w:rsidRPr="002E3718">
        <w:t>Database, the seismic survey database maintained by the Queensland Geological Survey, and the data available from the CSIRO PressurePlot database. The authors state that the upper Precipice Sandstone and the Evergreen Formation have shown suitable seal rock characteristics essential in the early stages of carbon dioxide injection into the aquifer. They state that there are currently no suitable pressure tests in wells in the Walloon Subgroup and the Hutton Sandstone to reliably assess possible reservoir or seal characteristics.</w:t>
      </w:r>
    </w:p>
    <w:p w:rsidR="00DD07AF" w:rsidRDefault="00365155" w:rsidP="00365155">
      <w:pPr>
        <w:pStyle w:val="BRNormal"/>
      </w:pPr>
      <w:r>
        <w:t>Varma et al. (2011</w:t>
      </w:r>
      <w:r w:rsidR="00DD07AF" w:rsidRPr="002E3718">
        <w:t>) reviewed the currently available literature relating to groundwater and other natural resources in four geological basins including the Surat Basin. The authors concluded that insufficient petrophysical and geomechanical data currently exist in the public domain for use in fault reactivation and seal deformation modelling, with the exception of horizontal stress data (</w:t>
      </w:r>
      <w:r w:rsidRPr="002E3718">
        <w:t>Hillis and Reynolds 2003</w:t>
      </w:r>
      <w:r>
        <w:t xml:space="preserve">; </w:t>
      </w:r>
      <w:r w:rsidRPr="002E3718">
        <w:t>Hillis et al. 1999</w:t>
      </w:r>
      <w:r>
        <w:t xml:space="preserve">; </w:t>
      </w:r>
      <w:r w:rsidR="00DD07AF" w:rsidRPr="002E3718">
        <w:t>Hillis et al. 1998</w:t>
      </w:r>
      <w:r>
        <w:t>)</w:t>
      </w:r>
      <w:r w:rsidR="00DD07AF" w:rsidRPr="002E3718">
        <w:t xml:space="preserve">. In particular, the authors noted the lack of publicly available shale </w:t>
      </w:r>
      <w:r w:rsidR="00DD07AF">
        <w:t xml:space="preserve">volume </w:t>
      </w:r>
      <w:r w:rsidR="00DD07AF" w:rsidRPr="002E3718">
        <w:t>and fault throw data.</w:t>
      </w:r>
    </w:p>
    <w:p w:rsidR="00DD07AF" w:rsidRDefault="00DD07AF" w:rsidP="00365155">
      <w:pPr>
        <w:pStyle w:val="BRNormal"/>
      </w:pPr>
      <w:r>
        <w:t xml:space="preserve">Future syntheses of such data may subsequently be used in quantitative assessments of the potential for geomechanical effects </w:t>
      </w:r>
      <w:r w:rsidRPr="00860CD0">
        <w:t xml:space="preserve">induced </w:t>
      </w:r>
      <w:r>
        <w:t xml:space="preserve">by mining operations, such as the FAST methodology of Mildren et al. (2002). Similarly, such data may be used to develop numerical geomechanical and/or hydrogeological models which may be used to predict the effects of mining activities such as aquifer/aquitard depressurisation. In summary, the potential for induced </w:t>
      </w:r>
      <w:r w:rsidRPr="00860CD0">
        <w:t>mechanical deformation, fracturing, and seismicity</w:t>
      </w:r>
      <w:r>
        <w:t xml:space="preserve"> would need to be assessed on a case-by-case basis. This cannot currently be addressed without improved characterisation of geomechanical properties at a local scale.</w:t>
      </w:r>
    </w:p>
    <w:p w:rsidR="00DD07AF" w:rsidRDefault="00DD07AF" w:rsidP="005F6513">
      <w:pPr>
        <w:pStyle w:val="Heading3"/>
      </w:pPr>
      <w:bookmarkStart w:id="594" w:name="_Toc381961146"/>
      <w:r>
        <w:t>Borehole leakage</w:t>
      </w:r>
      <w:bookmarkEnd w:id="594"/>
    </w:p>
    <w:p w:rsidR="00DD07AF" w:rsidRPr="00FC38DF" w:rsidRDefault="004C3291" w:rsidP="002068B3">
      <w:pPr>
        <w:pStyle w:val="BRNormal"/>
      </w:pPr>
      <w:r>
        <w:t>Although the borehole leakage study of Habermehl (2009) mentioned in previous section also included bores in the Surat Basin, to date no study exists on borehole leakage specifically for the Surat Basin.</w:t>
      </w:r>
    </w:p>
    <w:p w:rsidR="00DD07AF" w:rsidRDefault="00DD07AF" w:rsidP="005F6513">
      <w:pPr>
        <w:pStyle w:val="Heading2"/>
      </w:pPr>
      <w:bookmarkStart w:id="595" w:name="_Toc381961147"/>
      <w:bookmarkStart w:id="596" w:name="_Toc389055246"/>
      <w:r>
        <w:lastRenderedPageBreak/>
        <w:t>Groundwater recharge, flow and discharge</w:t>
      </w:r>
      <w:bookmarkEnd w:id="595"/>
      <w:bookmarkEnd w:id="596"/>
    </w:p>
    <w:p w:rsidR="00DD07AF" w:rsidRDefault="00DD07AF" w:rsidP="005F6513">
      <w:pPr>
        <w:pStyle w:val="Heading3"/>
      </w:pPr>
      <w:bookmarkStart w:id="597" w:name="_Toc381961148"/>
      <w:r>
        <w:t>Groundwater recharge</w:t>
      </w:r>
      <w:bookmarkEnd w:id="597"/>
    </w:p>
    <w:p w:rsidR="00DD07AF" w:rsidRDefault="00DD07AF" w:rsidP="002068B3">
      <w:pPr>
        <w:pStyle w:val="BRNormal"/>
      </w:pPr>
      <w:r>
        <w:t>Recharge to GAB aquifers in the Surat Basin is believed to predominantly occur via preferred pathways such as highly porous interbeds, ro</w:t>
      </w:r>
      <w:r w:rsidR="00256C4E">
        <w:t xml:space="preserve">ck fractures, </w:t>
      </w:r>
      <w:proofErr w:type="gramStart"/>
      <w:r w:rsidR="00256C4E">
        <w:t>solution</w:t>
      </w:r>
      <w:proofErr w:type="gramEnd"/>
      <w:r w:rsidR="00256C4E">
        <w:t xml:space="preserve"> cavities</w:t>
      </w:r>
      <w:r>
        <w:t xml:space="preserve"> and root cavities (Kellett et al. 2003). Other mechanisms include diffuse rech</w:t>
      </w:r>
      <w:r w:rsidR="00256C4E">
        <w:t>arge through the aquifer matrix</w:t>
      </w:r>
      <w:r>
        <w:t xml:space="preserve"> and by localised leakage below perennial or ephemeral rivers. The currently accepted extent of the Cadna-Owie-Hooray recharge areas was defined by Habermehl and Lau (1997). Recharge occurs primarily in intake beds located along its eastern and southern margin, where aquifer unit outcrops or subcrops occur. Barclay (2001) identified the</w:t>
      </w:r>
      <w:r w:rsidR="009E3D4B">
        <w:t xml:space="preserve"> Jurassic-Cretaceous</w:t>
      </w:r>
      <w:r>
        <w:t xml:space="preserve"> </w:t>
      </w:r>
      <w:r w:rsidR="009E3D4B">
        <w:t>(</w:t>
      </w:r>
      <w:r w:rsidRPr="0054768F">
        <w:t>J-K</w:t>
      </w:r>
      <w:r w:rsidR="009E3D4B">
        <w:t>)</w:t>
      </w:r>
      <w:r>
        <w:t xml:space="preserve"> aquifers as receiving the majority of current-day recharge to the GAB </w:t>
      </w:r>
      <w:r w:rsidR="009E3D4B">
        <w:t>(up to 51 per cent</w:t>
      </w:r>
      <w:r w:rsidRPr="00FC7319">
        <w:t>)</w:t>
      </w:r>
      <w:r>
        <w:t>, compa</w:t>
      </w:r>
      <w:r w:rsidR="009E3D4B">
        <w:t>red to the Hutton Sandstone (13 per cent) and Adori Sandstone (4 per cent</w:t>
      </w:r>
      <w:r>
        <w:t xml:space="preserve">). For this reason, and due to significant historical use of the artesian Cadna-Owie-Hooray aquifers of the GAB, the research relating to recharge processes in the </w:t>
      </w:r>
      <w:r w:rsidRPr="00777767">
        <w:t xml:space="preserve">Surat Basin </w:t>
      </w:r>
      <w:r>
        <w:t>tends to be focu</w:t>
      </w:r>
      <w:r w:rsidR="001F21BF">
        <w:t>s</w:t>
      </w:r>
      <w:r>
        <w:t xml:space="preserve">ed on this particular aquifer system. </w:t>
      </w:r>
    </w:p>
    <w:p w:rsidR="00DD07AF" w:rsidRDefault="00DD07AF" w:rsidP="002F1811">
      <w:pPr>
        <w:pStyle w:val="BRNormal"/>
      </w:pPr>
      <w:r>
        <w:t>Mechanisms, extents and rates of recharge in the GAB were reviewed by Herczeg and Love (2007). R</w:t>
      </w:r>
      <w:r w:rsidRPr="00A57009">
        <w:t xml:space="preserve">ates </w:t>
      </w:r>
      <w:r>
        <w:t xml:space="preserve">of recharge </w:t>
      </w:r>
      <w:r w:rsidRPr="00A57009">
        <w:t xml:space="preserve">in the eastern intake beds </w:t>
      </w:r>
      <w:r>
        <w:t xml:space="preserve">of the Surat Basin have been studied by </w:t>
      </w:r>
      <w:r w:rsidR="002F1811" w:rsidRPr="00A57009">
        <w:t>Kellett et al. (2003)</w:t>
      </w:r>
      <w:r w:rsidR="002F1811">
        <w:t xml:space="preserve">, </w:t>
      </w:r>
      <w:r w:rsidR="002F1811" w:rsidRPr="00A57009">
        <w:t>McMahon et al. (2002)</w:t>
      </w:r>
      <w:r w:rsidR="002F1811">
        <w:t>,</w:t>
      </w:r>
      <w:r w:rsidR="002F1811" w:rsidRPr="00A57009">
        <w:t xml:space="preserve"> </w:t>
      </w:r>
      <w:r w:rsidR="002F1811">
        <w:t>Radke et al. (2000) and Wolfgang (2000)</w:t>
      </w:r>
      <w:r w:rsidRPr="00A57009">
        <w:t xml:space="preserve">. </w:t>
      </w:r>
      <w:r>
        <w:t>Wolfgang (2000) estimated a recharge area of 453</w:t>
      </w:r>
      <w:r w:rsidR="00CB3AEC">
        <w:t xml:space="preserve"> - </w:t>
      </w:r>
      <w:r>
        <w:t>35</w:t>
      </w:r>
      <w:r w:rsidR="00CB3AEC">
        <w:t xml:space="preserve"> </w:t>
      </w:r>
      <w:r>
        <w:t>000 km</w:t>
      </w:r>
      <w:r>
        <w:rPr>
          <w:vertAlign w:val="superscript"/>
        </w:rPr>
        <w:t>2</w:t>
      </w:r>
      <w:r>
        <w:t xml:space="preserve"> with corresponding diffuse recharge rates of 2</w:t>
      </w:r>
      <w:r w:rsidR="00CB3AEC">
        <w:t xml:space="preserve"> </w:t>
      </w:r>
      <w:r>
        <w:t>-</w:t>
      </w:r>
      <w:r w:rsidR="00CB3AEC">
        <w:t xml:space="preserve"> </w:t>
      </w:r>
      <w:r>
        <w:t>51.2 mm/yr and a log</w:t>
      </w:r>
      <w:r w:rsidR="00AD4570">
        <w:t>arithmic</w:t>
      </w:r>
      <w:r w:rsidR="00CB3AEC">
        <w:t xml:space="preserve"> mean of 6</w:t>
      </w:r>
      <w:r>
        <w:t xml:space="preserve"> mm/yr. Radke et al. (2000) estimated diffuse recharge rates of 0.2 - 1.1 mm/yr. </w:t>
      </w:r>
      <w:r w:rsidRPr="00FC7319">
        <w:t>McMahon et al. (2002)</w:t>
      </w:r>
      <w:r>
        <w:t xml:space="preserve"> estimated diffuse recharge rates of 0.1 to 2 mm/yr and preferential pathway rates of up to 20 mm/yr. Leakage below rivers and creeks was estimated to provide 45 to 80 mm/yr of recharge. Kellett et al. (2003) </w:t>
      </w:r>
      <w:r w:rsidRPr="00A57009">
        <w:t xml:space="preserve">estimated rates of preferred pathway recharge between 0.5 and 28 mm/year. Rates of diffuse recharge were estimated to be between 0.3 and 2.4 mm/year. Recharge from </w:t>
      </w:r>
      <w:r>
        <w:t xml:space="preserve">localised </w:t>
      </w:r>
      <w:r w:rsidRPr="00A57009">
        <w:t>river leakage was estimated as being up to 30</w:t>
      </w:r>
      <w:r w:rsidR="002F1811">
        <w:t> </w:t>
      </w:r>
      <w:r w:rsidRPr="00A57009">
        <w:t>mm/year.</w:t>
      </w:r>
      <w:r>
        <w:t xml:space="preserve"> Leakage from the Macquarie and Castlereagh rivers into the Pilliga Sandstone was supported by isotopic evidence. </w:t>
      </w:r>
    </w:p>
    <w:p w:rsidR="00DD07AF" w:rsidRDefault="00DD07AF" w:rsidP="002F1811">
      <w:pPr>
        <w:pStyle w:val="BRNormal"/>
      </w:pPr>
      <w:r>
        <w:t xml:space="preserve">DNRM (2005) identified leakage occurring to Surat Basin aquifers from a number of sources: the Warrego River northeat of Augethella; the Nive River southeast of Tambo; the Maranoa River north of Mitchell; and the Weir River/Western Creek west of Toowoomba. Estimations of recharge using numerical models are limited to that of Welsh (2006), who used the GABTRAN model to estimate rates of up to 33 mm/yr, with an average of 2.4 mm/yr. </w:t>
      </w:r>
    </w:p>
    <w:p w:rsidR="00DD07AF" w:rsidRDefault="00DD07AF" w:rsidP="005F6513">
      <w:pPr>
        <w:pStyle w:val="Heading3"/>
      </w:pPr>
      <w:bookmarkStart w:id="598" w:name="_Toc381961149"/>
      <w:r>
        <w:t>Groundwater flow</w:t>
      </w:r>
      <w:bookmarkEnd w:id="598"/>
    </w:p>
    <w:p w:rsidR="00DD07AF" w:rsidRDefault="00DD07AF" w:rsidP="002F1811">
      <w:pPr>
        <w:pStyle w:val="BRNormal"/>
      </w:pPr>
      <w:r>
        <w:t xml:space="preserve">Habermehl (1980) characterised groundwater in the Cadna-Owie Hooray aquifers of the Surat Basin as flowing primarily from the recharge areas of the north and east toward the Eulo and Nebine ridges that separate the Surat and Eromanga basins. More recent work by Radke et al. (2000) based on modelling by Welsh (2000) did not significantly revise this interpretation. Recently, GABWRA (CSIRO 2012c) highlighted the influence of impermeable faults on groundwater flow, particularly the Hutton-Wallumbilla and Merivale faults in the north, and the Burunga-Leichardt and Moonie faults in the east. Faults that are believed to act as barriers to flow were identified according to the magnitude of vertical displacement around the fault. These faults were then included in a </w:t>
      </w:r>
      <w:r w:rsidRPr="00F9799D">
        <w:t xml:space="preserve">potentiometric surface developed from hydraulic head observations for the period 1900-1920 </w:t>
      </w:r>
      <w:r>
        <w:t xml:space="preserve">(Figure </w:t>
      </w:r>
      <w:r w:rsidR="00FA5429">
        <w:t>20</w:t>
      </w:r>
      <w:r>
        <w:t>)</w:t>
      </w:r>
      <w:r w:rsidRPr="00F9799D">
        <w:t>.</w:t>
      </w:r>
    </w:p>
    <w:p w:rsidR="00FE5C4D" w:rsidRDefault="00FE5C4D" w:rsidP="00FE5C4D">
      <w:pPr>
        <w:pStyle w:val="Body"/>
      </w:pPr>
      <w:r>
        <w:rPr>
          <w:noProof/>
          <w:lang w:val="en-AU" w:eastAsia="en-AU"/>
        </w:rPr>
        <w:lastRenderedPageBreak/>
        <w:drawing>
          <wp:inline distT="0" distB="0" distL="0" distR="0">
            <wp:extent cx="5760000" cy="5758578"/>
            <wp:effectExtent l="19050" t="19050" r="12150" b="13572"/>
            <wp:docPr id="97" name="Picture 22" descr="Faulted_pot_surf_SU_v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ulted_pot_surf_SU_v4.png"/>
                    <pic:cNvPicPr/>
                  </pic:nvPicPr>
                  <pic:blipFill>
                    <a:blip r:embed="rId47" cstate="email"/>
                    <a:stretch>
                      <a:fillRect/>
                    </a:stretch>
                  </pic:blipFill>
                  <pic:spPr>
                    <a:xfrm>
                      <a:off x="0" y="0"/>
                      <a:ext cx="5760000" cy="5758578"/>
                    </a:xfrm>
                    <a:prstGeom prst="rect">
                      <a:avLst/>
                    </a:prstGeom>
                    <a:ln w="3175">
                      <a:solidFill>
                        <a:schemeClr val="tx1"/>
                      </a:solidFill>
                    </a:ln>
                  </pic:spPr>
                </pic:pic>
              </a:graphicData>
            </a:graphic>
          </wp:inline>
        </w:drawing>
      </w:r>
    </w:p>
    <w:p w:rsidR="00FE5C4D" w:rsidRDefault="00FE5C4D" w:rsidP="00FE5C4D">
      <w:pPr>
        <w:pStyle w:val="Caption"/>
      </w:pPr>
      <w:r w:rsidRPr="00EA5A48">
        <w:t xml:space="preserve">Figure </w:t>
      </w:r>
      <w:r w:rsidR="00E23933" w:rsidRPr="00EA5A48">
        <w:rPr>
          <w:b/>
        </w:rPr>
        <w:fldChar w:fldCharType="begin"/>
      </w:r>
      <w:r w:rsidRPr="00EA5A48">
        <w:instrText xml:space="preserve"> SEQ Figure \* ARABIC </w:instrText>
      </w:r>
      <w:r w:rsidR="00E23933" w:rsidRPr="00EA5A48">
        <w:rPr>
          <w:b/>
        </w:rPr>
        <w:fldChar w:fldCharType="separate"/>
      </w:r>
      <w:r>
        <w:t>20</w:t>
      </w:r>
      <w:r w:rsidR="00E23933" w:rsidRPr="00EA5A48">
        <w:rPr>
          <w:b/>
        </w:rPr>
        <w:fldChar w:fldCharType="end"/>
      </w:r>
      <w:r>
        <w:rPr>
          <w:b/>
        </w:rPr>
        <w:t xml:space="preserve"> </w:t>
      </w:r>
      <w:r>
        <w:t xml:space="preserve">Interpolated </w:t>
      </w:r>
      <w:r w:rsidRPr="00810FA5">
        <w:t xml:space="preserve">potentiometric surface </w:t>
      </w:r>
      <w:r>
        <w:t xml:space="preserve">for the Surat Basin </w:t>
      </w:r>
      <w:r w:rsidRPr="00810FA5">
        <w:t>for</w:t>
      </w:r>
      <w:r>
        <w:t xml:space="preserve"> the period 1900-1920, including </w:t>
      </w:r>
      <w:r w:rsidRPr="00810FA5">
        <w:t>the effects of impermeable faults</w:t>
      </w:r>
      <w:r>
        <w:t xml:space="preserve"> </w:t>
      </w:r>
      <w:r w:rsidRPr="00810FA5">
        <w:t>(</w:t>
      </w:r>
      <w:r w:rsidR="00F976E1">
        <w:t>© Copyright</w:t>
      </w:r>
      <w:r>
        <w:t xml:space="preserve">, </w:t>
      </w:r>
      <w:r w:rsidRPr="00810FA5">
        <w:t>CSIRO 2012</w:t>
      </w:r>
      <w:r>
        <w:t>c</w:t>
      </w:r>
      <w:r w:rsidRPr="00810FA5">
        <w:t>)</w:t>
      </w:r>
      <w:r>
        <w:t>.</w:t>
      </w:r>
    </w:p>
    <w:p w:rsidR="00FE5C4D" w:rsidRDefault="00FE5C4D" w:rsidP="002F1811">
      <w:pPr>
        <w:pStyle w:val="BRNormal"/>
      </w:pPr>
    </w:p>
    <w:p w:rsidR="00A7547F" w:rsidRDefault="00A7547F" w:rsidP="002F1811">
      <w:pPr>
        <w:pStyle w:val="BRNormal"/>
      </w:pPr>
      <w:r>
        <w:t>Hodgkinson et al. (2010) interpolated potentiometric surfaces for multiple GAB units from data obtained from the Q</w:t>
      </w:r>
      <w:r w:rsidR="008E4761">
        <w:t xml:space="preserve">ueensland </w:t>
      </w:r>
      <w:r>
        <w:t>G</w:t>
      </w:r>
      <w:r w:rsidR="008E4761">
        <w:t xml:space="preserve">roundwater </w:t>
      </w:r>
      <w:r>
        <w:t>D</w:t>
      </w:r>
      <w:r w:rsidR="008E4761">
        <w:t>atabase</w:t>
      </w:r>
      <w:r>
        <w:t xml:space="preserve"> and </w:t>
      </w:r>
      <w:r w:rsidR="008E4761" w:rsidRPr="003614FB">
        <w:t>Queensland Petroleum Exploration Database</w:t>
      </w:r>
      <w:r w:rsidR="008E4761">
        <w:t xml:space="preserve"> (</w:t>
      </w:r>
      <w:r>
        <w:t>hydrogeological databases</w:t>
      </w:r>
      <w:r w:rsidR="008E4761">
        <w:t>)</w:t>
      </w:r>
      <w:r>
        <w:t xml:space="preserve"> and from the CSIRO PressurePlot pressure database. The authors observed that in the southeast and east of the Surat Basin, groundwater systems behave as discrete aquifers with independent flow regimes. I</w:t>
      </w:r>
      <w:r w:rsidRPr="00361376">
        <w:t>n the Precipice Sandstone</w:t>
      </w:r>
      <w:r>
        <w:t>, inter</w:t>
      </w:r>
      <w:r w:rsidR="00FE5C4D">
        <w:t>-</w:t>
      </w:r>
      <w:r>
        <w:t xml:space="preserve">basin flow from the Surat Basin into the Clarence-Moreton Basin was identified. In the Hutton Sandstone, the opposite relationship was observed, with groundwater flowing from the Clarence-Moreton Basin into the Surat Basin. </w:t>
      </w:r>
    </w:p>
    <w:p w:rsidR="00117243" w:rsidRDefault="00117243" w:rsidP="002F1811">
      <w:pPr>
        <w:pStyle w:val="BRNormal"/>
      </w:pPr>
    </w:p>
    <w:p w:rsidR="00117243" w:rsidRPr="00621F4D" w:rsidRDefault="00117243" w:rsidP="002F1811">
      <w:pPr>
        <w:pStyle w:val="BRNormal"/>
      </w:pPr>
    </w:p>
    <w:p w:rsidR="00A7547F" w:rsidRDefault="00A7547F" w:rsidP="005F6513">
      <w:pPr>
        <w:pStyle w:val="Heading3"/>
      </w:pPr>
      <w:bookmarkStart w:id="599" w:name="_Toc381961150"/>
      <w:r>
        <w:lastRenderedPageBreak/>
        <w:t>Groundwater discharge</w:t>
      </w:r>
      <w:bookmarkEnd w:id="599"/>
    </w:p>
    <w:p w:rsidR="00A7547F" w:rsidRPr="00621F4D" w:rsidRDefault="00A7547F" w:rsidP="002F1811">
      <w:pPr>
        <w:pStyle w:val="BRNormal"/>
      </w:pPr>
      <w:r w:rsidRPr="008F0030">
        <w:t>The discharge of artesian groundwater may occur as diffuse discharge through confining layers or via preferential pathways such as faults and fractures. Although rates of diffuse discharge may be relatively low (i.e. in the order of millimetres per year), the process may occur over a considerable spatial extent; therefore the total volumetric discharge may be significant.</w:t>
      </w:r>
      <w:r>
        <w:t xml:space="preserve"> GABWRA (CSIRO 2012c) provided a first-order estimate of diffuse discharge for the Surat Basin of 90 GL/yr, based upon hydraulic gradients between the potentiometric surface of the Cadna-Owie-Hooray aquifers and the regional water table. In the Surat Basin, 643 groundwater-fed springs have been identi</w:t>
      </w:r>
      <w:r w:rsidR="00CF78C5">
        <w:t xml:space="preserve">fied, of which 52 per cent </w:t>
      </w:r>
      <w:r>
        <w:t xml:space="preserve">are currently active. The majority of springs are associated with geologic faults </w:t>
      </w:r>
      <w:r w:rsidRPr="00462AF4">
        <w:t>(CSIRO 2012c)</w:t>
      </w:r>
      <w:r>
        <w:t>. Habermehl (1982) estimated the volumetric rate of groundwater discharged to springs in the Surat Basin at 14</w:t>
      </w:r>
      <w:r w:rsidR="00FE5C4D">
        <w:t> 000 </w:t>
      </w:r>
      <w:r>
        <w:t>ML/yr.</w:t>
      </w:r>
    </w:p>
    <w:p w:rsidR="00A7547F" w:rsidRPr="00AC6A19" w:rsidRDefault="00A7547F" w:rsidP="005F6513">
      <w:pPr>
        <w:pStyle w:val="Heading2"/>
      </w:pPr>
      <w:bookmarkStart w:id="600" w:name="_Toc381961151"/>
      <w:bookmarkStart w:id="601" w:name="_Toc389055247"/>
      <w:r w:rsidRPr="00AC6A19">
        <w:t>Hydrochemistry and isotopes</w:t>
      </w:r>
      <w:bookmarkEnd w:id="600"/>
      <w:bookmarkEnd w:id="601"/>
    </w:p>
    <w:p w:rsidR="00A7547F" w:rsidRDefault="00A7547F" w:rsidP="002F1811">
      <w:pPr>
        <w:pStyle w:val="BRNormal"/>
      </w:pPr>
      <w:r>
        <w:t xml:space="preserve">The majority of hydrogeological knowledge relating to the Surat Basin has come from the development of potable groundwater supplies. Therefore the availability of hydrochemical information relating to the hydrogeological units of the Surat Basin is inherently biased toward productive freshwater-bearing units. Conversely, the hydrochemistry of confining aquitard layers is relatively poorly characterised. </w:t>
      </w:r>
    </w:p>
    <w:p w:rsidR="00FE5C4D" w:rsidRDefault="00FE5C4D" w:rsidP="005F6513">
      <w:pPr>
        <w:pStyle w:val="Heading3"/>
      </w:pPr>
      <w:bookmarkStart w:id="602" w:name="_Toc381961152"/>
      <w:r w:rsidRPr="00FE5C4D">
        <w:t>Hydrochemical</w:t>
      </w:r>
      <w:r>
        <w:t xml:space="preserve"> studies</w:t>
      </w:r>
      <w:bookmarkEnd w:id="602"/>
    </w:p>
    <w:p w:rsidR="00A7547F" w:rsidRDefault="00FE5C4D" w:rsidP="00FE5C4D">
      <w:pPr>
        <w:pStyle w:val="BRNormal"/>
      </w:pPr>
      <w:r>
        <w:t>GABWRA (CSIRO 2012c) provided an up-to-date summary of the hydrochemistry (including isotopic studies) of the Lower Cretaceous-Jurassic aquifers of the Surat Basin. Groundwater generally contains 500 to 1500 mg/L total dissolved solids and features a pH of 7.5 to 8. The hydrochemical composition typically evolves from low salinity and slightly acid groundwater in recharge zones, to calcium-magnesium-bicarbonate-chloride-type groundwater, to sodium-bicarbonate-chloride-type groundwater toward discharge zones. The dissolution of silicate and carbonate minerals due to the presence of carbon dioxide in recharge zones can lead to elevated alkalinity levels and increased sodium, calcium and magnesium concentrations. Cation exchange reactions can lead to elevated sodium concentrations, which in turn can result in increased sodium adsorption ratios. Increases in chloride concentration may be due to mixing with saline aquitards or with deeper groundwater of relatively higher salinity. Local-scale characterisation of GAB unit hydrochemistry in the Surat Basin has been undertaken by each of the four CSG mining operations as part of EIS requ</w:t>
      </w:r>
      <w:r w:rsidRPr="00D01C92">
        <w:rPr>
          <w:color w:val="000000" w:themeColor="text1"/>
        </w:rPr>
        <w:t xml:space="preserve">irements (see </w:t>
      </w:r>
      <w:r>
        <w:rPr>
          <w:color w:val="000000" w:themeColor="text1"/>
        </w:rPr>
        <w:t xml:space="preserve">Coffey </w:t>
      </w:r>
      <w:r w:rsidRPr="00D01C92">
        <w:rPr>
          <w:color w:val="000000" w:themeColor="text1"/>
        </w:rPr>
        <w:t>2012</w:t>
      </w:r>
      <w:r>
        <w:rPr>
          <w:color w:val="000000" w:themeColor="text1"/>
        </w:rPr>
        <w:t>;</w:t>
      </w:r>
      <w:r w:rsidRPr="00D01C92">
        <w:rPr>
          <w:color w:val="000000" w:themeColor="text1"/>
        </w:rPr>
        <w:t xml:space="preserve"> </w:t>
      </w:r>
      <w:r>
        <w:rPr>
          <w:color w:val="000000" w:themeColor="text1"/>
        </w:rPr>
        <w:t>WorleyParsons</w:t>
      </w:r>
      <w:r w:rsidRPr="00D01C92">
        <w:rPr>
          <w:color w:val="000000" w:themeColor="text1"/>
        </w:rPr>
        <w:t xml:space="preserve"> 2010a</w:t>
      </w:r>
      <w:r>
        <w:rPr>
          <w:color w:val="000000" w:themeColor="text1"/>
        </w:rPr>
        <w:t>; WorleyParsons</w:t>
      </w:r>
      <w:r w:rsidRPr="00D01C92">
        <w:rPr>
          <w:color w:val="000000" w:themeColor="text1"/>
        </w:rPr>
        <w:t xml:space="preserve"> 2010b</w:t>
      </w:r>
      <w:r>
        <w:rPr>
          <w:color w:val="000000" w:themeColor="text1"/>
        </w:rPr>
        <w:t>;</w:t>
      </w:r>
      <w:r w:rsidRPr="002F1811">
        <w:rPr>
          <w:color w:val="000000" w:themeColor="text1"/>
        </w:rPr>
        <w:t xml:space="preserve"> </w:t>
      </w:r>
      <w:r w:rsidRPr="00D01C92">
        <w:rPr>
          <w:color w:val="000000" w:themeColor="text1"/>
        </w:rPr>
        <w:t>QGC 2009</w:t>
      </w:r>
      <w:r>
        <w:rPr>
          <w:color w:val="000000" w:themeColor="text1"/>
        </w:rPr>
        <w:t>;</w:t>
      </w:r>
      <w:r w:rsidRPr="00D01C92">
        <w:rPr>
          <w:color w:val="000000" w:themeColor="text1"/>
        </w:rPr>
        <w:t xml:space="preserve"> URS 2009a</w:t>
      </w:r>
      <w:r>
        <w:rPr>
          <w:color w:val="000000" w:themeColor="text1"/>
        </w:rPr>
        <w:t>; URS 2009b)</w:t>
      </w:r>
      <w:r w:rsidRPr="00D01C92">
        <w:rPr>
          <w:color w:val="000000" w:themeColor="text1"/>
        </w:rPr>
        <w:t xml:space="preserve">. </w:t>
      </w:r>
      <w:r>
        <w:t>Analysis of the spatial variability of the hydrochemistry of the Walloon Coal Measures has also recently been undertaken by WorleyParsons (2010b).</w:t>
      </w:r>
    </w:p>
    <w:p w:rsidR="00DD07AF" w:rsidRDefault="00DD07AF" w:rsidP="005F6513">
      <w:pPr>
        <w:pStyle w:val="Heading3"/>
      </w:pPr>
      <w:bookmarkStart w:id="603" w:name="_Toc381961153"/>
      <w:r>
        <w:t>Isotopic studies</w:t>
      </w:r>
      <w:bookmarkEnd w:id="603"/>
    </w:p>
    <w:p w:rsidR="00DD07AF" w:rsidRDefault="00AD4570" w:rsidP="00661ABC">
      <w:pPr>
        <w:pStyle w:val="BRNormal"/>
      </w:pPr>
      <w:r w:rsidRPr="00AD4570">
        <w:t xml:space="preserve">As discussed in chapter 5, isotopic studies of groundwater have </w:t>
      </w:r>
      <w:r w:rsidR="00820988">
        <w:t xml:space="preserve">been </w:t>
      </w:r>
      <w:r w:rsidRPr="00AD4570">
        <w:t xml:space="preserve">undertaken in the Eromanga Basin, including those of </w:t>
      </w:r>
      <w:r w:rsidR="00661ABC" w:rsidRPr="00AD4570">
        <w:t xml:space="preserve">Mahara et al. (2009), Torgerson et al. (1991), Bentley et al. (1986), </w:t>
      </w:r>
      <w:r w:rsidRPr="00AD4570">
        <w:t>Airey et al. (1983), and among others. The eastward extent of each of these studies lies to the west of the Eulo-Nebine Ridge</w:t>
      </w:r>
      <w:r>
        <w:t>, and therefore outside of the Surat Basin</w:t>
      </w:r>
      <w:r w:rsidRPr="00AD4570">
        <w:t>. No significant studies using groundwater isotopes have been published for the Surat Basin. Recently, CSG development in the Surat Basin has driven new interest in applied groundwater isotope studies, particularly to characterise interactions between the Walloon Coal Measures and confining units.</w:t>
      </w:r>
      <w:r w:rsidR="00DD07AF">
        <w:t xml:space="preserve"> </w:t>
      </w:r>
      <w:r w:rsidR="00B5271A">
        <w:t>A review of various isotope measurements undertaken to-date in the Surat Basin has recently been undertaken by Geoscience Australia; the results of this review are yet to be published.</w:t>
      </w:r>
    </w:p>
    <w:p w:rsidR="00DD07AF" w:rsidRPr="00AC6A19" w:rsidRDefault="00DD07AF" w:rsidP="005F6513">
      <w:pPr>
        <w:pStyle w:val="Heading2"/>
      </w:pPr>
      <w:bookmarkStart w:id="604" w:name="_Toc381961154"/>
      <w:bookmarkStart w:id="605" w:name="_Toc389055248"/>
      <w:r w:rsidRPr="00AC6A19">
        <w:lastRenderedPageBreak/>
        <w:t>Groundwater modelling</w:t>
      </w:r>
      <w:bookmarkEnd w:id="604"/>
      <w:bookmarkEnd w:id="605"/>
    </w:p>
    <w:p w:rsidR="00DD07AF" w:rsidRDefault="00DD07AF" w:rsidP="00661ABC">
      <w:pPr>
        <w:pStyle w:val="BRNormal"/>
      </w:pPr>
      <w:r w:rsidRPr="00BA781A">
        <w:t xml:space="preserve">Modelling of the </w:t>
      </w:r>
      <w:r>
        <w:t xml:space="preserve">Surat Basin </w:t>
      </w:r>
      <w:r w:rsidRPr="00BA781A">
        <w:t xml:space="preserve">began with </w:t>
      </w:r>
      <w:r>
        <w:t xml:space="preserve">basin-scale </w:t>
      </w:r>
      <w:r w:rsidRPr="00BA781A">
        <w:t>models by Ungemach (</w:t>
      </w:r>
      <w:r w:rsidR="00FE5C4D">
        <w:t xml:space="preserve">1975; </w:t>
      </w:r>
      <w:r w:rsidRPr="00BA781A">
        <w:t>GABSIM) and Seidel (</w:t>
      </w:r>
      <w:r w:rsidR="00FE5C4D">
        <w:t xml:space="preserve">1978; </w:t>
      </w:r>
      <w:r w:rsidRPr="00BA781A">
        <w:t>GABHYD), followed many years later by the work of Welsh (2000</w:t>
      </w:r>
      <w:r>
        <w:t xml:space="preserve">; </w:t>
      </w:r>
      <w:r w:rsidRPr="00BA781A">
        <w:t xml:space="preserve">2006). Each of these models sought to represent only the Lower Cretaceous-Jurassic sandstone aquifers using single layer models. Modelling of subsections of the </w:t>
      </w:r>
      <w:r>
        <w:t xml:space="preserve">Surat Basin began with water resource models of the Lower Namoi (Merrick 2001) and Moree (Hopkins 1996). </w:t>
      </w:r>
      <w:r w:rsidRPr="00BA781A">
        <w:t>More recently,</w:t>
      </w:r>
      <w:r>
        <w:t xml:space="preserve"> multi-layered r</w:t>
      </w:r>
      <w:r w:rsidRPr="00BA781A">
        <w:t xml:space="preserve">egional-scale models </w:t>
      </w:r>
      <w:r>
        <w:t xml:space="preserve">of CSG impacts </w:t>
      </w:r>
      <w:r w:rsidRPr="00BA781A">
        <w:t>have been developed</w:t>
      </w:r>
      <w:r>
        <w:t xml:space="preserve"> as part of Environmental Impact Statement requirements (</w:t>
      </w:r>
      <w:r w:rsidR="00661ABC">
        <w:t xml:space="preserve">SWS 2011; WorleyParsons 2010a; </w:t>
      </w:r>
      <w:r>
        <w:t>Golder Associates 2009; Matri</w:t>
      </w:r>
      <w:r w:rsidR="00661ABC">
        <w:t>xPlus 2009</w:t>
      </w:r>
      <w:r>
        <w:t>). There are currently no publicly available reservoir models or CO</w:t>
      </w:r>
      <w:r>
        <w:rPr>
          <w:vertAlign w:val="subscript"/>
        </w:rPr>
        <w:t>2</w:t>
      </w:r>
      <w:r>
        <w:t xml:space="preserve"> sequestration models for the Surat Basin. Smith and Welsh (2011)</w:t>
      </w:r>
      <w:r w:rsidRPr="00043B43">
        <w:t xml:space="preserve"> summarised </w:t>
      </w:r>
      <w:r>
        <w:t>the details of a number of past hydrogeological models of the Surat Basin and t</w:t>
      </w:r>
      <w:r w:rsidRPr="00043B43">
        <w:t xml:space="preserve">his information is collated </w:t>
      </w:r>
      <w:r w:rsidR="00F33173">
        <w:t xml:space="preserve">in Table </w:t>
      </w:r>
      <w:r w:rsidR="00254FAA">
        <w:t>16</w:t>
      </w:r>
      <w:r w:rsidRPr="0039190F">
        <w:t>.</w:t>
      </w:r>
      <w:r w:rsidR="00BC0EF3" w:rsidRPr="0039190F">
        <w:t xml:space="preserve"> </w:t>
      </w:r>
      <w:r w:rsidR="003614FB" w:rsidRPr="0039190F">
        <w:t>The QWC has developed a 3D geologic model for the Surat Basin (QWC 2012c).</w:t>
      </w:r>
    </w:p>
    <w:p w:rsidR="00FE5C4D" w:rsidRDefault="00FE5C4D" w:rsidP="00FE5C4D">
      <w:pPr>
        <w:pStyle w:val="BRNormal"/>
      </w:pPr>
      <w:r>
        <w:t>T</w:t>
      </w:r>
      <w:r w:rsidRPr="00C37088">
        <w:t>hese models feature a wide range of spatial model extents, ranging from small local-scale models of around 5 km</w:t>
      </w:r>
      <w:r w:rsidRPr="00E82669">
        <w:rPr>
          <w:vertAlign w:val="superscript"/>
        </w:rPr>
        <w:t>2</w:t>
      </w:r>
      <w:r w:rsidRPr="00C37088">
        <w:t xml:space="preserve"> extent, to basin-scale models that cover the entirety of the GAB. </w:t>
      </w:r>
      <w:r>
        <w:t>V</w:t>
      </w:r>
      <w:r w:rsidRPr="00C37088">
        <w:t xml:space="preserve">ertical complexity is also variable, </w:t>
      </w:r>
      <w:r>
        <w:t>with more recent (post-2000) models representing multiple (&gt;10)</w:t>
      </w:r>
      <w:r w:rsidRPr="00C37088">
        <w:t xml:space="preserve"> hydrogeological layers.</w:t>
      </w:r>
      <w:r w:rsidRPr="00FC31F3">
        <w:t xml:space="preserve"> None of these models simulated the effects of preferential pathway flow, multiphase flow or geomechanical processes.</w:t>
      </w:r>
    </w:p>
    <w:p w:rsidR="00FE5C4D" w:rsidRDefault="00FE5C4D" w:rsidP="005F6513">
      <w:pPr>
        <w:pStyle w:val="Heading2"/>
      </w:pPr>
      <w:bookmarkStart w:id="606" w:name="_Toc381961155"/>
      <w:bookmarkStart w:id="607" w:name="_Toc389055249"/>
      <w:r>
        <w:t>Aquifer connectivity</w:t>
      </w:r>
      <w:bookmarkEnd w:id="606"/>
      <w:bookmarkEnd w:id="607"/>
    </w:p>
    <w:p w:rsidR="00FE5C4D" w:rsidRDefault="00FE5C4D" w:rsidP="00FE5C4D">
      <w:pPr>
        <w:pStyle w:val="BRNormal"/>
      </w:pPr>
      <w:r>
        <w:t xml:space="preserve">From the research presented in the preceding sections, it can be seen that studies of aquifer connectivity in the Surat Basin are relatively few. The hydraulic connection between two aquifers separated by an aquitard will be a function of the hydraulic properties of each of the units, particularly the confining unit. </w:t>
      </w:r>
    </w:p>
    <w:p w:rsidR="00FE5C4D" w:rsidRPr="001227C3" w:rsidRDefault="00FE5C4D" w:rsidP="00FE5C4D">
      <w:pPr>
        <w:pStyle w:val="BRNormal"/>
      </w:pPr>
      <w:r>
        <w:t xml:space="preserve">Hitchon and Hays (1971) applied a simplified conceptualisation of groundwater flow system to the Surat Basin in order to assess the economic viability of developing the hydrocarbon resources of the Basin. The authors combined existing and unpublished pressure measurements from drill-stem tests and standing water level measurements to create pressure-depth plots and thereby develop two vertical cross-sections of the Basin. Along a 450 mile-long north-south-oriented cross-section the authors interpret upward vertical groundwater flows occurring to the Middle and Upper Jurassic units from underlying Permian and Triassic units. Similar interpretation of upward vertical flow is also presented for a 225 mile-long east-west-oriented cross-section, with some downward flows from the Middle and Upper Jurassic units. Hitchon and Hays (1971) also suggested that the low relative permeability of confining units alone is not sufficient to significantly retard vertical flow where a hydraulic gradient exists. </w:t>
      </w:r>
    </w:p>
    <w:p w:rsidR="00FE5C4D" w:rsidRDefault="00FE5C4D" w:rsidP="00FE5C4D">
      <w:pPr>
        <w:pStyle w:val="BRNormal"/>
      </w:pPr>
      <w:r>
        <w:t xml:space="preserve">Historically, the Surat Basin was conceptualised as a binary layered system of aquifers and confining beds. A recent reclassification of the hydrostratigraphy of the </w:t>
      </w:r>
      <w:r w:rsidRPr="00AD1CBC">
        <w:t xml:space="preserve">Surat Basin </w:t>
      </w:r>
      <w:r>
        <w:t xml:space="preserve">by GABWRA (CSIRO 2012c) has expanded the definition of confining unit to include three aquitard types of varying hydraulic conductivity: leaky aquitards, tight aquitards and aquicludes. Distinctions are also now made between aquifers and partial aquifers. The classification of a given hydrogeological unit is also spatially dependent and has been applied across the GAB, including the Surat Basin. </w:t>
      </w:r>
    </w:p>
    <w:p w:rsidR="00FE5C4D" w:rsidRDefault="00FE5C4D" w:rsidP="00661ABC">
      <w:pPr>
        <w:pStyle w:val="BRNormal"/>
      </w:pPr>
    </w:p>
    <w:p w:rsidR="00FE5C4D" w:rsidRDefault="00FE5C4D" w:rsidP="00661ABC">
      <w:pPr>
        <w:pStyle w:val="BRNormal"/>
      </w:pPr>
    </w:p>
    <w:p w:rsidR="00FE5C4D" w:rsidRDefault="00FE5C4D" w:rsidP="00661ABC">
      <w:pPr>
        <w:pStyle w:val="BRNormal"/>
      </w:pPr>
    </w:p>
    <w:p w:rsidR="00DD07AF" w:rsidRDefault="008A02A9" w:rsidP="008A02A9">
      <w:pPr>
        <w:pStyle w:val="Caption"/>
      </w:pPr>
      <w:proofErr w:type="gramStart"/>
      <w:r w:rsidRPr="006F2073">
        <w:lastRenderedPageBreak/>
        <w:t xml:space="preserve">Table </w:t>
      </w:r>
      <w:r w:rsidR="00E23933" w:rsidRPr="006F2073">
        <w:rPr>
          <w:b/>
          <w:noProof w:val="0"/>
        </w:rPr>
        <w:fldChar w:fldCharType="begin"/>
      </w:r>
      <w:r w:rsidRPr="006F2073">
        <w:instrText xml:space="preserve"> SEQ Table \* ARABIC </w:instrText>
      </w:r>
      <w:r w:rsidR="00E23933" w:rsidRPr="006F2073">
        <w:rPr>
          <w:b/>
          <w:noProof w:val="0"/>
        </w:rPr>
        <w:fldChar w:fldCharType="separate"/>
      </w:r>
      <w:r w:rsidR="00254FAA">
        <w:t>16</w:t>
      </w:r>
      <w:r w:rsidR="00E23933" w:rsidRPr="006F2073">
        <w:rPr>
          <w:b/>
        </w:rPr>
        <w:fldChar w:fldCharType="end"/>
      </w:r>
      <w:r>
        <w:rPr>
          <w:b/>
        </w:rPr>
        <w:t xml:space="preserve"> </w:t>
      </w:r>
      <w:r w:rsidR="00DD07AF" w:rsidRPr="00810FA5">
        <w:t xml:space="preserve">Summary of hydrogeological models of the </w:t>
      </w:r>
      <w:r w:rsidR="00DD07AF">
        <w:t xml:space="preserve">Surat </w:t>
      </w:r>
      <w:r w:rsidR="00DD07AF" w:rsidRPr="00810FA5">
        <w:t>Basin</w:t>
      </w:r>
      <w:r w:rsidR="00FE5C4D">
        <w:t xml:space="preserve"> (</w:t>
      </w:r>
      <w:r w:rsidR="00F976E1">
        <w:t>© Copyright</w:t>
      </w:r>
      <w:r w:rsidR="00FE5C4D">
        <w:t xml:space="preserve">, </w:t>
      </w:r>
      <w:r w:rsidR="00DD07AF" w:rsidRPr="00810FA5">
        <w:t xml:space="preserve">Smith </w:t>
      </w:r>
      <w:r w:rsidR="00FE5C4D">
        <w:t>&amp;</w:t>
      </w:r>
      <w:r w:rsidR="00DD07AF" w:rsidRPr="00810FA5">
        <w:t xml:space="preserve"> Welsh 2011</w:t>
      </w:r>
      <w:r w:rsidR="00FE5C4D">
        <w:t xml:space="preserve">; </w:t>
      </w:r>
      <w:r w:rsidR="00FE5C4D" w:rsidRPr="008A02A9">
        <w:t>SWS 2012</w:t>
      </w:r>
      <w:r w:rsidR="00FE5C4D">
        <w:t xml:space="preserve">; </w:t>
      </w:r>
      <w:r w:rsidR="00DD07AF">
        <w:t>USQ 2011)</w:t>
      </w:r>
      <w:r>
        <w:t>.</w:t>
      </w:r>
      <w:proofErr w:type="gramEnd"/>
      <w:r w:rsidR="00FE5C4D">
        <w:t xml:space="preserve"> </w:t>
      </w:r>
    </w:p>
    <w:tbl>
      <w:tblPr>
        <w:tblStyle w:val="TableGrid"/>
        <w:tblW w:w="9198" w:type="dxa"/>
        <w:tblInd w:w="108" w:type="dxa"/>
        <w:tblBorders>
          <w:insideV w:val="none" w:sz="0" w:space="0" w:color="auto"/>
        </w:tblBorders>
        <w:tblLook w:val="04A0"/>
      </w:tblPr>
      <w:tblGrid>
        <w:gridCol w:w="2127"/>
        <w:gridCol w:w="1842"/>
        <w:gridCol w:w="1472"/>
        <w:gridCol w:w="1505"/>
        <w:gridCol w:w="991"/>
        <w:gridCol w:w="1261"/>
      </w:tblGrid>
      <w:tr w:rsidR="00DD07AF" w:rsidRPr="008A02A9" w:rsidTr="00FE5C4D">
        <w:trPr>
          <w:tblHeader/>
        </w:trPr>
        <w:tc>
          <w:tcPr>
            <w:tcW w:w="2127" w:type="dxa"/>
            <w:tcBorders>
              <w:bottom w:val="single" w:sz="4" w:space="0" w:color="auto"/>
              <w:right w:val="single" w:sz="4" w:space="0" w:color="auto"/>
            </w:tcBorders>
            <w:shd w:val="clear" w:color="auto" w:fill="C6D9F1" w:themeFill="text2" w:themeFillTint="33"/>
            <w:vAlign w:val="center"/>
          </w:tcPr>
          <w:p w:rsidR="00DD07AF" w:rsidRPr="008A02A9" w:rsidRDefault="00DD07AF" w:rsidP="00470AD4">
            <w:pPr>
              <w:pStyle w:val="Tableheading"/>
            </w:pPr>
            <w:r w:rsidRPr="008A02A9">
              <w:t>Model name</w:t>
            </w:r>
          </w:p>
        </w:tc>
        <w:tc>
          <w:tcPr>
            <w:tcW w:w="1842" w:type="dxa"/>
            <w:tcBorders>
              <w:left w:val="single" w:sz="4" w:space="0" w:color="auto"/>
              <w:bottom w:val="single" w:sz="4" w:space="0" w:color="auto"/>
              <w:right w:val="single" w:sz="4" w:space="0" w:color="auto"/>
            </w:tcBorders>
            <w:shd w:val="clear" w:color="auto" w:fill="C6D9F1" w:themeFill="text2" w:themeFillTint="33"/>
            <w:vAlign w:val="center"/>
          </w:tcPr>
          <w:p w:rsidR="00DD07AF" w:rsidRPr="008A02A9" w:rsidRDefault="00DD07AF" w:rsidP="00470AD4">
            <w:pPr>
              <w:pStyle w:val="Tableheading"/>
            </w:pPr>
            <w:r w:rsidRPr="008A02A9">
              <w:t>Reference</w:t>
            </w:r>
          </w:p>
        </w:tc>
        <w:tc>
          <w:tcPr>
            <w:tcW w:w="1472" w:type="dxa"/>
            <w:tcBorders>
              <w:left w:val="single" w:sz="4" w:space="0" w:color="auto"/>
              <w:bottom w:val="single" w:sz="4" w:space="0" w:color="auto"/>
              <w:right w:val="single" w:sz="4" w:space="0" w:color="auto"/>
            </w:tcBorders>
            <w:shd w:val="clear" w:color="auto" w:fill="C6D9F1" w:themeFill="text2" w:themeFillTint="33"/>
            <w:vAlign w:val="center"/>
          </w:tcPr>
          <w:p w:rsidR="00DD07AF" w:rsidRPr="008A02A9" w:rsidRDefault="00DD07AF" w:rsidP="00470AD4">
            <w:pPr>
              <w:pStyle w:val="Tableheading"/>
            </w:pPr>
            <w:r w:rsidRPr="008A02A9">
              <w:t>Purpose</w:t>
            </w:r>
          </w:p>
        </w:tc>
        <w:tc>
          <w:tcPr>
            <w:tcW w:w="1505" w:type="dxa"/>
            <w:tcBorders>
              <w:left w:val="single" w:sz="4" w:space="0" w:color="auto"/>
              <w:bottom w:val="single" w:sz="4" w:space="0" w:color="auto"/>
              <w:right w:val="single" w:sz="4" w:space="0" w:color="auto"/>
            </w:tcBorders>
            <w:shd w:val="clear" w:color="auto" w:fill="C6D9F1" w:themeFill="text2" w:themeFillTint="33"/>
            <w:vAlign w:val="center"/>
          </w:tcPr>
          <w:p w:rsidR="00DD07AF" w:rsidRPr="008A02A9" w:rsidRDefault="00DD07AF" w:rsidP="00470AD4">
            <w:pPr>
              <w:pStyle w:val="Tableheading"/>
            </w:pPr>
            <w:r w:rsidRPr="008A02A9">
              <w:t>Areal extent (km</w:t>
            </w:r>
            <w:r w:rsidRPr="008A02A9">
              <w:rPr>
                <w:vertAlign w:val="superscript"/>
              </w:rPr>
              <w:t>2</w:t>
            </w:r>
            <w:r w:rsidRPr="008A02A9">
              <w:t xml:space="preserve"> x 1000)</w:t>
            </w:r>
          </w:p>
        </w:tc>
        <w:tc>
          <w:tcPr>
            <w:tcW w:w="991" w:type="dxa"/>
            <w:tcBorders>
              <w:left w:val="single" w:sz="4" w:space="0" w:color="auto"/>
              <w:bottom w:val="single" w:sz="4" w:space="0" w:color="auto"/>
              <w:right w:val="single" w:sz="4" w:space="0" w:color="auto"/>
            </w:tcBorders>
            <w:shd w:val="clear" w:color="auto" w:fill="C6D9F1" w:themeFill="text2" w:themeFillTint="33"/>
            <w:vAlign w:val="center"/>
          </w:tcPr>
          <w:p w:rsidR="00DD07AF" w:rsidRPr="008A02A9" w:rsidRDefault="00DD07AF" w:rsidP="00470AD4">
            <w:pPr>
              <w:pStyle w:val="Tableheading"/>
            </w:pPr>
            <w:r w:rsidRPr="008A02A9">
              <w:t>Layers</w:t>
            </w:r>
          </w:p>
        </w:tc>
        <w:tc>
          <w:tcPr>
            <w:tcW w:w="1261" w:type="dxa"/>
            <w:tcBorders>
              <w:left w:val="single" w:sz="4" w:space="0" w:color="auto"/>
              <w:bottom w:val="single" w:sz="4" w:space="0" w:color="auto"/>
            </w:tcBorders>
            <w:shd w:val="clear" w:color="auto" w:fill="C6D9F1" w:themeFill="text2" w:themeFillTint="33"/>
            <w:vAlign w:val="center"/>
          </w:tcPr>
          <w:p w:rsidR="00DD07AF" w:rsidRPr="008A02A9" w:rsidRDefault="00DD07AF" w:rsidP="00470AD4">
            <w:pPr>
              <w:pStyle w:val="Tableheading"/>
            </w:pPr>
            <w:r w:rsidRPr="008A02A9">
              <w:t>Software</w:t>
            </w:r>
          </w:p>
        </w:tc>
      </w:tr>
      <w:tr w:rsidR="00DD07AF" w:rsidRPr="008A02A9" w:rsidTr="00FE5C4D">
        <w:tc>
          <w:tcPr>
            <w:tcW w:w="2127" w:type="dxa"/>
            <w:tcBorders>
              <w:bottom w:val="single" w:sz="4" w:space="0" w:color="auto"/>
              <w:right w:val="single" w:sz="4" w:space="0" w:color="auto"/>
            </w:tcBorders>
            <w:vAlign w:val="center"/>
          </w:tcPr>
          <w:p w:rsidR="00DD07AF" w:rsidRPr="008A02A9" w:rsidRDefault="00DD07AF" w:rsidP="00CB2FBB">
            <w:pPr>
              <w:pStyle w:val="Tabletext"/>
            </w:pPr>
            <w:r w:rsidRPr="008A02A9">
              <w:t>A</w:t>
            </w:r>
            <w:r w:rsidR="00F87DE2">
              <w:t xml:space="preserve">ustralia </w:t>
            </w:r>
            <w:r w:rsidRPr="008A02A9">
              <w:t>P</w:t>
            </w:r>
            <w:r w:rsidR="00F87DE2">
              <w:t xml:space="preserve">acific </w:t>
            </w:r>
            <w:r w:rsidRPr="008A02A9">
              <w:t>LNG project</w:t>
            </w:r>
          </w:p>
        </w:tc>
        <w:tc>
          <w:tcPr>
            <w:tcW w:w="1842" w:type="dxa"/>
            <w:tcBorders>
              <w:left w:val="single" w:sz="4" w:space="0" w:color="auto"/>
              <w:bottom w:val="single" w:sz="4" w:space="0" w:color="auto"/>
              <w:right w:val="single" w:sz="4" w:space="0" w:color="auto"/>
            </w:tcBorders>
            <w:vAlign w:val="center"/>
          </w:tcPr>
          <w:p w:rsidR="00DD07AF" w:rsidRPr="008A02A9" w:rsidRDefault="00DD07AF" w:rsidP="00CB2FBB">
            <w:pPr>
              <w:pStyle w:val="Tabletext"/>
            </w:pPr>
            <w:r w:rsidRPr="008A02A9">
              <w:t>WorleyParsons (2010b)</w:t>
            </w:r>
          </w:p>
        </w:tc>
        <w:tc>
          <w:tcPr>
            <w:tcW w:w="1472" w:type="dxa"/>
            <w:tcBorders>
              <w:left w:val="single" w:sz="4" w:space="0" w:color="auto"/>
              <w:bottom w:val="single" w:sz="4" w:space="0" w:color="auto"/>
              <w:right w:val="single" w:sz="4" w:space="0" w:color="auto"/>
            </w:tcBorders>
            <w:vAlign w:val="center"/>
          </w:tcPr>
          <w:p w:rsidR="00DD07AF" w:rsidRPr="008A02A9" w:rsidRDefault="00DD07AF" w:rsidP="00CB2FBB">
            <w:pPr>
              <w:pStyle w:val="Tabletext"/>
            </w:pPr>
            <w:r w:rsidRPr="008A02A9">
              <w:t>CSG extraction</w:t>
            </w:r>
          </w:p>
        </w:tc>
        <w:tc>
          <w:tcPr>
            <w:tcW w:w="1505" w:type="dxa"/>
            <w:tcBorders>
              <w:left w:val="single" w:sz="4" w:space="0" w:color="auto"/>
              <w:bottom w:val="single" w:sz="4" w:space="0" w:color="auto"/>
              <w:right w:val="single" w:sz="4" w:space="0" w:color="auto"/>
            </w:tcBorders>
            <w:shd w:val="clear" w:color="auto" w:fill="auto"/>
            <w:vAlign w:val="center"/>
          </w:tcPr>
          <w:p w:rsidR="00DD07AF" w:rsidRPr="008A02A9" w:rsidRDefault="00DD07AF" w:rsidP="00CB2FBB">
            <w:pPr>
              <w:pStyle w:val="Tabletext"/>
            </w:pPr>
            <w:r w:rsidRPr="008A02A9">
              <w:t>173</w:t>
            </w:r>
          </w:p>
        </w:tc>
        <w:tc>
          <w:tcPr>
            <w:tcW w:w="991" w:type="dxa"/>
            <w:tcBorders>
              <w:left w:val="single" w:sz="4" w:space="0" w:color="auto"/>
              <w:bottom w:val="single" w:sz="4" w:space="0" w:color="auto"/>
              <w:right w:val="single" w:sz="4" w:space="0" w:color="auto"/>
            </w:tcBorders>
            <w:shd w:val="clear" w:color="auto" w:fill="auto"/>
            <w:vAlign w:val="center"/>
          </w:tcPr>
          <w:p w:rsidR="00DD07AF" w:rsidRPr="008A02A9" w:rsidRDefault="00DD07AF" w:rsidP="00CB2FBB">
            <w:pPr>
              <w:pStyle w:val="Tabletext"/>
            </w:pPr>
            <w:r w:rsidRPr="008A02A9">
              <w:t>23</w:t>
            </w:r>
          </w:p>
        </w:tc>
        <w:tc>
          <w:tcPr>
            <w:tcW w:w="1261" w:type="dxa"/>
            <w:tcBorders>
              <w:left w:val="single" w:sz="4" w:space="0" w:color="auto"/>
              <w:bottom w:val="single" w:sz="4" w:space="0" w:color="auto"/>
            </w:tcBorders>
            <w:shd w:val="clear" w:color="auto" w:fill="auto"/>
            <w:vAlign w:val="center"/>
          </w:tcPr>
          <w:p w:rsidR="00DD07AF" w:rsidRPr="008A02A9" w:rsidRDefault="00DD07AF" w:rsidP="00CB2FBB">
            <w:pPr>
              <w:pStyle w:val="Tabletext"/>
            </w:pPr>
            <w:r w:rsidRPr="008A02A9">
              <w:t>FEFLOW</w:t>
            </w:r>
          </w:p>
        </w:tc>
      </w:tr>
      <w:tr w:rsidR="00DD07AF" w:rsidRPr="008A02A9" w:rsidTr="00FE5C4D">
        <w:tc>
          <w:tcPr>
            <w:tcW w:w="2127" w:type="dxa"/>
            <w:tcBorders>
              <w:top w:val="single" w:sz="4" w:space="0" w:color="auto"/>
              <w:bottom w:val="single" w:sz="4" w:space="0" w:color="auto"/>
              <w:right w:val="single" w:sz="4" w:space="0" w:color="auto"/>
            </w:tcBorders>
            <w:vAlign w:val="center"/>
          </w:tcPr>
          <w:p w:rsidR="00DD07AF" w:rsidRPr="008A02A9" w:rsidRDefault="00DD07AF" w:rsidP="00CB2FBB">
            <w:pPr>
              <w:pStyle w:val="Tabletext"/>
            </w:pPr>
            <w:r w:rsidRPr="008A02A9">
              <w:t>Arrow Surat Gas</w:t>
            </w:r>
          </w:p>
        </w:tc>
        <w:tc>
          <w:tcPr>
            <w:tcW w:w="1842" w:type="dxa"/>
            <w:tcBorders>
              <w:top w:val="single" w:sz="4" w:space="0" w:color="auto"/>
              <w:left w:val="single" w:sz="4" w:space="0" w:color="auto"/>
              <w:bottom w:val="single" w:sz="4" w:space="0" w:color="auto"/>
              <w:right w:val="single" w:sz="4" w:space="0" w:color="auto"/>
            </w:tcBorders>
            <w:vAlign w:val="center"/>
          </w:tcPr>
          <w:p w:rsidR="00DD07AF" w:rsidRPr="008A02A9" w:rsidRDefault="00DD07AF" w:rsidP="00CB2FBB">
            <w:pPr>
              <w:pStyle w:val="Tabletext"/>
            </w:pPr>
            <w:r w:rsidRPr="008A02A9">
              <w:t>SWS (2011)</w:t>
            </w:r>
          </w:p>
        </w:tc>
        <w:tc>
          <w:tcPr>
            <w:tcW w:w="1472" w:type="dxa"/>
            <w:tcBorders>
              <w:top w:val="single" w:sz="4" w:space="0" w:color="auto"/>
              <w:left w:val="single" w:sz="4" w:space="0" w:color="auto"/>
              <w:bottom w:val="single" w:sz="4" w:space="0" w:color="auto"/>
              <w:right w:val="single" w:sz="4" w:space="0" w:color="auto"/>
            </w:tcBorders>
            <w:vAlign w:val="center"/>
          </w:tcPr>
          <w:p w:rsidR="00DD07AF" w:rsidRPr="008A02A9" w:rsidRDefault="00DD07AF" w:rsidP="00CB2FBB">
            <w:pPr>
              <w:pStyle w:val="Tabletext"/>
            </w:pPr>
            <w:r w:rsidRPr="008A02A9">
              <w:t>CSG extraction</w:t>
            </w:r>
          </w:p>
        </w:tc>
        <w:tc>
          <w:tcPr>
            <w:tcW w:w="1505" w:type="dxa"/>
            <w:tcBorders>
              <w:top w:val="single" w:sz="4" w:space="0" w:color="auto"/>
              <w:left w:val="single" w:sz="4" w:space="0" w:color="auto"/>
              <w:bottom w:val="single" w:sz="4" w:space="0" w:color="auto"/>
              <w:right w:val="single" w:sz="4" w:space="0" w:color="auto"/>
            </w:tcBorders>
            <w:shd w:val="clear" w:color="auto" w:fill="auto"/>
            <w:vAlign w:val="center"/>
          </w:tcPr>
          <w:p w:rsidR="00DD07AF" w:rsidRPr="008A02A9" w:rsidRDefault="00DD07AF" w:rsidP="00CB2FBB">
            <w:pPr>
              <w:pStyle w:val="Tabletext"/>
            </w:pPr>
            <w:r w:rsidRPr="008A02A9">
              <w:t>123</w:t>
            </w:r>
          </w:p>
        </w:tc>
        <w:tc>
          <w:tcPr>
            <w:tcW w:w="991" w:type="dxa"/>
            <w:tcBorders>
              <w:top w:val="single" w:sz="4" w:space="0" w:color="auto"/>
              <w:left w:val="single" w:sz="4" w:space="0" w:color="auto"/>
              <w:bottom w:val="single" w:sz="4" w:space="0" w:color="auto"/>
              <w:right w:val="single" w:sz="4" w:space="0" w:color="auto"/>
            </w:tcBorders>
            <w:shd w:val="clear" w:color="auto" w:fill="auto"/>
            <w:vAlign w:val="center"/>
          </w:tcPr>
          <w:p w:rsidR="00DD07AF" w:rsidRPr="008A02A9" w:rsidRDefault="00DD07AF" w:rsidP="00CB2FBB">
            <w:pPr>
              <w:pStyle w:val="Tabletext"/>
            </w:pPr>
            <w:r w:rsidRPr="008A02A9">
              <w:t>15</w:t>
            </w:r>
          </w:p>
        </w:tc>
        <w:tc>
          <w:tcPr>
            <w:tcW w:w="1261" w:type="dxa"/>
            <w:tcBorders>
              <w:top w:val="single" w:sz="4" w:space="0" w:color="auto"/>
              <w:left w:val="single" w:sz="4" w:space="0" w:color="auto"/>
              <w:bottom w:val="single" w:sz="4" w:space="0" w:color="auto"/>
            </w:tcBorders>
            <w:shd w:val="clear" w:color="auto" w:fill="auto"/>
            <w:vAlign w:val="center"/>
          </w:tcPr>
          <w:p w:rsidR="00DD07AF" w:rsidRPr="008A02A9" w:rsidRDefault="00DD07AF" w:rsidP="00CB2FBB">
            <w:pPr>
              <w:pStyle w:val="Tabletext"/>
            </w:pPr>
            <w:r w:rsidRPr="008A02A9">
              <w:t>MODFLOW</w:t>
            </w:r>
          </w:p>
        </w:tc>
      </w:tr>
      <w:tr w:rsidR="00DD07AF" w:rsidRPr="008A02A9" w:rsidTr="00FE5C4D">
        <w:tc>
          <w:tcPr>
            <w:tcW w:w="2127" w:type="dxa"/>
            <w:tcBorders>
              <w:top w:val="single" w:sz="4" w:space="0" w:color="auto"/>
              <w:bottom w:val="single" w:sz="4" w:space="0" w:color="auto"/>
              <w:right w:val="single" w:sz="4" w:space="0" w:color="auto"/>
            </w:tcBorders>
            <w:vAlign w:val="center"/>
          </w:tcPr>
          <w:p w:rsidR="00DD07AF" w:rsidRPr="008A02A9" w:rsidRDefault="00DD07AF" w:rsidP="00CB2FBB">
            <w:pPr>
              <w:pStyle w:val="Tabletext"/>
            </w:pPr>
            <w:r w:rsidRPr="008A02A9">
              <w:t>Dumaresq Border Rivers</w:t>
            </w:r>
          </w:p>
        </w:tc>
        <w:tc>
          <w:tcPr>
            <w:tcW w:w="1842" w:type="dxa"/>
            <w:tcBorders>
              <w:top w:val="single" w:sz="4" w:space="0" w:color="auto"/>
              <w:left w:val="single" w:sz="4" w:space="0" w:color="auto"/>
              <w:bottom w:val="single" w:sz="4" w:space="0" w:color="auto"/>
              <w:right w:val="single" w:sz="4" w:space="0" w:color="auto"/>
            </w:tcBorders>
            <w:vAlign w:val="center"/>
          </w:tcPr>
          <w:p w:rsidR="00DD07AF" w:rsidRPr="008A02A9" w:rsidRDefault="00DD07AF" w:rsidP="00CB2FBB">
            <w:pPr>
              <w:pStyle w:val="Tabletext"/>
            </w:pPr>
            <w:r w:rsidRPr="008A02A9">
              <w:t>Chen (2003)</w:t>
            </w:r>
          </w:p>
        </w:tc>
        <w:tc>
          <w:tcPr>
            <w:tcW w:w="1472" w:type="dxa"/>
            <w:tcBorders>
              <w:top w:val="single" w:sz="4" w:space="0" w:color="auto"/>
              <w:left w:val="single" w:sz="4" w:space="0" w:color="auto"/>
              <w:bottom w:val="single" w:sz="4" w:space="0" w:color="auto"/>
              <w:right w:val="single" w:sz="4" w:space="0" w:color="auto"/>
            </w:tcBorders>
            <w:vAlign w:val="center"/>
          </w:tcPr>
          <w:p w:rsidR="00DD07AF" w:rsidRPr="008A02A9" w:rsidRDefault="00DD07AF" w:rsidP="00CB2FBB">
            <w:pPr>
              <w:pStyle w:val="Tabletext"/>
            </w:pPr>
            <w:r w:rsidRPr="008A02A9">
              <w:t>water resources</w:t>
            </w:r>
          </w:p>
        </w:tc>
        <w:tc>
          <w:tcPr>
            <w:tcW w:w="1505" w:type="dxa"/>
            <w:tcBorders>
              <w:top w:val="single" w:sz="4" w:space="0" w:color="auto"/>
              <w:left w:val="single" w:sz="4" w:space="0" w:color="auto"/>
              <w:bottom w:val="single" w:sz="4" w:space="0" w:color="auto"/>
              <w:right w:val="single" w:sz="4" w:space="0" w:color="auto"/>
            </w:tcBorders>
            <w:shd w:val="clear" w:color="auto" w:fill="auto"/>
            <w:vAlign w:val="center"/>
          </w:tcPr>
          <w:p w:rsidR="00DD07AF" w:rsidRPr="008A02A9" w:rsidRDefault="00DD07AF" w:rsidP="00CB2FBB">
            <w:pPr>
              <w:pStyle w:val="Tabletext"/>
            </w:pPr>
            <w:r w:rsidRPr="008A02A9">
              <w:t>5</w:t>
            </w:r>
          </w:p>
        </w:tc>
        <w:tc>
          <w:tcPr>
            <w:tcW w:w="991" w:type="dxa"/>
            <w:tcBorders>
              <w:top w:val="single" w:sz="4" w:space="0" w:color="auto"/>
              <w:left w:val="single" w:sz="4" w:space="0" w:color="auto"/>
              <w:bottom w:val="single" w:sz="4" w:space="0" w:color="auto"/>
              <w:right w:val="single" w:sz="4" w:space="0" w:color="auto"/>
            </w:tcBorders>
            <w:shd w:val="clear" w:color="auto" w:fill="auto"/>
            <w:vAlign w:val="center"/>
          </w:tcPr>
          <w:p w:rsidR="00DD07AF" w:rsidRPr="008A02A9" w:rsidRDefault="00DD07AF" w:rsidP="00CB2FBB">
            <w:pPr>
              <w:pStyle w:val="Tabletext"/>
            </w:pPr>
            <w:r w:rsidRPr="008A02A9">
              <w:t>2</w:t>
            </w:r>
          </w:p>
        </w:tc>
        <w:tc>
          <w:tcPr>
            <w:tcW w:w="1261" w:type="dxa"/>
            <w:tcBorders>
              <w:top w:val="single" w:sz="4" w:space="0" w:color="auto"/>
              <w:left w:val="single" w:sz="4" w:space="0" w:color="auto"/>
              <w:bottom w:val="single" w:sz="4" w:space="0" w:color="auto"/>
            </w:tcBorders>
            <w:shd w:val="clear" w:color="auto" w:fill="auto"/>
            <w:vAlign w:val="center"/>
          </w:tcPr>
          <w:p w:rsidR="00DD07AF" w:rsidRPr="008A02A9" w:rsidRDefault="00DD07AF" w:rsidP="00CB2FBB">
            <w:pPr>
              <w:pStyle w:val="Tabletext"/>
            </w:pPr>
            <w:r w:rsidRPr="008A02A9">
              <w:t>MODFLOW</w:t>
            </w:r>
          </w:p>
        </w:tc>
      </w:tr>
      <w:tr w:rsidR="00DD07AF" w:rsidRPr="008A02A9" w:rsidTr="00FE5C4D">
        <w:tc>
          <w:tcPr>
            <w:tcW w:w="2127" w:type="dxa"/>
            <w:tcBorders>
              <w:top w:val="single" w:sz="4" w:space="0" w:color="auto"/>
              <w:bottom w:val="single" w:sz="4" w:space="0" w:color="auto"/>
              <w:right w:val="single" w:sz="4" w:space="0" w:color="auto"/>
            </w:tcBorders>
            <w:vAlign w:val="center"/>
          </w:tcPr>
          <w:p w:rsidR="00DD07AF" w:rsidRPr="008A02A9" w:rsidRDefault="00DD07AF" w:rsidP="00CB2FBB">
            <w:pPr>
              <w:pStyle w:val="Tabletext"/>
            </w:pPr>
            <w:r w:rsidRPr="008A02A9">
              <w:t>GABFLOW</w:t>
            </w:r>
          </w:p>
        </w:tc>
        <w:tc>
          <w:tcPr>
            <w:tcW w:w="1842" w:type="dxa"/>
            <w:tcBorders>
              <w:top w:val="single" w:sz="4" w:space="0" w:color="auto"/>
              <w:left w:val="single" w:sz="4" w:space="0" w:color="auto"/>
              <w:bottom w:val="single" w:sz="4" w:space="0" w:color="auto"/>
              <w:right w:val="single" w:sz="4" w:space="0" w:color="auto"/>
            </w:tcBorders>
            <w:vAlign w:val="center"/>
          </w:tcPr>
          <w:p w:rsidR="00DD07AF" w:rsidRPr="008A02A9" w:rsidRDefault="00DD07AF" w:rsidP="00CB2FBB">
            <w:pPr>
              <w:pStyle w:val="Tabletext"/>
            </w:pPr>
            <w:r w:rsidRPr="008A02A9">
              <w:t>Welsh (2000)</w:t>
            </w:r>
          </w:p>
        </w:tc>
        <w:tc>
          <w:tcPr>
            <w:tcW w:w="1472" w:type="dxa"/>
            <w:tcBorders>
              <w:top w:val="single" w:sz="4" w:space="0" w:color="auto"/>
              <w:left w:val="single" w:sz="4" w:space="0" w:color="auto"/>
              <w:bottom w:val="single" w:sz="4" w:space="0" w:color="auto"/>
              <w:right w:val="single" w:sz="4" w:space="0" w:color="auto"/>
            </w:tcBorders>
            <w:vAlign w:val="center"/>
          </w:tcPr>
          <w:p w:rsidR="00DD07AF" w:rsidRPr="008A02A9" w:rsidRDefault="00DD07AF" w:rsidP="00CB2FBB">
            <w:pPr>
              <w:pStyle w:val="Tabletext"/>
            </w:pPr>
            <w:r w:rsidRPr="008A02A9">
              <w:t>water resources</w:t>
            </w:r>
          </w:p>
        </w:tc>
        <w:tc>
          <w:tcPr>
            <w:tcW w:w="1505" w:type="dxa"/>
            <w:tcBorders>
              <w:top w:val="single" w:sz="4" w:space="0" w:color="auto"/>
              <w:left w:val="single" w:sz="4" w:space="0" w:color="auto"/>
              <w:bottom w:val="single" w:sz="4" w:space="0" w:color="auto"/>
              <w:right w:val="single" w:sz="4" w:space="0" w:color="auto"/>
            </w:tcBorders>
            <w:shd w:val="clear" w:color="auto" w:fill="auto"/>
            <w:vAlign w:val="center"/>
          </w:tcPr>
          <w:p w:rsidR="00DD07AF" w:rsidRPr="008A02A9" w:rsidRDefault="00DD07AF" w:rsidP="00CB2FBB">
            <w:pPr>
              <w:pStyle w:val="Tabletext"/>
            </w:pPr>
            <w:r w:rsidRPr="008A02A9">
              <w:t>1539</w:t>
            </w:r>
          </w:p>
        </w:tc>
        <w:tc>
          <w:tcPr>
            <w:tcW w:w="991" w:type="dxa"/>
            <w:tcBorders>
              <w:top w:val="single" w:sz="4" w:space="0" w:color="auto"/>
              <w:left w:val="single" w:sz="4" w:space="0" w:color="auto"/>
              <w:bottom w:val="single" w:sz="4" w:space="0" w:color="auto"/>
              <w:right w:val="single" w:sz="4" w:space="0" w:color="auto"/>
            </w:tcBorders>
            <w:shd w:val="clear" w:color="auto" w:fill="auto"/>
            <w:vAlign w:val="center"/>
          </w:tcPr>
          <w:p w:rsidR="00DD07AF" w:rsidRPr="008A02A9" w:rsidRDefault="00DD07AF" w:rsidP="00CB2FBB">
            <w:pPr>
              <w:pStyle w:val="Tabletext"/>
            </w:pPr>
            <w:r w:rsidRPr="008A02A9">
              <w:t>1</w:t>
            </w:r>
          </w:p>
        </w:tc>
        <w:tc>
          <w:tcPr>
            <w:tcW w:w="1261" w:type="dxa"/>
            <w:tcBorders>
              <w:top w:val="single" w:sz="4" w:space="0" w:color="auto"/>
              <w:left w:val="single" w:sz="4" w:space="0" w:color="auto"/>
              <w:bottom w:val="single" w:sz="4" w:space="0" w:color="auto"/>
            </w:tcBorders>
            <w:shd w:val="clear" w:color="auto" w:fill="auto"/>
            <w:vAlign w:val="center"/>
          </w:tcPr>
          <w:p w:rsidR="00DD07AF" w:rsidRPr="008A02A9" w:rsidRDefault="00DD07AF" w:rsidP="00CB2FBB">
            <w:pPr>
              <w:pStyle w:val="Tabletext"/>
            </w:pPr>
            <w:r w:rsidRPr="008A02A9">
              <w:t>MODFLOW</w:t>
            </w:r>
          </w:p>
        </w:tc>
      </w:tr>
      <w:tr w:rsidR="00DD07AF" w:rsidRPr="008A02A9" w:rsidTr="00FE5C4D">
        <w:tc>
          <w:tcPr>
            <w:tcW w:w="2127" w:type="dxa"/>
            <w:tcBorders>
              <w:top w:val="single" w:sz="4" w:space="0" w:color="auto"/>
              <w:bottom w:val="single" w:sz="4" w:space="0" w:color="auto"/>
              <w:right w:val="single" w:sz="4" w:space="0" w:color="auto"/>
            </w:tcBorders>
            <w:vAlign w:val="center"/>
          </w:tcPr>
          <w:p w:rsidR="00DD07AF" w:rsidRPr="008A02A9" w:rsidRDefault="00DD07AF" w:rsidP="00CB2FBB">
            <w:pPr>
              <w:pStyle w:val="Tabletext"/>
            </w:pPr>
            <w:r w:rsidRPr="008A02A9">
              <w:t>GABHYD</w:t>
            </w:r>
          </w:p>
        </w:tc>
        <w:tc>
          <w:tcPr>
            <w:tcW w:w="1842" w:type="dxa"/>
            <w:tcBorders>
              <w:top w:val="single" w:sz="4" w:space="0" w:color="auto"/>
              <w:left w:val="single" w:sz="4" w:space="0" w:color="auto"/>
              <w:bottom w:val="single" w:sz="4" w:space="0" w:color="auto"/>
              <w:right w:val="single" w:sz="4" w:space="0" w:color="auto"/>
            </w:tcBorders>
            <w:vAlign w:val="center"/>
          </w:tcPr>
          <w:p w:rsidR="00DD07AF" w:rsidRPr="008A02A9" w:rsidRDefault="00DD07AF" w:rsidP="00CB2FBB">
            <w:pPr>
              <w:pStyle w:val="Tabletext"/>
            </w:pPr>
            <w:r w:rsidRPr="008A02A9">
              <w:t>Seidel (1978)</w:t>
            </w:r>
          </w:p>
        </w:tc>
        <w:tc>
          <w:tcPr>
            <w:tcW w:w="1472" w:type="dxa"/>
            <w:tcBorders>
              <w:top w:val="single" w:sz="4" w:space="0" w:color="auto"/>
              <w:left w:val="single" w:sz="4" w:space="0" w:color="auto"/>
              <w:bottom w:val="single" w:sz="4" w:space="0" w:color="auto"/>
              <w:right w:val="single" w:sz="4" w:space="0" w:color="auto"/>
            </w:tcBorders>
            <w:vAlign w:val="center"/>
          </w:tcPr>
          <w:p w:rsidR="00DD07AF" w:rsidRPr="008A02A9" w:rsidRDefault="00DD07AF" w:rsidP="00CB2FBB">
            <w:pPr>
              <w:pStyle w:val="Tabletext"/>
            </w:pPr>
            <w:r w:rsidRPr="008A02A9">
              <w:t>water resources</w:t>
            </w:r>
          </w:p>
        </w:tc>
        <w:tc>
          <w:tcPr>
            <w:tcW w:w="1505" w:type="dxa"/>
            <w:tcBorders>
              <w:top w:val="single" w:sz="4" w:space="0" w:color="auto"/>
              <w:left w:val="single" w:sz="4" w:space="0" w:color="auto"/>
              <w:bottom w:val="single" w:sz="4" w:space="0" w:color="auto"/>
              <w:right w:val="single" w:sz="4" w:space="0" w:color="auto"/>
            </w:tcBorders>
            <w:shd w:val="clear" w:color="auto" w:fill="auto"/>
            <w:vAlign w:val="center"/>
          </w:tcPr>
          <w:p w:rsidR="00DD07AF" w:rsidRPr="008A02A9" w:rsidRDefault="00DD07AF" w:rsidP="00CB2FBB">
            <w:pPr>
              <w:pStyle w:val="Tabletext"/>
            </w:pPr>
            <w:r w:rsidRPr="008A02A9">
              <w:t>1539</w:t>
            </w:r>
          </w:p>
        </w:tc>
        <w:tc>
          <w:tcPr>
            <w:tcW w:w="991" w:type="dxa"/>
            <w:tcBorders>
              <w:top w:val="single" w:sz="4" w:space="0" w:color="auto"/>
              <w:left w:val="single" w:sz="4" w:space="0" w:color="auto"/>
              <w:bottom w:val="single" w:sz="4" w:space="0" w:color="auto"/>
              <w:right w:val="single" w:sz="4" w:space="0" w:color="auto"/>
            </w:tcBorders>
            <w:shd w:val="clear" w:color="auto" w:fill="auto"/>
            <w:vAlign w:val="center"/>
          </w:tcPr>
          <w:p w:rsidR="00DD07AF" w:rsidRPr="008A02A9" w:rsidRDefault="00DD07AF" w:rsidP="00CB2FBB">
            <w:pPr>
              <w:pStyle w:val="Tabletext"/>
            </w:pPr>
            <w:r w:rsidRPr="008A02A9">
              <w:t>1</w:t>
            </w:r>
          </w:p>
        </w:tc>
        <w:tc>
          <w:tcPr>
            <w:tcW w:w="1261" w:type="dxa"/>
            <w:tcBorders>
              <w:top w:val="single" w:sz="4" w:space="0" w:color="auto"/>
              <w:left w:val="single" w:sz="4" w:space="0" w:color="auto"/>
              <w:bottom w:val="single" w:sz="4" w:space="0" w:color="auto"/>
            </w:tcBorders>
            <w:shd w:val="clear" w:color="auto" w:fill="auto"/>
            <w:vAlign w:val="center"/>
          </w:tcPr>
          <w:p w:rsidR="00DD07AF" w:rsidRPr="008A02A9" w:rsidRDefault="00DD07AF" w:rsidP="00CB2FBB">
            <w:pPr>
              <w:pStyle w:val="Tabletext"/>
            </w:pPr>
            <w:r w:rsidRPr="008A02A9">
              <w:t>custom</w:t>
            </w:r>
          </w:p>
        </w:tc>
      </w:tr>
      <w:tr w:rsidR="00DD07AF" w:rsidRPr="008A02A9" w:rsidTr="00FE5C4D">
        <w:tc>
          <w:tcPr>
            <w:tcW w:w="2127" w:type="dxa"/>
            <w:tcBorders>
              <w:top w:val="single" w:sz="4" w:space="0" w:color="auto"/>
              <w:bottom w:val="single" w:sz="4" w:space="0" w:color="auto"/>
              <w:right w:val="single" w:sz="4" w:space="0" w:color="auto"/>
            </w:tcBorders>
            <w:vAlign w:val="center"/>
          </w:tcPr>
          <w:p w:rsidR="00DD07AF" w:rsidRPr="008A02A9" w:rsidRDefault="00DD07AF" w:rsidP="00CB2FBB">
            <w:pPr>
              <w:pStyle w:val="Tabletext"/>
            </w:pPr>
            <w:r w:rsidRPr="008A02A9">
              <w:t>GABSIM</w:t>
            </w:r>
          </w:p>
        </w:tc>
        <w:tc>
          <w:tcPr>
            <w:tcW w:w="1842" w:type="dxa"/>
            <w:tcBorders>
              <w:top w:val="single" w:sz="4" w:space="0" w:color="auto"/>
              <w:left w:val="single" w:sz="4" w:space="0" w:color="auto"/>
              <w:bottom w:val="single" w:sz="4" w:space="0" w:color="auto"/>
              <w:right w:val="single" w:sz="4" w:space="0" w:color="auto"/>
            </w:tcBorders>
            <w:vAlign w:val="center"/>
          </w:tcPr>
          <w:p w:rsidR="00DD07AF" w:rsidRPr="008A02A9" w:rsidRDefault="00DD07AF" w:rsidP="00CB2FBB">
            <w:pPr>
              <w:pStyle w:val="Tabletext"/>
            </w:pPr>
            <w:r w:rsidRPr="008A02A9">
              <w:t>Ungemach (1975)</w:t>
            </w:r>
          </w:p>
        </w:tc>
        <w:tc>
          <w:tcPr>
            <w:tcW w:w="1472" w:type="dxa"/>
            <w:tcBorders>
              <w:top w:val="single" w:sz="4" w:space="0" w:color="auto"/>
              <w:left w:val="single" w:sz="4" w:space="0" w:color="auto"/>
              <w:bottom w:val="single" w:sz="4" w:space="0" w:color="auto"/>
              <w:right w:val="single" w:sz="4" w:space="0" w:color="auto"/>
            </w:tcBorders>
            <w:vAlign w:val="center"/>
          </w:tcPr>
          <w:p w:rsidR="00DD07AF" w:rsidRPr="008A02A9" w:rsidRDefault="00DD07AF" w:rsidP="00CB2FBB">
            <w:pPr>
              <w:pStyle w:val="Tabletext"/>
            </w:pPr>
            <w:r w:rsidRPr="008A02A9">
              <w:t>water resources</w:t>
            </w:r>
          </w:p>
        </w:tc>
        <w:tc>
          <w:tcPr>
            <w:tcW w:w="1505" w:type="dxa"/>
            <w:tcBorders>
              <w:top w:val="single" w:sz="4" w:space="0" w:color="auto"/>
              <w:left w:val="single" w:sz="4" w:space="0" w:color="auto"/>
              <w:bottom w:val="single" w:sz="4" w:space="0" w:color="auto"/>
              <w:right w:val="single" w:sz="4" w:space="0" w:color="auto"/>
            </w:tcBorders>
            <w:shd w:val="clear" w:color="auto" w:fill="auto"/>
            <w:vAlign w:val="center"/>
          </w:tcPr>
          <w:p w:rsidR="00DD07AF" w:rsidRPr="008A02A9" w:rsidRDefault="00DD07AF" w:rsidP="00CB2FBB">
            <w:pPr>
              <w:pStyle w:val="Tabletext"/>
            </w:pPr>
            <w:r w:rsidRPr="008A02A9">
              <w:t>1539</w:t>
            </w:r>
          </w:p>
        </w:tc>
        <w:tc>
          <w:tcPr>
            <w:tcW w:w="991" w:type="dxa"/>
            <w:tcBorders>
              <w:top w:val="single" w:sz="4" w:space="0" w:color="auto"/>
              <w:left w:val="single" w:sz="4" w:space="0" w:color="auto"/>
              <w:bottom w:val="single" w:sz="4" w:space="0" w:color="auto"/>
              <w:right w:val="single" w:sz="4" w:space="0" w:color="auto"/>
            </w:tcBorders>
            <w:shd w:val="clear" w:color="auto" w:fill="auto"/>
            <w:vAlign w:val="center"/>
          </w:tcPr>
          <w:p w:rsidR="00DD07AF" w:rsidRPr="008A02A9" w:rsidRDefault="00DD07AF" w:rsidP="00CB2FBB">
            <w:pPr>
              <w:pStyle w:val="Tabletext"/>
            </w:pPr>
            <w:r w:rsidRPr="008A02A9">
              <w:t>1</w:t>
            </w:r>
          </w:p>
        </w:tc>
        <w:tc>
          <w:tcPr>
            <w:tcW w:w="1261" w:type="dxa"/>
            <w:tcBorders>
              <w:top w:val="single" w:sz="4" w:space="0" w:color="auto"/>
              <w:left w:val="single" w:sz="4" w:space="0" w:color="auto"/>
              <w:bottom w:val="single" w:sz="4" w:space="0" w:color="auto"/>
            </w:tcBorders>
            <w:shd w:val="clear" w:color="auto" w:fill="auto"/>
            <w:vAlign w:val="center"/>
          </w:tcPr>
          <w:p w:rsidR="00DD07AF" w:rsidRPr="008A02A9" w:rsidRDefault="00DD07AF" w:rsidP="00CB2FBB">
            <w:pPr>
              <w:pStyle w:val="Tabletext"/>
            </w:pPr>
            <w:r w:rsidRPr="008A02A9">
              <w:t>custom</w:t>
            </w:r>
          </w:p>
        </w:tc>
      </w:tr>
      <w:tr w:rsidR="00DD07AF" w:rsidRPr="008A02A9" w:rsidTr="00FE5C4D">
        <w:tc>
          <w:tcPr>
            <w:tcW w:w="2127" w:type="dxa"/>
            <w:tcBorders>
              <w:top w:val="single" w:sz="4" w:space="0" w:color="auto"/>
              <w:bottom w:val="single" w:sz="4" w:space="0" w:color="auto"/>
              <w:right w:val="single" w:sz="4" w:space="0" w:color="auto"/>
            </w:tcBorders>
            <w:vAlign w:val="center"/>
          </w:tcPr>
          <w:p w:rsidR="00DD07AF" w:rsidRPr="008A02A9" w:rsidRDefault="00DD07AF" w:rsidP="00CB2FBB">
            <w:pPr>
              <w:pStyle w:val="Tabletext"/>
            </w:pPr>
            <w:r w:rsidRPr="008A02A9">
              <w:t>GABTRAN</w:t>
            </w:r>
          </w:p>
        </w:tc>
        <w:tc>
          <w:tcPr>
            <w:tcW w:w="1842" w:type="dxa"/>
            <w:tcBorders>
              <w:top w:val="single" w:sz="4" w:space="0" w:color="auto"/>
              <w:left w:val="single" w:sz="4" w:space="0" w:color="auto"/>
              <w:bottom w:val="single" w:sz="4" w:space="0" w:color="auto"/>
              <w:right w:val="single" w:sz="4" w:space="0" w:color="auto"/>
            </w:tcBorders>
            <w:vAlign w:val="center"/>
          </w:tcPr>
          <w:p w:rsidR="00DD07AF" w:rsidRPr="008A02A9" w:rsidRDefault="00DD07AF" w:rsidP="00CB2FBB">
            <w:pPr>
              <w:pStyle w:val="Tabletext"/>
            </w:pPr>
            <w:r w:rsidRPr="008A02A9">
              <w:t>Welsh (2006)</w:t>
            </w:r>
          </w:p>
        </w:tc>
        <w:tc>
          <w:tcPr>
            <w:tcW w:w="1472" w:type="dxa"/>
            <w:tcBorders>
              <w:top w:val="single" w:sz="4" w:space="0" w:color="auto"/>
              <w:left w:val="single" w:sz="4" w:space="0" w:color="auto"/>
              <w:bottom w:val="single" w:sz="4" w:space="0" w:color="auto"/>
              <w:right w:val="single" w:sz="4" w:space="0" w:color="auto"/>
            </w:tcBorders>
            <w:vAlign w:val="center"/>
          </w:tcPr>
          <w:p w:rsidR="00DD07AF" w:rsidRPr="008A02A9" w:rsidRDefault="00DD07AF" w:rsidP="00CB2FBB">
            <w:pPr>
              <w:pStyle w:val="Tabletext"/>
            </w:pPr>
            <w:r w:rsidRPr="008A02A9">
              <w:t>water resources</w:t>
            </w:r>
          </w:p>
        </w:tc>
        <w:tc>
          <w:tcPr>
            <w:tcW w:w="1505" w:type="dxa"/>
            <w:tcBorders>
              <w:top w:val="single" w:sz="4" w:space="0" w:color="auto"/>
              <w:left w:val="single" w:sz="4" w:space="0" w:color="auto"/>
              <w:bottom w:val="single" w:sz="4" w:space="0" w:color="auto"/>
              <w:right w:val="single" w:sz="4" w:space="0" w:color="auto"/>
            </w:tcBorders>
            <w:shd w:val="clear" w:color="auto" w:fill="auto"/>
            <w:vAlign w:val="center"/>
          </w:tcPr>
          <w:p w:rsidR="00DD07AF" w:rsidRPr="008A02A9" w:rsidRDefault="00DD07AF" w:rsidP="00CB2FBB">
            <w:pPr>
              <w:pStyle w:val="Tabletext"/>
            </w:pPr>
            <w:r w:rsidRPr="008A02A9">
              <w:t>1539</w:t>
            </w:r>
          </w:p>
        </w:tc>
        <w:tc>
          <w:tcPr>
            <w:tcW w:w="991" w:type="dxa"/>
            <w:tcBorders>
              <w:top w:val="single" w:sz="4" w:space="0" w:color="auto"/>
              <w:left w:val="single" w:sz="4" w:space="0" w:color="auto"/>
              <w:bottom w:val="single" w:sz="4" w:space="0" w:color="auto"/>
              <w:right w:val="single" w:sz="4" w:space="0" w:color="auto"/>
            </w:tcBorders>
            <w:shd w:val="clear" w:color="auto" w:fill="auto"/>
            <w:vAlign w:val="center"/>
          </w:tcPr>
          <w:p w:rsidR="00DD07AF" w:rsidRPr="008A02A9" w:rsidRDefault="00DD07AF" w:rsidP="00CB2FBB">
            <w:pPr>
              <w:pStyle w:val="Tabletext"/>
            </w:pPr>
            <w:r w:rsidRPr="008A02A9">
              <w:t>1</w:t>
            </w:r>
          </w:p>
        </w:tc>
        <w:tc>
          <w:tcPr>
            <w:tcW w:w="1261" w:type="dxa"/>
            <w:tcBorders>
              <w:top w:val="single" w:sz="4" w:space="0" w:color="auto"/>
              <w:left w:val="single" w:sz="4" w:space="0" w:color="auto"/>
              <w:bottom w:val="single" w:sz="4" w:space="0" w:color="auto"/>
            </w:tcBorders>
            <w:shd w:val="clear" w:color="auto" w:fill="auto"/>
            <w:vAlign w:val="center"/>
          </w:tcPr>
          <w:p w:rsidR="00DD07AF" w:rsidRPr="008A02A9" w:rsidRDefault="00DD07AF" w:rsidP="00CB2FBB">
            <w:pPr>
              <w:pStyle w:val="Tabletext"/>
            </w:pPr>
            <w:r w:rsidRPr="008A02A9">
              <w:t>MODFLOW</w:t>
            </w:r>
          </w:p>
        </w:tc>
      </w:tr>
      <w:tr w:rsidR="00DD07AF" w:rsidRPr="008A02A9" w:rsidTr="00FE5C4D">
        <w:tc>
          <w:tcPr>
            <w:tcW w:w="2127" w:type="dxa"/>
            <w:tcBorders>
              <w:top w:val="single" w:sz="4" w:space="0" w:color="auto"/>
              <w:bottom w:val="single" w:sz="4" w:space="0" w:color="auto"/>
              <w:right w:val="single" w:sz="4" w:space="0" w:color="auto"/>
            </w:tcBorders>
            <w:vAlign w:val="center"/>
          </w:tcPr>
          <w:p w:rsidR="00DD07AF" w:rsidRPr="008A02A9" w:rsidRDefault="00DD07AF" w:rsidP="00CB2FBB">
            <w:pPr>
              <w:pStyle w:val="Tabletext"/>
            </w:pPr>
            <w:r w:rsidRPr="008A02A9">
              <w:t>G</w:t>
            </w:r>
            <w:r w:rsidR="00F87DE2">
              <w:t xml:space="preserve">ladstone </w:t>
            </w:r>
            <w:r w:rsidRPr="008A02A9">
              <w:t>LNG project</w:t>
            </w:r>
          </w:p>
        </w:tc>
        <w:tc>
          <w:tcPr>
            <w:tcW w:w="1842" w:type="dxa"/>
            <w:tcBorders>
              <w:top w:val="single" w:sz="4" w:space="0" w:color="auto"/>
              <w:left w:val="single" w:sz="4" w:space="0" w:color="auto"/>
              <w:bottom w:val="single" w:sz="4" w:space="0" w:color="auto"/>
              <w:right w:val="single" w:sz="4" w:space="0" w:color="auto"/>
            </w:tcBorders>
            <w:vAlign w:val="center"/>
          </w:tcPr>
          <w:p w:rsidR="00DD07AF" w:rsidRPr="008A02A9" w:rsidRDefault="00DD07AF" w:rsidP="00CB2FBB">
            <w:pPr>
              <w:pStyle w:val="Tabletext"/>
            </w:pPr>
            <w:r w:rsidRPr="008A02A9">
              <w:t>Matrixplus (2009)</w:t>
            </w:r>
          </w:p>
        </w:tc>
        <w:tc>
          <w:tcPr>
            <w:tcW w:w="1472" w:type="dxa"/>
            <w:tcBorders>
              <w:top w:val="single" w:sz="4" w:space="0" w:color="auto"/>
              <w:left w:val="single" w:sz="4" w:space="0" w:color="auto"/>
              <w:bottom w:val="single" w:sz="4" w:space="0" w:color="auto"/>
              <w:right w:val="single" w:sz="4" w:space="0" w:color="auto"/>
            </w:tcBorders>
            <w:vAlign w:val="center"/>
          </w:tcPr>
          <w:p w:rsidR="00DD07AF" w:rsidRPr="008A02A9" w:rsidRDefault="00DD07AF" w:rsidP="00CB2FBB">
            <w:pPr>
              <w:pStyle w:val="Tabletext"/>
            </w:pPr>
            <w:r w:rsidRPr="008A02A9">
              <w:t>CSG extraction</w:t>
            </w:r>
          </w:p>
        </w:tc>
        <w:tc>
          <w:tcPr>
            <w:tcW w:w="1505" w:type="dxa"/>
            <w:tcBorders>
              <w:top w:val="single" w:sz="4" w:space="0" w:color="auto"/>
              <w:left w:val="single" w:sz="4" w:space="0" w:color="auto"/>
              <w:bottom w:val="single" w:sz="4" w:space="0" w:color="auto"/>
              <w:right w:val="single" w:sz="4" w:space="0" w:color="auto"/>
            </w:tcBorders>
            <w:shd w:val="clear" w:color="auto" w:fill="auto"/>
            <w:vAlign w:val="center"/>
          </w:tcPr>
          <w:p w:rsidR="00DD07AF" w:rsidRPr="008A02A9" w:rsidRDefault="00DD07AF" w:rsidP="00CB2FBB">
            <w:pPr>
              <w:pStyle w:val="Tabletext"/>
            </w:pPr>
            <w:r w:rsidRPr="008A02A9">
              <w:t>153</w:t>
            </w:r>
          </w:p>
        </w:tc>
        <w:tc>
          <w:tcPr>
            <w:tcW w:w="991" w:type="dxa"/>
            <w:tcBorders>
              <w:top w:val="single" w:sz="4" w:space="0" w:color="auto"/>
              <w:left w:val="single" w:sz="4" w:space="0" w:color="auto"/>
              <w:bottom w:val="single" w:sz="4" w:space="0" w:color="auto"/>
              <w:right w:val="single" w:sz="4" w:space="0" w:color="auto"/>
            </w:tcBorders>
            <w:shd w:val="clear" w:color="auto" w:fill="auto"/>
            <w:vAlign w:val="center"/>
          </w:tcPr>
          <w:p w:rsidR="00DD07AF" w:rsidRPr="008A02A9" w:rsidRDefault="00DD07AF" w:rsidP="00CB2FBB">
            <w:pPr>
              <w:pStyle w:val="Tabletext"/>
            </w:pPr>
            <w:r w:rsidRPr="008A02A9">
              <w:t>19</w:t>
            </w:r>
          </w:p>
        </w:tc>
        <w:tc>
          <w:tcPr>
            <w:tcW w:w="1261" w:type="dxa"/>
            <w:tcBorders>
              <w:top w:val="single" w:sz="4" w:space="0" w:color="auto"/>
              <w:left w:val="single" w:sz="4" w:space="0" w:color="auto"/>
              <w:bottom w:val="single" w:sz="4" w:space="0" w:color="auto"/>
            </w:tcBorders>
            <w:shd w:val="clear" w:color="auto" w:fill="auto"/>
            <w:vAlign w:val="center"/>
          </w:tcPr>
          <w:p w:rsidR="00DD07AF" w:rsidRPr="008A02A9" w:rsidRDefault="00DD07AF" w:rsidP="00CB2FBB">
            <w:pPr>
              <w:pStyle w:val="Tabletext"/>
            </w:pPr>
            <w:r w:rsidRPr="008A02A9">
              <w:t>FEFLOW</w:t>
            </w:r>
          </w:p>
        </w:tc>
      </w:tr>
      <w:tr w:rsidR="00DD07AF" w:rsidRPr="008A02A9" w:rsidTr="00FE5C4D">
        <w:tc>
          <w:tcPr>
            <w:tcW w:w="2127" w:type="dxa"/>
            <w:tcBorders>
              <w:top w:val="single" w:sz="4" w:space="0" w:color="auto"/>
              <w:bottom w:val="single" w:sz="4" w:space="0" w:color="auto"/>
              <w:right w:val="single" w:sz="4" w:space="0" w:color="auto"/>
            </w:tcBorders>
            <w:vAlign w:val="center"/>
          </w:tcPr>
          <w:p w:rsidR="00DD07AF" w:rsidRPr="008A02A9" w:rsidRDefault="00DD07AF" w:rsidP="00CB2FBB">
            <w:pPr>
              <w:pStyle w:val="Tabletext"/>
            </w:pPr>
            <w:r w:rsidRPr="008A02A9">
              <w:t>Lower Gwydir</w:t>
            </w:r>
          </w:p>
        </w:tc>
        <w:tc>
          <w:tcPr>
            <w:tcW w:w="1842" w:type="dxa"/>
            <w:tcBorders>
              <w:top w:val="single" w:sz="4" w:space="0" w:color="auto"/>
              <w:left w:val="single" w:sz="4" w:space="0" w:color="auto"/>
              <w:bottom w:val="single" w:sz="4" w:space="0" w:color="auto"/>
              <w:right w:val="single" w:sz="4" w:space="0" w:color="auto"/>
            </w:tcBorders>
            <w:vAlign w:val="center"/>
          </w:tcPr>
          <w:p w:rsidR="00DD07AF" w:rsidRPr="008A02A9" w:rsidRDefault="00DD07AF" w:rsidP="00CB2FBB">
            <w:pPr>
              <w:pStyle w:val="Tabletext"/>
            </w:pPr>
            <w:r w:rsidRPr="008A02A9">
              <w:t>Bilge (2002)</w:t>
            </w:r>
          </w:p>
        </w:tc>
        <w:tc>
          <w:tcPr>
            <w:tcW w:w="1472" w:type="dxa"/>
            <w:tcBorders>
              <w:top w:val="single" w:sz="4" w:space="0" w:color="auto"/>
              <w:left w:val="single" w:sz="4" w:space="0" w:color="auto"/>
              <w:bottom w:val="single" w:sz="4" w:space="0" w:color="auto"/>
              <w:right w:val="single" w:sz="4" w:space="0" w:color="auto"/>
            </w:tcBorders>
            <w:vAlign w:val="center"/>
          </w:tcPr>
          <w:p w:rsidR="00DD07AF" w:rsidRPr="008A02A9" w:rsidRDefault="00DD07AF" w:rsidP="00CB2FBB">
            <w:pPr>
              <w:pStyle w:val="Tabletext"/>
            </w:pPr>
            <w:r w:rsidRPr="008A02A9">
              <w:t>water resources</w:t>
            </w:r>
          </w:p>
        </w:tc>
        <w:tc>
          <w:tcPr>
            <w:tcW w:w="1505" w:type="dxa"/>
            <w:tcBorders>
              <w:top w:val="single" w:sz="4" w:space="0" w:color="auto"/>
              <w:left w:val="single" w:sz="4" w:space="0" w:color="auto"/>
              <w:bottom w:val="single" w:sz="4" w:space="0" w:color="auto"/>
              <w:right w:val="single" w:sz="4" w:space="0" w:color="auto"/>
            </w:tcBorders>
            <w:shd w:val="clear" w:color="auto" w:fill="auto"/>
            <w:vAlign w:val="center"/>
          </w:tcPr>
          <w:p w:rsidR="00DD07AF" w:rsidRPr="008A02A9" w:rsidRDefault="00DD07AF" w:rsidP="00CB2FBB">
            <w:pPr>
              <w:pStyle w:val="Tabletext"/>
            </w:pPr>
            <w:r w:rsidRPr="008A02A9">
              <w:t>5</w:t>
            </w:r>
          </w:p>
        </w:tc>
        <w:tc>
          <w:tcPr>
            <w:tcW w:w="991" w:type="dxa"/>
            <w:tcBorders>
              <w:top w:val="single" w:sz="4" w:space="0" w:color="auto"/>
              <w:left w:val="single" w:sz="4" w:space="0" w:color="auto"/>
              <w:bottom w:val="single" w:sz="4" w:space="0" w:color="auto"/>
              <w:right w:val="single" w:sz="4" w:space="0" w:color="auto"/>
            </w:tcBorders>
            <w:shd w:val="clear" w:color="auto" w:fill="auto"/>
            <w:vAlign w:val="center"/>
          </w:tcPr>
          <w:p w:rsidR="00DD07AF" w:rsidRPr="008A02A9" w:rsidRDefault="00DD07AF" w:rsidP="00CB2FBB">
            <w:pPr>
              <w:pStyle w:val="Tabletext"/>
            </w:pPr>
            <w:r w:rsidRPr="008A02A9">
              <w:t>2</w:t>
            </w:r>
          </w:p>
        </w:tc>
        <w:tc>
          <w:tcPr>
            <w:tcW w:w="1261" w:type="dxa"/>
            <w:tcBorders>
              <w:top w:val="single" w:sz="4" w:space="0" w:color="auto"/>
              <w:left w:val="single" w:sz="4" w:space="0" w:color="auto"/>
              <w:bottom w:val="single" w:sz="4" w:space="0" w:color="auto"/>
            </w:tcBorders>
            <w:shd w:val="clear" w:color="auto" w:fill="auto"/>
            <w:vAlign w:val="center"/>
          </w:tcPr>
          <w:p w:rsidR="00DD07AF" w:rsidRPr="008A02A9" w:rsidRDefault="00DD07AF" w:rsidP="00CB2FBB">
            <w:pPr>
              <w:pStyle w:val="Tabletext"/>
            </w:pPr>
            <w:r w:rsidRPr="008A02A9">
              <w:t>MODFLOW</w:t>
            </w:r>
          </w:p>
        </w:tc>
      </w:tr>
      <w:tr w:rsidR="00DD07AF" w:rsidRPr="008A02A9" w:rsidTr="00FE5C4D">
        <w:tc>
          <w:tcPr>
            <w:tcW w:w="2127" w:type="dxa"/>
            <w:tcBorders>
              <w:top w:val="single" w:sz="4" w:space="0" w:color="auto"/>
              <w:bottom w:val="single" w:sz="4" w:space="0" w:color="auto"/>
              <w:right w:val="single" w:sz="4" w:space="0" w:color="auto"/>
            </w:tcBorders>
            <w:vAlign w:val="center"/>
          </w:tcPr>
          <w:p w:rsidR="00DD07AF" w:rsidRPr="008A02A9" w:rsidRDefault="00DD07AF" w:rsidP="00CB2FBB">
            <w:pPr>
              <w:pStyle w:val="Tabletext"/>
            </w:pPr>
            <w:r w:rsidRPr="008A02A9">
              <w:t>Lower Macquarie</w:t>
            </w:r>
          </w:p>
        </w:tc>
        <w:tc>
          <w:tcPr>
            <w:tcW w:w="1842" w:type="dxa"/>
            <w:tcBorders>
              <w:top w:val="single" w:sz="4" w:space="0" w:color="auto"/>
              <w:left w:val="single" w:sz="4" w:space="0" w:color="auto"/>
              <w:bottom w:val="single" w:sz="4" w:space="0" w:color="auto"/>
              <w:right w:val="single" w:sz="4" w:space="0" w:color="auto"/>
            </w:tcBorders>
            <w:vAlign w:val="center"/>
          </w:tcPr>
          <w:p w:rsidR="00DD07AF" w:rsidRPr="008A02A9" w:rsidRDefault="00DD07AF" w:rsidP="00CB2FBB">
            <w:pPr>
              <w:pStyle w:val="Tabletext"/>
            </w:pPr>
            <w:r w:rsidRPr="008A02A9">
              <w:t>Bilge (2007)</w:t>
            </w:r>
          </w:p>
        </w:tc>
        <w:tc>
          <w:tcPr>
            <w:tcW w:w="1472" w:type="dxa"/>
            <w:tcBorders>
              <w:top w:val="single" w:sz="4" w:space="0" w:color="auto"/>
              <w:left w:val="single" w:sz="4" w:space="0" w:color="auto"/>
              <w:bottom w:val="single" w:sz="4" w:space="0" w:color="auto"/>
              <w:right w:val="single" w:sz="4" w:space="0" w:color="auto"/>
            </w:tcBorders>
            <w:vAlign w:val="center"/>
          </w:tcPr>
          <w:p w:rsidR="00DD07AF" w:rsidRPr="008A02A9" w:rsidRDefault="00DD07AF" w:rsidP="00CB2FBB">
            <w:pPr>
              <w:pStyle w:val="Tabletext"/>
            </w:pPr>
            <w:r w:rsidRPr="008A02A9">
              <w:t>water resources</w:t>
            </w:r>
          </w:p>
        </w:tc>
        <w:tc>
          <w:tcPr>
            <w:tcW w:w="1505" w:type="dxa"/>
            <w:tcBorders>
              <w:top w:val="single" w:sz="4" w:space="0" w:color="auto"/>
              <w:left w:val="single" w:sz="4" w:space="0" w:color="auto"/>
              <w:bottom w:val="single" w:sz="4" w:space="0" w:color="auto"/>
              <w:right w:val="single" w:sz="4" w:space="0" w:color="auto"/>
            </w:tcBorders>
            <w:shd w:val="clear" w:color="auto" w:fill="auto"/>
            <w:vAlign w:val="center"/>
          </w:tcPr>
          <w:p w:rsidR="00DD07AF" w:rsidRPr="008A02A9" w:rsidRDefault="00DD07AF" w:rsidP="00CB2FBB">
            <w:pPr>
              <w:pStyle w:val="Tabletext"/>
            </w:pPr>
            <w:r w:rsidRPr="008A02A9">
              <w:t>4</w:t>
            </w:r>
          </w:p>
        </w:tc>
        <w:tc>
          <w:tcPr>
            <w:tcW w:w="991" w:type="dxa"/>
            <w:tcBorders>
              <w:top w:val="single" w:sz="4" w:space="0" w:color="auto"/>
              <w:left w:val="single" w:sz="4" w:space="0" w:color="auto"/>
              <w:bottom w:val="single" w:sz="4" w:space="0" w:color="auto"/>
              <w:right w:val="single" w:sz="4" w:space="0" w:color="auto"/>
            </w:tcBorders>
            <w:shd w:val="clear" w:color="auto" w:fill="auto"/>
            <w:vAlign w:val="center"/>
          </w:tcPr>
          <w:p w:rsidR="00DD07AF" w:rsidRPr="008A02A9" w:rsidRDefault="00DD07AF" w:rsidP="00CB2FBB">
            <w:pPr>
              <w:pStyle w:val="Tabletext"/>
            </w:pPr>
            <w:r w:rsidRPr="008A02A9">
              <w:t>4</w:t>
            </w:r>
          </w:p>
        </w:tc>
        <w:tc>
          <w:tcPr>
            <w:tcW w:w="1261" w:type="dxa"/>
            <w:tcBorders>
              <w:top w:val="single" w:sz="4" w:space="0" w:color="auto"/>
              <w:left w:val="single" w:sz="4" w:space="0" w:color="auto"/>
              <w:bottom w:val="single" w:sz="4" w:space="0" w:color="auto"/>
            </w:tcBorders>
            <w:shd w:val="clear" w:color="auto" w:fill="auto"/>
            <w:vAlign w:val="center"/>
          </w:tcPr>
          <w:p w:rsidR="00DD07AF" w:rsidRPr="008A02A9" w:rsidRDefault="00DD07AF" w:rsidP="00CB2FBB">
            <w:pPr>
              <w:pStyle w:val="Tabletext"/>
            </w:pPr>
            <w:r w:rsidRPr="008A02A9">
              <w:t>MODFLOW</w:t>
            </w:r>
          </w:p>
        </w:tc>
      </w:tr>
      <w:tr w:rsidR="00DD07AF" w:rsidRPr="008A02A9" w:rsidTr="00FE5C4D">
        <w:tc>
          <w:tcPr>
            <w:tcW w:w="2127" w:type="dxa"/>
            <w:tcBorders>
              <w:top w:val="single" w:sz="4" w:space="0" w:color="auto"/>
              <w:bottom w:val="single" w:sz="4" w:space="0" w:color="auto"/>
              <w:right w:val="single" w:sz="4" w:space="0" w:color="auto"/>
            </w:tcBorders>
            <w:vAlign w:val="center"/>
          </w:tcPr>
          <w:p w:rsidR="00DD07AF" w:rsidRPr="008A02A9" w:rsidRDefault="00DD07AF" w:rsidP="00CB2FBB">
            <w:pPr>
              <w:pStyle w:val="Tabletext"/>
            </w:pPr>
            <w:r w:rsidRPr="008A02A9">
              <w:t>Lower Namoi</w:t>
            </w:r>
          </w:p>
        </w:tc>
        <w:tc>
          <w:tcPr>
            <w:tcW w:w="1842" w:type="dxa"/>
            <w:tcBorders>
              <w:top w:val="single" w:sz="4" w:space="0" w:color="auto"/>
              <w:left w:val="single" w:sz="4" w:space="0" w:color="auto"/>
              <w:bottom w:val="single" w:sz="4" w:space="0" w:color="auto"/>
              <w:right w:val="single" w:sz="4" w:space="0" w:color="auto"/>
            </w:tcBorders>
            <w:vAlign w:val="center"/>
          </w:tcPr>
          <w:p w:rsidR="00DD07AF" w:rsidRPr="008A02A9" w:rsidRDefault="00DD07AF" w:rsidP="00CB2FBB">
            <w:pPr>
              <w:pStyle w:val="Tabletext"/>
            </w:pPr>
            <w:r w:rsidRPr="008A02A9">
              <w:t>Merrick (2001)</w:t>
            </w:r>
          </w:p>
        </w:tc>
        <w:tc>
          <w:tcPr>
            <w:tcW w:w="1472" w:type="dxa"/>
            <w:tcBorders>
              <w:top w:val="single" w:sz="4" w:space="0" w:color="auto"/>
              <w:left w:val="single" w:sz="4" w:space="0" w:color="auto"/>
              <w:bottom w:val="single" w:sz="4" w:space="0" w:color="auto"/>
              <w:right w:val="single" w:sz="4" w:space="0" w:color="auto"/>
            </w:tcBorders>
            <w:vAlign w:val="center"/>
          </w:tcPr>
          <w:p w:rsidR="00DD07AF" w:rsidRPr="008A02A9" w:rsidRDefault="00DD07AF" w:rsidP="00CB2FBB">
            <w:pPr>
              <w:pStyle w:val="Tabletext"/>
            </w:pPr>
            <w:r w:rsidRPr="008A02A9">
              <w:t>water resources</w:t>
            </w:r>
          </w:p>
        </w:tc>
        <w:tc>
          <w:tcPr>
            <w:tcW w:w="1505" w:type="dxa"/>
            <w:tcBorders>
              <w:top w:val="single" w:sz="4" w:space="0" w:color="auto"/>
              <w:left w:val="single" w:sz="4" w:space="0" w:color="auto"/>
              <w:bottom w:val="single" w:sz="4" w:space="0" w:color="auto"/>
              <w:right w:val="single" w:sz="4" w:space="0" w:color="auto"/>
            </w:tcBorders>
            <w:shd w:val="clear" w:color="auto" w:fill="auto"/>
            <w:vAlign w:val="center"/>
          </w:tcPr>
          <w:p w:rsidR="00DD07AF" w:rsidRPr="008A02A9" w:rsidRDefault="00DD07AF" w:rsidP="00CB2FBB">
            <w:pPr>
              <w:pStyle w:val="Tabletext"/>
            </w:pPr>
            <w:r w:rsidRPr="008A02A9">
              <w:t>5</w:t>
            </w:r>
          </w:p>
        </w:tc>
        <w:tc>
          <w:tcPr>
            <w:tcW w:w="991" w:type="dxa"/>
            <w:tcBorders>
              <w:top w:val="single" w:sz="4" w:space="0" w:color="auto"/>
              <w:left w:val="single" w:sz="4" w:space="0" w:color="auto"/>
              <w:bottom w:val="single" w:sz="4" w:space="0" w:color="auto"/>
              <w:right w:val="single" w:sz="4" w:space="0" w:color="auto"/>
            </w:tcBorders>
            <w:shd w:val="clear" w:color="auto" w:fill="auto"/>
            <w:vAlign w:val="center"/>
          </w:tcPr>
          <w:p w:rsidR="00DD07AF" w:rsidRPr="008A02A9" w:rsidRDefault="00DD07AF" w:rsidP="00CB2FBB">
            <w:pPr>
              <w:pStyle w:val="Tabletext"/>
            </w:pPr>
            <w:r w:rsidRPr="008A02A9">
              <w:t>3</w:t>
            </w:r>
          </w:p>
        </w:tc>
        <w:tc>
          <w:tcPr>
            <w:tcW w:w="1261" w:type="dxa"/>
            <w:tcBorders>
              <w:top w:val="single" w:sz="4" w:space="0" w:color="auto"/>
              <w:left w:val="single" w:sz="4" w:space="0" w:color="auto"/>
              <w:bottom w:val="single" w:sz="4" w:space="0" w:color="auto"/>
            </w:tcBorders>
            <w:shd w:val="clear" w:color="auto" w:fill="auto"/>
            <w:vAlign w:val="center"/>
          </w:tcPr>
          <w:p w:rsidR="00DD07AF" w:rsidRPr="008A02A9" w:rsidRDefault="00DD07AF" w:rsidP="00CB2FBB">
            <w:pPr>
              <w:pStyle w:val="Tabletext"/>
            </w:pPr>
            <w:r w:rsidRPr="008A02A9">
              <w:t>MODFLOW</w:t>
            </w:r>
          </w:p>
        </w:tc>
      </w:tr>
      <w:tr w:rsidR="00FE5C4D" w:rsidRPr="008A02A9" w:rsidTr="00FE5C4D">
        <w:tc>
          <w:tcPr>
            <w:tcW w:w="2127" w:type="dxa"/>
            <w:tcBorders>
              <w:top w:val="single" w:sz="4" w:space="0" w:color="auto"/>
              <w:bottom w:val="single" w:sz="4" w:space="0" w:color="auto"/>
              <w:right w:val="single" w:sz="4" w:space="0" w:color="auto"/>
            </w:tcBorders>
            <w:shd w:val="clear" w:color="auto" w:fill="auto"/>
            <w:vAlign w:val="center"/>
          </w:tcPr>
          <w:p w:rsidR="00FE5C4D" w:rsidRPr="008A02A9" w:rsidRDefault="00FE5C4D" w:rsidP="00CB2FBB">
            <w:pPr>
              <w:pStyle w:val="Tabletext"/>
            </w:pPr>
            <w:r w:rsidRPr="008A02A9">
              <w:t>Moree</w:t>
            </w:r>
          </w:p>
        </w:tc>
        <w:tc>
          <w:tcPr>
            <w:tcW w:w="1842" w:type="dxa"/>
            <w:tcBorders>
              <w:top w:val="single" w:sz="4" w:space="0" w:color="auto"/>
              <w:left w:val="single" w:sz="4" w:space="0" w:color="auto"/>
              <w:bottom w:val="single" w:sz="4" w:space="0" w:color="auto"/>
              <w:right w:val="single" w:sz="4" w:space="0" w:color="auto"/>
            </w:tcBorders>
            <w:shd w:val="clear" w:color="auto" w:fill="auto"/>
            <w:vAlign w:val="center"/>
          </w:tcPr>
          <w:p w:rsidR="00FE5C4D" w:rsidRPr="008A02A9" w:rsidRDefault="00FE5C4D" w:rsidP="00CB2FBB">
            <w:pPr>
              <w:pStyle w:val="Tabletext"/>
            </w:pPr>
            <w:r w:rsidRPr="008A02A9">
              <w:t>Hopkins (1996)</w:t>
            </w:r>
          </w:p>
        </w:tc>
        <w:tc>
          <w:tcPr>
            <w:tcW w:w="1472" w:type="dxa"/>
            <w:tcBorders>
              <w:top w:val="single" w:sz="4" w:space="0" w:color="auto"/>
              <w:left w:val="single" w:sz="4" w:space="0" w:color="auto"/>
              <w:bottom w:val="single" w:sz="4" w:space="0" w:color="auto"/>
              <w:right w:val="single" w:sz="4" w:space="0" w:color="auto"/>
            </w:tcBorders>
            <w:shd w:val="clear" w:color="auto" w:fill="auto"/>
            <w:vAlign w:val="center"/>
          </w:tcPr>
          <w:p w:rsidR="00FE5C4D" w:rsidRPr="008A02A9" w:rsidRDefault="00FE5C4D" w:rsidP="00CB2FBB">
            <w:pPr>
              <w:pStyle w:val="Tabletext"/>
            </w:pPr>
            <w:r w:rsidRPr="008A02A9">
              <w:t>water resources</w:t>
            </w:r>
          </w:p>
        </w:tc>
        <w:tc>
          <w:tcPr>
            <w:tcW w:w="1505" w:type="dxa"/>
            <w:tcBorders>
              <w:top w:val="single" w:sz="4" w:space="0" w:color="auto"/>
              <w:left w:val="single" w:sz="4" w:space="0" w:color="auto"/>
              <w:bottom w:val="single" w:sz="4" w:space="0" w:color="auto"/>
              <w:right w:val="nil"/>
            </w:tcBorders>
            <w:shd w:val="clear" w:color="auto" w:fill="auto"/>
            <w:vAlign w:val="center"/>
          </w:tcPr>
          <w:p w:rsidR="00FE5C4D" w:rsidRPr="008A02A9" w:rsidRDefault="00FE5C4D" w:rsidP="00CB2FBB">
            <w:pPr>
              <w:pStyle w:val="Tabletext"/>
            </w:pPr>
            <w:r w:rsidRPr="008A02A9">
              <w:t>unsourced</w:t>
            </w:r>
          </w:p>
        </w:tc>
        <w:tc>
          <w:tcPr>
            <w:tcW w:w="991" w:type="dxa"/>
            <w:tcBorders>
              <w:top w:val="single" w:sz="4" w:space="0" w:color="auto"/>
              <w:left w:val="nil"/>
              <w:bottom w:val="single" w:sz="4" w:space="0" w:color="auto"/>
              <w:right w:val="nil"/>
            </w:tcBorders>
            <w:shd w:val="clear" w:color="auto" w:fill="auto"/>
            <w:vAlign w:val="center"/>
          </w:tcPr>
          <w:p w:rsidR="00FE5C4D" w:rsidRPr="008A02A9" w:rsidRDefault="00FE5C4D" w:rsidP="00CB2FBB">
            <w:pPr>
              <w:pStyle w:val="Tabletext"/>
            </w:pPr>
          </w:p>
        </w:tc>
        <w:tc>
          <w:tcPr>
            <w:tcW w:w="1261" w:type="dxa"/>
            <w:tcBorders>
              <w:top w:val="single" w:sz="4" w:space="0" w:color="auto"/>
              <w:left w:val="nil"/>
              <w:bottom w:val="single" w:sz="4" w:space="0" w:color="auto"/>
            </w:tcBorders>
            <w:shd w:val="clear" w:color="auto" w:fill="auto"/>
            <w:vAlign w:val="center"/>
          </w:tcPr>
          <w:p w:rsidR="00FE5C4D" w:rsidRPr="008A02A9" w:rsidRDefault="00FE5C4D" w:rsidP="00CB2FBB">
            <w:pPr>
              <w:pStyle w:val="Tabletext"/>
            </w:pPr>
          </w:p>
        </w:tc>
      </w:tr>
      <w:tr w:rsidR="00B5271A" w:rsidRPr="008A02A9" w:rsidTr="00FE5C4D">
        <w:tc>
          <w:tcPr>
            <w:tcW w:w="2127" w:type="dxa"/>
            <w:tcBorders>
              <w:top w:val="single" w:sz="4" w:space="0" w:color="auto"/>
              <w:bottom w:val="single" w:sz="4" w:space="0" w:color="auto"/>
              <w:right w:val="single" w:sz="4" w:space="0" w:color="auto"/>
            </w:tcBorders>
            <w:vAlign w:val="center"/>
          </w:tcPr>
          <w:p w:rsidR="00B5271A" w:rsidRPr="008A02A9" w:rsidRDefault="00B5271A" w:rsidP="00CB2FBB">
            <w:pPr>
              <w:pStyle w:val="Tabletext"/>
            </w:pPr>
            <w:r w:rsidRPr="008A02A9">
              <w:t>Namoi Water Study</w:t>
            </w:r>
          </w:p>
        </w:tc>
        <w:tc>
          <w:tcPr>
            <w:tcW w:w="1842" w:type="dxa"/>
            <w:tcBorders>
              <w:top w:val="single" w:sz="4" w:space="0" w:color="auto"/>
              <w:left w:val="single" w:sz="4" w:space="0" w:color="auto"/>
              <w:bottom w:val="single" w:sz="4" w:space="0" w:color="auto"/>
              <w:right w:val="single" w:sz="4" w:space="0" w:color="auto"/>
            </w:tcBorders>
            <w:vAlign w:val="center"/>
          </w:tcPr>
          <w:p w:rsidR="00B5271A" w:rsidRPr="008A02A9" w:rsidRDefault="00B5271A" w:rsidP="00CB2FBB">
            <w:pPr>
              <w:pStyle w:val="Tabletext"/>
            </w:pPr>
            <w:r w:rsidRPr="008A02A9">
              <w:t>SWS (2012)</w:t>
            </w:r>
          </w:p>
        </w:tc>
        <w:tc>
          <w:tcPr>
            <w:tcW w:w="1472" w:type="dxa"/>
            <w:tcBorders>
              <w:top w:val="single" w:sz="4" w:space="0" w:color="auto"/>
              <w:left w:val="single" w:sz="4" w:space="0" w:color="auto"/>
              <w:bottom w:val="single" w:sz="4" w:space="0" w:color="auto"/>
              <w:right w:val="single" w:sz="4" w:space="0" w:color="auto"/>
            </w:tcBorders>
            <w:vAlign w:val="center"/>
          </w:tcPr>
          <w:p w:rsidR="00B5271A" w:rsidRPr="008A02A9" w:rsidRDefault="00B5271A" w:rsidP="00CB2FBB">
            <w:pPr>
              <w:pStyle w:val="Tabletext"/>
            </w:pPr>
            <w:r w:rsidRPr="008A02A9">
              <w:t>water resources</w:t>
            </w:r>
          </w:p>
        </w:tc>
        <w:tc>
          <w:tcPr>
            <w:tcW w:w="1505" w:type="dxa"/>
            <w:tcBorders>
              <w:top w:val="single" w:sz="4" w:space="0" w:color="auto"/>
              <w:left w:val="single" w:sz="4" w:space="0" w:color="auto"/>
              <w:bottom w:val="single" w:sz="4" w:space="0" w:color="auto"/>
              <w:right w:val="single" w:sz="4" w:space="0" w:color="auto"/>
            </w:tcBorders>
            <w:shd w:val="clear" w:color="auto" w:fill="auto"/>
            <w:vAlign w:val="center"/>
          </w:tcPr>
          <w:p w:rsidR="00B5271A" w:rsidRPr="008A02A9" w:rsidRDefault="00B5271A" w:rsidP="00CB2FBB">
            <w:pPr>
              <w:pStyle w:val="Tabletext"/>
            </w:pPr>
            <w:r w:rsidRPr="008A02A9">
              <w:t>30</w:t>
            </w:r>
          </w:p>
        </w:tc>
        <w:tc>
          <w:tcPr>
            <w:tcW w:w="991" w:type="dxa"/>
            <w:tcBorders>
              <w:top w:val="single" w:sz="4" w:space="0" w:color="auto"/>
              <w:left w:val="single" w:sz="4" w:space="0" w:color="auto"/>
              <w:bottom w:val="single" w:sz="4" w:space="0" w:color="auto"/>
              <w:right w:val="single" w:sz="4" w:space="0" w:color="auto"/>
            </w:tcBorders>
            <w:shd w:val="clear" w:color="auto" w:fill="auto"/>
            <w:vAlign w:val="center"/>
          </w:tcPr>
          <w:p w:rsidR="00B5271A" w:rsidRPr="008A02A9" w:rsidRDefault="00B5271A" w:rsidP="00CB2FBB">
            <w:pPr>
              <w:pStyle w:val="Tabletext"/>
            </w:pPr>
            <w:r w:rsidRPr="008A02A9">
              <w:t>18</w:t>
            </w:r>
          </w:p>
        </w:tc>
        <w:tc>
          <w:tcPr>
            <w:tcW w:w="1261" w:type="dxa"/>
            <w:tcBorders>
              <w:top w:val="single" w:sz="4" w:space="0" w:color="auto"/>
              <w:left w:val="single" w:sz="4" w:space="0" w:color="auto"/>
              <w:bottom w:val="single" w:sz="4" w:space="0" w:color="auto"/>
            </w:tcBorders>
            <w:shd w:val="clear" w:color="auto" w:fill="auto"/>
            <w:vAlign w:val="center"/>
          </w:tcPr>
          <w:p w:rsidR="00B5271A" w:rsidRPr="008A02A9" w:rsidRDefault="00B5271A" w:rsidP="00CB2FBB">
            <w:pPr>
              <w:pStyle w:val="Tabletext"/>
            </w:pPr>
            <w:r w:rsidRPr="008A02A9">
              <w:t>MODFLOW</w:t>
            </w:r>
          </w:p>
        </w:tc>
      </w:tr>
      <w:tr w:rsidR="00DD07AF" w:rsidRPr="008A02A9" w:rsidTr="00FE5C4D">
        <w:tc>
          <w:tcPr>
            <w:tcW w:w="2127" w:type="dxa"/>
            <w:tcBorders>
              <w:top w:val="single" w:sz="4" w:space="0" w:color="auto"/>
              <w:bottom w:val="single" w:sz="4" w:space="0" w:color="auto"/>
              <w:right w:val="single" w:sz="4" w:space="0" w:color="auto"/>
            </w:tcBorders>
            <w:vAlign w:val="center"/>
          </w:tcPr>
          <w:p w:rsidR="00DD07AF" w:rsidRPr="008A02A9" w:rsidRDefault="00DD07AF" w:rsidP="00CB2FBB">
            <w:pPr>
              <w:pStyle w:val="Tabletext"/>
            </w:pPr>
            <w:r w:rsidRPr="008A02A9">
              <w:t>Narrabri Coal Stage 2</w:t>
            </w:r>
          </w:p>
        </w:tc>
        <w:tc>
          <w:tcPr>
            <w:tcW w:w="1842" w:type="dxa"/>
            <w:tcBorders>
              <w:top w:val="single" w:sz="4" w:space="0" w:color="auto"/>
              <w:left w:val="single" w:sz="4" w:space="0" w:color="auto"/>
              <w:bottom w:val="single" w:sz="4" w:space="0" w:color="auto"/>
              <w:right w:val="single" w:sz="4" w:space="0" w:color="auto"/>
            </w:tcBorders>
            <w:vAlign w:val="center"/>
          </w:tcPr>
          <w:p w:rsidR="00DD07AF" w:rsidRPr="008A02A9" w:rsidRDefault="00DD07AF" w:rsidP="00CB2FBB">
            <w:pPr>
              <w:pStyle w:val="Tabletext"/>
            </w:pPr>
            <w:r w:rsidRPr="008A02A9">
              <w:t>Aquaterra (2009)</w:t>
            </w:r>
          </w:p>
        </w:tc>
        <w:tc>
          <w:tcPr>
            <w:tcW w:w="1472" w:type="dxa"/>
            <w:tcBorders>
              <w:top w:val="single" w:sz="4" w:space="0" w:color="auto"/>
              <w:left w:val="single" w:sz="4" w:space="0" w:color="auto"/>
              <w:bottom w:val="single" w:sz="4" w:space="0" w:color="auto"/>
              <w:right w:val="single" w:sz="4" w:space="0" w:color="auto"/>
            </w:tcBorders>
            <w:vAlign w:val="center"/>
          </w:tcPr>
          <w:p w:rsidR="00DD07AF" w:rsidRPr="008A02A9" w:rsidRDefault="00DD07AF" w:rsidP="00CB2FBB">
            <w:pPr>
              <w:pStyle w:val="Tabletext"/>
            </w:pPr>
            <w:r w:rsidRPr="008A02A9">
              <w:t>mine dewatering</w:t>
            </w:r>
          </w:p>
        </w:tc>
        <w:tc>
          <w:tcPr>
            <w:tcW w:w="1505" w:type="dxa"/>
            <w:tcBorders>
              <w:top w:val="single" w:sz="4" w:space="0" w:color="auto"/>
              <w:left w:val="single" w:sz="4" w:space="0" w:color="auto"/>
              <w:bottom w:val="single" w:sz="4" w:space="0" w:color="auto"/>
              <w:right w:val="single" w:sz="4" w:space="0" w:color="auto"/>
            </w:tcBorders>
            <w:shd w:val="clear" w:color="auto" w:fill="auto"/>
            <w:vAlign w:val="center"/>
          </w:tcPr>
          <w:p w:rsidR="00DD07AF" w:rsidRPr="008A02A9" w:rsidRDefault="00DD07AF" w:rsidP="00CB2FBB">
            <w:pPr>
              <w:pStyle w:val="Tabletext"/>
            </w:pPr>
            <w:r w:rsidRPr="008A02A9">
              <w:t>2</w:t>
            </w:r>
          </w:p>
        </w:tc>
        <w:tc>
          <w:tcPr>
            <w:tcW w:w="991" w:type="dxa"/>
            <w:tcBorders>
              <w:top w:val="single" w:sz="4" w:space="0" w:color="auto"/>
              <w:left w:val="single" w:sz="4" w:space="0" w:color="auto"/>
              <w:bottom w:val="single" w:sz="4" w:space="0" w:color="auto"/>
              <w:right w:val="single" w:sz="4" w:space="0" w:color="auto"/>
            </w:tcBorders>
            <w:shd w:val="clear" w:color="auto" w:fill="auto"/>
            <w:vAlign w:val="center"/>
          </w:tcPr>
          <w:p w:rsidR="00DD07AF" w:rsidRPr="008A02A9" w:rsidRDefault="00DD07AF" w:rsidP="00CB2FBB">
            <w:pPr>
              <w:pStyle w:val="Tabletext"/>
            </w:pPr>
            <w:r w:rsidRPr="008A02A9">
              <w:t>11</w:t>
            </w:r>
          </w:p>
        </w:tc>
        <w:tc>
          <w:tcPr>
            <w:tcW w:w="1261" w:type="dxa"/>
            <w:tcBorders>
              <w:top w:val="single" w:sz="4" w:space="0" w:color="auto"/>
              <w:left w:val="single" w:sz="4" w:space="0" w:color="auto"/>
              <w:bottom w:val="single" w:sz="4" w:space="0" w:color="auto"/>
            </w:tcBorders>
            <w:shd w:val="clear" w:color="auto" w:fill="auto"/>
            <w:vAlign w:val="center"/>
          </w:tcPr>
          <w:p w:rsidR="00DD07AF" w:rsidRPr="008A02A9" w:rsidRDefault="00DD07AF" w:rsidP="00CB2FBB">
            <w:pPr>
              <w:pStyle w:val="Tabletext"/>
            </w:pPr>
            <w:r w:rsidRPr="008A02A9">
              <w:t>MODFLOW</w:t>
            </w:r>
          </w:p>
        </w:tc>
      </w:tr>
      <w:tr w:rsidR="00DD07AF" w:rsidRPr="008A02A9" w:rsidTr="00FE5C4D">
        <w:tc>
          <w:tcPr>
            <w:tcW w:w="2127" w:type="dxa"/>
            <w:tcBorders>
              <w:top w:val="single" w:sz="4" w:space="0" w:color="auto"/>
              <w:bottom w:val="single" w:sz="4" w:space="0" w:color="auto"/>
              <w:right w:val="single" w:sz="4" w:space="0" w:color="auto"/>
            </w:tcBorders>
            <w:vAlign w:val="center"/>
          </w:tcPr>
          <w:p w:rsidR="00DD07AF" w:rsidRPr="008A02A9" w:rsidRDefault="00DD07AF" w:rsidP="00CB2FBB">
            <w:pPr>
              <w:pStyle w:val="Tabletext"/>
            </w:pPr>
            <w:r w:rsidRPr="008A02A9">
              <w:t>Q</w:t>
            </w:r>
            <w:r w:rsidR="00F87DE2">
              <w:t xml:space="preserve">ueensland </w:t>
            </w:r>
            <w:r w:rsidRPr="008A02A9">
              <w:t>C</w:t>
            </w:r>
            <w:r w:rsidR="00F87DE2">
              <w:t xml:space="preserve">urtis </w:t>
            </w:r>
            <w:r w:rsidRPr="008A02A9">
              <w:t>LNG project</w:t>
            </w:r>
          </w:p>
        </w:tc>
        <w:tc>
          <w:tcPr>
            <w:tcW w:w="1842" w:type="dxa"/>
            <w:tcBorders>
              <w:top w:val="single" w:sz="4" w:space="0" w:color="auto"/>
              <w:left w:val="single" w:sz="4" w:space="0" w:color="auto"/>
              <w:bottom w:val="single" w:sz="4" w:space="0" w:color="auto"/>
              <w:right w:val="single" w:sz="4" w:space="0" w:color="auto"/>
            </w:tcBorders>
            <w:vAlign w:val="center"/>
          </w:tcPr>
          <w:p w:rsidR="00DD07AF" w:rsidRPr="008A02A9" w:rsidRDefault="00DD07AF" w:rsidP="00CB2FBB">
            <w:pPr>
              <w:pStyle w:val="Tabletext"/>
            </w:pPr>
            <w:r w:rsidRPr="008A02A9">
              <w:t>Golder Associates (2009)</w:t>
            </w:r>
          </w:p>
        </w:tc>
        <w:tc>
          <w:tcPr>
            <w:tcW w:w="1472" w:type="dxa"/>
            <w:tcBorders>
              <w:top w:val="single" w:sz="4" w:space="0" w:color="auto"/>
              <w:left w:val="single" w:sz="4" w:space="0" w:color="auto"/>
              <w:bottom w:val="single" w:sz="4" w:space="0" w:color="auto"/>
              <w:right w:val="single" w:sz="4" w:space="0" w:color="auto"/>
            </w:tcBorders>
            <w:vAlign w:val="center"/>
          </w:tcPr>
          <w:p w:rsidR="00DD07AF" w:rsidRPr="008A02A9" w:rsidRDefault="00DD07AF" w:rsidP="00CB2FBB">
            <w:pPr>
              <w:pStyle w:val="Tabletext"/>
            </w:pPr>
            <w:r w:rsidRPr="008A02A9">
              <w:t>CSG extraction</w:t>
            </w:r>
          </w:p>
        </w:tc>
        <w:tc>
          <w:tcPr>
            <w:tcW w:w="1505" w:type="dxa"/>
            <w:tcBorders>
              <w:top w:val="single" w:sz="4" w:space="0" w:color="auto"/>
              <w:left w:val="single" w:sz="4" w:space="0" w:color="auto"/>
              <w:bottom w:val="single" w:sz="4" w:space="0" w:color="auto"/>
              <w:right w:val="single" w:sz="4" w:space="0" w:color="auto"/>
            </w:tcBorders>
            <w:shd w:val="clear" w:color="auto" w:fill="auto"/>
            <w:vAlign w:val="center"/>
          </w:tcPr>
          <w:p w:rsidR="00DD07AF" w:rsidRPr="008A02A9" w:rsidRDefault="00DD07AF" w:rsidP="00CB2FBB">
            <w:pPr>
              <w:pStyle w:val="Tabletext"/>
            </w:pPr>
            <w:r w:rsidRPr="008A02A9">
              <w:t>17</w:t>
            </w:r>
          </w:p>
        </w:tc>
        <w:tc>
          <w:tcPr>
            <w:tcW w:w="991" w:type="dxa"/>
            <w:tcBorders>
              <w:top w:val="single" w:sz="4" w:space="0" w:color="auto"/>
              <w:left w:val="single" w:sz="4" w:space="0" w:color="auto"/>
              <w:bottom w:val="single" w:sz="4" w:space="0" w:color="auto"/>
              <w:right w:val="single" w:sz="4" w:space="0" w:color="auto"/>
            </w:tcBorders>
            <w:shd w:val="clear" w:color="auto" w:fill="auto"/>
            <w:vAlign w:val="center"/>
          </w:tcPr>
          <w:p w:rsidR="00DD07AF" w:rsidRPr="008A02A9" w:rsidRDefault="00DD07AF" w:rsidP="00CB2FBB">
            <w:pPr>
              <w:pStyle w:val="Tabletext"/>
            </w:pPr>
            <w:r w:rsidRPr="008A02A9">
              <w:t>18</w:t>
            </w:r>
          </w:p>
        </w:tc>
        <w:tc>
          <w:tcPr>
            <w:tcW w:w="1261" w:type="dxa"/>
            <w:tcBorders>
              <w:top w:val="single" w:sz="4" w:space="0" w:color="auto"/>
              <w:left w:val="single" w:sz="4" w:space="0" w:color="auto"/>
              <w:bottom w:val="single" w:sz="4" w:space="0" w:color="auto"/>
            </w:tcBorders>
            <w:shd w:val="clear" w:color="auto" w:fill="auto"/>
            <w:vAlign w:val="center"/>
          </w:tcPr>
          <w:p w:rsidR="00DD07AF" w:rsidRPr="008A02A9" w:rsidRDefault="00DD07AF" w:rsidP="00CB2FBB">
            <w:pPr>
              <w:pStyle w:val="Tabletext"/>
            </w:pPr>
            <w:r w:rsidRPr="008A02A9">
              <w:t>MODFLOW</w:t>
            </w:r>
          </w:p>
        </w:tc>
      </w:tr>
      <w:tr w:rsidR="00DD07AF" w:rsidRPr="008A02A9" w:rsidTr="00FE5C4D">
        <w:tc>
          <w:tcPr>
            <w:tcW w:w="2127" w:type="dxa"/>
            <w:tcBorders>
              <w:top w:val="single" w:sz="4" w:space="0" w:color="auto"/>
              <w:bottom w:val="single" w:sz="4" w:space="0" w:color="auto"/>
              <w:right w:val="single" w:sz="4" w:space="0" w:color="auto"/>
            </w:tcBorders>
            <w:vAlign w:val="center"/>
          </w:tcPr>
          <w:p w:rsidR="00DD07AF" w:rsidRPr="008A02A9" w:rsidRDefault="00DD07AF" w:rsidP="00CB2FBB">
            <w:pPr>
              <w:pStyle w:val="Tabletext"/>
            </w:pPr>
            <w:r w:rsidRPr="008A02A9">
              <w:t>QWC Surat CMA</w:t>
            </w:r>
          </w:p>
        </w:tc>
        <w:tc>
          <w:tcPr>
            <w:tcW w:w="1842" w:type="dxa"/>
            <w:tcBorders>
              <w:top w:val="single" w:sz="4" w:space="0" w:color="auto"/>
              <w:left w:val="single" w:sz="4" w:space="0" w:color="auto"/>
              <w:bottom w:val="single" w:sz="4" w:space="0" w:color="auto"/>
              <w:right w:val="single" w:sz="4" w:space="0" w:color="auto"/>
            </w:tcBorders>
            <w:vAlign w:val="center"/>
          </w:tcPr>
          <w:p w:rsidR="00DD07AF" w:rsidRPr="008A02A9" w:rsidRDefault="00DD07AF" w:rsidP="00CB2FBB">
            <w:pPr>
              <w:pStyle w:val="Tabletext"/>
            </w:pPr>
            <w:r w:rsidRPr="008A02A9">
              <w:t>QWC (2012</w:t>
            </w:r>
            <w:r w:rsidR="004E5011" w:rsidRPr="008A02A9">
              <w:t>a</w:t>
            </w:r>
            <w:r w:rsidRPr="008A02A9">
              <w:t>)</w:t>
            </w:r>
          </w:p>
        </w:tc>
        <w:tc>
          <w:tcPr>
            <w:tcW w:w="1472" w:type="dxa"/>
            <w:tcBorders>
              <w:top w:val="single" w:sz="4" w:space="0" w:color="auto"/>
              <w:left w:val="single" w:sz="4" w:space="0" w:color="auto"/>
              <w:bottom w:val="single" w:sz="4" w:space="0" w:color="auto"/>
              <w:right w:val="single" w:sz="4" w:space="0" w:color="auto"/>
            </w:tcBorders>
            <w:vAlign w:val="center"/>
          </w:tcPr>
          <w:p w:rsidR="00DD07AF" w:rsidRPr="008A02A9" w:rsidRDefault="00DD07AF" w:rsidP="00CB2FBB">
            <w:pPr>
              <w:pStyle w:val="Tabletext"/>
            </w:pPr>
            <w:r w:rsidRPr="008A02A9">
              <w:t>water resources</w:t>
            </w:r>
          </w:p>
        </w:tc>
        <w:tc>
          <w:tcPr>
            <w:tcW w:w="1505" w:type="dxa"/>
            <w:tcBorders>
              <w:top w:val="single" w:sz="4" w:space="0" w:color="auto"/>
              <w:left w:val="single" w:sz="4" w:space="0" w:color="auto"/>
              <w:bottom w:val="single" w:sz="4" w:space="0" w:color="auto"/>
              <w:right w:val="single" w:sz="4" w:space="0" w:color="auto"/>
            </w:tcBorders>
            <w:shd w:val="clear" w:color="auto" w:fill="auto"/>
            <w:vAlign w:val="center"/>
          </w:tcPr>
          <w:p w:rsidR="00DD07AF" w:rsidRPr="008A02A9" w:rsidRDefault="00DD07AF" w:rsidP="00CB2FBB">
            <w:pPr>
              <w:pStyle w:val="Tabletext"/>
            </w:pPr>
            <w:r w:rsidRPr="008A02A9">
              <w:t>363</w:t>
            </w:r>
          </w:p>
        </w:tc>
        <w:tc>
          <w:tcPr>
            <w:tcW w:w="991" w:type="dxa"/>
            <w:tcBorders>
              <w:top w:val="single" w:sz="4" w:space="0" w:color="auto"/>
              <w:left w:val="single" w:sz="4" w:space="0" w:color="auto"/>
              <w:bottom w:val="single" w:sz="4" w:space="0" w:color="auto"/>
              <w:right w:val="single" w:sz="4" w:space="0" w:color="auto"/>
            </w:tcBorders>
            <w:shd w:val="clear" w:color="auto" w:fill="auto"/>
            <w:vAlign w:val="center"/>
          </w:tcPr>
          <w:p w:rsidR="00DD07AF" w:rsidRPr="008A02A9" w:rsidRDefault="00DD07AF" w:rsidP="00CB2FBB">
            <w:pPr>
              <w:pStyle w:val="Tabletext"/>
            </w:pPr>
            <w:r w:rsidRPr="008A02A9">
              <w:t>19</w:t>
            </w:r>
          </w:p>
        </w:tc>
        <w:tc>
          <w:tcPr>
            <w:tcW w:w="1261" w:type="dxa"/>
            <w:tcBorders>
              <w:top w:val="single" w:sz="4" w:space="0" w:color="auto"/>
              <w:left w:val="single" w:sz="4" w:space="0" w:color="auto"/>
              <w:bottom w:val="single" w:sz="4" w:space="0" w:color="auto"/>
            </w:tcBorders>
            <w:shd w:val="clear" w:color="auto" w:fill="auto"/>
            <w:vAlign w:val="center"/>
          </w:tcPr>
          <w:p w:rsidR="00DD07AF" w:rsidRPr="008A02A9" w:rsidRDefault="00DD07AF" w:rsidP="00CB2FBB">
            <w:pPr>
              <w:pStyle w:val="Tabletext"/>
            </w:pPr>
            <w:r w:rsidRPr="008A02A9">
              <w:t>MODFLOW</w:t>
            </w:r>
          </w:p>
        </w:tc>
      </w:tr>
      <w:tr w:rsidR="00DD07AF" w:rsidRPr="008A02A9" w:rsidTr="00FE5C4D">
        <w:tc>
          <w:tcPr>
            <w:tcW w:w="2127" w:type="dxa"/>
            <w:tcBorders>
              <w:top w:val="single" w:sz="4" w:space="0" w:color="auto"/>
              <w:right w:val="single" w:sz="4" w:space="0" w:color="auto"/>
            </w:tcBorders>
            <w:vAlign w:val="center"/>
          </w:tcPr>
          <w:p w:rsidR="00DD07AF" w:rsidRPr="008A02A9" w:rsidRDefault="00DD07AF" w:rsidP="00CB2FBB">
            <w:pPr>
              <w:pStyle w:val="Tabletext"/>
            </w:pPr>
            <w:r w:rsidRPr="008A02A9">
              <w:t>Upper Condamine</w:t>
            </w:r>
          </w:p>
        </w:tc>
        <w:tc>
          <w:tcPr>
            <w:tcW w:w="1842" w:type="dxa"/>
            <w:tcBorders>
              <w:top w:val="single" w:sz="4" w:space="0" w:color="auto"/>
              <w:left w:val="single" w:sz="4" w:space="0" w:color="auto"/>
              <w:right w:val="single" w:sz="4" w:space="0" w:color="auto"/>
            </w:tcBorders>
            <w:vAlign w:val="center"/>
          </w:tcPr>
          <w:p w:rsidR="00DD07AF" w:rsidRPr="008A02A9" w:rsidRDefault="00DD07AF" w:rsidP="00CB2FBB">
            <w:pPr>
              <w:pStyle w:val="Tabletext"/>
            </w:pPr>
            <w:r w:rsidRPr="008A02A9">
              <w:t>Barnett and Muller (2008)</w:t>
            </w:r>
          </w:p>
        </w:tc>
        <w:tc>
          <w:tcPr>
            <w:tcW w:w="1472" w:type="dxa"/>
            <w:tcBorders>
              <w:top w:val="single" w:sz="4" w:space="0" w:color="auto"/>
              <w:left w:val="single" w:sz="4" w:space="0" w:color="auto"/>
              <w:right w:val="single" w:sz="4" w:space="0" w:color="auto"/>
            </w:tcBorders>
            <w:vAlign w:val="center"/>
          </w:tcPr>
          <w:p w:rsidR="00DD07AF" w:rsidRPr="008A02A9" w:rsidRDefault="00DD07AF" w:rsidP="00CB2FBB">
            <w:pPr>
              <w:pStyle w:val="Tabletext"/>
            </w:pPr>
            <w:r w:rsidRPr="008A02A9">
              <w:t>water resources</w:t>
            </w:r>
          </w:p>
        </w:tc>
        <w:tc>
          <w:tcPr>
            <w:tcW w:w="1505" w:type="dxa"/>
            <w:tcBorders>
              <w:top w:val="single" w:sz="4" w:space="0" w:color="auto"/>
              <w:left w:val="single" w:sz="4" w:space="0" w:color="auto"/>
              <w:right w:val="single" w:sz="4" w:space="0" w:color="auto"/>
            </w:tcBorders>
            <w:shd w:val="clear" w:color="auto" w:fill="auto"/>
            <w:vAlign w:val="center"/>
          </w:tcPr>
          <w:p w:rsidR="00DD07AF" w:rsidRPr="008A02A9" w:rsidRDefault="00DD07AF" w:rsidP="00CB2FBB">
            <w:pPr>
              <w:pStyle w:val="Tabletext"/>
            </w:pPr>
            <w:r w:rsidRPr="008A02A9">
              <w:t>3</w:t>
            </w:r>
          </w:p>
        </w:tc>
        <w:tc>
          <w:tcPr>
            <w:tcW w:w="991" w:type="dxa"/>
            <w:tcBorders>
              <w:top w:val="single" w:sz="4" w:space="0" w:color="auto"/>
              <w:left w:val="single" w:sz="4" w:space="0" w:color="auto"/>
              <w:right w:val="single" w:sz="4" w:space="0" w:color="auto"/>
            </w:tcBorders>
            <w:shd w:val="clear" w:color="auto" w:fill="auto"/>
            <w:vAlign w:val="center"/>
          </w:tcPr>
          <w:p w:rsidR="00DD07AF" w:rsidRPr="008A02A9" w:rsidRDefault="00DD07AF" w:rsidP="00CB2FBB">
            <w:pPr>
              <w:pStyle w:val="Tabletext"/>
            </w:pPr>
            <w:r w:rsidRPr="008A02A9">
              <w:t>3</w:t>
            </w:r>
          </w:p>
        </w:tc>
        <w:tc>
          <w:tcPr>
            <w:tcW w:w="1261" w:type="dxa"/>
            <w:tcBorders>
              <w:top w:val="single" w:sz="4" w:space="0" w:color="auto"/>
              <w:left w:val="single" w:sz="4" w:space="0" w:color="auto"/>
            </w:tcBorders>
            <w:shd w:val="clear" w:color="auto" w:fill="auto"/>
            <w:vAlign w:val="center"/>
          </w:tcPr>
          <w:p w:rsidR="00DD07AF" w:rsidRPr="008A02A9" w:rsidRDefault="00DD07AF" w:rsidP="00CB2FBB">
            <w:pPr>
              <w:pStyle w:val="Tabletext"/>
            </w:pPr>
            <w:r w:rsidRPr="008A02A9">
              <w:t>MODFLOW</w:t>
            </w:r>
          </w:p>
        </w:tc>
      </w:tr>
    </w:tbl>
    <w:p w:rsidR="00FE5C4D" w:rsidRDefault="00FE5C4D" w:rsidP="008A02A9">
      <w:pPr>
        <w:pStyle w:val="BRNormal"/>
      </w:pPr>
    </w:p>
    <w:p w:rsidR="00F33173" w:rsidRDefault="00DD07AF" w:rsidP="008A02A9">
      <w:pPr>
        <w:pStyle w:val="BRNormal"/>
      </w:pPr>
      <w:r>
        <w:t xml:space="preserve">The connectivity between hydrogeological units may also be inferred from the vertical hydraulic gradient between them. As described in section 5.5, in a deep basin such as the </w:t>
      </w:r>
      <w:r w:rsidRPr="00AD1CBC">
        <w:t>Surat Basin</w:t>
      </w:r>
      <w:r>
        <w:t>, hydraulic heads need to be corrected to remove the effects of varying groundwater densities</w:t>
      </w:r>
      <w:r w:rsidR="00EF292D">
        <w:t xml:space="preserve"> and temperatures</w:t>
      </w:r>
      <w:r>
        <w:t xml:space="preserve">. The GABWRA project produced pressure elevation plots in which pressure differences between coincident bores or piezometers (i.e. one sited in the watertable aquifer, the other sited in the Cadna-Owie-Hooray aquifers) were compared. </w:t>
      </w:r>
      <w:r>
        <w:lastRenderedPageBreak/>
        <w:t xml:space="preserve">Differences were calculated for three study areas of the Surat Basin </w:t>
      </w:r>
      <w:r w:rsidRPr="00B72B60">
        <w:t xml:space="preserve">(Figure </w:t>
      </w:r>
      <w:r w:rsidR="00254FAA">
        <w:t>21(</w:t>
      </w:r>
      <w:r w:rsidRPr="00B72B60">
        <w:t>a</w:t>
      </w:r>
      <w:r w:rsidR="00254FAA">
        <w:t>)</w:t>
      </w:r>
      <w:r w:rsidRPr="00B72B60">
        <w:t xml:space="preserve">) and are presented in Figure </w:t>
      </w:r>
      <w:r w:rsidR="00254FAA">
        <w:t>21</w:t>
      </w:r>
      <w:r w:rsidR="00F33173">
        <w:t>(b)</w:t>
      </w:r>
      <w:r>
        <w:t xml:space="preserve">. </w:t>
      </w:r>
      <w:r w:rsidR="00F33173">
        <w:t>Dashe</w:t>
      </w:r>
      <w:r w:rsidR="00F33173" w:rsidRPr="00791CF6">
        <w:t xml:space="preserve">d lines represent the hydrostatic gradients for each study area and </w:t>
      </w:r>
      <w:r w:rsidR="00F33173">
        <w:t>soli</w:t>
      </w:r>
      <w:r w:rsidR="00F33173" w:rsidRPr="00791CF6">
        <w:t xml:space="preserve">d lines represent the observed trend in vertical flow. </w:t>
      </w:r>
      <w:r w:rsidR="00F33173">
        <w:t>T</w:t>
      </w:r>
      <w:r w:rsidR="00F33173" w:rsidRPr="00791CF6">
        <w:t xml:space="preserve">rend lines </w:t>
      </w:r>
      <w:r w:rsidR="00F33173">
        <w:t xml:space="preserve">derived from observed data </w:t>
      </w:r>
      <w:r w:rsidR="00F33173" w:rsidRPr="00791CF6">
        <w:t xml:space="preserve">that plot </w:t>
      </w:r>
      <w:r w:rsidR="00F33173">
        <w:t xml:space="preserve">above </w:t>
      </w:r>
      <w:r w:rsidR="00F33173" w:rsidRPr="00791CF6">
        <w:t>the hydrostatic gradient indicate upward pressure gradients. This is true for the two data series depicted, which were located in the west (</w:t>
      </w:r>
      <w:r w:rsidR="00F33173">
        <w:t>red</w:t>
      </w:r>
      <w:r w:rsidR="00F33173" w:rsidRPr="00791CF6">
        <w:t>) and centre (blue) of the Basin.</w:t>
      </w:r>
      <w:r w:rsidR="00F33173">
        <w:t xml:space="preserve"> </w:t>
      </w:r>
    </w:p>
    <w:p w:rsidR="00DD07AF" w:rsidRDefault="00DD07AF" w:rsidP="001C3374">
      <w:pPr>
        <w:pStyle w:val="Body"/>
      </w:pPr>
    </w:p>
    <w:p w:rsidR="00DD07AF" w:rsidRDefault="00DD07AF" w:rsidP="001C3374">
      <w:pPr>
        <w:pStyle w:val="Body"/>
      </w:pPr>
      <w:r>
        <w:rPr>
          <w:noProof/>
          <w:lang w:val="en-AU" w:eastAsia="en-AU"/>
        </w:rPr>
        <w:drawing>
          <wp:inline distT="0" distB="0" distL="0" distR="0">
            <wp:extent cx="2700000" cy="2709371"/>
            <wp:effectExtent l="19050" t="0" r="5100" b="0"/>
            <wp:docPr id="98" name="Picture 18" descr="SU_pressure-depth_plot_locations_v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_pressure-depth_plot_locations_v1.png"/>
                    <pic:cNvPicPr/>
                  </pic:nvPicPr>
                  <pic:blipFill>
                    <a:blip r:embed="rId48" cstate="email"/>
                    <a:srcRect/>
                    <a:stretch>
                      <a:fillRect/>
                    </a:stretch>
                  </pic:blipFill>
                  <pic:spPr>
                    <a:xfrm>
                      <a:off x="0" y="0"/>
                      <a:ext cx="2700000" cy="2709371"/>
                    </a:xfrm>
                    <a:prstGeom prst="rect">
                      <a:avLst/>
                    </a:prstGeom>
                  </pic:spPr>
                </pic:pic>
              </a:graphicData>
            </a:graphic>
          </wp:inline>
        </w:drawing>
      </w:r>
      <w:r>
        <w:t xml:space="preserve">  </w:t>
      </w:r>
      <w:r>
        <w:rPr>
          <w:noProof/>
          <w:lang w:val="en-AU" w:eastAsia="en-AU"/>
        </w:rPr>
        <w:drawing>
          <wp:inline distT="0" distB="0" distL="0" distR="0">
            <wp:extent cx="2700000" cy="2698925"/>
            <wp:effectExtent l="19050" t="0" r="5100" b="0"/>
            <wp:docPr id="99"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9" cstate="email"/>
                    <a:srcRect/>
                    <a:stretch>
                      <a:fillRect/>
                    </a:stretch>
                  </pic:blipFill>
                  <pic:spPr bwMode="auto">
                    <a:xfrm>
                      <a:off x="0" y="0"/>
                      <a:ext cx="2700000" cy="2698925"/>
                    </a:xfrm>
                    <a:prstGeom prst="rect">
                      <a:avLst/>
                    </a:prstGeom>
                    <a:noFill/>
                  </pic:spPr>
                </pic:pic>
              </a:graphicData>
            </a:graphic>
          </wp:inline>
        </w:drawing>
      </w:r>
    </w:p>
    <w:p w:rsidR="00DD07AF" w:rsidRDefault="008A02A9" w:rsidP="008A02A9">
      <w:pPr>
        <w:pStyle w:val="Caption"/>
      </w:pPr>
      <w:r w:rsidRPr="00EA5A48">
        <w:t xml:space="preserve">Figure </w:t>
      </w:r>
      <w:r w:rsidR="00E23933" w:rsidRPr="00EA5A48">
        <w:rPr>
          <w:b/>
        </w:rPr>
        <w:fldChar w:fldCharType="begin"/>
      </w:r>
      <w:r w:rsidRPr="00EA5A48">
        <w:instrText xml:space="preserve"> SEQ Figure \* ARABIC </w:instrText>
      </w:r>
      <w:r w:rsidR="00E23933" w:rsidRPr="00EA5A48">
        <w:rPr>
          <w:b/>
        </w:rPr>
        <w:fldChar w:fldCharType="separate"/>
      </w:r>
      <w:r w:rsidR="00254FAA">
        <w:t>21</w:t>
      </w:r>
      <w:r w:rsidR="00E23933" w:rsidRPr="00EA5A48">
        <w:rPr>
          <w:b/>
        </w:rPr>
        <w:fldChar w:fldCharType="end"/>
      </w:r>
      <w:r>
        <w:t xml:space="preserve"> </w:t>
      </w:r>
      <w:r w:rsidR="00DD07AF">
        <w:t>(a)</w:t>
      </w:r>
      <w:r w:rsidR="00DD07AF" w:rsidRPr="002F59A4">
        <w:t xml:space="preserve"> </w:t>
      </w:r>
      <w:r w:rsidR="00FE5C4D">
        <w:t>Left-hand side map shows l</w:t>
      </w:r>
      <w:r w:rsidR="00DD07AF">
        <w:t xml:space="preserve">ocations of </w:t>
      </w:r>
      <w:r w:rsidR="00DD07AF" w:rsidRPr="002F59A4">
        <w:t>pressure-elevatio</w:t>
      </w:r>
      <w:r w:rsidR="00DD07AF">
        <w:t xml:space="preserve">n studies in the Surat Basin and (b) </w:t>
      </w:r>
      <w:r w:rsidR="00FE5C4D">
        <w:t xml:space="preserve">right-hand side graph shows </w:t>
      </w:r>
      <w:r w:rsidR="00DD07AF">
        <w:t>pressure-elevation plots for locations indicated (</w:t>
      </w:r>
      <w:r w:rsidR="00F976E1">
        <w:t>© Copyright</w:t>
      </w:r>
      <w:r w:rsidR="00FE5C4D">
        <w:t>,</w:t>
      </w:r>
      <w:r w:rsidR="00DD07AF">
        <w:t xml:space="preserve"> CSIRO 2012c)</w:t>
      </w:r>
      <w:r>
        <w:t>.</w:t>
      </w:r>
    </w:p>
    <w:p w:rsidR="00F33173" w:rsidRDefault="00F33173" w:rsidP="001C3374">
      <w:pPr>
        <w:pStyle w:val="Body"/>
      </w:pPr>
    </w:p>
    <w:p w:rsidR="00DD07AF" w:rsidRDefault="00DD07AF" w:rsidP="008A02A9">
      <w:pPr>
        <w:pStyle w:val="BRNormal"/>
      </w:pPr>
      <w:r>
        <w:t xml:space="preserve">Hodgkinson et al. (2009) performed similar analyses for the eastern Surat Basin, focusing on the Hutton Sandstone, Evergreen Formation, and Precipice Sandstone. Their results suggested that the Evergreen Formation serves as an effective seal over much of the study area; however, hydraulic connection between the two sandstone units via the Evergreen Formation is hypothesised to occur in parts of the Basin. </w:t>
      </w:r>
    </w:p>
    <w:p w:rsidR="00DD07AF" w:rsidRDefault="00DD07AF" w:rsidP="008A02A9">
      <w:pPr>
        <w:pStyle w:val="BRNormal"/>
      </w:pPr>
      <w:r>
        <w:t>In a recent review of coal seam water chemistry, WorleyParsons (2010</w:t>
      </w:r>
      <w:r w:rsidR="008A02A9">
        <w:t>b</w:t>
      </w:r>
      <w:r>
        <w:t>) summarised the results of Hodgkinson et al. (2010) when discussing indicators of inter-aquifer flow. Potential connectivity between the Hutton and Precipice Sandstone units in the central region of the Surat Basin was inferred from pressure data and potentiometric head measurements. The authors suggest</w:t>
      </w:r>
      <w:r w:rsidR="007C7AEA">
        <w:t>ed</w:t>
      </w:r>
      <w:r>
        <w:t xml:space="preserve"> that the Evergreen Formation may not be an effective seal in this region, which is consistent with its characterisation as a leaky aquitard by GABWRA (CSIRO 2012c).</w:t>
      </w:r>
    </w:p>
    <w:p w:rsidR="00DD07AF" w:rsidRDefault="00DD07AF" w:rsidP="008A02A9">
      <w:pPr>
        <w:pStyle w:val="BRNormal"/>
      </w:pPr>
      <w:r>
        <w:t xml:space="preserve">Based upon comparisons of water levels and hydrochemistry, Hillier (2010) concluded that </w:t>
      </w:r>
      <w:r w:rsidRPr="00433B97">
        <w:t>the Walloon Coal Measures and Alluvium of the Condamine River</w:t>
      </w:r>
      <w:r>
        <w:t xml:space="preserve"> are currently hydraulically connected. The author presented hydrographs from bores sited in each formation and highlighted correlations in gradually decreasing water levels over time. Hillier also state</w:t>
      </w:r>
      <w:r w:rsidR="007C7AEA">
        <w:t>d</w:t>
      </w:r>
      <w:r>
        <w:t xml:space="preserve"> that a negative hydraulic gradient exists between the Condamine Alluvium and the </w:t>
      </w:r>
      <w:r w:rsidRPr="00E555F2">
        <w:t>Walloon Coal Measures</w:t>
      </w:r>
      <w:r>
        <w:t xml:space="preserve">. Similarly, the author proposed that elevated salinities in the Condamine Alluvium indicate </w:t>
      </w:r>
      <w:r w:rsidRPr="00E555F2">
        <w:t xml:space="preserve">input </w:t>
      </w:r>
      <w:r>
        <w:t xml:space="preserve">of lower quality groundwater from the underlying </w:t>
      </w:r>
      <w:r w:rsidRPr="00E555F2">
        <w:t>Walloon Coal Measures</w:t>
      </w:r>
      <w:r>
        <w:t>.</w:t>
      </w:r>
    </w:p>
    <w:p w:rsidR="008A02A9" w:rsidRDefault="00DD07AF" w:rsidP="008A02A9">
      <w:pPr>
        <w:pStyle w:val="BRNormal"/>
      </w:pPr>
      <w:r w:rsidRPr="00AD1CBC">
        <w:lastRenderedPageBreak/>
        <w:t xml:space="preserve">Currently, there have been no significant studies of stress-induced connectivity in the Surat Basin. </w:t>
      </w:r>
      <w:r>
        <w:t xml:space="preserve">Similarly, no significant studies of diffuse leakage from aquifers in the Surat Basin have been undertaken. </w:t>
      </w:r>
      <w:r w:rsidRPr="00AD1CBC">
        <w:t>Borehole leakage in the Surat Basin was identified in a limited study by Habermehl (2009). Studies of groundwater discharge in the Surat Basin have identified the role of faults and fractures as preferential paths for</w:t>
      </w:r>
      <w:r>
        <w:t xml:space="preserve"> vertical</w:t>
      </w:r>
      <w:r w:rsidRPr="00AD1CBC">
        <w:t xml:space="preserve"> groundwater flow</w:t>
      </w:r>
      <w:r>
        <w:t xml:space="preserve"> (Habermehl 1982)</w:t>
      </w:r>
      <w:r w:rsidRPr="00AD1CBC">
        <w:t xml:space="preserve">. </w:t>
      </w:r>
    </w:p>
    <w:p w:rsidR="00DD07AF" w:rsidRDefault="00DD07AF" w:rsidP="005F6513">
      <w:pPr>
        <w:pStyle w:val="Heading2"/>
      </w:pPr>
      <w:bookmarkStart w:id="608" w:name="_Toc381961156"/>
      <w:bookmarkStart w:id="609" w:name="_Toc389055250"/>
      <w:r>
        <w:t>Knowledge gaps</w:t>
      </w:r>
      <w:bookmarkEnd w:id="608"/>
      <w:bookmarkEnd w:id="609"/>
    </w:p>
    <w:p w:rsidR="00DD07AF" w:rsidRPr="000678E8" w:rsidRDefault="00DD07AF" w:rsidP="001C3374">
      <w:pPr>
        <w:rPr>
          <w:rFonts w:eastAsia="MS Mincho"/>
        </w:rPr>
      </w:pPr>
      <w:r>
        <w:rPr>
          <w:rFonts w:eastAsia="MS Mincho"/>
        </w:rPr>
        <w:t>K</w:t>
      </w:r>
      <w:r w:rsidRPr="000678E8">
        <w:rPr>
          <w:rFonts w:eastAsia="MS Mincho"/>
        </w:rPr>
        <w:t xml:space="preserve">nowledge gaps </w:t>
      </w:r>
      <w:r>
        <w:rPr>
          <w:rFonts w:eastAsia="MS Mincho"/>
        </w:rPr>
        <w:t xml:space="preserve">relating to aquifer connectivity </w:t>
      </w:r>
      <w:r w:rsidR="00F025AD">
        <w:rPr>
          <w:rFonts w:eastAsia="MS Mincho"/>
        </w:rPr>
        <w:t>i</w:t>
      </w:r>
      <w:r>
        <w:rPr>
          <w:rFonts w:eastAsia="MS Mincho"/>
        </w:rPr>
        <w:t xml:space="preserve">n </w:t>
      </w:r>
      <w:r w:rsidRPr="000678E8">
        <w:rPr>
          <w:rFonts w:eastAsia="MS Mincho"/>
        </w:rPr>
        <w:t xml:space="preserve">the </w:t>
      </w:r>
      <w:r>
        <w:rPr>
          <w:rFonts w:eastAsia="MS Mincho"/>
        </w:rPr>
        <w:t>Surat</w:t>
      </w:r>
      <w:r w:rsidRPr="000678E8">
        <w:rPr>
          <w:rFonts w:eastAsia="MS Mincho"/>
        </w:rPr>
        <w:t xml:space="preserve"> Basin </w:t>
      </w:r>
      <w:r>
        <w:rPr>
          <w:rFonts w:eastAsia="MS Mincho"/>
        </w:rPr>
        <w:t xml:space="preserve">are similar to those </w:t>
      </w:r>
      <w:r w:rsidRPr="000678E8">
        <w:rPr>
          <w:rFonts w:eastAsia="MS Mincho"/>
        </w:rPr>
        <w:t xml:space="preserve">identified </w:t>
      </w:r>
      <w:r>
        <w:rPr>
          <w:rFonts w:eastAsia="MS Mincho"/>
        </w:rPr>
        <w:t>for the GAB in</w:t>
      </w:r>
      <w:r w:rsidRPr="000678E8">
        <w:rPr>
          <w:rFonts w:eastAsia="MS Mincho"/>
        </w:rPr>
        <w:t xml:space="preserve"> </w:t>
      </w:r>
      <w:r>
        <w:rPr>
          <w:rFonts w:eastAsia="MS Mincho"/>
        </w:rPr>
        <w:t>chapter 5, due to consistencies in depositional history and strat</w:t>
      </w:r>
      <w:r w:rsidR="007C7AEA">
        <w:rPr>
          <w:rFonts w:eastAsia="MS Mincho"/>
        </w:rPr>
        <w:t>igraphy between the two b</w:t>
      </w:r>
      <w:r w:rsidR="008A02A9">
        <w:rPr>
          <w:rFonts w:eastAsia="MS Mincho"/>
        </w:rPr>
        <w:t>asins.</w:t>
      </w:r>
      <w:r>
        <w:rPr>
          <w:rFonts w:eastAsia="MS Mincho"/>
        </w:rPr>
        <w:t xml:space="preserve"> Exceptions include improved hydraulic and hydrochemical characterisation of certain aquitards, due to their relevance (as hydrocarbon seals) to mining operations. K</w:t>
      </w:r>
      <w:r w:rsidRPr="000678E8">
        <w:rPr>
          <w:rFonts w:eastAsia="MS Mincho"/>
        </w:rPr>
        <w:t>nowledge gaps</w:t>
      </w:r>
      <w:r>
        <w:rPr>
          <w:rFonts w:eastAsia="MS Mincho"/>
        </w:rPr>
        <w:t xml:space="preserve"> for the Surat Basin identified in this review include</w:t>
      </w:r>
      <w:r w:rsidRPr="000678E8">
        <w:rPr>
          <w:rFonts w:eastAsia="MS Mincho"/>
        </w:rPr>
        <w:t>:</w:t>
      </w:r>
    </w:p>
    <w:p w:rsidR="00DD07AF" w:rsidRPr="001C3374" w:rsidRDefault="00DD07AF" w:rsidP="008A02A9">
      <w:pPr>
        <w:pStyle w:val="Bulletpoint"/>
        <w:rPr>
          <w:rFonts w:eastAsia="MS Mincho"/>
        </w:rPr>
      </w:pPr>
      <w:r w:rsidRPr="001C3374">
        <w:rPr>
          <w:rFonts w:eastAsia="MS Mincho"/>
        </w:rPr>
        <w:t>Currently available measurements of hydraulic properties are sufficient for a general characterisation of Surat Basin hydrogeological units; however, in order to address specific issues, local-scale characterisation would be required. In comparison to differences in hydraulic properties between hydrogeological units, the variability of properties within units is poorly characterised. The exception to this is distincti</w:t>
      </w:r>
      <w:r w:rsidR="007C7AEA">
        <w:rPr>
          <w:rFonts w:eastAsia="MS Mincho"/>
        </w:rPr>
        <w:t xml:space="preserve">ons between sub-units of the </w:t>
      </w:r>
      <w:r w:rsidR="007C7AEA" w:rsidRPr="001C3374">
        <w:rPr>
          <w:rFonts w:eastAsia="MS Mincho"/>
        </w:rPr>
        <w:t>Walloon Coal Measures</w:t>
      </w:r>
      <w:r w:rsidRPr="001C3374">
        <w:rPr>
          <w:rFonts w:eastAsia="MS Mincho"/>
        </w:rPr>
        <w:t xml:space="preserve"> provided in data compilation by QWC (2012</w:t>
      </w:r>
      <w:r w:rsidR="004E5011">
        <w:rPr>
          <w:rFonts w:eastAsia="MS Mincho"/>
        </w:rPr>
        <w:t>a</w:t>
      </w:r>
      <w:r w:rsidRPr="001C3374">
        <w:rPr>
          <w:rFonts w:eastAsia="MS Mincho"/>
        </w:rPr>
        <w:t>) and utilised in multi-layer models, such as the A</w:t>
      </w:r>
      <w:r w:rsidR="00F87DE2">
        <w:rPr>
          <w:rFonts w:eastAsia="MS Mincho"/>
        </w:rPr>
        <w:t xml:space="preserve">ustralia </w:t>
      </w:r>
      <w:r w:rsidRPr="001C3374">
        <w:rPr>
          <w:rFonts w:eastAsia="MS Mincho"/>
        </w:rPr>
        <w:t>P</w:t>
      </w:r>
      <w:r w:rsidR="00F87DE2">
        <w:rPr>
          <w:rFonts w:eastAsia="MS Mincho"/>
        </w:rPr>
        <w:t xml:space="preserve">acific </w:t>
      </w:r>
      <w:r w:rsidRPr="001C3374">
        <w:rPr>
          <w:rFonts w:eastAsia="MS Mincho"/>
        </w:rPr>
        <w:t>LNG model (WorleyParsons 2010b). Poor past characterisation of hydraulic properties within hydrogeological units has contributed to a simplified conceptualisation of vertical connectivity in the Surat Basin, involving lateral flow through aquifers that are confined by aquitard units. The recent reconceptualisation of the GABWRA (CSIRO 2012c) has expanded the classification of aquitard units to account for the variability of hydraulic properties. For the purposes of addressing groundwater management issues, such variability would need to be chara</w:t>
      </w:r>
      <w:r w:rsidR="007C7AEA">
        <w:rPr>
          <w:rFonts w:eastAsia="MS Mincho"/>
        </w:rPr>
        <w:t xml:space="preserve">cterised at a regional or local </w:t>
      </w:r>
      <w:r w:rsidRPr="001C3374">
        <w:rPr>
          <w:rFonts w:eastAsia="MS Mincho"/>
        </w:rPr>
        <w:t>scale.</w:t>
      </w:r>
    </w:p>
    <w:p w:rsidR="00DD07AF" w:rsidRPr="001C3374" w:rsidRDefault="00DD07AF" w:rsidP="008A02A9">
      <w:pPr>
        <w:pStyle w:val="Bulletpoint"/>
        <w:rPr>
          <w:rFonts w:eastAsia="MS Mincho"/>
        </w:rPr>
      </w:pPr>
      <w:r w:rsidRPr="001C3374">
        <w:rPr>
          <w:rFonts w:eastAsia="MS Mincho"/>
        </w:rPr>
        <w:t>In-depth studies of the geomechanical properties of Surat Basin units have not been undertaken. Consequently, the potential for changes in hydraulic properties due to changes in stress regimes has not been studied in the Surat Basin. National-scale datasets of horizontal stress directions and magnitudes are available; however, for the purposes of addressing groundwater management issues, regional- or local-scale studies of the stress regimes associated with major faults and fractures in the Surat Basin would need to be undertaken.</w:t>
      </w:r>
    </w:p>
    <w:p w:rsidR="00DD07AF" w:rsidRPr="001C3374" w:rsidRDefault="00DD07AF" w:rsidP="008A02A9">
      <w:pPr>
        <w:pStyle w:val="Bulletpoint"/>
        <w:rPr>
          <w:rFonts w:eastAsia="MS Mincho"/>
        </w:rPr>
      </w:pPr>
      <w:r w:rsidRPr="001C3374">
        <w:rPr>
          <w:rFonts w:eastAsia="MS Mincho"/>
        </w:rPr>
        <w:t>Other than Habermehl (2009), no other published studies have investigated the occurrence of borehole leakage in the Surat Basin. A broader knowledge of past incidents would assist the minimisation of future occurrences through a greater understanding of casing and/or grout interactions with surrounding media.</w:t>
      </w:r>
    </w:p>
    <w:p w:rsidR="00DD07AF" w:rsidRPr="001C3374" w:rsidRDefault="00DD07AF" w:rsidP="008A02A9">
      <w:pPr>
        <w:pStyle w:val="Bulletpoint"/>
        <w:rPr>
          <w:rFonts w:eastAsia="MS Mincho"/>
        </w:rPr>
      </w:pPr>
      <w:r w:rsidRPr="001C3374">
        <w:rPr>
          <w:rFonts w:eastAsia="MS Mincho"/>
        </w:rPr>
        <w:t>Recharge studies in the Surat Basin are currently limited to those of Kellett et al. (2003) and McMahon et al. (2002). Due to variations in geology and vegetation cover, recharge rates are expected to vary spatially. Additional field-based estimates of recharge rates in the Surat Basin would enable the characterisation of such variability. The quantification of recharge rates is of high importance, since the hydraulic gradients produced by recharge influxes are the primary driver of groundwater flow in the Surat Basin. The robustness of predictions produced numerical models used t</w:t>
      </w:r>
      <w:r w:rsidR="007C7AEA">
        <w:rPr>
          <w:rFonts w:eastAsia="MS Mincho"/>
        </w:rPr>
        <w:t>o guide decision-</w:t>
      </w:r>
      <w:r w:rsidRPr="001C3374">
        <w:rPr>
          <w:rFonts w:eastAsia="MS Mincho"/>
        </w:rPr>
        <w:t xml:space="preserve">making in </w:t>
      </w:r>
      <w:r w:rsidRPr="001C3374">
        <w:rPr>
          <w:rFonts w:eastAsia="MS Mincho"/>
        </w:rPr>
        <w:lastRenderedPageBreak/>
        <w:t>the Surat Basin are heavily dependent upon accurate quantification of recharge fluxes.</w:t>
      </w:r>
    </w:p>
    <w:p w:rsidR="00DD07AF" w:rsidRPr="001C3374" w:rsidRDefault="00DD07AF" w:rsidP="008A02A9">
      <w:pPr>
        <w:pStyle w:val="Bulletpoint"/>
        <w:rPr>
          <w:rFonts w:eastAsia="MS Mincho"/>
        </w:rPr>
      </w:pPr>
      <w:r w:rsidRPr="001C3374">
        <w:rPr>
          <w:rFonts w:eastAsia="MS Mincho"/>
        </w:rPr>
        <w:t>Studies of Surat Basin hydrochemistry have historically focu</w:t>
      </w:r>
      <w:r w:rsidR="001F21BF">
        <w:rPr>
          <w:rFonts w:eastAsia="MS Mincho"/>
        </w:rPr>
        <w:t>s</w:t>
      </w:r>
      <w:r w:rsidRPr="001C3374">
        <w:rPr>
          <w:rFonts w:eastAsia="MS Mincho"/>
        </w:rPr>
        <w:t xml:space="preserve">ed upon characterising horizontal groundwater flow and mixing in aquifers. The use </w:t>
      </w:r>
      <w:r w:rsidR="008A3A89" w:rsidRPr="001C3374">
        <w:rPr>
          <w:rFonts w:eastAsia="MS Mincho"/>
        </w:rPr>
        <w:t>of hydrochemical analyses</w:t>
      </w:r>
      <w:r w:rsidRPr="001C3374">
        <w:rPr>
          <w:rFonts w:eastAsia="MS Mincho"/>
        </w:rPr>
        <w:t xml:space="preserve"> to identify and quantify aquifer connectivity has rarely been undertaken. In comparison to Surat Basin aquifers, and with the recent exception of the Walloon Coal Measures, the hydrochemistry of aquitards is relatively poorly characterised.</w:t>
      </w:r>
      <w:r w:rsidR="008A3A89" w:rsidRPr="001C3374">
        <w:rPr>
          <w:rFonts w:eastAsia="MS Mincho"/>
        </w:rPr>
        <w:t xml:space="preserve"> No significant studies of groundwater processes using isotopes have been undertaken.</w:t>
      </w:r>
    </w:p>
    <w:p w:rsidR="00DD07AF" w:rsidRPr="001C3374" w:rsidRDefault="00DD07AF" w:rsidP="008A02A9">
      <w:pPr>
        <w:pStyle w:val="Bulletpoint"/>
        <w:rPr>
          <w:rFonts w:eastAsia="MS Mincho"/>
        </w:rPr>
      </w:pPr>
      <w:r w:rsidRPr="001C3374">
        <w:rPr>
          <w:rFonts w:eastAsia="MS Mincho"/>
        </w:rPr>
        <w:t>Numerical models of groundwater flow in the Surat Basin have historically focu</w:t>
      </w:r>
      <w:r w:rsidR="001F21BF">
        <w:rPr>
          <w:rFonts w:eastAsia="MS Mincho"/>
        </w:rPr>
        <w:t>s</w:t>
      </w:r>
      <w:r w:rsidRPr="001C3374">
        <w:rPr>
          <w:rFonts w:eastAsia="MS Mincho"/>
        </w:rPr>
        <w:t>ed on single-phase flow; consequently, no published studies of multi-phase flow modelling currently exist. This type of modelling would be particularly pertinent to future impact assessments involving mixed-phase flow (e.g. water and gas) in the Surat Basin. Similarly, geomechanical modelling of the potential effects induced by changes in stress fields in the Surat Basin (e.g. due to fluid and gas extraction or injection) is not publicly available. This type of modelling could assist impact assessments in the vicinity of tectonic stress features such as faults and fractures.</w:t>
      </w:r>
    </w:p>
    <w:p w:rsidR="00DD07AF" w:rsidRPr="001C3374" w:rsidRDefault="00DD07AF" w:rsidP="008A02A9">
      <w:pPr>
        <w:pStyle w:val="Bulletpoint"/>
        <w:rPr>
          <w:rFonts w:eastAsia="MS Mincho"/>
        </w:rPr>
      </w:pPr>
      <w:r w:rsidRPr="001C3374">
        <w:rPr>
          <w:rFonts w:eastAsia="MS Mincho"/>
        </w:rPr>
        <w:t>Measurements of vertical hydraulic head gradients are currently limited to those of CSIRO (2012b) (for the Cadna-Owie-Hooray aquifers) and Hodgkinson et al. (2</w:t>
      </w:r>
      <w:r w:rsidR="007C7AEA">
        <w:rPr>
          <w:rFonts w:eastAsia="MS Mincho"/>
        </w:rPr>
        <w:t>009) (for the Hutton, Evergreen</w:t>
      </w:r>
      <w:r w:rsidRPr="001C3374">
        <w:rPr>
          <w:rFonts w:eastAsia="MS Mincho"/>
        </w:rPr>
        <w:t xml:space="preserve"> and Precipice units) </w:t>
      </w:r>
      <w:r w:rsidRPr="00254FAA">
        <w:rPr>
          <w:rFonts w:eastAsia="MS Mincho"/>
        </w:rPr>
        <w:t>presented in Section 6.8. The availability</w:t>
      </w:r>
      <w:r w:rsidRPr="001C3374">
        <w:rPr>
          <w:rFonts w:eastAsia="MS Mincho"/>
        </w:rPr>
        <w:t xml:space="preserve"> of vertical head gradient data is restricted to locations where wells that are sited in different aquifers are located in close proximity. Mapping of vertical gradients at a basinal-scale has not been undertaken. Where available, vertical hydraulic head gradient data provide valuable first-order insights into aquifer connectivity.</w:t>
      </w:r>
    </w:p>
    <w:p w:rsidR="0091339E" w:rsidRDefault="0091339E" w:rsidP="001C3374">
      <w:pPr>
        <w:rPr>
          <w:rFonts w:ascii="Calibri-Bold" w:hAnsi="Calibri-Bold" w:cs="Calibri-Bold"/>
          <w:color w:val="00AEEF"/>
          <w:sz w:val="30"/>
          <w:szCs w:val="30"/>
        </w:rPr>
      </w:pPr>
      <w:r>
        <w:br w:type="page"/>
      </w:r>
    </w:p>
    <w:p w:rsidR="00DD07AF" w:rsidRDefault="008A02A9" w:rsidP="005F6513">
      <w:pPr>
        <w:pStyle w:val="Heading1"/>
      </w:pPr>
      <w:bookmarkStart w:id="610" w:name="_Toc334711970"/>
      <w:bookmarkStart w:id="611" w:name="_Toc381961157"/>
      <w:bookmarkStart w:id="612" w:name="_Toc389055251"/>
      <w:r>
        <w:lastRenderedPageBreak/>
        <w:t>Aquifer c</w:t>
      </w:r>
      <w:r w:rsidR="00DD07AF">
        <w:t>onnectivity in the Bowen Basin</w:t>
      </w:r>
      <w:bookmarkEnd w:id="610"/>
      <w:bookmarkEnd w:id="611"/>
      <w:bookmarkEnd w:id="612"/>
      <w:r w:rsidR="00DD07AF" w:rsidRPr="0010123B">
        <w:t xml:space="preserve"> </w:t>
      </w:r>
    </w:p>
    <w:p w:rsidR="00DD07AF" w:rsidRDefault="00DD07AF" w:rsidP="005F6513">
      <w:pPr>
        <w:pStyle w:val="Heading2"/>
      </w:pPr>
      <w:bookmarkStart w:id="613" w:name="_Toc334711971"/>
      <w:bookmarkStart w:id="614" w:name="_Toc381961158"/>
      <w:bookmarkStart w:id="615" w:name="_Toc389055252"/>
      <w:r w:rsidRPr="00D86747">
        <w:t xml:space="preserve">Major </w:t>
      </w:r>
      <w:r w:rsidRPr="008A02A9">
        <w:t>aquifer</w:t>
      </w:r>
      <w:r w:rsidRPr="00D86747">
        <w:t xml:space="preserve"> and aquitard stratigraphy</w:t>
      </w:r>
      <w:bookmarkEnd w:id="613"/>
      <w:bookmarkEnd w:id="614"/>
      <w:bookmarkEnd w:id="615"/>
      <w:r>
        <w:t xml:space="preserve"> </w:t>
      </w:r>
    </w:p>
    <w:p w:rsidR="00DD07AF" w:rsidRDefault="00DD07AF" w:rsidP="005F6513">
      <w:pPr>
        <w:pStyle w:val="Heading3"/>
      </w:pPr>
      <w:bookmarkStart w:id="616" w:name="_Toc334711972"/>
      <w:bookmarkStart w:id="617" w:name="_Toc381961159"/>
      <w:r>
        <w:t xml:space="preserve">Basin </w:t>
      </w:r>
      <w:r w:rsidR="008A02A9">
        <w:t>g</w:t>
      </w:r>
      <w:r w:rsidRPr="008A02A9">
        <w:t>eology</w:t>
      </w:r>
      <w:bookmarkEnd w:id="616"/>
      <w:bookmarkEnd w:id="617"/>
    </w:p>
    <w:p w:rsidR="00DD07AF" w:rsidRDefault="00DD07AF" w:rsidP="008A02A9">
      <w:pPr>
        <w:pStyle w:val="BRNormal"/>
      </w:pPr>
      <w:r>
        <w:t xml:space="preserve">The </w:t>
      </w:r>
      <w:r w:rsidRPr="001B5829">
        <w:t xml:space="preserve">Bowen Basin is </w:t>
      </w:r>
      <w:r w:rsidR="002B7FA6">
        <w:t xml:space="preserve">a geological basin forming </w:t>
      </w:r>
      <w:r w:rsidRPr="001B5829">
        <w:t xml:space="preserve">the northern </w:t>
      </w:r>
      <w:r w:rsidR="001D7247">
        <w:t>part</w:t>
      </w:r>
      <w:r w:rsidR="001D7247" w:rsidRPr="001B5829">
        <w:t xml:space="preserve"> </w:t>
      </w:r>
      <w:r w:rsidRPr="001B5829">
        <w:t>of the Bowen-Gunnedah-Sydney Basin system</w:t>
      </w:r>
      <w:r w:rsidR="00D46AAD">
        <w:t xml:space="preserve"> (Figure 1 and Figure 22)</w:t>
      </w:r>
      <w:r w:rsidRPr="001B5829">
        <w:t>.</w:t>
      </w:r>
      <w:r w:rsidR="00D46AAD">
        <w:t xml:space="preserve"> The B</w:t>
      </w:r>
      <w:r>
        <w:t>asin transitions into the congruent Gunnedah Basin in northern NSW.</w:t>
      </w:r>
      <w:r w:rsidR="00D46AAD">
        <w:t xml:space="preserve"> The B</w:t>
      </w:r>
      <w:r w:rsidRPr="001B5829">
        <w:t xml:space="preserve">asin </w:t>
      </w:r>
      <w:r w:rsidR="00D46AAD">
        <w:t>out</w:t>
      </w:r>
      <w:r w:rsidRPr="001B5829">
        <w:t xml:space="preserve">crops </w:t>
      </w:r>
      <w:r>
        <w:t>to the north</w:t>
      </w:r>
      <w:r w:rsidRPr="001B5829">
        <w:t xml:space="preserve"> near Collinsville (20°S) through to latitude 25°S. South of 25°S, the Bowen Basin is unconformably overlain by </w:t>
      </w:r>
      <w:r>
        <w:t xml:space="preserve">the </w:t>
      </w:r>
      <w:r w:rsidRPr="001B5829">
        <w:t>Surat Basin (DME</w:t>
      </w:r>
      <w:r w:rsidR="00D46AAD">
        <w:t> </w:t>
      </w:r>
      <w:r w:rsidRPr="001B5829">
        <w:t>1997). The interpreted boundary</w:t>
      </w:r>
      <w:r>
        <w:t xml:space="preserve"> limits of the Bowen Basin have</w:t>
      </w:r>
      <w:r w:rsidRPr="001B5829">
        <w:t xml:space="preserve"> been </w:t>
      </w:r>
      <w:r>
        <w:t xml:space="preserve">generally </w:t>
      </w:r>
      <w:r w:rsidRPr="001B5829">
        <w:t>consistent over the years (e.g. Bureau of Rural Science</w:t>
      </w:r>
      <w:r w:rsidR="00F50A10">
        <w:t>s</w:t>
      </w:r>
      <w:r w:rsidRPr="001B5829">
        <w:t xml:space="preserve"> and Geological Survey of Queensland</w:t>
      </w:r>
      <w:r>
        <w:t xml:space="preserve"> interpretations</w:t>
      </w:r>
      <w:r w:rsidRPr="001B5829">
        <w:t>)</w:t>
      </w:r>
      <w:r>
        <w:t>, particularly in the out</w:t>
      </w:r>
      <w:r w:rsidR="00D46AAD">
        <w:t>cropping northern areas of the B</w:t>
      </w:r>
      <w:r>
        <w:t>asin</w:t>
      </w:r>
      <w:r w:rsidRPr="001B5829">
        <w:t>.</w:t>
      </w:r>
    </w:p>
    <w:p w:rsidR="00DD07AF" w:rsidRDefault="00DD07AF" w:rsidP="006C0BB0">
      <w:pPr>
        <w:pStyle w:val="BRNormal"/>
      </w:pPr>
      <w:r>
        <w:t>The Bowen Basin is comprised of Permian to Middle Triassic clastic sediments, limestone, andesite, basalt and coal deposited in continental and marine depositional e</w:t>
      </w:r>
      <w:r w:rsidR="006C0BB0">
        <w:t>nvironments (Day et al. 1983).</w:t>
      </w:r>
      <w:r w:rsidRPr="001B5829">
        <w:t xml:space="preserve"> </w:t>
      </w:r>
      <w:r w:rsidR="00D46AAD">
        <w:t>The B</w:t>
      </w:r>
      <w:r>
        <w:t xml:space="preserve">asin has a maximum </w:t>
      </w:r>
      <w:r w:rsidRPr="001B5829">
        <w:t>thickness</w:t>
      </w:r>
      <w:r w:rsidR="00D46AAD">
        <w:t xml:space="preserve"> of 10 000 </w:t>
      </w:r>
      <w:r>
        <w:t>m</w:t>
      </w:r>
      <w:r w:rsidRPr="001B5829">
        <w:t xml:space="preserve"> within</w:t>
      </w:r>
      <w:r>
        <w:t xml:space="preserve"> </w:t>
      </w:r>
      <w:r w:rsidRPr="00AC7333">
        <w:t>two major north-south trending depositional troughs: the Taroom Trough to the east and the Denison Trough to the west (</w:t>
      </w:r>
      <w:r w:rsidR="006C0BB0">
        <w:t xml:space="preserve">Brakel et al. 2009; </w:t>
      </w:r>
      <w:r w:rsidRPr="00AC7333">
        <w:t>Geoscience</w:t>
      </w:r>
      <w:r w:rsidR="006C0BB0">
        <w:t xml:space="preserve"> Australia 2008; SRK</w:t>
      </w:r>
      <w:r>
        <w:t xml:space="preserve"> 2008</w:t>
      </w:r>
      <w:r w:rsidR="006C0BB0">
        <w:t>;</w:t>
      </w:r>
      <w:r w:rsidR="006C0BB0" w:rsidRPr="006C0BB0">
        <w:t xml:space="preserve"> </w:t>
      </w:r>
      <w:r w:rsidR="006C0BB0" w:rsidRPr="00AC7333">
        <w:t>Cadman</w:t>
      </w:r>
      <w:r w:rsidR="006C0BB0">
        <w:t xml:space="preserve"> et al. 1998</w:t>
      </w:r>
      <w:r>
        <w:t>)</w:t>
      </w:r>
      <w:r w:rsidRPr="001B5829">
        <w:t>.</w:t>
      </w:r>
      <w:r w:rsidR="006C0BB0">
        <w:t xml:space="preserve"> Figure </w:t>
      </w:r>
      <w:r w:rsidR="00254FAA">
        <w:t>22</w:t>
      </w:r>
      <w:r>
        <w:t xml:space="preserve"> </w:t>
      </w:r>
      <w:r w:rsidRPr="001B5829">
        <w:t>shows the</w:t>
      </w:r>
      <w:r>
        <w:t xml:space="preserve"> locations of the</w:t>
      </w:r>
      <w:r w:rsidRPr="001B5829">
        <w:t xml:space="preserve"> major geological structures within </w:t>
      </w:r>
      <w:r w:rsidR="00D46AAD">
        <w:t>the B</w:t>
      </w:r>
      <w:r w:rsidRPr="001B5829">
        <w:t>asin.</w:t>
      </w:r>
      <w:r>
        <w:t xml:space="preserve"> </w:t>
      </w:r>
      <w:r w:rsidRPr="001B5829">
        <w:t xml:space="preserve">The Comet Ridge/Platform and Collinsville Shelf separate the two </w:t>
      </w:r>
      <w:r>
        <w:t>major</w:t>
      </w:r>
      <w:r w:rsidRPr="001B5829">
        <w:t xml:space="preserve"> troughs. The Nebine Ridge and Springsure Shelf border the Denison Trough to the west and the Auburn Arch borders the Taroom Trough t</w:t>
      </w:r>
      <w:r>
        <w:t>o</w:t>
      </w:r>
      <w:r w:rsidRPr="001B5829">
        <w:t xml:space="preserve"> the east (Hodgkinson 2008</w:t>
      </w:r>
      <w:r w:rsidR="006C0BB0">
        <w:t xml:space="preserve"> in QWC</w:t>
      </w:r>
      <w:r>
        <w:t xml:space="preserve"> 2012a</w:t>
      </w:r>
      <w:r w:rsidRPr="001B5829">
        <w:t xml:space="preserve">). </w:t>
      </w:r>
      <w:r>
        <w:t>Along its eastern border</w:t>
      </w:r>
      <w:r w:rsidRPr="001B5829">
        <w:t>, the Bowen Basin is bound by a series of north-south thrust fa</w:t>
      </w:r>
      <w:r w:rsidR="00D46AAD">
        <w:t>ults including the Chinchilla</w:t>
      </w:r>
      <w:r w:rsidR="00D46AAD">
        <w:noBreakHyphen/>
      </w:r>
      <w:r w:rsidRPr="001B5829">
        <w:t>Goondiwindi, Moonie and Leichardt-Burunga Fault zones (Cadman et al</w:t>
      </w:r>
      <w:r w:rsidR="006C0BB0">
        <w:t>.</w:t>
      </w:r>
      <w:r w:rsidRPr="001B5829">
        <w:t xml:space="preserve"> 1998</w:t>
      </w:r>
      <w:r w:rsidR="00D46AAD">
        <w:t>). These faults have up to 2000 </w:t>
      </w:r>
      <w:r w:rsidRPr="001B5829">
        <w:t>m of displacement (QWC 2012</w:t>
      </w:r>
      <w:r>
        <w:t>a</w:t>
      </w:r>
      <w:r w:rsidRPr="001B5829">
        <w:t xml:space="preserve">). </w:t>
      </w:r>
      <w:r>
        <w:t>The western margins of the basin are vaguely defined owing to subtle thinning and inter-fingering with sediments</w:t>
      </w:r>
      <w:r w:rsidR="00D46AAD">
        <w:t xml:space="preserve"> from the Galilee Basin (QWC</w:t>
      </w:r>
      <w:r w:rsidR="006C0BB0">
        <w:t xml:space="preserve"> 2012a; Worley</w:t>
      </w:r>
      <w:r>
        <w:t>Parso</w:t>
      </w:r>
      <w:r w:rsidR="006C0BB0">
        <w:t>ns 2010</w:t>
      </w:r>
      <w:r>
        <w:t xml:space="preserve">).  </w:t>
      </w:r>
    </w:p>
    <w:p w:rsidR="00DD07AF" w:rsidRDefault="00D46AAD" w:rsidP="006C0BB0">
      <w:pPr>
        <w:pStyle w:val="BRNormal"/>
      </w:pPr>
      <w:r>
        <w:t>The B</w:t>
      </w:r>
      <w:r w:rsidR="00DD07AF">
        <w:t>asin has not been subjected to significant metamorphism, although burial metamorphism may have occurred in deeper</w:t>
      </w:r>
      <w:r>
        <w:t xml:space="preserve"> parts of the B</w:t>
      </w:r>
      <w:r w:rsidR="006C0BB0">
        <w:t>asin (Day et al.</w:t>
      </w:r>
      <w:r w:rsidR="00DD07AF">
        <w:t xml:space="preserve"> 1983). </w:t>
      </w:r>
      <w:r w:rsidR="00F50A10">
        <w:t xml:space="preserve">The relationship between potential burial metamorphism and permeability has not been researched. </w:t>
      </w:r>
      <w:r w:rsidR="00DD07AF">
        <w:t>There are small Early Cretaceous granodiorite p</w:t>
      </w:r>
      <w:r w:rsidR="006C0BB0">
        <w:t xml:space="preserve">lutons in the north (Day et al. 1983). </w:t>
      </w:r>
      <w:r w:rsidR="00DD07AF">
        <w:t>The north</w:t>
      </w:r>
      <w:r>
        <w:t>ern outcropping regions of the B</w:t>
      </w:r>
      <w:r w:rsidR="00DD07AF">
        <w:t>asin are covered with irregular Tertiary and Quaternary deposits. Tertiary basalts cover a sign</w:t>
      </w:r>
      <w:r>
        <w:t>ificant portion of the western B</w:t>
      </w:r>
      <w:r w:rsidR="00DD07AF">
        <w:t xml:space="preserve">asin.  </w:t>
      </w:r>
    </w:p>
    <w:p w:rsidR="00DD07AF" w:rsidRPr="00AC7333" w:rsidRDefault="006C0BB0" w:rsidP="006C0BB0">
      <w:pPr>
        <w:pStyle w:val="BRNormal"/>
      </w:pPr>
      <w:r>
        <w:t xml:space="preserve">Table </w:t>
      </w:r>
      <w:r w:rsidR="00254FAA">
        <w:t>1</w:t>
      </w:r>
      <w:r>
        <w:t xml:space="preserve">7 </w:t>
      </w:r>
      <w:r w:rsidR="00DD07AF">
        <w:t xml:space="preserve">summarises the geological evolution of the Bowen Basin in context of the dominant tectonic regimes, depositional </w:t>
      </w:r>
      <w:r w:rsidR="00D46AAD">
        <w:t>environments</w:t>
      </w:r>
      <w:r w:rsidR="00DD07AF" w:rsidRPr="00AC7333">
        <w:t xml:space="preserve"> and major structural elements such as faults. </w:t>
      </w:r>
    </w:p>
    <w:p w:rsidR="00DD07AF" w:rsidRDefault="00DD07AF" w:rsidP="006C0BB0">
      <w:pPr>
        <w:pStyle w:val="BRNormal"/>
      </w:pPr>
      <w:r w:rsidRPr="00AC7333">
        <w:t xml:space="preserve">Over 100 hydrocarbon accumulations have been discovered in the Bowen Basin within non-marine Permian and Middle Triassic sediments (Geoscience Australia 2008). Most accumulations have been detected beneath anticlinal closures as well as fault rollovers (Geoscience Australia 2008). The Bowen Basin also has vast coal resources, with major open cut and underground </w:t>
      </w:r>
      <w:r w:rsidR="00D46AAD">
        <w:t>coal mines in the north of the B</w:t>
      </w:r>
      <w:r w:rsidRPr="00AC7333">
        <w:t xml:space="preserve">asin. </w:t>
      </w:r>
      <w:r>
        <w:t xml:space="preserve">Coal reserves have been estimated at up to 20 billion tonnes of </w:t>
      </w:r>
      <w:r w:rsidR="006C0BB0">
        <w:t>Permian-age coal (Mallet</w:t>
      </w:r>
      <w:r w:rsidR="00E02A05">
        <w:t>t</w:t>
      </w:r>
      <w:r w:rsidR="006C0BB0">
        <w:t xml:space="preserve"> et al.</w:t>
      </w:r>
      <w:r>
        <w:t xml:space="preserve"> 1995). The Bowen B</w:t>
      </w:r>
      <w:r w:rsidR="00E02A05">
        <w:t>asin is also a target area for coal seam gas</w:t>
      </w:r>
      <w:r>
        <w:t xml:space="preserve">, with large volumes of thermally mature methane gas contained at shallow depths within the vast </w:t>
      </w:r>
      <w:r w:rsidR="00E02A05">
        <w:t>Late Permian coal deposits (SRK</w:t>
      </w:r>
      <w:r>
        <w:t xml:space="preserve"> 2008).</w:t>
      </w:r>
    </w:p>
    <w:p w:rsidR="00DD07AF" w:rsidRPr="001E5100" w:rsidRDefault="00DD07AF" w:rsidP="001C3374">
      <w:pPr>
        <w:pStyle w:val="Body"/>
        <w:rPr>
          <w:highlight w:val="yellow"/>
        </w:rPr>
      </w:pPr>
    </w:p>
    <w:p w:rsidR="00DD07AF" w:rsidRDefault="007156A8" w:rsidP="001C3374">
      <w:pPr>
        <w:pStyle w:val="Body"/>
      </w:pPr>
      <w:r w:rsidRPr="007156A8">
        <w:rPr>
          <w:noProof/>
          <w:lang w:val="en-AU" w:eastAsia="en-AU"/>
        </w:rPr>
        <w:drawing>
          <wp:inline distT="0" distB="0" distL="0" distR="0">
            <wp:extent cx="5638800" cy="6276795"/>
            <wp:effectExtent l="0" t="0" r="0" b="0"/>
            <wp:docPr id="2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0" cstate="email"/>
                    <a:srcRect/>
                    <a:stretch>
                      <a:fillRect/>
                    </a:stretch>
                  </pic:blipFill>
                  <pic:spPr bwMode="auto">
                    <a:xfrm>
                      <a:off x="0" y="0"/>
                      <a:ext cx="5650811" cy="6290165"/>
                    </a:xfrm>
                    <a:prstGeom prst="rect">
                      <a:avLst/>
                    </a:prstGeom>
                    <a:noFill/>
                    <a:ln w="9525">
                      <a:noFill/>
                      <a:miter lim="800000"/>
                      <a:headEnd/>
                      <a:tailEnd/>
                    </a:ln>
                  </pic:spPr>
                </pic:pic>
              </a:graphicData>
            </a:graphic>
          </wp:inline>
        </w:drawing>
      </w:r>
    </w:p>
    <w:p w:rsidR="000A7A7D" w:rsidRDefault="000A7A7D" w:rsidP="000558B2">
      <w:pPr>
        <w:pStyle w:val="Imagecaption"/>
      </w:pPr>
      <w:bookmarkStart w:id="618" w:name="_Ref334712761"/>
      <w:r w:rsidRPr="000A7A7D">
        <w:rPr>
          <w:noProof/>
          <w:lang w:val="en-AU" w:eastAsia="en-AU"/>
        </w:rPr>
        <w:drawing>
          <wp:inline distT="0" distB="0" distL="0" distR="0">
            <wp:extent cx="5679201" cy="1028700"/>
            <wp:effectExtent l="19050" t="19050" r="0" b="0"/>
            <wp:docPr id="3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1" cstate="email"/>
                    <a:srcRect/>
                    <a:stretch>
                      <a:fillRect/>
                    </a:stretch>
                  </pic:blipFill>
                  <pic:spPr bwMode="auto">
                    <a:xfrm>
                      <a:off x="0" y="0"/>
                      <a:ext cx="5747659" cy="1041100"/>
                    </a:xfrm>
                    <a:prstGeom prst="rect">
                      <a:avLst/>
                    </a:prstGeom>
                    <a:noFill/>
                    <a:ln w="9525">
                      <a:solidFill>
                        <a:schemeClr val="tx1"/>
                      </a:solidFill>
                      <a:miter lim="800000"/>
                      <a:headEnd/>
                      <a:tailEnd/>
                    </a:ln>
                  </pic:spPr>
                </pic:pic>
              </a:graphicData>
            </a:graphic>
          </wp:inline>
        </w:drawing>
      </w:r>
    </w:p>
    <w:p w:rsidR="00DD07AF" w:rsidRDefault="00E02A05" w:rsidP="00E02A05">
      <w:pPr>
        <w:pStyle w:val="Caption"/>
      </w:pPr>
      <w:r w:rsidRPr="00EA5A48">
        <w:t xml:space="preserve">Figure </w:t>
      </w:r>
      <w:r w:rsidR="00E23933" w:rsidRPr="00EA5A48">
        <w:rPr>
          <w:b/>
        </w:rPr>
        <w:fldChar w:fldCharType="begin"/>
      </w:r>
      <w:r w:rsidRPr="00EA5A48">
        <w:instrText xml:space="preserve"> SEQ Figure \* ARABIC </w:instrText>
      </w:r>
      <w:r w:rsidR="00E23933" w:rsidRPr="00EA5A48">
        <w:rPr>
          <w:b/>
        </w:rPr>
        <w:fldChar w:fldCharType="separate"/>
      </w:r>
      <w:r>
        <w:t>22</w:t>
      </w:r>
      <w:r w:rsidR="00E23933" w:rsidRPr="00EA5A48">
        <w:rPr>
          <w:b/>
        </w:rPr>
        <w:fldChar w:fldCharType="end"/>
      </w:r>
      <w:r w:rsidRPr="00EA5A48">
        <w:t xml:space="preserve"> </w:t>
      </w:r>
      <w:bookmarkEnd w:id="618"/>
      <w:r w:rsidR="00DD07AF">
        <w:t>Major geological structures within the Bowen Basin (and Surat Basin) and the margins of the Queensland</w:t>
      </w:r>
      <w:r w:rsidR="00D46AAD">
        <w:t>-extent of the B</w:t>
      </w:r>
      <w:r>
        <w:t>asin (</w:t>
      </w:r>
      <w:r w:rsidR="00F976E1">
        <w:t>© Copyright</w:t>
      </w:r>
      <w:r w:rsidR="00D46AAD">
        <w:t>,</w:t>
      </w:r>
      <w:r>
        <w:t xml:space="preserve"> QWC</w:t>
      </w:r>
      <w:r w:rsidR="00DD07AF">
        <w:t xml:space="preserve"> 2012a)</w:t>
      </w:r>
      <w:r w:rsidR="000A7A7D">
        <w:t>.</w:t>
      </w:r>
    </w:p>
    <w:p w:rsidR="00EA37CA" w:rsidRDefault="00EA37CA" w:rsidP="001C3374">
      <w:r>
        <w:br w:type="page"/>
      </w:r>
    </w:p>
    <w:p w:rsidR="00210C37" w:rsidRDefault="00E02A05" w:rsidP="00E02A05">
      <w:pPr>
        <w:pStyle w:val="Caption"/>
      </w:pPr>
      <w:bookmarkStart w:id="619" w:name="_Ref334712807"/>
      <w:proofErr w:type="gramStart"/>
      <w:r w:rsidRPr="006F2073">
        <w:lastRenderedPageBreak/>
        <w:t xml:space="preserve">Table </w:t>
      </w:r>
      <w:r w:rsidR="00E23933" w:rsidRPr="006F2073">
        <w:rPr>
          <w:b/>
          <w:noProof w:val="0"/>
        </w:rPr>
        <w:fldChar w:fldCharType="begin"/>
      </w:r>
      <w:r w:rsidRPr="006F2073">
        <w:instrText xml:space="preserve"> SEQ Table \* ARABIC </w:instrText>
      </w:r>
      <w:r w:rsidR="00E23933" w:rsidRPr="006F2073">
        <w:rPr>
          <w:b/>
          <w:noProof w:val="0"/>
        </w:rPr>
        <w:fldChar w:fldCharType="separate"/>
      </w:r>
      <w:r w:rsidR="00254FAA">
        <w:t>17</w:t>
      </w:r>
      <w:r w:rsidR="00E23933" w:rsidRPr="006F2073">
        <w:rPr>
          <w:b/>
        </w:rPr>
        <w:fldChar w:fldCharType="end"/>
      </w:r>
      <w:r>
        <w:rPr>
          <w:b/>
        </w:rPr>
        <w:t xml:space="preserve"> </w:t>
      </w:r>
      <w:bookmarkEnd w:id="619"/>
      <w:r w:rsidR="00DD07AF">
        <w:t xml:space="preserve">Summary of geological evolution of </w:t>
      </w:r>
      <w:r w:rsidR="00EA37CA">
        <w:t xml:space="preserve">the </w:t>
      </w:r>
      <w:r w:rsidR="00DD07AF">
        <w:t>Bowen Basin</w:t>
      </w:r>
      <w:r>
        <w:t>.</w:t>
      </w:r>
      <w:proofErr w:type="gramEnd"/>
    </w:p>
    <w:tbl>
      <w:tblPr>
        <w:tblStyle w:val="TableGrid"/>
        <w:tblW w:w="9356" w:type="dxa"/>
        <w:tblInd w:w="108" w:type="dxa"/>
        <w:tblLook w:val="04A0"/>
      </w:tblPr>
      <w:tblGrid>
        <w:gridCol w:w="1240"/>
        <w:gridCol w:w="1803"/>
        <w:gridCol w:w="2911"/>
        <w:gridCol w:w="1685"/>
        <w:gridCol w:w="1717"/>
      </w:tblGrid>
      <w:tr w:rsidR="00DD07AF" w:rsidRPr="00E02A05" w:rsidTr="00D46AAD">
        <w:trPr>
          <w:tblHeader/>
        </w:trPr>
        <w:tc>
          <w:tcPr>
            <w:tcW w:w="1240" w:type="dxa"/>
            <w:shd w:val="clear" w:color="auto" w:fill="C6D9F1" w:themeFill="text2" w:themeFillTint="33"/>
          </w:tcPr>
          <w:p w:rsidR="00DD07AF" w:rsidRPr="00E02A05" w:rsidRDefault="00DD07AF" w:rsidP="00470AD4">
            <w:pPr>
              <w:pStyle w:val="Tableheading"/>
            </w:pPr>
            <w:r w:rsidRPr="00E02A05">
              <w:t>Geological Age</w:t>
            </w:r>
          </w:p>
        </w:tc>
        <w:tc>
          <w:tcPr>
            <w:tcW w:w="1803" w:type="dxa"/>
            <w:shd w:val="clear" w:color="auto" w:fill="C6D9F1" w:themeFill="text2" w:themeFillTint="33"/>
          </w:tcPr>
          <w:p w:rsidR="00DD07AF" w:rsidRPr="00E02A05" w:rsidRDefault="00DD07AF" w:rsidP="00470AD4">
            <w:pPr>
              <w:pStyle w:val="Tableheading"/>
            </w:pPr>
            <w:r w:rsidRPr="00E02A05">
              <w:t>Tectonic Regime</w:t>
            </w:r>
          </w:p>
        </w:tc>
        <w:tc>
          <w:tcPr>
            <w:tcW w:w="2911" w:type="dxa"/>
            <w:shd w:val="clear" w:color="auto" w:fill="C6D9F1" w:themeFill="text2" w:themeFillTint="33"/>
          </w:tcPr>
          <w:p w:rsidR="00DD07AF" w:rsidRPr="00E02A05" w:rsidRDefault="00DD07AF" w:rsidP="00470AD4">
            <w:pPr>
              <w:pStyle w:val="Tableheading"/>
            </w:pPr>
            <w:r w:rsidRPr="00E02A05">
              <w:t>Dominant depositional environment</w:t>
            </w:r>
          </w:p>
        </w:tc>
        <w:tc>
          <w:tcPr>
            <w:tcW w:w="1685" w:type="dxa"/>
            <w:shd w:val="clear" w:color="auto" w:fill="C6D9F1" w:themeFill="text2" w:themeFillTint="33"/>
          </w:tcPr>
          <w:p w:rsidR="00DD07AF" w:rsidRPr="00E02A05" w:rsidRDefault="00DD07AF" w:rsidP="00470AD4">
            <w:pPr>
              <w:pStyle w:val="Tableheading"/>
            </w:pPr>
            <w:r w:rsidRPr="00E02A05">
              <w:t>Structural Elements</w:t>
            </w:r>
          </w:p>
        </w:tc>
        <w:tc>
          <w:tcPr>
            <w:tcW w:w="1717" w:type="dxa"/>
            <w:shd w:val="clear" w:color="auto" w:fill="C6D9F1" w:themeFill="text2" w:themeFillTint="33"/>
          </w:tcPr>
          <w:p w:rsidR="00DD07AF" w:rsidRPr="00E02A05" w:rsidRDefault="00DD07AF" w:rsidP="00470AD4">
            <w:pPr>
              <w:pStyle w:val="Tableheading"/>
            </w:pPr>
            <w:r w:rsidRPr="00E02A05">
              <w:t>References</w:t>
            </w:r>
          </w:p>
        </w:tc>
      </w:tr>
      <w:tr w:rsidR="00DD07AF" w:rsidRPr="00E02A05" w:rsidTr="00E02A05">
        <w:tc>
          <w:tcPr>
            <w:tcW w:w="1240" w:type="dxa"/>
          </w:tcPr>
          <w:p w:rsidR="00DD07AF" w:rsidRPr="00E02A05" w:rsidRDefault="00DD07AF" w:rsidP="00CB2FBB">
            <w:pPr>
              <w:pStyle w:val="Tabletext"/>
            </w:pPr>
            <w:r w:rsidRPr="00E02A05">
              <w:t>Early Permian</w:t>
            </w:r>
          </w:p>
        </w:tc>
        <w:tc>
          <w:tcPr>
            <w:tcW w:w="1803" w:type="dxa"/>
          </w:tcPr>
          <w:p w:rsidR="00DD07AF" w:rsidRPr="00E02A05" w:rsidRDefault="00DD07AF" w:rsidP="00CB2FBB">
            <w:pPr>
              <w:pStyle w:val="Tabletext"/>
            </w:pPr>
            <w:r w:rsidRPr="00E02A05">
              <w:t>Continent-ocean plate convergence led to a north-south trending back-arc basin west of the Camboon Volcanic Arc</w:t>
            </w:r>
          </w:p>
        </w:tc>
        <w:tc>
          <w:tcPr>
            <w:tcW w:w="2911" w:type="dxa"/>
          </w:tcPr>
          <w:p w:rsidR="00DD07AF" w:rsidRPr="00E02A05" w:rsidRDefault="00DD07AF" w:rsidP="00CB2FBB">
            <w:pPr>
              <w:pStyle w:val="Tabletext"/>
            </w:pPr>
            <w:r w:rsidRPr="00E02A05">
              <w:t>Shallow marine deposition on west margin of basin within half-graben structures (e</w:t>
            </w:r>
            <w:r w:rsidR="00E02A05">
              <w:t>.</w:t>
            </w:r>
            <w:r w:rsidRPr="00E02A05">
              <w:t>g</w:t>
            </w:r>
            <w:r w:rsidR="00E02A05">
              <w:t>.</w:t>
            </w:r>
            <w:r w:rsidRPr="00E02A05">
              <w:t xml:space="preserve"> Denison Trough) and andesite/volcaniclastics laid down on east margin of basin</w:t>
            </w:r>
          </w:p>
        </w:tc>
        <w:tc>
          <w:tcPr>
            <w:tcW w:w="1685" w:type="dxa"/>
          </w:tcPr>
          <w:p w:rsidR="00DD07AF" w:rsidRPr="00E02A05" w:rsidRDefault="00DD07AF" w:rsidP="00CB2FBB">
            <w:pPr>
              <w:pStyle w:val="Tabletext"/>
            </w:pPr>
            <w:r w:rsidRPr="00E02A05">
              <w:t>Back-arc extension on western margin produced series of half-grabens (e</w:t>
            </w:r>
            <w:r w:rsidR="00E02A05">
              <w:t>.</w:t>
            </w:r>
            <w:r w:rsidRPr="00E02A05">
              <w:t>g</w:t>
            </w:r>
            <w:r w:rsidR="00E02A05">
              <w:t>.</w:t>
            </w:r>
            <w:r w:rsidRPr="00E02A05">
              <w:t xml:space="preserve"> Denison and Taroom Troughs)</w:t>
            </w:r>
          </w:p>
        </w:tc>
        <w:tc>
          <w:tcPr>
            <w:tcW w:w="1717" w:type="dxa"/>
          </w:tcPr>
          <w:p w:rsidR="00E02A05" w:rsidRDefault="00DD07AF" w:rsidP="00CB2FBB">
            <w:pPr>
              <w:pStyle w:val="Tabletext"/>
            </w:pPr>
            <w:r w:rsidRPr="00E02A05">
              <w:t>DME</w:t>
            </w:r>
            <w:r w:rsidR="00E02A05">
              <w:t xml:space="preserve"> 1997</w:t>
            </w:r>
            <w:r w:rsidRPr="00E02A05">
              <w:t xml:space="preserve"> </w:t>
            </w:r>
          </w:p>
          <w:p w:rsidR="00E02A05" w:rsidRDefault="00DD07AF" w:rsidP="00CB2FBB">
            <w:pPr>
              <w:pStyle w:val="Tabletext"/>
            </w:pPr>
            <w:r w:rsidRPr="00E02A05">
              <w:t>Day et al.</w:t>
            </w:r>
            <w:r w:rsidR="00E02A05">
              <w:t xml:space="preserve"> 1983</w:t>
            </w:r>
          </w:p>
          <w:p w:rsidR="00E02A05" w:rsidRDefault="00DD07AF" w:rsidP="00CB2FBB">
            <w:pPr>
              <w:pStyle w:val="Tabletext"/>
            </w:pPr>
            <w:r w:rsidRPr="00E02A05">
              <w:t>Draper</w:t>
            </w:r>
            <w:r w:rsidR="00E02A05">
              <w:t xml:space="preserve"> 1985</w:t>
            </w:r>
          </w:p>
          <w:p w:rsidR="00E02A05" w:rsidRDefault="00DD07AF" w:rsidP="00CB2FBB">
            <w:pPr>
              <w:pStyle w:val="Tabletext"/>
            </w:pPr>
            <w:r w:rsidRPr="00E02A05">
              <w:t>Fielding et al.</w:t>
            </w:r>
            <w:r w:rsidR="00E02A05">
              <w:t xml:space="preserve"> 1990b</w:t>
            </w:r>
          </w:p>
          <w:p w:rsidR="00DD07AF" w:rsidRPr="00E02A05" w:rsidRDefault="00DD07AF" w:rsidP="00CB2FBB">
            <w:pPr>
              <w:pStyle w:val="Tabletext"/>
            </w:pPr>
            <w:r w:rsidRPr="00E02A05">
              <w:t>Brakel et al. 2009</w:t>
            </w:r>
          </w:p>
        </w:tc>
      </w:tr>
      <w:tr w:rsidR="00DD07AF" w:rsidRPr="00E02A05" w:rsidTr="00E02A05">
        <w:tc>
          <w:tcPr>
            <w:tcW w:w="1240" w:type="dxa"/>
          </w:tcPr>
          <w:p w:rsidR="00DD07AF" w:rsidRPr="00E02A05" w:rsidRDefault="00DD07AF" w:rsidP="00CB2FBB">
            <w:pPr>
              <w:pStyle w:val="Tabletext"/>
            </w:pPr>
            <w:r w:rsidRPr="00E02A05">
              <w:t>Mid  to Late Permian</w:t>
            </w:r>
          </w:p>
        </w:tc>
        <w:tc>
          <w:tcPr>
            <w:tcW w:w="1803" w:type="dxa"/>
          </w:tcPr>
          <w:p w:rsidR="00DD07AF" w:rsidRPr="00E02A05" w:rsidRDefault="00DD07AF" w:rsidP="00CB2FBB">
            <w:pPr>
              <w:pStyle w:val="Tabletext"/>
            </w:pPr>
            <w:r w:rsidRPr="00E02A05">
              <w:t>Subduction and extension cease and thermal relaxation and subsidence allowed incursion of sea over the arc and westward across the basin</w:t>
            </w:r>
          </w:p>
        </w:tc>
        <w:tc>
          <w:tcPr>
            <w:tcW w:w="2911" w:type="dxa"/>
          </w:tcPr>
          <w:p w:rsidR="00DD07AF" w:rsidRPr="00E02A05" w:rsidRDefault="00DD07AF" w:rsidP="00CB2FBB">
            <w:pPr>
              <w:pStyle w:val="Tabletext"/>
            </w:pPr>
            <w:r w:rsidRPr="00E02A05">
              <w:t>Shallow marine delta (west and north edges of basin), infilling of the sea and transitioning into peat-forming coastal swamps (deposited extensive coal seams), wetlands and fluvial systems. Initial deposition of volcanolithic alluvial sediments of Rewan Group</w:t>
            </w:r>
          </w:p>
        </w:tc>
        <w:tc>
          <w:tcPr>
            <w:tcW w:w="1685" w:type="dxa"/>
          </w:tcPr>
          <w:p w:rsidR="00DD07AF" w:rsidRPr="00E02A05" w:rsidRDefault="00DD07AF" w:rsidP="00CB2FBB">
            <w:pPr>
              <w:pStyle w:val="Tabletext"/>
            </w:pPr>
            <w:r w:rsidRPr="00E02A05">
              <w:t xml:space="preserve">Compressive deformation related to the arc resulted in shedding of volcanolithic sediments from uplifted areas to east </w:t>
            </w:r>
          </w:p>
        </w:tc>
        <w:tc>
          <w:tcPr>
            <w:tcW w:w="1717" w:type="dxa"/>
          </w:tcPr>
          <w:p w:rsidR="00E02A05" w:rsidRDefault="00DD07AF" w:rsidP="00CB2FBB">
            <w:pPr>
              <w:pStyle w:val="Tabletext"/>
            </w:pPr>
            <w:r w:rsidRPr="00E02A05">
              <w:t>Fielding et al</w:t>
            </w:r>
            <w:r w:rsidR="00E02A05">
              <w:t>. 1990a</w:t>
            </w:r>
            <w:r w:rsidRPr="00E02A05">
              <w:t xml:space="preserve"> </w:t>
            </w:r>
          </w:p>
          <w:p w:rsidR="00E02A05" w:rsidRDefault="00DD07AF" w:rsidP="00CB2FBB">
            <w:pPr>
              <w:pStyle w:val="Tabletext"/>
            </w:pPr>
            <w:r w:rsidRPr="00E02A05">
              <w:t>DME 1997</w:t>
            </w:r>
          </w:p>
          <w:p w:rsidR="00DD07AF" w:rsidRPr="00E02A05" w:rsidRDefault="00E02A05" w:rsidP="00CB2FBB">
            <w:pPr>
              <w:pStyle w:val="Tabletext"/>
            </w:pPr>
            <w:r>
              <w:t>Brakel et al.</w:t>
            </w:r>
            <w:r w:rsidR="00DD07AF" w:rsidRPr="00E02A05">
              <w:t xml:space="preserve"> 2009</w:t>
            </w:r>
          </w:p>
        </w:tc>
      </w:tr>
      <w:tr w:rsidR="00DD07AF" w:rsidRPr="00E02A05" w:rsidTr="00E02A05">
        <w:tc>
          <w:tcPr>
            <w:tcW w:w="1240" w:type="dxa"/>
          </w:tcPr>
          <w:p w:rsidR="00DD07AF" w:rsidRPr="00E02A05" w:rsidRDefault="00DD07AF" w:rsidP="00CB2FBB">
            <w:pPr>
              <w:pStyle w:val="Tabletext"/>
            </w:pPr>
            <w:r w:rsidRPr="00E02A05">
              <w:t>Early to Late Triassic</w:t>
            </w:r>
          </w:p>
        </w:tc>
        <w:tc>
          <w:tcPr>
            <w:tcW w:w="1803" w:type="dxa"/>
          </w:tcPr>
          <w:p w:rsidR="00DD07AF" w:rsidRPr="00E02A05" w:rsidRDefault="00DD07AF" w:rsidP="00CB2FBB">
            <w:pPr>
              <w:pStyle w:val="Tabletext"/>
            </w:pPr>
            <w:r w:rsidRPr="00E02A05">
              <w:t xml:space="preserve">Subduction resumes to the east causing prolonged compression in central Queensland. Thrust induced loading of the foreland caused rapid subsidence in the adjacent Taroom Trough </w:t>
            </w:r>
          </w:p>
        </w:tc>
        <w:tc>
          <w:tcPr>
            <w:tcW w:w="2911" w:type="dxa"/>
          </w:tcPr>
          <w:p w:rsidR="00DD07AF" w:rsidRPr="00E02A05" w:rsidRDefault="00DD07AF" w:rsidP="00CB2FBB">
            <w:pPr>
              <w:pStyle w:val="Tabletext"/>
            </w:pPr>
            <w:r w:rsidRPr="00E02A05">
              <w:t xml:space="preserve">Early Triassic terrestrial deposition of Rewan Group. Quartzose sandstones of Middle Triassic Clematis Group were sourced from the uplifted western craton. The Middle Triassic Moolayember Formation deposited in a marginal marine or tidal-flat environment </w:t>
            </w:r>
          </w:p>
        </w:tc>
        <w:tc>
          <w:tcPr>
            <w:tcW w:w="1685" w:type="dxa"/>
          </w:tcPr>
          <w:p w:rsidR="00DD07AF" w:rsidRPr="00E02A05" w:rsidRDefault="00DD07AF" w:rsidP="00CB2FBB">
            <w:pPr>
              <w:pStyle w:val="Tabletext"/>
            </w:pPr>
            <w:r w:rsidRPr="00E02A05">
              <w:t xml:space="preserve">Major compressive deformation during Middle to Late Triassic resulted in regional uplift, folding and erosion. Evidence of strike-slip faulting to accommodate compressional forces </w:t>
            </w:r>
          </w:p>
        </w:tc>
        <w:tc>
          <w:tcPr>
            <w:tcW w:w="1717" w:type="dxa"/>
          </w:tcPr>
          <w:p w:rsidR="00E02A05" w:rsidRDefault="00E02A05" w:rsidP="00CB2FBB">
            <w:pPr>
              <w:pStyle w:val="Tabletext"/>
            </w:pPr>
            <w:r>
              <w:t>Fielding et al.</w:t>
            </w:r>
            <w:r w:rsidR="00DD07AF" w:rsidRPr="00E02A05">
              <w:t xml:space="preserve"> 1990b</w:t>
            </w:r>
          </w:p>
          <w:p w:rsidR="00E02A05" w:rsidRDefault="00DD07AF" w:rsidP="00CB2FBB">
            <w:pPr>
              <w:pStyle w:val="Tabletext"/>
            </w:pPr>
            <w:r w:rsidRPr="00E02A05">
              <w:t>DME 1997</w:t>
            </w:r>
          </w:p>
          <w:p w:rsidR="00DD07AF" w:rsidRPr="00E02A05" w:rsidRDefault="00DD07AF" w:rsidP="00CB2FBB">
            <w:pPr>
              <w:pStyle w:val="Tabletext"/>
            </w:pPr>
            <w:r w:rsidRPr="00E02A05">
              <w:t>Brakel et al. 2009</w:t>
            </w:r>
          </w:p>
        </w:tc>
      </w:tr>
    </w:tbl>
    <w:p w:rsidR="008E40D2" w:rsidRDefault="008E40D2" w:rsidP="005F6513">
      <w:pPr>
        <w:pStyle w:val="Heading3"/>
        <w:numPr>
          <w:ilvl w:val="0"/>
          <w:numId w:val="0"/>
        </w:numPr>
        <w:ind w:left="720"/>
      </w:pPr>
      <w:bookmarkStart w:id="620" w:name="_Toc334711973"/>
      <w:bookmarkStart w:id="621" w:name="_Toc381961160"/>
    </w:p>
    <w:p w:rsidR="00DD07AF" w:rsidRDefault="00DD07AF" w:rsidP="005F6513">
      <w:pPr>
        <w:pStyle w:val="Heading3"/>
      </w:pPr>
      <w:r>
        <w:t>Stratigraphy</w:t>
      </w:r>
      <w:bookmarkEnd w:id="620"/>
      <w:bookmarkEnd w:id="621"/>
    </w:p>
    <w:p w:rsidR="00DD07AF" w:rsidRDefault="00DD07AF" w:rsidP="008E40D2">
      <w:pPr>
        <w:pStyle w:val="BRNormal"/>
      </w:pPr>
      <w:r>
        <w:t xml:space="preserve">The representative stratigraphic column </w:t>
      </w:r>
      <w:r w:rsidR="00F025AD">
        <w:t xml:space="preserve">for the Bowen Basin </w:t>
      </w:r>
      <w:r>
        <w:t>is summarised in</w:t>
      </w:r>
      <w:r w:rsidR="008E40D2">
        <w:t xml:space="preserve"> Table </w:t>
      </w:r>
      <w:r w:rsidR="00254FAA">
        <w:t>18</w:t>
      </w:r>
      <w:r w:rsidR="008E40D2">
        <w:t xml:space="preserve"> </w:t>
      </w:r>
      <w:r>
        <w:t>and a representative west-east cross-section through the Taroom Trough is shown in</w:t>
      </w:r>
      <w:r w:rsidR="00254FAA">
        <w:t xml:space="preserve"> Figure 23</w:t>
      </w:r>
      <w:r>
        <w:t>.  The nature and age of the basement beneath the basin has only been inferred from exposed rocks outside of the basin and deep seismic survey acquired</w:t>
      </w:r>
      <w:r w:rsidR="008E40D2">
        <w:t xml:space="preserve"> by Geoscience Australia (CSIRO</w:t>
      </w:r>
      <w:r>
        <w:t xml:space="preserve"> 2008</w:t>
      </w:r>
      <w:r w:rsidR="00167E75">
        <w:t>a</w:t>
      </w:r>
      <w:r>
        <w:t>). Apart from the margins of the Bowen Basin, the basin has not been full penetrated by exploration drilling to date. Interpretation of the regional deep seismic survey suggests that the underlying rocks are derived from the Lachlan orogen (</w:t>
      </w:r>
      <w:r w:rsidRPr="00591D60">
        <w:t>Korsch et al</w:t>
      </w:r>
      <w:r>
        <w:t>.</w:t>
      </w:r>
      <w:r w:rsidR="00B72A98">
        <w:t xml:space="preserve"> 1998</w:t>
      </w:r>
      <w:r w:rsidRPr="00591D60">
        <w:t xml:space="preserve"> cited in CSIRO 2008</w:t>
      </w:r>
      <w:r w:rsidR="00167E75">
        <w:t>a</w:t>
      </w:r>
      <w:r>
        <w:t xml:space="preserve">). </w:t>
      </w:r>
      <w:r w:rsidR="008978C4">
        <w:t>T</w:t>
      </w:r>
      <w:r>
        <w:t xml:space="preserve">he basement consists of the Timbury Hills Formation, </w:t>
      </w:r>
      <w:r w:rsidRPr="00951295">
        <w:t>Kuttung Formation</w:t>
      </w:r>
      <w:r>
        <w:t xml:space="preserve">, Roma Granites, </w:t>
      </w:r>
      <w:r w:rsidRPr="00951295">
        <w:t>Auburn Complex</w:t>
      </w:r>
      <w:r>
        <w:t>, Yarraman Complex and Texas High Granite</w:t>
      </w:r>
      <w:r w:rsidR="008978C4">
        <w:t xml:space="preserve"> (Exon 1976)</w:t>
      </w:r>
      <w:r>
        <w:t xml:space="preserve">. The oldest formation in the Bowen Basin is the Early Permian Back Creek Group and equivalents, which is predominantly made up of fine-grained deposits of marine origin.  </w:t>
      </w:r>
    </w:p>
    <w:p w:rsidR="00DD07AF" w:rsidRDefault="00DD07AF" w:rsidP="008E40D2">
      <w:pPr>
        <w:pStyle w:val="BRNormal"/>
      </w:pPr>
      <w:r>
        <w:lastRenderedPageBreak/>
        <w:t>Extensive c</w:t>
      </w:r>
      <w:r w:rsidRPr="00951295">
        <w:t>oal deposits accumulated in swamp</w:t>
      </w:r>
      <w:r>
        <w:t>y</w:t>
      </w:r>
      <w:r w:rsidRPr="00951295">
        <w:t xml:space="preserve"> </w:t>
      </w:r>
      <w:r>
        <w:t xml:space="preserve">terrestrial </w:t>
      </w:r>
      <w:r w:rsidRPr="00951295">
        <w:t>environments</w:t>
      </w:r>
      <w:r>
        <w:t xml:space="preserve"> in the mid to late Permian. </w:t>
      </w:r>
      <w:r w:rsidRPr="00951295">
        <w:t xml:space="preserve"> In the north of the </w:t>
      </w:r>
      <w:r w:rsidR="00287F9A">
        <w:t>B</w:t>
      </w:r>
      <w:r>
        <w:t>asin,</w:t>
      </w:r>
      <w:r w:rsidRPr="00951295">
        <w:t xml:space="preserve"> the coal seams are </w:t>
      </w:r>
      <w:r>
        <w:t xml:space="preserve">present </w:t>
      </w:r>
      <w:r w:rsidRPr="00951295">
        <w:t xml:space="preserve">within the Moranbah Coal Measures, Fort Cooper Coal Measures and Rangal Coal Measures. In the south of the </w:t>
      </w:r>
      <w:r w:rsidR="00287F9A">
        <w:t>exposed B</w:t>
      </w:r>
      <w:r>
        <w:t>asin, the coal seams are present within</w:t>
      </w:r>
      <w:r w:rsidRPr="00951295">
        <w:t xml:space="preserve"> the Bandanna Formation and the Baralaba Coal Measures</w:t>
      </w:r>
      <w:r w:rsidR="00287F9A">
        <w:t>. Coal seams throughout the B</w:t>
      </w:r>
      <w:r>
        <w:t>asin typically split and coalesce at the mine site scale (e.g. over 10</w:t>
      </w:r>
      <w:r w:rsidR="00287F9A">
        <w:t> </w:t>
      </w:r>
      <w:r>
        <w:t xml:space="preserve">km along strike). Individual coal seams usually vary in thickness from one to </w:t>
      </w:r>
      <w:r w:rsidR="00287F9A">
        <w:t>10 m</w:t>
      </w:r>
      <w:r>
        <w:t xml:space="preserve">, and coal interburden is typically fine-grained comprising mudstone, siltstone and sandstone. </w:t>
      </w:r>
    </w:p>
    <w:p w:rsidR="00DD07AF" w:rsidRDefault="00DD07AF" w:rsidP="008E40D2">
      <w:pPr>
        <w:pStyle w:val="BRNormal"/>
      </w:pPr>
      <w:r>
        <w:t>The Early Triassic Rewan Formation has a maximum enc</w:t>
      </w:r>
      <w:r w:rsidR="00734B52">
        <w:t>ountered thickness of over 1360 </w:t>
      </w:r>
      <w:r>
        <w:t>m and is comprised predominantly of fine-grained alluvial sediments laid down during la</w:t>
      </w:r>
      <w:r w:rsidR="008E40D2">
        <w:t>te-stage basin subsidence (Exon</w:t>
      </w:r>
      <w:r>
        <w:t xml:space="preserve"> 1976). The Rewan Group includes the Arcadia Formation overlying the Sagittarius Sandstone. The Arcadia Formation is characterised by thick sequences of red-brown mudstone (</w:t>
      </w:r>
      <w:r w:rsidRPr="00C6309C">
        <w:t>Exon 1976</w:t>
      </w:r>
      <w:r>
        <w:t xml:space="preserve">). </w:t>
      </w:r>
    </w:p>
    <w:p w:rsidR="00DD07AF" w:rsidRDefault="00DD07AF" w:rsidP="008E40D2">
      <w:pPr>
        <w:pStyle w:val="BRNormal"/>
      </w:pPr>
      <w:r>
        <w:t>The Clematis Group is made up of quartzose sandstone, siltstone and mudstone deposited in higher energy fluvial environments (</w:t>
      </w:r>
      <w:r w:rsidR="00734B52">
        <w:t xml:space="preserve">e.g. </w:t>
      </w:r>
      <w:r>
        <w:t>braided river and meandering river systems) and lower energy floodplains (</w:t>
      </w:r>
      <w:r w:rsidR="008E40D2">
        <w:t xml:space="preserve">Cadman et al. 1998 and </w:t>
      </w:r>
      <w:r>
        <w:t>Olgers</w:t>
      </w:r>
      <w:r w:rsidR="008E40D2">
        <w:t xml:space="preserve"> 1970</w:t>
      </w:r>
      <w:r>
        <w:t xml:space="preserve"> </w:t>
      </w:r>
      <w:r w:rsidR="008E40D2">
        <w:t>cited in DNRM</w:t>
      </w:r>
      <w:r>
        <w:t xml:space="preserve"> 20</w:t>
      </w:r>
      <w:r w:rsidR="00734B52">
        <w:t>05). The unit is thickest (2000 </w:t>
      </w:r>
      <w:r>
        <w:t>m) proximal to the source in the north and thins to about 3</w:t>
      </w:r>
      <w:r w:rsidR="00734B52">
        <w:t>00 </w:t>
      </w:r>
      <w:r w:rsidR="008E40D2">
        <w:t>m southwest of Wandoan (Exon</w:t>
      </w:r>
      <w:r>
        <w:t xml:space="preserve"> 1976</w:t>
      </w:r>
      <w:r w:rsidR="008978C4">
        <w:t>)</w:t>
      </w:r>
      <w:r>
        <w:t xml:space="preserve">. The Clematis Group is exposed and outcrops on either side of the Mimosa Syncline within the Taroom Trough. The unit has </w:t>
      </w:r>
      <w:r w:rsidR="00F025AD">
        <w:t xml:space="preserve">an </w:t>
      </w:r>
      <w:r>
        <w:t xml:space="preserve">obvious northwest-southeast offset where it coincides with the Jellinbah Thrust Belt, southeast of Blackwater.      </w:t>
      </w:r>
    </w:p>
    <w:p w:rsidR="00DD07AF" w:rsidRDefault="00DD07AF" w:rsidP="008E40D2">
      <w:pPr>
        <w:pStyle w:val="BRNormal"/>
      </w:pPr>
      <w:r>
        <w:t>The Moolayember Formation mainly consists of fine-grained siltstone and mudstone laid down in terrestrial and shallow marine environments (</w:t>
      </w:r>
      <w:r w:rsidR="009703FC">
        <w:t>WorleyParsons</w:t>
      </w:r>
      <w:r>
        <w:t xml:space="preserve"> 2010</w:t>
      </w:r>
      <w:r w:rsidR="009703FC">
        <w:t>;</w:t>
      </w:r>
      <w:r w:rsidR="009703FC" w:rsidRPr="009703FC">
        <w:t xml:space="preserve"> </w:t>
      </w:r>
      <w:r w:rsidR="009703FC">
        <w:t>Cadman et al 1998</w:t>
      </w:r>
      <w:r>
        <w:t>). The unit outcrops along the axis of the Mimosa Syn</w:t>
      </w:r>
      <w:r w:rsidR="00734B52">
        <w:t>cline and provides a 0.3 to 1.5 </w:t>
      </w:r>
      <w:r>
        <w:t xml:space="preserve">km buffer between the underlying Clematis Group directly to the north, west and east, and the overlying Precipice Sandstone </w:t>
      </w:r>
      <w:r w:rsidRPr="002F7615">
        <w:t>to the south. The boundary between the Moolayember Formation and the unconformably overlying Precipice Sandstone of the Surat Basin is marked by a transition from fine to medium-grained lithic sublabile sandstones, siltstones and shales to porous fine to very coarse-grained quartzose sandstones (DME 1997). Where the Evergreen Formation of the Surat Basin directly overlies the Moolayember Formation, the boundary is difficult to pick on lithological grounds because of very similar rock types (DME 1997).</w:t>
      </w:r>
    </w:p>
    <w:p w:rsidR="00DD07AF" w:rsidRDefault="00DD07AF" w:rsidP="009703FC">
      <w:pPr>
        <w:pStyle w:val="BRNormal"/>
      </w:pPr>
      <w:r>
        <w:t xml:space="preserve">Cretaceous gabbros and granodiorite intrusions occur </w:t>
      </w:r>
      <w:r w:rsidR="001F62C8">
        <w:t>throughout the B</w:t>
      </w:r>
      <w:r w:rsidR="009703FC">
        <w:t>asin (see CSIRO</w:t>
      </w:r>
      <w:r>
        <w:t xml:space="preserve"> 2008</w:t>
      </w:r>
      <w:r w:rsidR="00167E75">
        <w:t>a</w:t>
      </w:r>
      <w:r w:rsidR="001F62C8">
        <w:t>)</w:t>
      </w:r>
      <w:r>
        <w:t xml:space="preserve"> and Tertiary basalts cover a sign</w:t>
      </w:r>
      <w:r w:rsidR="001F62C8">
        <w:t>ificant portion of the western B</w:t>
      </w:r>
      <w:r>
        <w:t xml:space="preserve">asin stretching from approximately Moranbah in the north to Rolleston in the south. </w:t>
      </w:r>
    </w:p>
    <w:p w:rsidR="00DD07AF" w:rsidRDefault="00DD07AF" w:rsidP="001C3374">
      <w:pPr>
        <w:pStyle w:val="Body"/>
      </w:pPr>
    </w:p>
    <w:p w:rsidR="00DD07AF" w:rsidRDefault="00DD07AF" w:rsidP="001C3374">
      <w:pPr>
        <w:pStyle w:val="Body"/>
      </w:pPr>
    </w:p>
    <w:p w:rsidR="00DD07AF" w:rsidRDefault="00DD07AF" w:rsidP="001C3374">
      <w:pPr>
        <w:pStyle w:val="Body"/>
      </w:pPr>
    </w:p>
    <w:p w:rsidR="00DD07AF" w:rsidRDefault="00DD07AF" w:rsidP="001C3374">
      <w:pPr>
        <w:pStyle w:val="Body"/>
      </w:pPr>
    </w:p>
    <w:p w:rsidR="00DD07AF" w:rsidRDefault="00DD07AF" w:rsidP="001C3374">
      <w:pPr>
        <w:pStyle w:val="Body"/>
      </w:pPr>
    </w:p>
    <w:p w:rsidR="00DD07AF" w:rsidRDefault="00DD07AF" w:rsidP="001C3374">
      <w:pPr>
        <w:pStyle w:val="Body"/>
      </w:pPr>
    </w:p>
    <w:p w:rsidR="00DD07AF" w:rsidRDefault="00DD07AF" w:rsidP="001C3374">
      <w:pPr>
        <w:pStyle w:val="Body"/>
      </w:pPr>
    </w:p>
    <w:p w:rsidR="00DD07AF" w:rsidRDefault="00DD07AF" w:rsidP="001C3374">
      <w:pPr>
        <w:pStyle w:val="Body"/>
      </w:pPr>
    </w:p>
    <w:p w:rsidR="00DD07AF" w:rsidRDefault="00DD07AF" w:rsidP="001C3374">
      <w:pPr>
        <w:pStyle w:val="Body"/>
      </w:pPr>
    </w:p>
    <w:p w:rsidR="00117243" w:rsidRDefault="00117243" w:rsidP="009703FC">
      <w:pPr>
        <w:pStyle w:val="Caption"/>
      </w:pPr>
      <w:bookmarkStart w:id="622" w:name="_Ref333069195"/>
    </w:p>
    <w:p w:rsidR="00DD07AF" w:rsidRDefault="009703FC" w:rsidP="009703FC">
      <w:pPr>
        <w:pStyle w:val="Caption"/>
      </w:pPr>
      <w:proofErr w:type="gramStart"/>
      <w:r w:rsidRPr="006F2073">
        <w:lastRenderedPageBreak/>
        <w:t xml:space="preserve">Table </w:t>
      </w:r>
      <w:r w:rsidR="00E23933" w:rsidRPr="006F2073">
        <w:rPr>
          <w:b/>
          <w:noProof w:val="0"/>
        </w:rPr>
        <w:fldChar w:fldCharType="begin"/>
      </w:r>
      <w:r w:rsidRPr="006F2073">
        <w:instrText xml:space="preserve"> SEQ Table \* ARABIC </w:instrText>
      </w:r>
      <w:r w:rsidR="00E23933" w:rsidRPr="006F2073">
        <w:rPr>
          <w:b/>
          <w:noProof w:val="0"/>
        </w:rPr>
        <w:fldChar w:fldCharType="separate"/>
      </w:r>
      <w:r w:rsidR="00254FAA">
        <w:t>18</w:t>
      </w:r>
      <w:r w:rsidR="00E23933" w:rsidRPr="006F2073">
        <w:rPr>
          <w:b/>
        </w:rPr>
        <w:fldChar w:fldCharType="end"/>
      </w:r>
      <w:r>
        <w:rPr>
          <w:b/>
        </w:rPr>
        <w:t xml:space="preserve"> </w:t>
      </w:r>
      <w:bookmarkEnd w:id="622"/>
      <w:r w:rsidR="00DD07AF">
        <w:t xml:space="preserve">Summary of </w:t>
      </w:r>
      <w:r w:rsidR="00A15B68">
        <w:t xml:space="preserve">the </w:t>
      </w:r>
      <w:r w:rsidR="00DD07AF">
        <w:t>Bo</w:t>
      </w:r>
      <w:r w:rsidR="001F62C8">
        <w:t>wen Basin regional s</w:t>
      </w:r>
      <w:r>
        <w:t>tratigraphy.</w:t>
      </w:r>
      <w:proofErr w:type="gramEnd"/>
    </w:p>
    <w:tbl>
      <w:tblPr>
        <w:tblStyle w:val="TableGrid"/>
        <w:tblW w:w="9280" w:type="dxa"/>
        <w:tblInd w:w="108" w:type="dxa"/>
        <w:tblLook w:val="04A0"/>
      </w:tblPr>
      <w:tblGrid>
        <w:gridCol w:w="1418"/>
        <w:gridCol w:w="2551"/>
        <w:gridCol w:w="1985"/>
        <w:gridCol w:w="1470"/>
        <w:gridCol w:w="1856"/>
      </w:tblGrid>
      <w:tr w:rsidR="00DD07AF" w:rsidRPr="009703FC" w:rsidTr="00792A5A">
        <w:trPr>
          <w:tblHeader/>
        </w:trPr>
        <w:tc>
          <w:tcPr>
            <w:tcW w:w="1418" w:type="dxa"/>
            <w:shd w:val="clear" w:color="auto" w:fill="C6D9F1" w:themeFill="text2" w:themeFillTint="33"/>
          </w:tcPr>
          <w:p w:rsidR="00DD07AF" w:rsidRPr="009703FC" w:rsidRDefault="00792A5A" w:rsidP="00470AD4">
            <w:pPr>
              <w:pStyle w:val="Tableheading"/>
            </w:pPr>
            <w:r>
              <w:t>Geological a</w:t>
            </w:r>
            <w:r w:rsidR="00DD07AF" w:rsidRPr="009703FC">
              <w:t>ge</w:t>
            </w:r>
          </w:p>
        </w:tc>
        <w:tc>
          <w:tcPr>
            <w:tcW w:w="2551" w:type="dxa"/>
            <w:shd w:val="clear" w:color="auto" w:fill="C6D9F1" w:themeFill="text2" w:themeFillTint="33"/>
          </w:tcPr>
          <w:p w:rsidR="00DD07AF" w:rsidRPr="009703FC" w:rsidRDefault="00792A5A" w:rsidP="00470AD4">
            <w:pPr>
              <w:pStyle w:val="Tableheading"/>
            </w:pPr>
            <w:r>
              <w:t>Stratigraphic u</w:t>
            </w:r>
            <w:r w:rsidR="00DD07AF" w:rsidRPr="009703FC">
              <w:t>nit</w:t>
            </w:r>
          </w:p>
        </w:tc>
        <w:tc>
          <w:tcPr>
            <w:tcW w:w="1985" w:type="dxa"/>
            <w:shd w:val="clear" w:color="auto" w:fill="C6D9F1" w:themeFill="text2" w:themeFillTint="33"/>
          </w:tcPr>
          <w:p w:rsidR="00DD07AF" w:rsidRPr="009703FC" w:rsidRDefault="00792A5A" w:rsidP="00470AD4">
            <w:pPr>
              <w:pStyle w:val="Tableheading"/>
            </w:pPr>
            <w:r>
              <w:t>Lithological d</w:t>
            </w:r>
            <w:r w:rsidR="00DD07AF" w:rsidRPr="009703FC">
              <w:t>escription</w:t>
            </w:r>
          </w:p>
        </w:tc>
        <w:tc>
          <w:tcPr>
            <w:tcW w:w="1470" w:type="dxa"/>
            <w:shd w:val="clear" w:color="auto" w:fill="C6D9F1" w:themeFill="text2" w:themeFillTint="33"/>
          </w:tcPr>
          <w:p w:rsidR="00DD07AF" w:rsidRPr="009703FC" w:rsidRDefault="00DD07AF" w:rsidP="00470AD4">
            <w:pPr>
              <w:pStyle w:val="Tableheading"/>
            </w:pPr>
            <w:r w:rsidRPr="009703FC">
              <w:t>Thickness</w:t>
            </w:r>
          </w:p>
        </w:tc>
        <w:tc>
          <w:tcPr>
            <w:tcW w:w="1856" w:type="dxa"/>
            <w:shd w:val="clear" w:color="auto" w:fill="C6D9F1" w:themeFill="text2" w:themeFillTint="33"/>
          </w:tcPr>
          <w:p w:rsidR="00DD07AF" w:rsidRPr="009703FC" w:rsidRDefault="00792A5A" w:rsidP="00470AD4">
            <w:pPr>
              <w:pStyle w:val="Tableheading"/>
            </w:pPr>
            <w:r>
              <w:t>Depositional e</w:t>
            </w:r>
            <w:r w:rsidR="00DD07AF" w:rsidRPr="009703FC">
              <w:t>nvironment</w:t>
            </w:r>
          </w:p>
        </w:tc>
      </w:tr>
      <w:tr w:rsidR="00DD07AF" w:rsidRPr="009703FC" w:rsidTr="00792A5A">
        <w:tc>
          <w:tcPr>
            <w:tcW w:w="1418" w:type="dxa"/>
            <w:tcBorders>
              <w:bottom w:val="single" w:sz="4" w:space="0" w:color="auto"/>
            </w:tcBorders>
          </w:tcPr>
          <w:p w:rsidR="00DD07AF" w:rsidRPr="009703FC" w:rsidRDefault="00DD07AF" w:rsidP="00CB2FBB">
            <w:pPr>
              <w:pStyle w:val="Tabletext"/>
            </w:pPr>
            <w:r w:rsidRPr="009703FC">
              <w:t xml:space="preserve">Quaternary </w:t>
            </w:r>
          </w:p>
        </w:tc>
        <w:tc>
          <w:tcPr>
            <w:tcW w:w="2551" w:type="dxa"/>
          </w:tcPr>
          <w:p w:rsidR="00DD07AF" w:rsidRPr="009703FC" w:rsidRDefault="00DD07AF" w:rsidP="00CB2FBB">
            <w:pPr>
              <w:pStyle w:val="Tabletext"/>
            </w:pPr>
            <w:r w:rsidRPr="009703FC">
              <w:t>Recent alluvial deposits</w:t>
            </w:r>
          </w:p>
        </w:tc>
        <w:tc>
          <w:tcPr>
            <w:tcW w:w="1985" w:type="dxa"/>
          </w:tcPr>
          <w:p w:rsidR="00DD07AF" w:rsidRPr="009703FC" w:rsidRDefault="00DD07AF" w:rsidP="00CB2FBB">
            <w:pPr>
              <w:pStyle w:val="Tabletext"/>
            </w:pPr>
            <w:r w:rsidRPr="009703FC">
              <w:t>Sand, silt, gravel, clay</w:t>
            </w:r>
          </w:p>
        </w:tc>
        <w:tc>
          <w:tcPr>
            <w:tcW w:w="1470" w:type="dxa"/>
          </w:tcPr>
          <w:p w:rsidR="00DD07AF" w:rsidRPr="009703FC" w:rsidRDefault="00DD07AF" w:rsidP="00CB2FBB">
            <w:pPr>
              <w:pStyle w:val="Tabletext"/>
            </w:pPr>
            <w:r w:rsidRPr="009703FC">
              <w:t>0 to 90 m</w:t>
            </w:r>
          </w:p>
        </w:tc>
        <w:tc>
          <w:tcPr>
            <w:tcW w:w="1856" w:type="dxa"/>
            <w:shd w:val="clear" w:color="auto" w:fill="auto"/>
          </w:tcPr>
          <w:p w:rsidR="00DD07AF" w:rsidRPr="009703FC" w:rsidRDefault="00DD07AF" w:rsidP="00CB2FBB">
            <w:pPr>
              <w:pStyle w:val="Tabletext"/>
            </w:pPr>
            <w:r w:rsidRPr="009703FC">
              <w:t xml:space="preserve">Alluvial </w:t>
            </w:r>
          </w:p>
        </w:tc>
      </w:tr>
      <w:tr w:rsidR="00792A5A" w:rsidRPr="009703FC" w:rsidTr="00792A5A">
        <w:tc>
          <w:tcPr>
            <w:tcW w:w="1418" w:type="dxa"/>
            <w:tcBorders>
              <w:bottom w:val="nil"/>
            </w:tcBorders>
          </w:tcPr>
          <w:p w:rsidR="00792A5A" w:rsidRPr="009703FC" w:rsidRDefault="00792A5A" w:rsidP="00CB2FBB">
            <w:pPr>
              <w:pStyle w:val="Tabletext"/>
            </w:pPr>
            <w:r w:rsidRPr="009703FC">
              <w:t>Tertiary</w:t>
            </w:r>
          </w:p>
        </w:tc>
        <w:tc>
          <w:tcPr>
            <w:tcW w:w="2551" w:type="dxa"/>
          </w:tcPr>
          <w:p w:rsidR="00792A5A" w:rsidRPr="009703FC" w:rsidRDefault="00792A5A" w:rsidP="00CB2FBB">
            <w:pPr>
              <w:pStyle w:val="Tabletext"/>
            </w:pPr>
            <w:r w:rsidRPr="009703FC">
              <w:t>Tertiary alluvium</w:t>
            </w:r>
          </w:p>
        </w:tc>
        <w:tc>
          <w:tcPr>
            <w:tcW w:w="1985" w:type="dxa"/>
          </w:tcPr>
          <w:p w:rsidR="00792A5A" w:rsidRPr="009703FC" w:rsidRDefault="00792A5A" w:rsidP="00CB2FBB">
            <w:pPr>
              <w:pStyle w:val="Tabletext"/>
            </w:pPr>
            <w:r w:rsidRPr="009703FC">
              <w:t>Silts, clay, sand and gravel</w:t>
            </w:r>
          </w:p>
        </w:tc>
        <w:tc>
          <w:tcPr>
            <w:tcW w:w="1470" w:type="dxa"/>
          </w:tcPr>
          <w:p w:rsidR="00792A5A" w:rsidRPr="009703FC" w:rsidRDefault="00792A5A" w:rsidP="00CB2FBB">
            <w:pPr>
              <w:pStyle w:val="Tabletext"/>
            </w:pPr>
            <w:r w:rsidRPr="009703FC">
              <w:t>Up to 100 m</w:t>
            </w:r>
          </w:p>
        </w:tc>
        <w:tc>
          <w:tcPr>
            <w:tcW w:w="1856" w:type="dxa"/>
            <w:shd w:val="clear" w:color="auto" w:fill="auto"/>
          </w:tcPr>
          <w:p w:rsidR="00792A5A" w:rsidRPr="009703FC" w:rsidRDefault="00792A5A" w:rsidP="00CB2FBB">
            <w:pPr>
              <w:pStyle w:val="Tabletext"/>
            </w:pPr>
            <w:r w:rsidRPr="009703FC">
              <w:t>Alluvial and fluvial</w:t>
            </w:r>
          </w:p>
        </w:tc>
      </w:tr>
      <w:tr w:rsidR="00792A5A" w:rsidRPr="009703FC" w:rsidTr="00792A5A">
        <w:tc>
          <w:tcPr>
            <w:tcW w:w="1418" w:type="dxa"/>
            <w:tcBorders>
              <w:top w:val="nil"/>
              <w:bottom w:val="single" w:sz="4" w:space="0" w:color="auto"/>
            </w:tcBorders>
          </w:tcPr>
          <w:p w:rsidR="00792A5A" w:rsidRPr="009703FC" w:rsidRDefault="00792A5A" w:rsidP="00CB2FBB">
            <w:pPr>
              <w:pStyle w:val="Tabletext"/>
            </w:pPr>
          </w:p>
        </w:tc>
        <w:tc>
          <w:tcPr>
            <w:tcW w:w="2551" w:type="dxa"/>
          </w:tcPr>
          <w:p w:rsidR="00792A5A" w:rsidRPr="009703FC" w:rsidRDefault="00792A5A" w:rsidP="00CB2FBB">
            <w:pPr>
              <w:pStyle w:val="Tabletext"/>
            </w:pPr>
            <w:r w:rsidRPr="009703FC">
              <w:t>Fresh and weathered basalt</w:t>
            </w:r>
          </w:p>
        </w:tc>
        <w:tc>
          <w:tcPr>
            <w:tcW w:w="1985" w:type="dxa"/>
          </w:tcPr>
          <w:p w:rsidR="00792A5A" w:rsidRPr="009703FC" w:rsidRDefault="00792A5A" w:rsidP="00CB2FBB">
            <w:pPr>
              <w:pStyle w:val="Tabletext"/>
            </w:pPr>
            <w:r w:rsidRPr="009703FC">
              <w:t xml:space="preserve">Olivine basalt flows, rare basalt plugs and sills, interbedded with and overlying Tertiary sediments </w:t>
            </w:r>
          </w:p>
        </w:tc>
        <w:tc>
          <w:tcPr>
            <w:tcW w:w="1470" w:type="dxa"/>
          </w:tcPr>
          <w:p w:rsidR="00792A5A" w:rsidRPr="009703FC" w:rsidRDefault="00792A5A" w:rsidP="00CB2FBB">
            <w:pPr>
              <w:pStyle w:val="Tabletext"/>
            </w:pPr>
            <w:r w:rsidRPr="009703FC">
              <w:t>0 to 250 m</w:t>
            </w:r>
          </w:p>
        </w:tc>
        <w:tc>
          <w:tcPr>
            <w:tcW w:w="1856" w:type="dxa"/>
            <w:shd w:val="clear" w:color="auto" w:fill="auto"/>
          </w:tcPr>
          <w:p w:rsidR="00792A5A" w:rsidRPr="009703FC" w:rsidRDefault="00792A5A" w:rsidP="00CB2FBB">
            <w:pPr>
              <w:pStyle w:val="Tabletext"/>
            </w:pPr>
            <w:r w:rsidRPr="009703FC">
              <w:t>Volcanic</w:t>
            </w:r>
          </w:p>
        </w:tc>
      </w:tr>
      <w:tr w:rsidR="00792A5A" w:rsidRPr="009703FC" w:rsidTr="00792A5A">
        <w:tc>
          <w:tcPr>
            <w:tcW w:w="1418" w:type="dxa"/>
            <w:tcBorders>
              <w:bottom w:val="nil"/>
            </w:tcBorders>
          </w:tcPr>
          <w:p w:rsidR="00792A5A" w:rsidRPr="009703FC" w:rsidRDefault="00792A5A" w:rsidP="00CB2FBB">
            <w:pPr>
              <w:pStyle w:val="Tabletext"/>
            </w:pPr>
            <w:r w:rsidRPr="009703FC">
              <w:t>Triassic</w:t>
            </w:r>
          </w:p>
          <w:p w:rsidR="00792A5A" w:rsidRPr="009703FC" w:rsidRDefault="00792A5A" w:rsidP="00CB2FBB">
            <w:pPr>
              <w:pStyle w:val="Tabletext"/>
            </w:pPr>
          </w:p>
        </w:tc>
        <w:tc>
          <w:tcPr>
            <w:tcW w:w="2551" w:type="dxa"/>
          </w:tcPr>
          <w:p w:rsidR="00792A5A" w:rsidRPr="009703FC" w:rsidRDefault="00792A5A" w:rsidP="00CB2FBB">
            <w:pPr>
              <w:pStyle w:val="Tabletext"/>
            </w:pPr>
            <w:r w:rsidRPr="009703FC">
              <w:t>Moolayember Formation</w:t>
            </w:r>
          </w:p>
        </w:tc>
        <w:tc>
          <w:tcPr>
            <w:tcW w:w="1985" w:type="dxa"/>
          </w:tcPr>
          <w:p w:rsidR="00792A5A" w:rsidRPr="009703FC" w:rsidRDefault="00792A5A" w:rsidP="00CB2FBB">
            <w:pPr>
              <w:pStyle w:val="Tabletext"/>
            </w:pPr>
            <w:r w:rsidRPr="009703FC">
              <w:t>Mudstones, siltstones, sandstones, carbonaceous shale, coal, conglomerate and minor tuff and limestone</w:t>
            </w:r>
          </w:p>
        </w:tc>
        <w:tc>
          <w:tcPr>
            <w:tcW w:w="1470" w:type="dxa"/>
          </w:tcPr>
          <w:p w:rsidR="00792A5A" w:rsidRPr="009703FC" w:rsidRDefault="00792A5A" w:rsidP="00CB2FBB">
            <w:pPr>
              <w:pStyle w:val="Tabletext"/>
            </w:pPr>
            <w:r w:rsidRPr="009703FC">
              <w:t>0 to 1500 m</w:t>
            </w:r>
          </w:p>
        </w:tc>
        <w:tc>
          <w:tcPr>
            <w:tcW w:w="1856" w:type="dxa"/>
            <w:shd w:val="clear" w:color="auto" w:fill="auto"/>
          </w:tcPr>
          <w:p w:rsidR="00792A5A" w:rsidRPr="009703FC" w:rsidRDefault="00792A5A" w:rsidP="00CB2FBB">
            <w:pPr>
              <w:pStyle w:val="Tabletext"/>
            </w:pPr>
            <w:r w:rsidRPr="009703FC">
              <w:t xml:space="preserve">Dominantly fluvial-lacustrine environment, although includes deltaic and shallow marine transition environments </w:t>
            </w:r>
          </w:p>
        </w:tc>
      </w:tr>
      <w:tr w:rsidR="00792A5A" w:rsidRPr="009703FC" w:rsidTr="00792A5A">
        <w:tc>
          <w:tcPr>
            <w:tcW w:w="1418" w:type="dxa"/>
            <w:tcBorders>
              <w:top w:val="nil"/>
              <w:bottom w:val="nil"/>
            </w:tcBorders>
          </w:tcPr>
          <w:p w:rsidR="00792A5A" w:rsidRPr="009703FC" w:rsidRDefault="00792A5A" w:rsidP="00CB2FBB">
            <w:pPr>
              <w:pStyle w:val="Tabletext"/>
            </w:pPr>
          </w:p>
        </w:tc>
        <w:tc>
          <w:tcPr>
            <w:tcW w:w="2551" w:type="dxa"/>
          </w:tcPr>
          <w:p w:rsidR="00792A5A" w:rsidRPr="009703FC" w:rsidRDefault="00792A5A" w:rsidP="00CB2FBB">
            <w:pPr>
              <w:pStyle w:val="Tabletext"/>
            </w:pPr>
            <w:r w:rsidRPr="009703FC">
              <w:t>Clematis Group</w:t>
            </w:r>
          </w:p>
        </w:tc>
        <w:tc>
          <w:tcPr>
            <w:tcW w:w="1985" w:type="dxa"/>
          </w:tcPr>
          <w:p w:rsidR="00792A5A" w:rsidRPr="009703FC" w:rsidRDefault="00792A5A" w:rsidP="00CB2FBB">
            <w:pPr>
              <w:pStyle w:val="Tabletext"/>
            </w:pPr>
            <w:r w:rsidRPr="009703FC">
              <w:t>Quartzose sandstone, siltstone and mudstone</w:t>
            </w:r>
          </w:p>
        </w:tc>
        <w:tc>
          <w:tcPr>
            <w:tcW w:w="1470" w:type="dxa"/>
          </w:tcPr>
          <w:p w:rsidR="00792A5A" w:rsidRPr="009703FC" w:rsidRDefault="00792A5A" w:rsidP="00CB2FBB">
            <w:pPr>
              <w:pStyle w:val="Tabletext"/>
            </w:pPr>
            <w:r w:rsidRPr="009703FC">
              <w:t>0 to 2000 m</w:t>
            </w:r>
          </w:p>
        </w:tc>
        <w:tc>
          <w:tcPr>
            <w:tcW w:w="1856" w:type="dxa"/>
            <w:shd w:val="clear" w:color="auto" w:fill="auto"/>
          </w:tcPr>
          <w:p w:rsidR="00792A5A" w:rsidRPr="009703FC" w:rsidRDefault="00792A5A" w:rsidP="00CB2FBB">
            <w:pPr>
              <w:pStyle w:val="Tabletext"/>
            </w:pPr>
            <w:r w:rsidRPr="009703FC">
              <w:t>Fluvial (braided and meandering) and floodplain</w:t>
            </w:r>
          </w:p>
        </w:tc>
      </w:tr>
      <w:tr w:rsidR="00792A5A" w:rsidRPr="009703FC" w:rsidTr="00792A5A">
        <w:tc>
          <w:tcPr>
            <w:tcW w:w="1418" w:type="dxa"/>
            <w:tcBorders>
              <w:top w:val="nil"/>
            </w:tcBorders>
          </w:tcPr>
          <w:p w:rsidR="00792A5A" w:rsidRPr="009703FC" w:rsidRDefault="00792A5A" w:rsidP="00CB2FBB">
            <w:pPr>
              <w:pStyle w:val="Tabletext"/>
            </w:pPr>
          </w:p>
        </w:tc>
        <w:tc>
          <w:tcPr>
            <w:tcW w:w="2551" w:type="dxa"/>
          </w:tcPr>
          <w:p w:rsidR="00792A5A" w:rsidRPr="009703FC" w:rsidRDefault="00792A5A" w:rsidP="00CB2FBB">
            <w:pPr>
              <w:pStyle w:val="Tabletext"/>
            </w:pPr>
            <w:r w:rsidRPr="009703FC">
              <w:t>Rewan Formation</w:t>
            </w:r>
          </w:p>
        </w:tc>
        <w:tc>
          <w:tcPr>
            <w:tcW w:w="1985" w:type="dxa"/>
          </w:tcPr>
          <w:p w:rsidR="00792A5A" w:rsidRPr="009703FC" w:rsidRDefault="00792A5A" w:rsidP="00CB2FBB">
            <w:pPr>
              <w:pStyle w:val="Tabletext"/>
            </w:pPr>
            <w:r w:rsidRPr="009703FC">
              <w:t>Mudstone, siltstone and labile sandstone</w:t>
            </w:r>
          </w:p>
        </w:tc>
        <w:tc>
          <w:tcPr>
            <w:tcW w:w="1470" w:type="dxa"/>
          </w:tcPr>
          <w:p w:rsidR="00792A5A" w:rsidRPr="009703FC" w:rsidRDefault="00792A5A" w:rsidP="00CB2FBB">
            <w:pPr>
              <w:pStyle w:val="Tabletext"/>
            </w:pPr>
            <w:r w:rsidRPr="009703FC">
              <w:t>0 to 1360 m</w:t>
            </w:r>
          </w:p>
        </w:tc>
        <w:tc>
          <w:tcPr>
            <w:tcW w:w="1856" w:type="dxa"/>
            <w:shd w:val="clear" w:color="auto" w:fill="auto"/>
          </w:tcPr>
          <w:p w:rsidR="00792A5A" w:rsidRPr="009703FC" w:rsidRDefault="00792A5A" w:rsidP="00CB2FBB">
            <w:pPr>
              <w:pStyle w:val="Tabletext"/>
            </w:pPr>
            <w:r w:rsidRPr="009703FC">
              <w:t>Alluvial and lacustrine</w:t>
            </w:r>
          </w:p>
        </w:tc>
      </w:tr>
      <w:tr w:rsidR="00DD07AF" w:rsidRPr="009703FC" w:rsidTr="009703FC">
        <w:tc>
          <w:tcPr>
            <w:tcW w:w="1418" w:type="dxa"/>
          </w:tcPr>
          <w:p w:rsidR="00DD07AF" w:rsidRPr="009703FC" w:rsidRDefault="00DD07AF" w:rsidP="00CB2FBB">
            <w:pPr>
              <w:pStyle w:val="Tabletext"/>
            </w:pPr>
            <w:r w:rsidRPr="009703FC">
              <w:t>Mid to Late Permian</w:t>
            </w:r>
          </w:p>
        </w:tc>
        <w:tc>
          <w:tcPr>
            <w:tcW w:w="2551" w:type="dxa"/>
          </w:tcPr>
          <w:p w:rsidR="00DD07AF" w:rsidRPr="009703FC" w:rsidRDefault="00DD07AF" w:rsidP="00CB2FBB">
            <w:pPr>
              <w:pStyle w:val="Tabletext"/>
            </w:pPr>
            <w:r w:rsidRPr="009703FC">
              <w:t>In the north of the basin, the coal seams are within the Moranbah Coal Measures, Fort Cooper Coal Measures and Rangal Coal Measures. In the south of the basin the seams are within the Bandanna Formation and the Baralaba Coal Measures</w:t>
            </w:r>
          </w:p>
        </w:tc>
        <w:tc>
          <w:tcPr>
            <w:tcW w:w="1985" w:type="dxa"/>
          </w:tcPr>
          <w:p w:rsidR="00DD07AF" w:rsidRPr="009703FC" w:rsidRDefault="00DD07AF" w:rsidP="00CB2FBB">
            <w:pPr>
              <w:pStyle w:val="Tabletext"/>
            </w:pPr>
            <w:r w:rsidRPr="009703FC">
              <w:t>Shale, siltstone, mudstone, tuff, coal, sandstone</w:t>
            </w:r>
          </w:p>
        </w:tc>
        <w:tc>
          <w:tcPr>
            <w:tcW w:w="1470" w:type="dxa"/>
          </w:tcPr>
          <w:p w:rsidR="00DD07AF" w:rsidRPr="009703FC" w:rsidRDefault="00DD07AF" w:rsidP="00CB2FBB">
            <w:pPr>
              <w:pStyle w:val="Tabletext"/>
            </w:pPr>
            <w:r w:rsidRPr="009703FC">
              <w:t xml:space="preserve">0 to 600 m </w:t>
            </w:r>
          </w:p>
        </w:tc>
        <w:tc>
          <w:tcPr>
            <w:tcW w:w="1856" w:type="dxa"/>
          </w:tcPr>
          <w:p w:rsidR="00DD07AF" w:rsidRPr="009703FC" w:rsidRDefault="00DD07AF" w:rsidP="00CB2FBB">
            <w:pPr>
              <w:pStyle w:val="Tabletext"/>
              <w:rPr>
                <w:highlight w:val="yellow"/>
              </w:rPr>
            </w:pPr>
            <w:r w:rsidRPr="009703FC">
              <w:t>Coal deposits accumulated in swamp environments on an extensive coastal plain and alluvial plain</w:t>
            </w:r>
          </w:p>
        </w:tc>
      </w:tr>
      <w:tr w:rsidR="00DD07AF" w:rsidRPr="009703FC" w:rsidTr="009703FC">
        <w:tc>
          <w:tcPr>
            <w:tcW w:w="1418" w:type="dxa"/>
          </w:tcPr>
          <w:p w:rsidR="00DD07AF" w:rsidRPr="009703FC" w:rsidRDefault="00DD07AF" w:rsidP="00CB2FBB">
            <w:pPr>
              <w:pStyle w:val="Tabletext"/>
            </w:pPr>
            <w:r w:rsidRPr="009703FC">
              <w:t>Early Permian</w:t>
            </w:r>
          </w:p>
        </w:tc>
        <w:tc>
          <w:tcPr>
            <w:tcW w:w="2551" w:type="dxa"/>
          </w:tcPr>
          <w:p w:rsidR="00DD07AF" w:rsidRPr="009703FC" w:rsidRDefault="00DD07AF" w:rsidP="00CB2FBB">
            <w:pPr>
              <w:pStyle w:val="Tabletext"/>
            </w:pPr>
            <w:r w:rsidRPr="009703FC">
              <w:t>Back Creek Group</w:t>
            </w:r>
          </w:p>
        </w:tc>
        <w:tc>
          <w:tcPr>
            <w:tcW w:w="1985" w:type="dxa"/>
          </w:tcPr>
          <w:p w:rsidR="00DD07AF" w:rsidRPr="009703FC" w:rsidRDefault="00DD07AF" w:rsidP="00CB2FBB">
            <w:pPr>
              <w:pStyle w:val="Tabletext"/>
            </w:pPr>
            <w:r w:rsidRPr="009703FC">
              <w:t xml:space="preserve">Siltstone, carbonaceous shale, mudstone, clayey sandstone </w:t>
            </w:r>
          </w:p>
        </w:tc>
        <w:tc>
          <w:tcPr>
            <w:tcW w:w="1470" w:type="dxa"/>
            <w:shd w:val="clear" w:color="auto" w:fill="auto"/>
          </w:tcPr>
          <w:p w:rsidR="00DD07AF" w:rsidRPr="009703FC" w:rsidRDefault="00DD07AF" w:rsidP="00CB2FBB">
            <w:pPr>
              <w:pStyle w:val="Tabletext"/>
            </w:pPr>
            <w:r w:rsidRPr="009703FC">
              <w:t>0 to 600 m</w:t>
            </w:r>
          </w:p>
        </w:tc>
        <w:tc>
          <w:tcPr>
            <w:tcW w:w="1856" w:type="dxa"/>
            <w:shd w:val="clear" w:color="auto" w:fill="auto"/>
          </w:tcPr>
          <w:p w:rsidR="00DD07AF" w:rsidRPr="009703FC" w:rsidRDefault="00DD07AF" w:rsidP="00CB2FBB">
            <w:pPr>
              <w:pStyle w:val="Tabletext"/>
            </w:pPr>
            <w:r w:rsidRPr="009703FC">
              <w:t>Marine shelf deposits during period of slow basin subsidence</w:t>
            </w:r>
          </w:p>
        </w:tc>
      </w:tr>
    </w:tbl>
    <w:p w:rsidR="00A12308" w:rsidRDefault="00A12308" w:rsidP="001C3374"/>
    <w:p w:rsidR="00E34608" w:rsidRDefault="00E34608" w:rsidP="001C3374"/>
    <w:p w:rsidR="00792A5A" w:rsidRDefault="00792A5A" w:rsidP="001C3374">
      <w:pPr>
        <w:sectPr w:rsidR="00792A5A" w:rsidSect="002E7ECD">
          <w:headerReference w:type="first" r:id="rId52"/>
          <w:pgSz w:w="11900" w:h="16840" w:code="9"/>
          <w:pgMar w:top="1985" w:right="1418" w:bottom="1418" w:left="1418" w:header="0" w:footer="827" w:gutter="0"/>
          <w:cols w:space="284"/>
          <w:noEndnote/>
          <w:docGrid w:linePitch="326"/>
        </w:sectPr>
      </w:pPr>
    </w:p>
    <w:p w:rsidR="00DD07AF" w:rsidRDefault="00DD07AF" w:rsidP="001C3374"/>
    <w:p w:rsidR="00DD07AF" w:rsidRDefault="00DD07AF" w:rsidP="009703FC">
      <w:pPr>
        <w:jc w:val="center"/>
      </w:pPr>
      <w:r>
        <w:rPr>
          <w:noProof/>
          <w:lang w:val="en-AU" w:eastAsia="en-AU"/>
        </w:rPr>
        <w:drawing>
          <wp:inline distT="0" distB="0" distL="0" distR="0">
            <wp:extent cx="7842733" cy="3776572"/>
            <wp:effectExtent l="19050" t="19050" r="24917" b="14378"/>
            <wp:docPr id="4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cstate="email"/>
                    <a:srcRect/>
                    <a:stretch>
                      <a:fillRect/>
                    </a:stretch>
                  </pic:blipFill>
                  <pic:spPr bwMode="auto">
                    <a:xfrm>
                      <a:off x="0" y="0"/>
                      <a:ext cx="7846654" cy="3778460"/>
                    </a:xfrm>
                    <a:prstGeom prst="rect">
                      <a:avLst/>
                    </a:prstGeom>
                    <a:noFill/>
                    <a:ln w="9525">
                      <a:solidFill>
                        <a:schemeClr val="tx1"/>
                      </a:solidFill>
                      <a:miter lim="800000"/>
                      <a:headEnd/>
                      <a:tailEnd/>
                    </a:ln>
                  </pic:spPr>
                </pic:pic>
              </a:graphicData>
            </a:graphic>
          </wp:inline>
        </w:drawing>
      </w:r>
    </w:p>
    <w:p w:rsidR="00DD07AF" w:rsidRDefault="009703FC" w:rsidP="00254FAA">
      <w:pPr>
        <w:pStyle w:val="Caption"/>
      </w:pPr>
      <w:bookmarkStart w:id="623" w:name="_Ref333070508"/>
      <w:r w:rsidRPr="00EA5A48">
        <w:t xml:space="preserve">Figure </w:t>
      </w:r>
      <w:r w:rsidR="00E23933" w:rsidRPr="00EA5A48">
        <w:rPr>
          <w:b/>
        </w:rPr>
        <w:fldChar w:fldCharType="begin"/>
      </w:r>
      <w:r w:rsidRPr="00EA5A48">
        <w:instrText xml:space="preserve"> SEQ Figure \* ARABIC </w:instrText>
      </w:r>
      <w:r w:rsidR="00E23933" w:rsidRPr="00EA5A48">
        <w:rPr>
          <w:b/>
        </w:rPr>
        <w:fldChar w:fldCharType="separate"/>
      </w:r>
      <w:r w:rsidR="00254FAA">
        <w:t>23</w:t>
      </w:r>
      <w:r w:rsidR="00E23933" w:rsidRPr="00EA5A48">
        <w:rPr>
          <w:b/>
        </w:rPr>
        <w:fldChar w:fldCharType="end"/>
      </w:r>
      <w:r>
        <w:rPr>
          <w:b/>
        </w:rPr>
        <w:t xml:space="preserve"> </w:t>
      </w:r>
      <w:bookmarkEnd w:id="623"/>
      <w:r w:rsidR="00DD07AF">
        <w:t>Schematic west-east cross-section across the sout</w:t>
      </w:r>
      <w:r w:rsidR="00792A5A">
        <w:t>hern regions of the Bowen Basin</w:t>
      </w:r>
      <w:r w:rsidR="00DD07AF">
        <w:t xml:space="preserve"> where it is overlain by the Surat Basin. Bowen Basin units present below depths of 1500 </w:t>
      </w:r>
      <w:r w:rsidR="00792A5A">
        <w:t>m within the Mimosa Syncline are</w:t>
      </w:r>
      <w:r w:rsidR="00DD07AF">
        <w:t xml:space="preserve"> shown by units MF, CG,</w:t>
      </w:r>
      <w:r w:rsidR="00254FAA">
        <w:t xml:space="preserve"> RG and OP (</w:t>
      </w:r>
      <w:r w:rsidR="00F976E1">
        <w:t>© Copyright</w:t>
      </w:r>
      <w:r w:rsidR="00792A5A">
        <w:t>,</w:t>
      </w:r>
      <w:r w:rsidR="00254FAA">
        <w:t xml:space="preserve"> QWC 2012a).  </w:t>
      </w:r>
    </w:p>
    <w:p w:rsidR="00F50A10" w:rsidRDefault="00F50A10" w:rsidP="001C3374"/>
    <w:p w:rsidR="00F50A10" w:rsidRDefault="00F50A10" w:rsidP="001C3374"/>
    <w:p w:rsidR="00E34608" w:rsidRDefault="00E34608" w:rsidP="001C3374">
      <w:pPr>
        <w:sectPr w:rsidR="00E34608" w:rsidSect="006B50D0">
          <w:headerReference w:type="even" r:id="rId54"/>
          <w:headerReference w:type="default" r:id="rId55"/>
          <w:pgSz w:w="16840" w:h="11900" w:orient="landscape" w:code="9"/>
          <w:pgMar w:top="1828" w:right="1418" w:bottom="1418" w:left="1418" w:header="0" w:footer="568" w:gutter="0"/>
          <w:cols w:space="284"/>
          <w:noEndnote/>
          <w:docGrid w:linePitch="326"/>
        </w:sectPr>
      </w:pPr>
    </w:p>
    <w:p w:rsidR="00DD07AF" w:rsidRDefault="009703FC" w:rsidP="005F6513">
      <w:pPr>
        <w:pStyle w:val="Heading3"/>
      </w:pPr>
      <w:bookmarkStart w:id="624" w:name="_Toc334711974"/>
      <w:bookmarkStart w:id="625" w:name="_Toc381961161"/>
      <w:r>
        <w:lastRenderedPageBreak/>
        <w:t>Basin s</w:t>
      </w:r>
      <w:r w:rsidR="00DD07AF">
        <w:t>tructure</w:t>
      </w:r>
      <w:bookmarkEnd w:id="624"/>
      <w:bookmarkEnd w:id="625"/>
    </w:p>
    <w:p w:rsidR="00DD07AF" w:rsidRDefault="00DD07AF" w:rsidP="009703FC">
      <w:pPr>
        <w:pStyle w:val="BRNormal"/>
      </w:pPr>
      <w:r>
        <w:t>As described in SRK (2009) and CSIRO (2008</w:t>
      </w:r>
      <w:r w:rsidR="00167E75">
        <w:t>a</w:t>
      </w:r>
      <w:r>
        <w:t>), the tectonic history of the Bowen Basin is complex and spans across a number of geological periods. According to CSIRO (2008</w:t>
      </w:r>
      <w:r w:rsidR="00167E75">
        <w:t>a</w:t>
      </w:r>
      <w:r>
        <w:t>) the deformational style of the basin varies from northeast to southwest with the amount of crustal shortening, proximity to basement, presence of varying stratigraphy and presence of older basement structures. CSIRO (2008</w:t>
      </w:r>
      <w:r w:rsidR="00167E75">
        <w:t>a</w:t>
      </w:r>
      <w:r>
        <w:t>) ha</w:t>
      </w:r>
      <w:r w:rsidR="00820988">
        <w:t>s</w:t>
      </w:r>
      <w:r>
        <w:t xml:space="preserve"> summarised the major structural characterisation of the Bowen Basin and identified five major structural zones</w:t>
      </w:r>
      <w:r w:rsidR="00BB7A0E">
        <w:t xml:space="preserve"> (see</w:t>
      </w:r>
      <w:r w:rsidR="0003024A">
        <w:t xml:space="preserve"> Figure 24</w:t>
      </w:r>
      <w:r w:rsidR="00BB7A0E">
        <w:t xml:space="preserve"> and</w:t>
      </w:r>
      <w:r w:rsidR="0003024A">
        <w:t xml:space="preserve"> Figure 25</w:t>
      </w:r>
      <w:r w:rsidR="00BB7A0E">
        <w:t>)</w:t>
      </w:r>
      <w:r>
        <w:t xml:space="preserve">:      </w:t>
      </w:r>
    </w:p>
    <w:p w:rsidR="00DD07AF" w:rsidRPr="00FE6EE9" w:rsidRDefault="00DD07AF" w:rsidP="004E2B82">
      <w:pPr>
        <w:pStyle w:val="Bulletpoint"/>
      </w:pPr>
      <w:r>
        <w:t xml:space="preserve">Gogango Fold Belt: deforms the eastern margin of the basin and consists of moderate open folding and east-over-west thrust faults that shear the western limb of some of the folds. A moderate amount </w:t>
      </w:r>
      <w:r w:rsidRPr="00FE6EE9">
        <w:t xml:space="preserve">of crustal shortening has occurred during the formation of this fold belt throughout a high strain regime. </w:t>
      </w:r>
    </w:p>
    <w:p w:rsidR="00DD07AF" w:rsidRDefault="00DD07AF" w:rsidP="004E2B82">
      <w:pPr>
        <w:pStyle w:val="Bulletpoint"/>
      </w:pPr>
      <w:r w:rsidRPr="00FE6EE9">
        <w:t>Dingo Fold Belt: lies directly to the east of the Jellinbah Thrust Belt in central basin. The rocks are folded into tight upright northwest trending folds producing dips of 50 to 80°. A moderate amount of crustal shortening has occurred</w:t>
      </w:r>
      <w:r>
        <w:t xml:space="preserve"> during the formation of this fold belt throughout a high strain regime.</w:t>
      </w:r>
    </w:p>
    <w:p w:rsidR="00DD07AF" w:rsidRDefault="00DD07AF" w:rsidP="004E2B82">
      <w:pPr>
        <w:pStyle w:val="Bulletpoint"/>
      </w:pPr>
      <w:r>
        <w:t xml:space="preserve">Jellinbah Thrust Belt: </w:t>
      </w:r>
      <w:r w:rsidR="00995602">
        <w:t xml:space="preserve">a </w:t>
      </w:r>
      <w:r>
        <w:t>north</w:t>
      </w:r>
      <w:r w:rsidR="00995602">
        <w:t>-</w:t>
      </w:r>
      <w:r>
        <w:t>west trending zone (fol</w:t>
      </w:r>
      <w:r w:rsidR="00995602">
        <w:t>lows the synclinal axis of the B</w:t>
      </w:r>
      <w:r>
        <w:t xml:space="preserve">asin) of complex thin-skinned thrust faulting, in a zone that is up to 80 km wide (and directly west of the Dingo Fold Belt). Majority of the faults dip at low angles to the east, commonly targeting </w:t>
      </w:r>
      <w:r w:rsidR="004E2B82">
        <w:t>weak coal seams as exit points.</w:t>
      </w:r>
      <w:r>
        <w:t xml:space="preserve"> It has been noted that in addition to the northwest trending faults, there are a group of faul</w:t>
      </w:r>
      <w:r w:rsidR="00995602">
        <w:t>ts in the northern part of the B</w:t>
      </w:r>
      <w:r>
        <w:t>asin that trend north-south, consistent with the faulting asso</w:t>
      </w:r>
      <w:r w:rsidR="004E2B82">
        <w:t xml:space="preserve">ciated with the Denison Trough. </w:t>
      </w:r>
      <w:r>
        <w:t xml:space="preserve">CSIRO have postulated that this orientation of faulting is potentially indicating Early Permian rift structures at depth. </w:t>
      </w:r>
    </w:p>
    <w:p w:rsidR="00995602" w:rsidRDefault="00DD07AF" w:rsidP="004E2B82">
      <w:pPr>
        <w:pStyle w:val="Bulletpoint"/>
      </w:pPr>
      <w:r>
        <w:t>Denison Trough: Crustal shortening focused along large (10-100</w:t>
      </w:r>
      <w:r w:rsidR="004E2B82">
        <w:t> </w:t>
      </w:r>
      <w:r>
        <w:t>km long) north-south thrust faults that dip at moderate angles to both the east and the west. Most of the thrust faults have hanging wall anticlines. Seismic interpretation shows that the thrust faults are reactivated (inversio</w:t>
      </w:r>
      <w:r w:rsidR="00995602">
        <w:t>n) Early Permian growth faults.</w:t>
      </w:r>
      <w:r>
        <w:t xml:space="preserve"> There are also a number of smaller north-south normal faults present at depth in the Denison Trough, with offset of Early Permian sediments and basement. </w:t>
      </w:r>
    </w:p>
    <w:p w:rsidR="00F863AB" w:rsidRDefault="00DD07AF" w:rsidP="004E2B82">
      <w:pPr>
        <w:pStyle w:val="Bulletpoint"/>
      </w:pPr>
      <w:r>
        <w:t>Springsure Shelf: Minimal crustal shortening associated with a series of reactivated basement faults. The faults are up to 100 km long and record a considerable Pre</w:t>
      </w:r>
      <w:r w:rsidR="00995602">
        <w:noBreakHyphen/>
      </w:r>
      <w:r>
        <w:t>Permian strike-slip component. These faults are covered by a veneer of Permian sediments.</w:t>
      </w:r>
    </w:p>
    <w:p w:rsidR="00BB7A0E" w:rsidRDefault="00BB7A0E" w:rsidP="004E2B82">
      <w:pPr>
        <w:pStyle w:val="BRNormal"/>
      </w:pPr>
      <w:r w:rsidRPr="00BB7A0E">
        <w:t xml:space="preserve">Each zone </w:t>
      </w:r>
      <w:r w:rsidR="00995602">
        <w:t>is parallel to the axis of the Basin</w:t>
      </w:r>
      <w:r w:rsidRPr="00BB7A0E">
        <w:t xml:space="preserve"> and transitions from high strain features in the east (Gogango Fold Belt and Dingo Fold Belt) to low strain features in the west (Denison Trough and Springsure Shelf). Co</w:t>
      </w:r>
      <w:r w:rsidR="00995602">
        <w:t>mpressional deformation in the B</w:t>
      </w:r>
      <w:r w:rsidRPr="00BB7A0E">
        <w:t>asin is primarily related to the protracted Hunter-Bowen shortening event in the Late Triassic, with subsequent influence from later tectonic events reactivating these structures.</w:t>
      </w:r>
    </w:p>
    <w:p w:rsidR="00DD07AF" w:rsidRDefault="00DD07AF" w:rsidP="001C3374">
      <w:pPr>
        <w:pStyle w:val="Body"/>
      </w:pPr>
    </w:p>
    <w:p w:rsidR="00D974C7" w:rsidRDefault="00D974C7" w:rsidP="004E2B82">
      <w:pPr>
        <w:pStyle w:val="Body"/>
      </w:pPr>
      <w:r>
        <w:rPr>
          <w:noProof/>
          <w:lang w:val="en-AU" w:eastAsia="en-AU"/>
        </w:rPr>
        <w:lastRenderedPageBreak/>
        <w:drawing>
          <wp:inline distT="0" distB="0" distL="0" distR="0">
            <wp:extent cx="4336732" cy="7366406"/>
            <wp:effectExtent l="19050" t="0" r="6668" b="0"/>
            <wp:docPr id="26" name="Picture 25" descr="Bowen Basin struct geol 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wen Basin struct geol c.jpg"/>
                    <pic:cNvPicPr/>
                  </pic:nvPicPr>
                  <pic:blipFill>
                    <a:blip r:embed="rId56" cstate="email"/>
                    <a:stretch>
                      <a:fillRect/>
                    </a:stretch>
                  </pic:blipFill>
                  <pic:spPr>
                    <a:xfrm>
                      <a:off x="0" y="0"/>
                      <a:ext cx="4338977" cy="7370220"/>
                    </a:xfrm>
                    <a:prstGeom prst="rect">
                      <a:avLst/>
                    </a:prstGeom>
                  </pic:spPr>
                </pic:pic>
              </a:graphicData>
            </a:graphic>
          </wp:inline>
        </w:drawing>
      </w:r>
    </w:p>
    <w:p w:rsidR="00E34608" w:rsidRDefault="004E2B82" w:rsidP="004E2B82">
      <w:pPr>
        <w:pStyle w:val="Caption"/>
        <w:sectPr w:rsidR="00E34608" w:rsidSect="006B50D0">
          <w:headerReference w:type="even" r:id="rId57"/>
          <w:headerReference w:type="default" r:id="rId58"/>
          <w:pgSz w:w="11900" w:h="16840" w:code="9"/>
          <w:pgMar w:top="2126" w:right="1418" w:bottom="1418" w:left="1418" w:header="0" w:footer="677" w:gutter="0"/>
          <w:cols w:space="284"/>
          <w:noEndnote/>
          <w:docGrid w:linePitch="326"/>
        </w:sectPr>
      </w:pPr>
      <w:bookmarkStart w:id="626" w:name="_Ref332969199"/>
      <w:r w:rsidRPr="00EA5A48">
        <w:t xml:space="preserve">Figure </w:t>
      </w:r>
      <w:r w:rsidR="00E23933" w:rsidRPr="00EA5A48">
        <w:rPr>
          <w:b/>
        </w:rPr>
        <w:fldChar w:fldCharType="begin"/>
      </w:r>
      <w:r w:rsidRPr="00EA5A48">
        <w:instrText xml:space="preserve"> SEQ Figure \* ARABIC </w:instrText>
      </w:r>
      <w:r w:rsidR="00E23933" w:rsidRPr="00EA5A48">
        <w:rPr>
          <w:b/>
        </w:rPr>
        <w:fldChar w:fldCharType="separate"/>
      </w:r>
      <w:r w:rsidR="0003024A">
        <w:t>24</w:t>
      </w:r>
      <w:r w:rsidR="00E23933" w:rsidRPr="00EA5A48">
        <w:rPr>
          <w:b/>
        </w:rPr>
        <w:fldChar w:fldCharType="end"/>
      </w:r>
      <w:bookmarkEnd w:id="626"/>
      <w:r w:rsidR="00DD07AF">
        <w:t xml:space="preserve"> Major structural elements of the Bowen Basin (</w:t>
      </w:r>
      <w:r w:rsidR="00F976E1">
        <w:t>© Copyright</w:t>
      </w:r>
      <w:r w:rsidR="00995602">
        <w:t>,</w:t>
      </w:r>
      <w:r>
        <w:t xml:space="preserve"> CSIRO</w:t>
      </w:r>
      <w:r w:rsidR="00DD07AF">
        <w:t xml:space="preserve"> 2008</w:t>
      </w:r>
      <w:r w:rsidR="00167E75">
        <w:t>a</w:t>
      </w:r>
      <w:r w:rsidR="00DD07AF">
        <w:t>)</w:t>
      </w:r>
      <w:r>
        <w:t>.</w:t>
      </w:r>
    </w:p>
    <w:p w:rsidR="00E34608" w:rsidRDefault="00E34608" w:rsidP="001C3374"/>
    <w:p w:rsidR="00E34608" w:rsidRDefault="00E34608" w:rsidP="001C3374"/>
    <w:p w:rsidR="00E34608" w:rsidRDefault="00E34608" w:rsidP="001C3374"/>
    <w:p w:rsidR="00E34608" w:rsidRDefault="00E34608" w:rsidP="001C3374"/>
    <w:p w:rsidR="00E34608" w:rsidRDefault="00E34608" w:rsidP="001C3374"/>
    <w:p w:rsidR="00E34608" w:rsidRPr="00E34608" w:rsidRDefault="00E34608" w:rsidP="001C3374"/>
    <w:p w:rsidR="00DD07AF" w:rsidRDefault="00DD07AF" w:rsidP="001C3374">
      <w:pPr>
        <w:pStyle w:val="Body"/>
      </w:pPr>
      <w:r>
        <w:rPr>
          <w:noProof/>
          <w:lang w:val="en-AU" w:eastAsia="en-AU"/>
        </w:rPr>
        <w:drawing>
          <wp:inline distT="0" distB="0" distL="0" distR="0">
            <wp:extent cx="9037283" cy="1923391"/>
            <wp:effectExtent l="19050" t="19050" r="11467" b="19709"/>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9" cstate="email"/>
                    <a:srcRect/>
                    <a:stretch>
                      <a:fillRect/>
                    </a:stretch>
                  </pic:blipFill>
                  <pic:spPr bwMode="auto">
                    <a:xfrm>
                      <a:off x="0" y="0"/>
                      <a:ext cx="9042769" cy="1924558"/>
                    </a:xfrm>
                    <a:prstGeom prst="rect">
                      <a:avLst/>
                    </a:prstGeom>
                    <a:noFill/>
                    <a:ln w="9525">
                      <a:solidFill>
                        <a:schemeClr val="tx1"/>
                      </a:solidFill>
                      <a:miter lim="800000"/>
                      <a:headEnd/>
                      <a:tailEnd/>
                    </a:ln>
                  </pic:spPr>
                </pic:pic>
              </a:graphicData>
            </a:graphic>
          </wp:inline>
        </w:drawing>
      </w:r>
    </w:p>
    <w:p w:rsidR="00DD07AF" w:rsidRDefault="004E2B82" w:rsidP="004E2B82">
      <w:pPr>
        <w:pStyle w:val="Caption"/>
      </w:pPr>
      <w:bookmarkStart w:id="627" w:name="_Ref333404792"/>
      <w:r w:rsidRPr="00EA5A48">
        <w:t xml:space="preserve">Figure </w:t>
      </w:r>
      <w:r w:rsidR="00E23933" w:rsidRPr="00EA5A48">
        <w:rPr>
          <w:b/>
        </w:rPr>
        <w:fldChar w:fldCharType="begin"/>
      </w:r>
      <w:r w:rsidRPr="00EA5A48">
        <w:instrText xml:space="preserve"> SEQ Figure \* ARABIC </w:instrText>
      </w:r>
      <w:r w:rsidR="00E23933" w:rsidRPr="00EA5A48">
        <w:rPr>
          <w:b/>
        </w:rPr>
        <w:fldChar w:fldCharType="separate"/>
      </w:r>
      <w:r w:rsidR="0003024A">
        <w:t>25</w:t>
      </w:r>
      <w:r w:rsidR="00E23933" w:rsidRPr="00EA5A48">
        <w:rPr>
          <w:b/>
        </w:rPr>
        <w:fldChar w:fldCharType="end"/>
      </w:r>
      <w:r>
        <w:rPr>
          <w:b/>
        </w:rPr>
        <w:t xml:space="preserve"> </w:t>
      </w:r>
      <w:bookmarkEnd w:id="627"/>
      <w:r w:rsidR="00DD07AF">
        <w:t>Representative west-east cross section through the central part of the Bowen Basin, showing the presence of the five major structural elements of the Bowen Basin (</w:t>
      </w:r>
      <w:r w:rsidR="00F976E1">
        <w:t>© Copyright</w:t>
      </w:r>
      <w:r w:rsidR="00995602">
        <w:t>,</w:t>
      </w:r>
      <w:r w:rsidR="00DD07AF">
        <w:t xml:space="preserve"> CSIRO 2008</w:t>
      </w:r>
      <w:r w:rsidR="00167E75">
        <w:t>a</w:t>
      </w:r>
      <w:r w:rsidR="00DD07AF">
        <w:t>)</w:t>
      </w:r>
      <w:r>
        <w:t>.</w:t>
      </w:r>
    </w:p>
    <w:p w:rsidR="00E34608" w:rsidRDefault="00E34608" w:rsidP="001C3374"/>
    <w:p w:rsidR="00E34608" w:rsidRDefault="00E34608" w:rsidP="001C3374">
      <w:pPr>
        <w:pStyle w:val="Body"/>
      </w:pPr>
      <w:bookmarkStart w:id="628" w:name="_Toc334711975"/>
    </w:p>
    <w:p w:rsidR="00E34608" w:rsidRPr="00E34608" w:rsidRDefault="00E34608" w:rsidP="001C3374"/>
    <w:p w:rsidR="00E34608" w:rsidRDefault="00E34608" w:rsidP="001C3374"/>
    <w:p w:rsidR="00E34608" w:rsidRDefault="00E34608" w:rsidP="001C3374"/>
    <w:p w:rsidR="00E34608" w:rsidRPr="00E34608" w:rsidRDefault="00E34608" w:rsidP="001C3374">
      <w:pPr>
        <w:sectPr w:rsidR="00E34608" w:rsidRPr="00E34608" w:rsidSect="006B50D0">
          <w:headerReference w:type="even" r:id="rId60"/>
          <w:headerReference w:type="default" r:id="rId61"/>
          <w:pgSz w:w="16840" w:h="11900" w:orient="landscape" w:code="9"/>
          <w:pgMar w:top="1973" w:right="1418" w:bottom="1418" w:left="1418" w:header="0" w:footer="425" w:gutter="0"/>
          <w:cols w:space="284"/>
          <w:noEndnote/>
          <w:docGrid w:linePitch="326"/>
        </w:sectPr>
      </w:pPr>
    </w:p>
    <w:p w:rsidR="00DD07AF" w:rsidRDefault="00DD07AF" w:rsidP="005F6513">
      <w:pPr>
        <w:pStyle w:val="Heading3"/>
      </w:pPr>
      <w:bookmarkStart w:id="629" w:name="_Toc381961162"/>
      <w:r>
        <w:lastRenderedPageBreak/>
        <w:t>Hydrostratigraphy</w:t>
      </w:r>
      <w:bookmarkEnd w:id="628"/>
      <w:bookmarkEnd w:id="629"/>
    </w:p>
    <w:p w:rsidR="00DD07AF" w:rsidRDefault="00DD07AF" w:rsidP="003B7141">
      <w:pPr>
        <w:pStyle w:val="BRNormal"/>
      </w:pPr>
      <w:r>
        <w:t>The region-wide hydrostratigraphy of the Bowen Basin has bee</w:t>
      </w:r>
      <w:r w:rsidR="003B7141">
        <w:t>n summarised recently by Worley</w:t>
      </w:r>
      <w:r>
        <w:t>Parsons (2010) and QWC (2012a), with a focus on major aquifers and aquitards that influence basin-wide and inter-basin regional groundwater flow processes. From a regional p</w:t>
      </w:r>
      <w:r w:rsidR="00731DF1">
        <w:t>erspective, both QWC and Worley</w:t>
      </w:r>
      <w:r>
        <w:t>Parsons identified one major aquifer system (the sandstones of the Clematis Group) separated by two main aquitard systems (the Moolayember</w:t>
      </w:r>
      <w:r w:rsidR="00995602">
        <w:t xml:space="preserve"> Formation and the Rewan Group)</w:t>
      </w:r>
      <w:r>
        <w:t xml:space="preserve"> and a series of water-bearing units in deep, isolated and confined reservoirs (e.g. Late Permian coal measures and sandstones within the Back Creek Group). </w:t>
      </w:r>
      <w:r w:rsidR="00731DF1">
        <w:t>While</w:t>
      </w:r>
      <w:r w:rsidR="00B51320">
        <w:t xml:space="preserve"> t</w:t>
      </w:r>
      <w:r>
        <w:t xml:space="preserve">hese regionally-extensive major </w:t>
      </w:r>
      <w:r w:rsidR="00995602">
        <w:t>hydro</w:t>
      </w:r>
      <w:r w:rsidR="00F025AD">
        <w:t>stratigraphic units (</w:t>
      </w:r>
      <w:r>
        <w:t>HSUs</w:t>
      </w:r>
      <w:r w:rsidR="00F025AD">
        <w:t>)</w:t>
      </w:r>
      <w:r>
        <w:t xml:space="preserve"> typically span hundreds of kilometres and can be hundreds to thousands of metres thick</w:t>
      </w:r>
      <w:r w:rsidR="00B51320">
        <w:t>, they can be locally discontinuous or absent.</w:t>
      </w:r>
    </w:p>
    <w:p w:rsidR="00995602" w:rsidRDefault="00995602" w:rsidP="00995602">
      <w:pPr>
        <w:pStyle w:val="BRNormal"/>
      </w:pPr>
      <w:r>
        <w:t xml:space="preserve">Table 19 provides a summary of both the regionally-extensive major HSUs of the Bowen Basin.    </w:t>
      </w:r>
    </w:p>
    <w:p w:rsidR="00DD07AF" w:rsidRDefault="00DD07AF" w:rsidP="00731DF1">
      <w:pPr>
        <w:pStyle w:val="BRNormal"/>
      </w:pPr>
      <w:r>
        <w:t xml:space="preserve">Within the Bowen Basin there are also other minor, local-scale aquifers and aquitards that are not regionally-extensive, due to their irregular and limited occurrence. However, </w:t>
      </w:r>
      <w:r w:rsidR="00332397" w:rsidRPr="00332397">
        <w:t>during hydrostratigraphic model development</w:t>
      </w:r>
      <w:r w:rsidR="00332397">
        <w:t xml:space="preserve"> for the Bowen Basin</w:t>
      </w:r>
      <w:r w:rsidR="00332397" w:rsidRPr="00332397">
        <w:t>,</w:t>
      </w:r>
      <w:r w:rsidR="00332397">
        <w:t xml:space="preserve"> these</w:t>
      </w:r>
      <w:r w:rsidR="00332397" w:rsidRPr="00332397">
        <w:t xml:space="preserve"> minor, local-scale permeable and non-permeable units should not be ignored</w:t>
      </w:r>
      <w:r>
        <w:t xml:space="preserve">. These units have the potential to be impacted as a result of coal mining and CSG activities and although they are not regionally important (i.e. as major basin-wide aquifers for water supply), they can be relevant and significant at the local scale (i.e. for </w:t>
      </w:r>
      <w:r w:rsidR="007C7837">
        <w:t>domestic and stock water supply</w:t>
      </w:r>
      <w:r>
        <w:t xml:space="preserve"> or as sources for local groundwater dependent ecosystems). Herein</w:t>
      </w:r>
      <w:r w:rsidR="007C7837">
        <w:t>,</w:t>
      </w:r>
      <w:r>
        <w:t xml:space="preserve"> localised HSU</w:t>
      </w:r>
      <w:r w:rsidR="007C7837">
        <w:t>s will be referred to as ‘minor’</w:t>
      </w:r>
      <w:r>
        <w:t xml:space="preserve"> aquifers or aquitards (as opposed to the regionally-extensive major HSUs described above). </w:t>
      </w:r>
    </w:p>
    <w:p w:rsidR="00DD07AF" w:rsidRDefault="00DD07AF" w:rsidP="001C3374">
      <w:pPr>
        <w:pStyle w:val="Body"/>
      </w:pPr>
    </w:p>
    <w:p w:rsidR="00DD07AF" w:rsidRDefault="00DD07AF" w:rsidP="001C3374">
      <w:pPr>
        <w:pStyle w:val="Body"/>
      </w:pPr>
    </w:p>
    <w:p w:rsidR="00DD07AF" w:rsidRDefault="00DD07AF" w:rsidP="001C3374">
      <w:pPr>
        <w:pStyle w:val="Body"/>
      </w:pPr>
    </w:p>
    <w:p w:rsidR="00DD07AF" w:rsidRDefault="00DD07AF" w:rsidP="001C3374">
      <w:pPr>
        <w:pStyle w:val="Body"/>
      </w:pPr>
    </w:p>
    <w:p w:rsidR="00E34608" w:rsidRDefault="00E34608" w:rsidP="001C3374">
      <w:pPr>
        <w:pStyle w:val="Body"/>
      </w:pPr>
    </w:p>
    <w:p w:rsidR="00E34608" w:rsidRDefault="00E34608" w:rsidP="001C3374">
      <w:pPr>
        <w:pStyle w:val="Body"/>
      </w:pPr>
    </w:p>
    <w:p w:rsidR="00E34608" w:rsidRDefault="00E34608" w:rsidP="001C3374">
      <w:pPr>
        <w:pStyle w:val="Body"/>
      </w:pPr>
    </w:p>
    <w:p w:rsidR="00E34608" w:rsidRDefault="00E34608" w:rsidP="001C3374">
      <w:pPr>
        <w:pStyle w:val="Body"/>
      </w:pPr>
    </w:p>
    <w:p w:rsidR="00E34608" w:rsidRDefault="00E34608" w:rsidP="001C3374">
      <w:pPr>
        <w:pStyle w:val="Body"/>
      </w:pPr>
    </w:p>
    <w:p w:rsidR="00E34608" w:rsidRDefault="00E34608" w:rsidP="001C3374">
      <w:pPr>
        <w:pStyle w:val="Body"/>
      </w:pPr>
    </w:p>
    <w:p w:rsidR="00E34608" w:rsidRDefault="00E34608" w:rsidP="001C3374">
      <w:pPr>
        <w:pStyle w:val="Body"/>
      </w:pPr>
    </w:p>
    <w:p w:rsidR="00E34608" w:rsidRDefault="00E34608" w:rsidP="001C3374">
      <w:pPr>
        <w:pStyle w:val="Body"/>
      </w:pPr>
    </w:p>
    <w:p w:rsidR="00DD07AF" w:rsidRDefault="00DD07AF" w:rsidP="001C3374">
      <w:pPr>
        <w:pStyle w:val="Body"/>
      </w:pPr>
    </w:p>
    <w:p w:rsidR="00DD07AF" w:rsidRDefault="00DD07AF" w:rsidP="001C3374">
      <w:pPr>
        <w:pStyle w:val="Body"/>
      </w:pPr>
    </w:p>
    <w:p w:rsidR="006011BB" w:rsidRDefault="006011BB" w:rsidP="001C3374">
      <w:pPr>
        <w:rPr>
          <w:rFonts w:ascii="Calibri" w:hAnsi="Calibri" w:cs="Calibri"/>
          <w:sz w:val="18"/>
          <w:szCs w:val="18"/>
        </w:rPr>
      </w:pPr>
      <w:r>
        <w:br w:type="page"/>
      </w:r>
    </w:p>
    <w:p w:rsidR="00DD07AF" w:rsidRDefault="00731DF1" w:rsidP="00731DF1">
      <w:pPr>
        <w:pStyle w:val="Caption"/>
      </w:pPr>
      <w:bookmarkStart w:id="630" w:name="_Ref334712934"/>
      <w:r w:rsidRPr="006F2073">
        <w:lastRenderedPageBreak/>
        <w:t xml:space="preserve">Table </w:t>
      </w:r>
      <w:r w:rsidR="00E23933" w:rsidRPr="006F2073">
        <w:rPr>
          <w:b/>
          <w:noProof w:val="0"/>
        </w:rPr>
        <w:fldChar w:fldCharType="begin"/>
      </w:r>
      <w:r w:rsidRPr="006F2073">
        <w:instrText xml:space="preserve"> SEQ Table \* ARABIC </w:instrText>
      </w:r>
      <w:r w:rsidR="00E23933" w:rsidRPr="006F2073">
        <w:rPr>
          <w:b/>
          <w:noProof w:val="0"/>
        </w:rPr>
        <w:fldChar w:fldCharType="separate"/>
      </w:r>
      <w:r w:rsidR="0003024A">
        <w:t>19</w:t>
      </w:r>
      <w:r w:rsidR="00E23933" w:rsidRPr="006F2073">
        <w:rPr>
          <w:b/>
        </w:rPr>
        <w:fldChar w:fldCharType="end"/>
      </w:r>
      <w:r w:rsidRPr="006F2073">
        <w:t xml:space="preserve"> </w:t>
      </w:r>
      <w:r>
        <w:t xml:space="preserve"> </w:t>
      </w:r>
      <w:bookmarkEnd w:id="630"/>
      <w:r w:rsidR="00DD07AF">
        <w:t>Summary of Bowen Basin regional hydrostratigraphy</w:t>
      </w:r>
      <w:r>
        <w:t>.</w:t>
      </w:r>
    </w:p>
    <w:tbl>
      <w:tblPr>
        <w:tblStyle w:val="TableGrid"/>
        <w:tblW w:w="9286" w:type="dxa"/>
        <w:tblInd w:w="108" w:type="dxa"/>
        <w:tblLayout w:type="fixed"/>
        <w:tblLook w:val="04A0"/>
      </w:tblPr>
      <w:tblGrid>
        <w:gridCol w:w="1418"/>
        <w:gridCol w:w="1417"/>
        <w:gridCol w:w="1985"/>
        <w:gridCol w:w="425"/>
        <w:gridCol w:w="425"/>
        <w:gridCol w:w="1701"/>
        <w:gridCol w:w="1915"/>
      </w:tblGrid>
      <w:tr w:rsidR="00DD07AF" w:rsidRPr="00731DF1" w:rsidTr="00BE7A62">
        <w:trPr>
          <w:cantSplit/>
          <w:trHeight w:val="1157"/>
          <w:tblHeader/>
        </w:trPr>
        <w:tc>
          <w:tcPr>
            <w:tcW w:w="1418" w:type="dxa"/>
            <w:shd w:val="clear" w:color="auto" w:fill="C6D9F1" w:themeFill="text2" w:themeFillTint="33"/>
          </w:tcPr>
          <w:p w:rsidR="00DD07AF" w:rsidRPr="00731DF1" w:rsidRDefault="00DD07AF" w:rsidP="00470AD4">
            <w:pPr>
              <w:pStyle w:val="Tableheading"/>
            </w:pPr>
            <w:r w:rsidRPr="00731DF1">
              <w:t>Hydrostra</w:t>
            </w:r>
            <w:r w:rsidR="00CD1684">
              <w:t>-</w:t>
            </w:r>
            <w:r w:rsidRPr="00731DF1">
              <w:t>tigraphic Unit</w:t>
            </w:r>
          </w:p>
        </w:tc>
        <w:tc>
          <w:tcPr>
            <w:tcW w:w="1417" w:type="dxa"/>
            <w:shd w:val="clear" w:color="auto" w:fill="C6D9F1" w:themeFill="text2" w:themeFillTint="33"/>
          </w:tcPr>
          <w:p w:rsidR="00DD07AF" w:rsidRPr="00731DF1" w:rsidRDefault="00DD07AF" w:rsidP="00470AD4">
            <w:pPr>
              <w:pStyle w:val="Tableheading"/>
            </w:pPr>
            <w:r w:rsidRPr="00731DF1">
              <w:t>Description</w:t>
            </w:r>
          </w:p>
        </w:tc>
        <w:tc>
          <w:tcPr>
            <w:tcW w:w="1985" w:type="dxa"/>
            <w:shd w:val="clear" w:color="auto" w:fill="C6D9F1" w:themeFill="text2" w:themeFillTint="33"/>
          </w:tcPr>
          <w:p w:rsidR="00DD07AF" w:rsidRPr="00731DF1" w:rsidRDefault="00DD07AF" w:rsidP="00470AD4">
            <w:pPr>
              <w:pStyle w:val="Tableheading"/>
            </w:pPr>
            <w:r w:rsidRPr="00731DF1">
              <w:t xml:space="preserve">Reference </w:t>
            </w:r>
          </w:p>
        </w:tc>
        <w:tc>
          <w:tcPr>
            <w:tcW w:w="425" w:type="dxa"/>
            <w:shd w:val="clear" w:color="auto" w:fill="C6D9F1" w:themeFill="text2" w:themeFillTint="33"/>
            <w:textDirection w:val="btLr"/>
          </w:tcPr>
          <w:p w:rsidR="00DD07AF" w:rsidRPr="00731DF1" w:rsidRDefault="00DD07AF" w:rsidP="00470AD4">
            <w:pPr>
              <w:pStyle w:val="Tableheading"/>
            </w:pPr>
            <w:r w:rsidRPr="00731DF1">
              <w:t xml:space="preserve">Major HSU </w:t>
            </w:r>
          </w:p>
        </w:tc>
        <w:tc>
          <w:tcPr>
            <w:tcW w:w="425" w:type="dxa"/>
            <w:shd w:val="clear" w:color="auto" w:fill="C6D9F1" w:themeFill="text2" w:themeFillTint="33"/>
            <w:textDirection w:val="btLr"/>
          </w:tcPr>
          <w:p w:rsidR="00DD07AF" w:rsidRPr="00731DF1" w:rsidRDefault="00DD07AF" w:rsidP="00470AD4">
            <w:pPr>
              <w:pStyle w:val="Tableheading"/>
            </w:pPr>
            <w:r w:rsidRPr="00731DF1">
              <w:t>Minor HSU</w:t>
            </w:r>
          </w:p>
        </w:tc>
        <w:tc>
          <w:tcPr>
            <w:tcW w:w="1701" w:type="dxa"/>
            <w:shd w:val="clear" w:color="auto" w:fill="C6D9F1" w:themeFill="text2" w:themeFillTint="33"/>
          </w:tcPr>
          <w:p w:rsidR="00DD07AF" w:rsidRPr="00731DF1" w:rsidRDefault="00DD07AF" w:rsidP="00470AD4">
            <w:pPr>
              <w:pStyle w:val="Tableheading"/>
            </w:pPr>
            <w:r w:rsidRPr="00731DF1">
              <w:t>Predominant occurrence</w:t>
            </w:r>
          </w:p>
        </w:tc>
        <w:tc>
          <w:tcPr>
            <w:tcW w:w="1915" w:type="dxa"/>
            <w:shd w:val="clear" w:color="auto" w:fill="C6D9F1" w:themeFill="text2" w:themeFillTint="33"/>
          </w:tcPr>
          <w:p w:rsidR="00DD07AF" w:rsidRPr="00731DF1" w:rsidRDefault="00DD07AF" w:rsidP="00470AD4">
            <w:pPr>
              <w:pStyle w:val="Tableheading"/>
            </w:pPr>
            <w:r w:rsidRPr="00731DF1">
              <w:t>Hydrogeological role</w:t>
            </w:r>
          </w:p>
        </w:tc>
      </w:tr>
      <w:tr w:rsidR="00DD07AF" w:rsidRPr="00731DF1" w:rsidTr="00BE7A62">
        <w:tc>
          <w:tcPr>
            <w:tcW w:w="1418" w:type="dxa"/>
            <w:shd w:val="clear" w:color="auto" w:fill="FFFFFF" w:themeFill="background1"/>
          </w:tcPr>
          <w:p w:rsidR="00DD07AF" w:rsidRPr="00731DF1" w:rsidRDefault="00DD07AF" w:rsidP="00CB2FBB">
            <w:pPr>
              <w:pStyle w:val="Tabletext"/>
            </w:pPr>
            <w:r w:rsidRPr="00731DF1">
              <w:t>Triassic Moolayember Formation</w:t>
            </w:r>
          </w:p>
        </w:tc>
        <w:tc>
          <w:tcPr>
            <w:tcW w:w="1417" w:type="dxa"/>
            <w:shd w:val="clear" w:color="auto" w:fill="FFFFFF" w:themeFill="background1"/>
          </w:tcPr>
          <w:p w:rsidR="00DD07AF" w:rsidRPr="00731DF1" w:rsidRDefault="00DD07AF" w:rsidP="00CB2FBB">
            <w:pPr>
              <w:pStyle w:val="Tabletext"/>
            </w:pPr>
            <w:r w:rsidRPr="00731DF1">
              <w:t>Major aquitard</w:t>
            </w:r>
          </w:p>
        </w:tc>
        <w:tc>
          <w:tcPr>
            <w:tcW w:w="1985" w:type="dxa"/>
            <w:shd w:val="clear" w:color="auto" w:fill="FFFFFF" w:themeFill="background1"/>
          </w:tcPr>
          <w:p w:rsidR="00731DF1" w:rsidRDefault="00731DF1" w:rsidP="00CB2FBB">
            <w:pPr>
              <w:pStyle w:val="Tabletext"/>
            </w:pPr>
            <w:r>
              <w:t>WorleyParsons 2010</w:t>
            </w:r>
          </w:p>
          <w:p w:rsidR="00DD07AF" w:rsidRPr="00731DF1" w:rsidRDefault="00731DF1" w:rsidP="00CB2FBB">
            <w:pPr>
              <w:pStyle w:val="Tabletext"/>
            </w:pPr>
            <w:r>
              <w:t>QWC</w:t>
            </w:r>
            <w:r w:rsidR="00DD07AF" w:rsidRPr="00731DF1">
              <w:t xml:space="preserve"> 2012a </w:t>
            </w:r>
          </w:p>
        </w:tc>
        <w:tc>
          <w:tcPr>
            <w:tcW w:w="425" w:type="dxa"/>
            <w:shd w:val="clear" w:color="auto" w:fill="FFFFFF" w:themeFill="background1"/>
          </w:tcPr>
          <w:p w:rsidR="00DD07AF" w:rsidRPr="00731DF1" w:rsidRDefault="00DD07AF" w:rsidP="00CB2FBB">
            <w:pPr>
              <w:pStyle w:val="Tabletext"/>
            </w:pPr>
            <w:r w:rsidRPr="00731DF1">
              <w:sym w:font="Wingdings" w:char="F0FC"/>
            </w:r>
          </w:p>
        </w:tc>
        <w:tc>
          <w:tcPr>
            <w:tcW w:w="425" w:type="dxa"/>
            <w:shd w:val="clear" w:color="auto" w:fill="FFFFFF" w:themeFill="background1"/>
          </w:tcPr>
          <w:p w:rsidR="00DD07AF" w:rsidRPr="00731DF1" w:rsidRDefault="00DD07AF" w:rsidP="00CB2FBB">
            <w:pPr>
              <w:pStyle w:val="Tabletext"/>
            </w:pPr>
          </w:p>
        </w:tc>
        <w:tc>
          <w:tcPr>
            <w:tcW w:w="1701" w:type="dxa"/>
            <w:shd w:val="clear" w:color="auto" w:fill="FFFFFF" w:themeFill="background1"/>
          </w:tcPr>
          <w:p w:rsidR="00DD07AF" w:rsidRPr="00731DF1" w:rsidRDefault="00DD07AF" w:rsidP="00CB2FBB">
            <w:pPr>
              <w:pStyle w:val="Tabletext"/>
            </w:pPr>
            <w:r w:rsidRPr="00731DF1">
              <w:t xml:space="preserve">Pinches out on western margins of Basin </w:t>
            </w:r>
          </w:p>
        </w:tc>
        <w:tc>
          <w:tcPr>
            <w:tcW w:w="1915" w:type="dxa"/>
            <w:shd w:val="clear" w:color="auto" w:fill="FFFFFF" w:themeFill="background1"/>
          </w:tcPr>
          <w:p w:rsidR="00F75694" w:rsidRPr="00731DF1" w:rsidRDefault="00DD07AF" w:rsidP="00CB2FBB">
            <w:pPr>
              <w:pStyle w:val="Tabletext"/>
              <w:rPr>
                <w:b/>
              </w:rPr>
            </w:pPr>
            <w:r w:rsidRPr="00731DF1">
              <w:t xml:space="preserve">Major aquitard. Responsible for artesian conditions in the underlying Clematis Group sandstones </w:t>
            </w:r>
          </w:p>
        </w:tc>
      </w:tr>
      <w:tr w:rsidR="00DD07AF" w:rsidRPr="00731DF1" w:rsidTr="00BE7A62">
        <w:tc>
          <w:tcPr>
            <w:tcW w:w="1418" w:type="dxa"/>
            <w:shd w:val="clear" w:color="auto" w:fill="FFFFFF" w:themeFill="background1"/>
          </w:tcPr>
          <w:p w:rsidR="00DD07AF" w:rsidRPr="00731DF1" w:rsidRDefault="00DD07AF" w:rsidP="00CB2FBB">
            <w:pPr>
              <w:pStyle w:val="Tabletext"/>
            </w:pPr>
            <w:r w:rsidRPr="00731DF1">
              <w:t>Triassic Clematis Group</w:t>
            </w:r>
          </w:p>
        </w:tc>
        <w:tc>
          <w:tcPr>
            <w:tcW w:w="1417" w:type="dxa"/>
            <w:shd w:val="clear" w:color="auto" w:fill="FFFFFF" w:themeFill="background1"/>
          </w:tcPr>
          <w:p w:rsidR="00DD07AF" w:rsidRPr="00731DF1" w:rsidRDefault="00DD07AF" w:rsidP="00CB2FBB">
            <w:pPr>
              <w:pStyle w:val="Tabletext"/>
            </w:pPr>
            <w:r w:rsidRPr="00731DF1">
              <w:t>Major aquifer</w:t>
            </w:r>
          </w:p>
        </w:tc>
        <w:tc>
          <w:tcPr>
            <w:tcW w:w="1985" w:type="dxa"/>
            <w:shd w:val="clear" w:color="auto" w:fill="FFFFFF" w:themeFill="background1"/>
          </w:tcPr>
          <w:p w:rsidR="00731DF1" w:rsidRDefault="00731DF1" w:rsidP="00CB2FBB">
            <w:pPr>
              <w:pStyle w:val="Tabletext"/>
            </w:pPr>
            <w:r>
              <w:t>WorleyParsons 2010</w:t>
            </w:r>
          </w:p>
          <w:p w:rsidR="00DD07AF" w:rsidRPr="00731DF1" w:rsidRDefault="00DD07AF" w:rsidP="00CB2FBB">
            <w:pPr>
              <w:pStyle w:val="Tabletext"/>
            </w:pPr>
            <w:r w:rsidRPr="00731DF1">
              <w:t>QW</w:t>
            </w:r>
            <w:r w:rsidR="00E31337">
              <w:t>C</w:t>
            </w:r>
            <w:r w:rsidRPr="00731DF1">
              <w:t xml:space="preserve"> 2012a</w:t>
            </w:r>
          </w:p>
        </w:tc>
        <w:tc>
          <w:tcPr>
            <w:tcW w:w="425" w:type="dxa"/>
            <w:shd w:val="clear" w:color="auto" w:fill="FFFFFF" w:themeFill="background1"/>
          </w:tcPr>
          <w:p w:rsidR="00DD07AF" w:rsidRPr="00731DF1" w:rsidRDefault="00DD07AF" w:rsidP="00CB2FBB">
            <w:pPr>
              <w:pStyle w:val="Tabletext"/>
            </w:pPr>
            <w:r w:rsidRPr="00731DF1">
              <w:sym w:font="Wingdings" w:char="F0FC"/>
            </w:r>
          </w:p>
        </w:tc>
        <w:tc>
          <w:tcPr>
            <w:tcW w:w="425" w:type="dxa"/>
            <w:shd w:val="clear" w:color="auto" w:fill="FFFFFF" w:themeFill="background1"/>
          </w:tcPr>
          <w:p w:rsidR="00DD07AF" w:rsidRPr="00731DF1" w:rsidRDefault="00DD07AF" w:rsidP="00CB2FBB">
            <w:pPr>
              <w:pStyle w:val="Tabletext"/>
            </w:pPr>
          </w:p>
        </w:tc>
        <w:tc>
          <w:tcPr>
            <w:tcW w:w="1701" w:type="dxa"/>
            <w:shd w:val="clear" w:color="auto" w:fill="FFFFFF" w:themeFill="background1"/>
          </w:tcPr>
          <w:p w:rsidR="00DD07AF" w:rsidRPr="00731DF1" w:rsidRDefault="00DD07AF" w:rsidP="00CB2FBB">
            <w:pPr>
              <w:pStyle w:val="Tabletext"/>
            </w:pPr>
            <w:r w:rsidRPr="00731DF1">
              <w:t>Widespread unit across the Basin. Artesian in northern Basin. Most abstraction at outcrop</w:t>
            </w:r>
          </w:p>
        </w:tc>
        <w:tc>
          <w:tcPr>
            <w:tcW w:w="1915" w:type="dxa"/>
            <w:shd w:val="clear" w:color="auto" w:fill="FFFFFF" w:themeFill="background1"/>
          </w:tcPr>
          <w:p w:rsidR="00DD07AF" w:rsidRPr="00731DF1" w:rsidRDefault="00FF4DEE" w:rsidP="00CB2FBB">
            <w:pPr>
              <w:pStyle w:val="Tabletext"/>
            </w:pPr>
            <w:r w:rsidRPr="00731DF1">
              <w:t xml:space="preserve">Major </w:t>
            </w:r>
            <w:r w:rsidR="00DD07AF" w:rsidRPr="00731DF1">
              <w:t>aquifer of the Bowen Basin</w:t>
            </w:r>
          </w:p>
        </w:tc>
      </w:tr>
      <w:tr w:rsidR="00DD07AF" w:rsidRPr="00731DF1" w:rsidTr="00BE7A62">
        <w:tc>
          <w:tcPr>
            <w:tcW w:w="1418" w:type="dxa"/>
            <w:shd w:val="clear" w:color="auto" w:fill="FFFFFF" w:themeFill="background1"/>
          </w:tcPr>
          <w:p w:rsidR="00DD07AF" w:rsidRPr="00731DF1" w:rsidRDefault="00DD07AF" w:rsidP="00CB2FBB">
            <w:pPr>
              <w:pStyle w:val="Tabletext"/>
            </w:pPr>
            <w:r w:rsidRPr="00731DF1">
              <w:t>Triassic Rewan Group</w:t>
            </w:r>
          </w:p>
        </w:tc>
        <w:tc>
          <w:tcPr>
            <w:tcW w:w="1417" w:type="dxa"/>
            <w:shd w:val="clear" w:color="auto" w:fill="FFFFFF" w:themeFill="background1"/>
          </w:tcPr>
          <w:p w:rsidR="00DD07AF" w:rsidRPr="00731DF1" w:rsidRDefault="00DD07AF" w:rsidP="00CB2FBB">
            <w:pPr>
              <w:pStyle w:val="Tabletext"/>
            </w:pPr>
            <w:r w:rsidRPr="00731DF1">
              <w:t>Major aquitard</w:t>
            </w:r>
          </w:p>
        </w:tc>
        <w:tc>
          <w:tcPr>
            <w:tcW w:w="1985" w:type="dxa"/>
            <w:shd w:val="clear" w:color="auto" w:fill="FFFFFF" w:themeFill="background1"/>
          </w:tcPr>
          <w:p w:rsidR="00731DF1" w:rsidRDefault="00731DF1" w:rsidP="00CB2FBB">
            <w:pPr>
              <w:pStyle w:val="Tabletext"/>
            </w:pPr>
            <w:r>
              <w:t>Worley</w:t>
            </w:r>
            <w:r w:rsidR="00DD07AF" w:rsidRPr="00731DF1">
              <w:t>Parsons 2010</w:t>
            </w:r>
          </w:p>
          <w:p w:rsidR="00731DF1" w:rsidRDefault="00DD07AF" w:rsidP="00CB2FBB">
            <w:pPr>
              <w:pStyle w:val="Tabletext"/>
            </w:pPr>
            <w:r w:rsidRPr="00731DF1">
              <w:t>QWC 2012a</w:t>
            </w:r>
          </w:p>
          <w:p w:rsidR="00DD07AF" w:rsidRPr="00731DF1" w:rsidRDefault="00731DF1" w:rsidP="00CB2FBB">
            <w:pPr>
              <w:pStyle w:val="Tabletext"/>
            </w:pPr>
            <w:r>
              <w:t>Cadman et al.</w:t>
            </w:r>
            <w:r w:rsidR="00DD07AF" w:rsidRPr="00731DF1">
              <w:t xml:space="preserve"> 1998</w:t>
            </w:r>
          </w:p>
        </w:tc>
        <w:tc>
          <w:tcPr>
            <w:tcW w:w="425" w:type="dxa"/>
            <w:shd w:val="clear" w:color="auto" w:fill="FFFFFF" w:themeFill="background1"/>
          </w:tcPr>
          <w:p w:rsidR="00DD07AF" w:rsidRPr="00731DF1" w:rsidRDefault="00DD07AF" w:rsidP="00CB2FBB">
            <w:pPr>
              <w:pStyle w:val="Tabletext"/>
            </w:pPr>
            <w:r w:rsidRPr="00731DF1">
              <w:sym w:font="Wingdings" w:char="F0FC"/>
            </w:r>
          </w:p>
        </w:tc>
        <w:tc>
          <w:tcPr>
            <w:tcW w:w="425" w:type="dxa"/>
            <w:shd w:val="clear" w:color="auto" w:fill="FFFFFF" w:themeFill="background1"/>
          </w:tcPr>
          <w:p w:rsidR="00DD07AF" w:rsidRPr="00731DF1" w:rsidRDefault="00DD07AF" w:rsidP="00CB2FBB">
            <w:pPr>
              <w:pStyle w:val="Tabletext"/>
            </w:pPr>
          </w:p>
        </w:tc>
        <w:tc>
          <w:tcPr>
            <w:tcW w:w="1701" w:type="dxa"/>
            <w:shd w:val="clear" w:color="auto" w:fill="FFFFFF" w:themeFill="background1"/>
          </w:tcPr>
          <w:p w:rsidR="00DD07AF" w:rsidRPr="00731DF1" w:rsidRDefault="00DD07AF" w:rsidP="00CB2FBB">
            <w:pPr>
              <w:pStyle w:val="Tabletext"/>
            </w:pPr>
            <w:r w:rsidRPr="00731DF1">
              <w:t xml:space="preserve">Widespread unit across the </w:t>
            </w:r>
            <w:r w:rsidR="005B4A68">
              <w:t>Basin</w:t>
            </w:r>
          </w:p>
        </w:tc>
        <w:tc>
          <w:tcPr>
            <w:tcW w:w="1915" w:type="dxa"/>
            <w:shd w:val="clear" w:color="auto" w:fill="FFFFFF" w:themeFill="background1"/>
          </w:tcPr>
          <w:p w:rsidR="00DD07AF" w:rsidRPr="00731DF1" w:rsidRDefault="00DD07AF" w:rsidP="00CB2FBB">
            <w:pPr>
              <w:pStyle w:val="Tabletext"/>
            </w:pPr>
            <w:r w:rsidRPr="00731DF1">
              <w:t>Major aquitard of the Bowen Basin and it is recognised as the basal confining layer of the GAB</w:t>
            </w:r>
          </w:p>
        </w:tc>
      </w:tr>
      <w:tr w:rsidR="00DD07AF" w:rsidRPr="00731DF1" w:rsidTr="00BE7A62">
        <w:tc>
          <w:tcPr>
            <w:tcW w:w="1418" w:type="dxa"/>
            <w:shd w:val="clear" w:color="auto" w:fill="FFFFFF" w:themeFill="background1"/>
          </w:tcPr>
          <w:p w:rsidR="00DD07AF" w:rsidRPr="00731DF1" w:rsidRDefault="00DD07AF" w:rsidP="00CB2FBB">
            <w:pPr>
              <w:pStyle w:val="Tabletext"/>
            </w:pPr>
            <w:r w:rsidRPr="00731DF1">
              <w:t>Permian Coal Measures</w:t>
            </w:r>
          </w:p>
        </w:tc>
        <w:tc>
          <w:tcPr>
            <w:tcW w:w="1417" w:type="dxa"/>
            <w:shd w:val="clear" w:color="auto" w:fill="FFFFFF" w:themeFill="background1"/>
          </w:tcPr>
          <w:p w:rsidR="00DD07AF" w:rsidRPr="00731DF1" w:rsidRDefault="00DD07AF" w:rsidP="00CB2FBB">
            <w:pPr>
              <w:pStyle w:val="Tabletext"/>
            </w:pPr>
            <w:r w:rsidRPr="00731DF1">
              <w:t>Water-bearing units</w:t>
            </w:r>
            <w:r w:rsidR="005B4A68" w:rsidRPr="005B4A68">
              <w:rPr>
                <w:sz w:val="24"/>
                <w:szCs w:val="24"/>
                <w:vertAlign w:val="superscript"/>
              </w:rPr>
              <w:t>*</w:t>
            </w:r>
            <w:r w:rsidRPr="00731DF1">
              <w:t xml:space="preserve"> within aquitard interbeds</w:t>
            </w:r>
          </w:p>
        </w:tc>
        <w:tc>
          <w:tcPr>
            <w:tcW w:w="1985" w:type="dxa"/>
            <w:shd w:val="clear" w:color="auto" w:fill="FFFFFF" w:themeFill="background1"/>
          </w:tcPr>
          <w:p w:rsidR="00731DF1" w:rsidRDefault="00731DF1" w:rsidP="00CB2FBB">
            <w:pPr>
              <w:pStyle w:val="Tabletext"/>
            </w:pPr>
            <w:r>
              <w:t>BMA</w:t>
            </w:r>
            <w:r w:rsidR="00DD07AF" w:rsidRPr="00731DF1">
              <w:t xml:space="preserve"> 2008</w:t>
            </w:r>
          </w:p>
          <w:p w:rsidR="00731DF1" w:rsidRDefault="00DD07AF" w:rsidP="00CB2FBB">
            <w:pPr>
              <w:pStyle w:val="Tabletext"/>
            </w:pPr>
            <w:r w:rsidRPr="00731DF1">
              <w:t>BMA 2009a</w:t>
            </w:r>
          </w:p>
          <w:p w:rsidR="00731DF1" w:rsidRDefault="00731DF1" w:rsidP="00CB2FBB">
            <w:pPr>
              <w:pStyle w:val="Tabletext"/>
            </w:pPr>
            <w:r>
              <w:t>BMA 2009</w:t>
            </w:r>
            <w:r w:rsidR="00DD07AF" w:rsidRPr="00731DF1">
              <w:t>b</w:t>
            </w:r>
          </w:p>
          <w:p w:rsidR="00731DF1" w:rsidRDefault="00DD07AF" w:rsidP="00CB2FBB">
            <w:pPr>
              <w:pStyle w:val="Tabletext"/>
            </w:pPr>
            <w:r w:rsidRPr="00731DF1">
              <w:t>Ensham 2006</w:t>
            </w:r>
          </w:p>
          <w:p w:rsidR="00731DF1" w:rsidRDefault="00DD07AF" w:rsidP="00CB2FBB">
            <w:pPr>
              <w:pStyle w:val="Tabletext"/>
            </w:pPr>
            <w:r w:rsidRPr="00731DF1">
              <w:t>WorleyParsons 2010</w:t>
            </w:r>
          </w:p>
          <w:p w:rsidR="00DD07AF" w:rsidRPr="00731DF1" w:rsidRDefault="00DD07AF" w:rsidP="00CB2FBB">
            <w:pPr>
              <w:pStyle w:val="Tabletext"/>
            </w:pPr>
            <w:r w:rsidRPr="00731DF1">
              <w:t>QWC 2012a</w:t>
            </w:r>
          </w:p>
        </w:tc>
        <w:tc>
          <w:tcPr>
            <w:tcW w:w="425" w:type="dxa"/>
            <w:shd w:val="clear" w:color="auto" w:fill="FFFFFF" w:themeFill="background1"/>
          </w:tcPr>
          <w:p w:rsidR="00DD07AF" w:rsidRPr="00731DF1" w:rsidRDefault="00DD07AF" w:rsidP="00CB2FBB">
            <w:pPr>
              <w:pStyle w:val="Tabletext"/>
            </w:pPr>
            <w:r w:rsidRPr="00731DF1">
              <w:sym w:font="Wingdings" w:char="F0FC"/>
            </w:r>
          </w:p>
        </w:tc>
        <w:tc>
          <w:tcPr>
            <w:tcW w:w="425" w:type="dxa"/>
            <w:shd w:val="clear" w:color="auto" w:fill="FFFFFF" w:themeFill="background1"/>
          </w:tcPr>
          <w:p w:rsidR="00DD07AF" w:rsidRPr="00731DF1" w:rsidRDefault="00DD07AF" w:rsidP="00CB2FBB">
            <w:pPr>
              <w:pStyle w:val="Tabletext"/>
            </w:pPr>
          </w:p>
        </w:tc>
        <w:tc>
          <w:tcPr>
            <w:tcW w:w="1701" w:type="dxa"/>
            <w:shd w:val="clear" w:color="auto" w:fill="FFFFFF" w:themeFill="background1"/>
          </w:tcPr>
          <w:p w:rsidR="00DD07AF" w:rsidRPr="00731DF1" w:rsidRDefault="00DD07AF" w:rsidP="00CB2FBB">
            <w:pPr>
              <w:pStyle w:val="Tabletext"/>
            </w:pPr>
            <w:r w:rsidRPr="00731DF1">
              <w:t xml:space="preserve">Extensive </w:t>
            </w:r>
            <w:r w:rsidR="005B4A68">
              <w:t>coal measures across the Basin</w:t>
            </w:r>
          </w:p>
        </w:tc>
        <w:tc>
          <w:tcPr>
            <w:tcW w:w="1915" w:type="dxa"/>
            <w:shd w:val="clear" w:color="auto" w:fill="FFFFFF" w:themeFill="background1"/>
          </w:tcPr>
          <w:p w:rsidR="00DD07AF" w:rsidRPr="00731DF1" w:rsidRDefault="00DD07AF" w:rsidP="00CB2FBB">
            <w:pPr>
              <w:pStyle w:val="Tabletext"/>
            </w:pPr>
            <w:r w:rsidRPr="00731DF1">
              <w:t>Target coal seams for both coal mining and CSG abstraction</w:t>
            </w:r>
          </w:p>
        </w:tc>
      </w:tr>
      <w:tr w:rsidR="00DD07AF" w:rsidRPr="00731DF1" w:rsidTr="00BE7A62">
        <w:tc>
          <w:tcPr>
            <w:tcW w:w="1418" w:type="dxa"/>
            <w:shd w:val="clear" w:color="auto" w:fill="FFFFFF" w:themeFill="background1"/>
          </w:tcPr>
          <w:p w:rsidR="00DD07AF" w:rsidRPr="00731DF1" w:rsidRDefault="00DD07AF" w:rsidP="00CB2FBB">
            <w:pPr>
              <w:pStyle w:val="Tabletext"/>
            </w:pPr>
            <w:r w:rsidRPr="00731DF1">
              <w:t>Deep Reservoirs</w:t>
            </w:r>
          </w:p>
        </w:tc>
        <w:tc>
          <w:tcPr>
            <w:tcW w:w="1417" w:type="dxa"/>
            <w:shd w:val="clear" w:color="auto" w:fill="FFFFFF" w:themeFill="background1"/>
          </w:tcPr>
          <w:p w:rsidR="00DD07AF" w:rsidRPr="00731DF1" w:rsidRDefault="00DD07AF" w:rsidP="00CB2FBB">
            <w:pPr>
              <w:pStyle w:val="Tabletext"/>
            </w:pPr>
            <w:r w:rsidRPr="00731DF1">
              <w:t>Water-bearing units</w:t>
            </w:r>
            <w:r w:rsidR="005B4A68" w:rsidRPr="005B4A68">
              <w:rPr>
                <w:sz w:val="24"/>
                <w:szCs w:val="24"/>
                <w:vertAlign w:val="superscript"/>
              </w:rPr>
              <w:t>*</w:t>
            </w:r>
            <w:r w:rsidRPr="00731DF1">
              <w:t xml:space="preserve"> within aquitard interbeds</w:t>
            </w:r>
          </w:p>
        </w:tc>
        <w:tc>
          <w:tcPr>
            <w:tcW w:w="1985" w:type="dxa"/>
            <w:shd w:val="clear" w:color="auto" w:fill="FFFFFF" w:themeFill="background1"/>
          </w:tcPr>
          <w:p w:rsidR="005B4A68" w:rsidRDefault="005B4A68" w:rsidP="00CB2FBB">
            <w:pPr>
              <w:pStyle w:val="Tabletext"/>
            </w:pPr>
            <w:r>
              <w:t>WorleyParsons 2010</w:t>
            </w:r>
          </w:p>
          <w:p w:rsidR="00DD07AF" w:rsidRPr="00731DF1" w:rsidRDefault="00DD07AF" w:rsidP="00CB2FBB">
            <w:pPr>
              <w:pStyle w:val="Tabletext"/>
            </w:pPr>
            <w:r w:rsidRPr="00731DF1">
              <w:t>QWC 2012a</w:t>
            </w:r>
          </w:p>
        </w:tc>
        <w:tc>
          <w:tcPr>
            <w:tcW w:w="425" w:type="dxa"/>
            <w:shd w:val="clear" w:color="auto" w:fill="FFFFFF" w:themeFill="background1"/>
          </w:tcPr>
          <w:p w:rsidR="00DD07AF" w:rsidRPr="00731DF1" w:rsidRDefault="00DD07AF" w:rsidP="00CB2FBB">
            <w:pPr>
              <w:pStyle w:val="Tabletext"/>
            </w:pPr>
            <w:r w:rsidRPr="00731DF1">
              <w:sym w:font="Wingdings" w:char="F0FC"/>
            </w:r>
          </w:p>
        </w:tc>
        <w:tc>
          <w:tcPr>
            <w:tcW w:w="425" w:type="dxa"/>
            <w:shd w:val="clear" w:color="auto" w:fill="FFFFFF" w:themeFill="background1"/>
          </w:tcPr>
          <w:p w:rsidR="00DD07AF" w:rsidRPr="00731DF1" w:rsidRDefault="00DD07AF" w:rsidP="00CB2FBB">
            <w:pPr>
              <w:pStyle w:val="Tabletext"/>
            </w:pPr>
          </w:p>
        </w:tc>
        <w:tc>
          <w:tcPr>
            <w:tcW w:w="1701" w:type="dxa"/>
            <w:shd w:val="clear" w:color="auto" w:fill="FFFFFF" w:themeFill="background1"/>
          </w:tcPr>
          <w:p w:rsidR="00DD07AF" w:rsidRPr="00731DF1" w:rsidRDefault="00DD07AF" w:rsidP="00CB2FBB">
            <w:pPr>
              <w:pStyle w:val="Tabletext"/>
            </w:pPr>
            <w:r w:rsidRPr="00731DF1">
              <w:t>Present at significant depths within the Basin</w:t>
            </w:r>
          </w:p>
        </w:tc>
        <w:tc>
          <w:tcPr>
            <w:tcW w:w="1915" w:type="dxa"/>
            <w:shd w:val="clear" w:color="auto" w:fill="FFFFFF" w:themeFill="background1"/>
          </w:tcPr>
          <w:p w:rsidR="00DD07AF" w:rsidRPr="00731DF1" w:rsidRDefault="00DD07AF" w:rsidP="00CB2FBB">
            <w:pPr>
              <w:pStyle w:val="Tabletext"/>
            </w:pPr>
            <w:r w:rsidRPr="00731DF1">
              <w:t xml:space="preserve">Limited data available on the groundwater conditions within the deeper Permian sediments </w:t>
            </w:r>
          </w:p>
        </w:tc>
      </w:tr>
    </w:tbl>
    <w:p w:rsidR="00DD07AF" w:rsidRPr="00731DF1" w:rsidRDefault="006011BB" w:rsidP="001C3374">
      <w:pPr>
        <w:pStyle w:val="Body"/>
        <w:rPr>
          <w:rFonts w:ascii="Arial" w:hAnsi="Arial" w:cs="Arial"/>
        </w:rPr>
      </w:pPr>
      <w:r w:rsidRPr="00731DF1">
        <w:rPr>
          <w:rFonts w:ascii="Arial" w:hAnsi="Arial" w:cs="Arial"/>
        </w:rPr>
        <w:t>Note:</w:t>
      </w:r>
      <w:r w:rsidR="00DD07AF" w:rsidRPr="00731DF1">
        <w:rPr>
          <w:rFonts w:ascii="Arial" w:hAnsi="Arial" w:cs="Arial"/>
        </w:rPr>
        <w:t xml:space="preserve"> </w:t>
      </w:r>
      <w:r w:rsidR="005B4A68">
        <w:rPr>
          <w:rFonts w:ascii="Arial" w:hAnsi="Arial" w:cs="Arial"/>
        </w:rPr>
        <w:t>* W</w:t>
      </w:r>
      <w:r w:rsidR="00DD07AF" w:rsidRPr="00731DF1">
        <w:rPr>
          <w:rFonts w:ascii="Arial" w:hAnsi="Arial" w:cs="Arial"/>
        </w:rPr>
        <w:t>ater-bearing unit</w:t>
      </w:r>
      <w:r w:rsidR="0015331F" w:rsidRPr="00731DF1">
        <w:rPr>
          <w:rFonts w:ascii="Arial" w:hAnsi="Arial" w:cs="Arial"/>
        </w:rPr>
        <w:t>’</w:t>
      </w:r>
      <w:r w:rsidR="00DD07AF" w:rsidRPr="00731DF1">
        <w:rPr>
          <w:rFonts w:ascii="Arial" w:hAnsi="Arial" w:cs="Arial"/>
        </w:rPr>
        <w:t xml:space="preserve"> is considered here as a saturated and moderately permeable unit that can yield water to wells or springs, but not at an econo</w:t>
      </w:r>
      <w:r w:rsidR="007C7837">
        <w:rPr>
          <w:rFonts w:ascii="Arial" w:hAnsi="Arial" w:cs="Arial"/>
        </w:rPr>
        <w:t>mic quantit</w:t>
      </w:r>
      <w:r w:rsidR="00DD07AF" w:rsidRPr="00731DF1">
        <w:rPr>
          <w:rFonts w:ascii="Arial" w:hAnsi="Arial" w:cs="Arial"/>
        </w:rPr>
        <w:t>, and/or suitable water quality.</w:t>
      </w:r>
    </w:p>
    <w:p w:rsidR="006011BB" w:rsidRDefault="006011BB" w:rsidP="001C3374">
      <w:pPr>
        <w:pStyle w:val="Body"/>
      </w:pPr>
    </w:p>
    <w:p w:rsidR="00DD07AF" w:rsidRDefault="00DD07AF" w:rsidP="005F6513">
      <w:pPr>
        <w:pStyle w:val="Heading3"/>
      </w:pPr>
      <w:bookmarkStart w:id="631" w:name="_Toc334711976"/>
      <w:bookmarkStart w:id="632" w:name="_Toc381961163"/>
      <w:r w:rsidRPr="002B3AB8">
        <w:t>Description</w:t>
      </w:r>
      <w:r w:rsidR="002B3AB8">
        <w:t xml:space="preserve"> of a</w:t>
      </w:r>
      <w:r>
        <w:t>quifers</w:t>
      </w:r>
      <w:bookmarkEnd w:id="631"/>
      <w:bookmarkEnd w:id="632"/>
    </w:p>
    <w:p w:rsidR="00DD07AF" w:rsidRPr="00BE7A62" w:rsidRDefault="00DD07AF" w:rsidP="00BE7A62">
      <w:pPr>
        <w:pStyle w:val="Heading4"/>
      </w:pPr>
      <w:r w:rsidRPr="00BE7A62">
        <w:t>Regional-scale aquifer</w:t>
      </w:r>
    </w:p>
    <w:p w:rsidR="00DD07AF" w:rsidRPr="00BE7A62" w:rsidRDefault="002B3AB8" w:rsidP="00BE7A62">
      <w:pPr>
        <w:pStyle w:val="Heading5"/>
      </w:pPr>
      <w:r w:rsidRPr="00BE7A62">
        <w:t>Clematis group s</w:t>
      </w:r>
      <w:r w:rsidR="00DD07AF" w:rsidRPr="00BE7A62">
        <w:t>andstones</w:t>
      </w:r>
    </w:p>
    <w:p w:rsidR="00DD07AF" w:rsidRDefault="002B3AB8" w:rsidP="002B3AB8">
      <w:pPr>
        <w:pStyle w:val="BRNormal"/>
        <w:rPr>
          <w:szCs w:val="20"/>
        </w:rPr>
      </w:pPr>
      <w:r>
        <w:t>Sandstones of the Clematis G</w:t>
      </w:r>
      <w:r w:rsidR="00DD07AF" w:rsidRPr="00C5344B">
        <w:t>roup (including previously referenced Clematis Sandstone</w:t>
      </w:r>
      <w:r w:rsidR="00DD07AF">
        <w:t xml:space="preserve"> in the Denison Trough</w:t>
      </w:r>
      <w:r w:rsidR="00DD07AF" w:rsidRPr="00C5344B">
        <w:t xml:space="preserve"> and Showgrounds Sandstone</w:t>
      </w:r>
      <w:r w:rsidR="00DD07AF">
        <w:t xml:space="preserve"> in the Taroom Trough</w:t>
      </w:r>
      <w:r w:rsidR="00DD07AF" w:rsidRPr="00C5344B">
        <w:t xml:space="preserve">) form the major </w:t>
      </w:r>
      <w:r w:rsidR="00DD07AF" w:rsidRPr="00C5344B">
        <w:lastRenderedPageBreak/>
        <w:t>confined</w:t>
      </w:r>
      <w:r w:rsidR="00DD07AF">
        <w:t xml:space="preserve"> aquifer within the Bowen Basin</w:t>
      </w:r>
      <w:r w:rsidR="00FF4DEE">
        <w:t xml:space="preserve"> </w:t>
      </w:r>
      <w:r w:rsidR="00DD07AF" w:rsidRPr="00E85A45">
        <w:t>with good aquifer yields and good water quality (QWC 2012</w:t>
      </w:r>
      <w:r w:rsidR="00DD07AF">
        <w:t>a</w:t>
      </w:r>
      <w:r>
        <w:t>).</w:t>
      </w:r>
      <w:r w:rsidR="00DD07AF" w:rsidRPr="007A6CF1">
        <w:t xml:space="preserve"> </w:t>
      </w:r>
      <w:r w:rsidR="00DD07AF">
        <w:rPr>
          <w:szCs w:val="20"/>
        </w:rPr>
        <w:t xml:space="preserve">The Clematis Group aquifer is predominantly comprised of quartzose sandstone interbedded with siltstone and </w:t>
      </w:r>
      <w:r w:rsidR="00DD07AF" w:rsidRPr="00E444CC">
        <w:rPr>
          <w:szCs w:val="20"/>
        </w:rPr>
        <w:t>mudstone and has been described as highly heterogeneous with rapid lateral and vertical variations in texture and hydraulic properties (Cadman et al</w:t>
      </w:r>
      <w:r>
        <w:rPr>
          <w:szCs w:val="20"/>
        </w:rPr>
        <w:t xml:space="preserve">. </w:t>
      </w:r>
      <w:r w:rsidR="00DD07AF" w:rsidRPr="00E444CC">
        <w:rPr>
          <w:szCs w:val="20"/>
        </w:rPr>
        <w:t>1998</w:t>
      </w:r>
      <w:r w:rsidR="00DD07AF">
        <w:rPr>
          <w:szCs w:val="20"/>
        </w:rPr>
        <w:t>;</w:t>
      </w:r>
      <w:r w:rsidR="00DD07AF" w:rsidRPr="00E444CC">
        <w:rPr>
          <w:szCs w:val="20"/>
        </w:rPr>
        <w:t xml:space="preserve"> </w:t>
      </w:r>
      <w:r w:rsidR="00DD07AF" w:rsidRPr="00E444CC">
        <w:t>Olgers 1970</w:t>
      </w:r>
      <w:r w:rsidR="00DD07AF" w:rsidRPr="00E444CC">
        <w:rPr>
          <w:szCs w:val="20"/>
        </w:rPr>
        <w:t xml:space="preserve">). </w:t>
      </w:r>
      <w:r w:rsidR="00DD07AF" w:rsidRPr="00E444CC">
        <w:t>Recharge</w:t>
      </w:r>
      <w:r w:rsidR="00DD07AF" w:rsidRPr="007A6CF1">
        <w:t xml:space="preserve"> enters this aquifer in exposed outcrop near the northern margin of the Mimosa Syncline (Radke et al</w:t>
      </w:r>
      <w:r>
        <w:t>.</w:t>
      </w:r>
      <w:r w:rsidR="00DD07AF">
        <w:t xml:space="preserve"> </w:t>
      </w:r>
      <w:r w:rsidR="00DD07AF" w:rsidRPr="007A6CF1">
        <w:t>2000).</w:t>
      </w:r>
    </w:p>
    <w:p w:rsidR="00DD07AF" w:rsidRPr="007A6CF1" w:rsidRDefault="00DD07AF" w:rsidP="002B3AB8">
      <w:pPr>
        <w:pStyle w:val="BRNormal"/>
      </w:pPr>
      <w:r w:rsidRPr="00E444CC">
        <w:t xml:space="preserve">The </w:t>
      </w:r>
      <w:r w:rsidR="007C7837">
        <w:rPr>
          <w:iCs/>
        </w:rPr>
        <w:t>Clematis G</w:t>
      </w:r>
      <w:r w:rsidRPr="002B3AB8">
        <w:rPr>
          <w:iCs/>
        </w:rPr>
        <w:t>roup sandstones</w:t>
      </w:r>
      <w:r w:rsidRPr="00E444CC">
        <w:rPr>
          <w:i/>
          <w:iCs/>
        </w:rPr>
        <w:t xml:space="preserve"> </w:t>
      </w:r>
      <w:r w:rsidRPr="00E444CC">
        <w:t>are artesian in the northern Bowen Basin with groundwater levels between 10</w:t>
      </w:r>
      <w:r w:rsidR="002B3AB8">
        <w:t> </w:t>
      </w:r>
      <w:r w:rsidRPr="00E444CC">
        <w:t>m to 60</w:t>
      </w:r>
      <w:r w:rsidR="002B3AB8">
        <w:t> </w:t>
      </w:r>
      <w:r w:rsidRPr="00E444CC">
        <w:t>m above ground surface (QWC 2012</w:t>
      </w:r>
      <w:r>
        <w:t>a</w:t>
      </w:r>
      <w:r w:rsidRPr="00E444CC">
        <w:t xml:space="preserve">). This is the only HSU within the Bowen Basin that is known to be artesian. Bores within the </w:t>
      </w:r>
      <w:r w:rsidRPr="002B3AB8">
        <w:rPr>
          <w:iCs/>
        </w:rPr>
        <w:t>Clematis Group sandstones</w:t>
      </w:r>
      <w:r w:rsidRPr="00E444CC">
        <w:rPr>
          <w:i/>
          <w:iCs/>
        </w:rPr>
        <w:t xml:space="preserve"> </w:t>
      </w:r>
      <w:r w:rsidRPr="00E444CC">
        <w:t>have shown declini</w:t>
      </w:r>
      <w:r w:rsidR="007C7837">
        <w:t>ng trends over recent decades, i</w:t>
      </w:r>
      <w:r w:rsidRPr="00E444CC">
        <w:t>n the order of 5m (QWC 2012</w:t>
      </w:r>
      <w:r>
        <w:t>a</w:t>
      </w:r>
      <w:r w:rsidRPr="00E444CC">
        <w:t xml:space="preserve">). Given the limited development of this aquifer, this slow </w:t>
      </w:r>
      <w:r>
        <w:t xml:space="preserve">and steady </w:t>
      </w:r>
      <w:r w:rsidRPr="00E444CC">
        <w:t xml:space="preserve">decline </w:t>
      </w:r>
      <w:r>
        <w:t xml:space="preserve">may </w:t>
      </w:r>
      <w:r w:rsidRPr="00E444CC">
        <w:t xml:space="preserve">indicate that </w:t>
      </w:r>
      <w:r>
        <w:t xml:space="preserve">long-term storage depletion </w:t>
      </w:r>
      <w:r w:rsidRPr="00E444CC">
        <w:t xml:space="preserve">may </w:t>
      </w:r>
      <w:r>
        <w:t>not be</w:t>
      </w:r>
      <w:r w:rsidR="00D90839">
        <w:t>come noticeable</w:t>
      </w:r>
      <w:r>
        <w:t xml:space="preserve"> for decades to centuries</w:t>
      </w:r>
      <w:r w:rsidRPr="00E444CC">
        <w:t>.</w:t>
      </w:r>
      <w:r>
        <w:t xml:space="preserve"> </w:t>
      </w:r>
    </w:p>
    <w:p w:rsidR="00DD07AF" w:rsidRPr="00E444CC" w:rsidRDefault="00DD07AF" w:rsidP="002B3AB8">
      <w:pPr>
        <w:pStyle w:val="BRNormal"/>
      </w:pPr>
      <w:r w:rsidRPr="00E444CC">
        <w:t>DNRM (2005) summarised the Clematis Group aquifer as follows:</w:t>
      </w:r>
    </w:p>
    <w:p w:rsidR="00DD07AF" w:rsidRPr="00A15B68" w:rsidRDefault="00A15B68" w:rsidP="002B3AB8">
      <w:pPr>
        <w:pStyle w:val="Bulletpoint"/>
      </w:pPr>
      <w:r>
        <w:t>A r</w:t>
      </w:r>
      <w:r w:rsidR="00DD07AF" w:rsidRPr="00A15B68">
        <w:t>eliable source of good quality water.</w:t>
      </w:r>
    </w:p>
    <w:p w:rsidR="00DD07AF" w:rsidRPr="00A15B68" w:rsidRDefault="00DD07AF" w:rsidP="002B3AB8">
      <w:pPr>
        <w:pStyle w:val="Bulletpoint"/>
      </w:pPr>
      <w:r w:rsidRPr="00A15B68">
        <w:t>Yields are generally small, being less than 1.0 L/s, with high yields being rare. These low yields are a potential constraint on future water demand and availability.</w:t>
      </w:r>
    </w:p>
    <w:p w:rsidR="00DD07AF" w:rsidRPr="00A15B68" w:rsidRDefault="00DD07AF" w:rsidP="002B3AB8">
      <w:pPr>
        <w:pStyle w:val="Bulletpoint"/>
      </w:pPr>
      <w:r w:rsidRPr="00A15B68">
        <w:t>Groundwater extraction occurs dominantly in the north of the Mimosa Syncline (in the Mimosa Management Area) close to outcrop area</w:t>
      </w:r>
      <w:r w:rsidR="007C7837">
        <w:t>s. The aquifer is 500 m to 1500 </w:t>
      </w:r>
      <w:r w:rsidRPr="00A15B68">
        <w:t xml:space="preserve">m deep in these areas. </w:t>
      </w:r>
    </w:p>
    <w:p w:rsidR="00DD07AF" w:rsidRPr="00A15B68" w:rsidRDefault="00DD07AF" w:rsidP="002B3AB8">
      <w:pPr>
        <w:pStyle w:val="Bulletpoint"/>
      </w:pPr>
      <w:r w:rsidRPr="00A15B68">
        <w:t>Further to the south (in the Surat Management Areas) the Clematis Group aquifer is enc</w:t>
      </w:r>
      <w:r w:rsidR="007C7837">
        <w:t>ountered at much greater depths</w:t>
      </w:r>
      <w:r w:rsidRPr="00A15B68">
        <w:t xml:space="preserve"> and is not </w:t>
      </w:r>
      <w:r w:rsidR="007C7837">
        <w:t>useful</w:t>
      </w:r>
      <w:r w:rsidRPr="00A15B68">
        <w:t xml:space="preserve"> as a supply source, despite the good quality of the groundwater.</w:t>
      </w:r>
    </w:p>
    <w:p w:rsidR="00DD07AF" w:rsidRPr="00A15B68" w:rsidRDefault="00DD07AF" w:rsidP="002B3AB8">
      <w:pPr>
        <w:pStyle w:val="Bulletpoint"/>
      </w:pPr>
      <w:r w:rsidRPr="00A15B68">
        <w:t>Groundwater is dominantly used for stock and domestic purposes</w:t>
      </w:r>
      <w:r w:rsidR="006C1A57">
        <w:t xml:space="preserve">, plus </w:t>
      </w:r>
      <w:r w:rsidR="006C1A57" w:rsidRPr="00A15B68">
        <w:t xml:space="preserve">town </w:t>
      </w:r>
      <w:r w:rsidR="006C1A57">
        <w:t>supply for Woorabinda and Bauhinia</w:t>
      </w:r>
      <w:r w:rsidRPr="00A15B68">
        <w:t>.</w:t>
      </w:r>
    </w:p>
    <w:p w:rsidR="00DD07AF" w:rsidRPr="00A15B68" w:rsidRDefault="00DD07AF" w:rsidP="002B3AB8">
      <w:pPr>
        <w:pStyle w:val="Bulletpoint"/>
      </w:pPr>
      <w:r w:rsidRPr="00A15B68">
        <w:t>Springs rise from</w:t>
      </w:r>
      <w:r w:rsidR="007C7837">
        <w:t xml:space="preserve"> the Clematis Sandstone in the Expedition R</w:t>
      </w:r>
      <w:r w:rsidRPr="00A15B68">
        <w:t>ange. The</w:t>
      </w:r>
      <w:r w:rsidR="006C1A57">
        <w:t>y</w:t>
      </w:r>
      <w:r w:rsidRPr="00A15B68">
        <w:t xml:space="preserve"> are </w:t>
      </w:r>
      <w:r w:rsidR="006C1A57">
        <w:t>‘</w:t>
      </w:r>
      <w:r w:rsidRPr="00A15B68">
        <w:t>recharge area</w:t>
      </w:r>
      <w:r w:rsidR="006C1A57">
        <w:t>’</w:t>
      </w:r>
      <w:r w:rsidRPr="00A15B68">
        <w:t xml:space="preserve"> springs and the majority fall within Crown Reserves, with the high value springs lying within the Blackdown Tablelands National Park.</w:t>
      </w:r>
    </w:p>
    <w:p w:rsidR="00DD07AF" w:rsidRPr="00A15B68" w:rsidRDefault="006011BB" w:rsidP="002B3AB8">
      <w:pPr>
        <w:pStyle w:val="Bulletpoint"/>
      </w:pPr>
      <w:r>
        <w:t>T</w:t>
      </w:r>
      <w:r w:rsidR="00DD07AF" w:rsidRPr="00A15B68">
        <w:t>he Clematis Sandstones contribute baseflow to Mimosa Creek, Conciliation Creek, Clematis Creek, Dyllingo Creek and Claude River</w:t>
      </w:r>
      <w:r w:rsidR="00A15B68">
        <w:t>.</w:t>
      </w:r>
    </w:p>
    <w:p w:rsidR="00DD07AF" w:rsidRDefault="00DD07AF" w:rsidP="00BE7A62">
      <w:pPr>
        <w:pStyle w:val="Heading4"/>
      </w:pPr>
      <w:r>
        <w:t>Regional scale water-bearing units</w:t>
      </w:r>
    </w:p>
    <w:p w:rsidR="00DD07AF" w:rsidRPr="009E7B15" w:rsidRDefault="00DD07AF" w:rsidP="002B3AB8">
      <w:pPr>
        <w:pStyle w:val="BRNormal"/>
      </w:pPr>
      <w:r w:rsidRPr="009E7B15">
        <w:t>The major wa</w:t>
      </w:r>
      <w:r>
        <w:t>ter-bearing units in the Bowen B</w:t>
      </w:r>
      <w:r w:rsidRPr="009E7B15">
        <w:t>asin</w:t>
      </w:r>
      <w:r w:rsidR="002B3AB8">
        <w:t xml:space="preserve"> have been described by Worley</w:t>
      </w:r>
      <w:r>
        <w:t>Parsons (2010) and QWC (2012a) as deep reservoirs of confined and isolated groundwater of generally poor quality. These water-bearing units</w:t>
      </w:r>
      <w:r w:rsidRPr="009E7B15">
        <w:t xml:space="preserve"> include:</w:t>
      </w:r>
    </w:p>
    <w:p w:rsidR="00DD07AF" w:rsidRPr="006011BB" w:rsidRDefault="007C7837" w:rsidP="002B3AB8">
      <w:pPr>
        <w:pStyle w:val="Bulletpoint"/>
      </w:pPr>
      <w:r>
        <w:t>Rewan Group Basal Sands</w:t>
      </w:r>
    </w:p>
    <w:p w:rsidR="00DD07AF" w:rsidRPr="006011BB" w:rsidRDefault="007C7837" w:rsidP="002B3AB8">
      <w:pPr>
        <w:pStyle w:val="Bulletpoint"/>
      </w:pPr>
      <w:r>
        <w:t>Late Permian Coal Measures</w:t>
      </w:r>
    </w:p>
    <w:p w:rsidR="00DD07AF" w:rsidRPr="006011BB" w:rsidRDefault="00DD07AF" w:rsidP="002B3AB8">
      <w:pPr>
        <w:pStyle w:val="Bulletpoint"/>
      </w:pPr>
      <w:r w:rsidRPr="006011BB">
        <w:t xml:space="preserve">Sandstones within the Back Creek Group. </w:t>
      </w:r>
    </w:p>
    <w:p w:rsidR="00DD07AF" w:rsidRPr="00D854B0" w:rsidRDefault="003614FB" w:rsidP="00561462">
      <w:pPr>
        <w:pStyle w:val="BRNormal"/>
      </w:pPr>
      <w:r w:rsidRPr="00561462">
        <w:t>The R</w:t>
      </w:r>
      <w:r w:rsidR="00D90839" w:rsidRPr="00561462">
        <w:t>ewan Group Basal Sands contain porewater of poor quality and are confined by the overlying mudstones of the Rewan Group.</w:t>
      </w:r>
      <w:r w:rsidR="006011BB" w:rsidRPr="00561462">
        <w:t xml:space="preserve"> </w:t>
      </w:r>
      <w:r w:rsidR="00DD07AF" w:rsidRPr="00561462">
        <w:t>There is limited data available on the groundwater conditions within the deeper Permian sediments below the coal measure</w:t>
      </w:r>
      <w:r w:rsidR="007C7837">
        <w:t>s, such as the Back Creek Group;</w:t>
      </w:r>
      <w:r w:rsidR="00DD07AF" w:rsidRPr="00561462">
        <w:t xml:space="preserve"> however, these formations are believ</w:t>
      </w:r>
      <w:r w:rsidR="007C7837">
        <w:t>ed to be fine-grained, cemented</w:t>
      </w:r>
      <w:r w:rsidR="00DD07AF" w:rsidRPr="00561462">
        <w:t xml:space="preserve"> and have </w:t>
      </w:r>
      <w:r w:rsidR="00DD07AF" w:rsidRPr="00561462">
        <w:lastRenderedPageBreak/>
        <w:t>very limited permeability</w:t>
      </w:r>
      <w:r w:rsidR="00561462">
        <w:t xml:space="preserve"> (QWC</w:t>
      </w:r>
      <w:r w:rsidR="00DD07AF" w:rsidRPr="00561462">
        <w:t xml:space="preserve"> 2012a). Water</w:t>
      </w:r>
      <w:r w:rsidR="00DD07AF" w:rsidRPr="00D854B0">
        <w:t xml:space="preserve"> quality is poor with very high salinities in some places.</w:t>
      </w:r>
    </w:p>
    <w:p w:rsidR="00DD07AF" w:rsidRDefault="00DD07AF" w:rsidP="00F420DF">
      <w:pPr>
        <w:pStyle w:val="BRNormal"/>
      </w:pPr>
      <w:r>
        <w:t>The extensive distribution of Permian coal measures throughout the Bowen Basin and northern Surat Basin is shown in</w:t>
      </w:r>
      <w:r w:rsidR="007C7837">
        <w:t xml:space="preserve"> F</w:t>
      </w:r>
      <w:r w:rsidR="0003024A">
        <w:t>igure 26</w:t>
      </w:r>
      <w:r w:rsidR="00F420DF">
        <w:t>.</w:t>
      </w:r>
      <w:r w:rsidR="006011BB">
        <w:t xml:space="preserve"> </w:t>
      </w:r>
      <w:r>
        <w:t xml:space="preserve">Representative </w:t>
      </w:r>
      <w:proofErr w:type="gramStart"/>
      <w:r>
        <w:t>hydrostratigraphic</w:t>
      </w:r>
      <w:proofErr w:type="gramEnd"/>
      <w:r>
        <w:t xml:space="preserve"> sequences associated with each major productive, water-bearing coal measure are also shown in</w:t>
      </w:r>
      <w:r w:rsidR="007C7837">
        <w:t xml:space="preserve"> F</w:t>
      </w:r>
      <w:r w:rsidR="0003024A">
        <w:t>igure 26</w:t>
      </w:r>
      <w:r w:rsidR="00F420DF">
        <w:t>.</w:t>
      </w:r>
      <w:r>
        <w:t xml:space="preserve"> The Moranbah Coal Measures (light green) are the target coal seam for both coal mining and CSG abstraction in the north</w:t>
      </w:r>
      <w:r w:rsidR="006C1A57">
        <w:t>ern</w:t>
      </w:r>
      <w:r w:rsidR="00F420DF">
        <w:t xml:space="preserve"> Bowen Basin.</w:t>
      </w:r>
      <w:r w:rsidR="006011BB">
        <w:t xml:space="preserve"> </w:t>
      </w:r>
      <w:r w:rsidR="007C7837">
        <w:t>Figure 26</w:t>
      </w:r>
      <w:r>
        <w:t xml:space="preserve"> </w:t>
      </w:r>
      <w:proofErr w:type="gramStart"/>
      <w:r>
        <w:t>shows</w:t>
      </w:r>
      <w:proofErr w:type="gramEnd"/>
      <w:r>
        <w:t xml:space="preserve"> that the Rangal Coal Measures and the Fort Cooper Coal Measures separate the Moranbah Coal Measures from the minor aquifers of the Isaac River alluvium and Tertiary basalt. In the southern parts of the exposed Bowen Basin, the Bandanna Coal Measures (dark blue) in the west and the Baralaba Coal Measures (maroon) in the east, are separated from the overlying major GAB aquifers (Precipice and Clematis) by the tight Rewan and Moolayember Formations. The major coal unit in the Surat Basin is the Walloon Coal Measures (light blue). </w:t>
      </w:r>
    </w:p>
    <w:p w:rsidR="00DD07AF" w:rsidRPr="00A44F01" w:rsidRDefault="00DD07AF" w:rsidP="00F420DF">
      <w:pPr>
        <w:pStyle w:val="BRNormal"/>
      </w:pPr>
      <w:r w:rsidRPr="00D854B0">
        <w:t xml:space="preserve">The </w:t>
      </w:r>
      <w:r w:rsidRPr="006A45BC">
        <w:t xml:space="preserve">Coal Measures are highly heterogeneous and comprise interbedded coal, mudstone, siltstone </w:t>
      </w:r>
      <w:r w:rsidR="00F420DF">
        <w:t>and minor clayey sandstone (QWC</w:t>
      </w:r>
      <w:r w:rsidRPr="006A45BC">
        <w:t xml:space="preserve"> 2012a; BMA 2009a; BMA 2009b</w:t>
      </w:r>
      <w:r w:rsidR="00F420DF">
        <w:t>;</w:t>
      </w:r>
      <w:r w:rsidR="00F420DF" w:rsidRPr="00F420DF">
        <w:t xml:space="preserve"> </w:t>
      </w:r>
      <w:r w:rsidR="00F420DF" w:rsidRPr="006A45BC">
        <w:t>BMA 2008</w:t>
      </w:r>
      <w:r w:rsidRPr="006A45BC">
        <w:t>).</w:t>
      </w:r>
      <w:r w:rsidRPr="00D854B0">
        <w:t xml:space="preserve"> The Bandanna Formation outcrops </w:t>
      </w:r>
      <w:r>
        <w:t>i</w:t>
      </w:r>
      <w:r w:rsidRPr="00D854B0">
        <w:t>n the</w:t>
      </w:r>
      <w:r>
        <w:t xml:space="preserve"> transition zone between the exposed Bowen Basin and the </w:t>
      </w:r>
      <w:r w:rsidRPr="006A45BC">
        <w:t>overlying Surat Basin. The outcrop area constitutes the primary recharge zone f</w:t>
      </w:r>
      <w:r w:rsidR="00F420DF">
        <w:t>or the formation (QWC</w:t>
      </w:r>
      <w:r w:rsidRPr="006A45BC">
        <w:t xml:space="preserve"> 2012a). The Baralaba Coal Measures outcrop along the Dawson River in t</w:t>
      </w:r>
      <w:r w:rsidR="007C7837">
        <w:t>he south-east of the Bowen Basin</w:t>
      </w:r>
      <w:r w:rsidRPr="006A45BC">
        <w:t xml:space="preserve"> and the Moranbah Coal Measures</w:t>
      </w:r>
      <w:r w:rsidR="00F420DF">
        <w:t xml:space="preserve"> subcrop south of Moranbah (BMA 2009a; BMA</w:t>
      </w:r>
      <w:r w:rsidRPr="006A45BC">
        <w:t xml:space="preserve"> 2009b).</w:t>
      </w:r>
      <w:r w:rsidRPr="00A44F01">
        <w:t xml:space="preserve">  </w:t>
      </w:r>
    </w:p>
    <w:p w:rsidR="00DD07AF" w:rsidRDefault="00DD07AF" w:rsidP="00F420DF">
      <w:pPr>
        <w:pStyle w:val="BRNormal"/>
      </w:pPr>
      <w:r w:rsidRPr="00A44F01">
        <w:t xml:space="preserve">The Bandanna Formation coals are the only sediments with any appreciable permeability within predominantly low permeability interbeds of </w:t>
      </w:r>
      <w:r w:rsidR="00E77F4B">
        <w:t xml:space="preserve">fine-grained </w:t>
      </w:r>
      <w:r w:rsidRPr="00A44F01">
        <w:t>sandstone and siltstone (QWC 2012</w:t>
      </w:r>
      <w:r>
        <w:t>a</w:t>
      </w:r>
      <w:r w:rsidRPr="00A44F01">
        <w:t>). The coal seams split and coalesce and cannot be correlated over any significant distance. These seams are often thin (less than 2 m) and total coal thickness is generally less than 10 m (QWC 2012</w:t>
      </w:r>
      <w:r>
        <w:t>a</w:t>
      </w:r>
      <w:r w:rsidRPr="00A44F01">
        <w:t xml:space="preserve">). </w:t>
      </w:r>
      <w:r w:rsidRPr="00D854B0">
        <w:t>It is likely that the permeability of the coals of the Bandanna Formation within the deepest areas of the Bowen</w:t>
      </w:r>
      <w:r>
        <w:t xml:space="preserve"> </w:t>
      </w:r>
      <w:r w:rsidRPr="00D854B0">
        <w:t>Basin in the Taroom Trough is so low that there is very limited groundwater flow</w:t>
      </w:r>
      <w:r>
        <w:t xml:space="preserve"> (QWC 2012a)</w:t>
      </w:r>
      <w:r w:rsidRPr="00D854B0">
        <w:t>.</w:t>
      </w:r>
      <w:r>
        <w:t xml:space="preserve"> </w:t>
      </w:r>
    </w:p>
    <w:p w:rsidR="008901F2" w:rsidRDefault="008901F2" w:rsidP="00566235">
      <w:pPr>
        <w:pStyle w:val="BR-normal-CopyrightPage"/>
        <w:rPr>
          <w:noProof/>
        </w:rPr>
      </w:pPr>
      <w:r w:rsidRPr="008901F2">
        <w:rPr>
          <w:noProof/>
        </w:rPr>
        <w:lastRenderedPageBreak/>
        <w:drawing>
          <wp:inline distT="0" distB="0" distL="0" distR="0">
            <wp:extent cx="4681182" cy="6657980"/>
            <wp:effectExtent l="0" t="0" r="0" b="0"/>
            <wp:docPr id="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2" cstate="email"/>
                    <a:srcRect/>
                    <a:stretch>
                      <a:fillRect/>
                    </a:stretch>
                  </pic:blipFill>
                  <pic:spPr bwMode="auto">
                    <a:xfrm>
                      <a:off x="0" y="0"/>
                      <a:ext cx="4685440" cy="6664036"/>
                    </a:xfrm>
                    <a:prstGeom prst="rect">
                      <a:avLst/>
                    </a:prstGeom>
                    <a:noFill/>
                    <a:ln w="9525">
                      <a:noFill/>
                      <a:miter lim="800000"/>
                      <a:headEnd/>
                      <a:tailEnd/>
                    </a:ln>
                  </pic:spPr>
                </pic:pic>
              </a:graphicData>
            </a:graphic>
          </wp:inline>
        </w:drawing>
      </w:r>
    </w:p>
    <w:p w:rsidR="00DD07AF" w:rsidRDefault="00F420DF" w:rsidP="00F420DF">
      <w:pPr>
        <w:pStyle w:val="Caption"/>
      </w:pPr>
      <w:bookmarkStart w:id="633" w:name="_Ref333583683"/>
      <w:r w:rsidRPr="00EA5A48">
        <w:t xml:space="preserve">Figure </w:t>
      </w:r>
      <w:r w:rsidR="00E23933" w:rsidRPr="00EA5A48">
        <w:rPr>
          <w:b/>
        </w:rPr>
        <w:fldChar w:fldCharType="begin"/>
      </w:r>
      <w:r w:rsidRPr="00EA5A48">
        <w:instrText xml:space="preserve"> SEQ Figure \* ARABIC </w:instrText>
      </w:r>
      <w:r w:rsidR="00E23933" w:rsidRPr="00EA5A48">
        <w:rPr>
          <w:b/>
        </w:rPr>
        <w:fldChar w:fldCharType="separate"/>
      </w:r>
      <w:r w:rsidR="0003024A">
        <w:t>26</w:t>
      </w:r>
      <w:r w:rsidR="00E23933" w:rsidRPr="00EA5A48">
        <w:rPr>
          <w:b/>
        </w:rPr>
        <w:fldChar w:fldCharType="end"/>
      </w:r>
      <w:r>
        <w:rPr>
          <w:b/>
        </w:rPr>
        <w:t xml:space="preserve"> </w:t>
      </w:r>
      <w:bookmarkEnd w:id="633"/>
      <w:r w:rsidR="00DD07AF" w:rsidRPr="006011BB">
        <w:t>Typical stratigraphic sequences at each of the major Permian Coal Seam water-bearing units in areas</w:t>
      </w:r>
      <w:r>
        <w:t xml:space="preserve"> of CSG production (</w:t>
      </w:r>
      <w:r w:rsidR="00F976E1">
        <w:t>© Copyright</w:t>
      </w:r>
      <w:r w:rsidR="007C7837">
        <w:t>,</w:t>
      </w:r>
      <w:r>
        <w:t xml:space="preserve"> CWIMI</w:t>
      </w:r>
      <w:r w:rsidR="00DD07AF" w:rsidRPr="0007449B">
        <w:t xml:space="preserve"> 2008)</w:t>
      </w:r>
      <w:r>
        <w:t>.</w:t>
      </w:r>
    </w:p>
    <w:p w:rsidR="001053A1" w:rsidRDefault="001053A1" w:rsidP="00F420DF">
      <w:pPr>
        <w:pStyle w:val="BRNormal"/>
      </w:pPr>
    </w:p>
    <w:p w:rsidR="00566235" w:rsidRDefault="00566235" w:rsidP="00F420DF">
      <w:pPr>
        <w:pStyle w:val="BRNormal"/>
      </w:pPr>
    </w:p>
    <w:p w:rsidR="00566235" w:rsidRDefault="00566235" w:rsidP="00F420DF">
      <w:pPr>
        <w:pStyle w:val="BRNormal"/>
      </w:pPr>
    </w:p>
    <w:p w:rsidR="00566235" w:rsidRDefault="00566235" w:rsidP="00F420DF">
      <w:pPr>
        <w:pStyle w:val="BRNormal"/>
      </w:pPr>
    </w:p>
    <w:p w:rsidR="00DD07AF" w:rsidRDefault="00DD07AF" w:rsidP="005F6513">
      <w:pPr>
        <w:pStyle w:val="Heading3"/>
      </w:pPr>
      <w:bookmarkStart w:id="634" w:name="_Toc334711977"/>
      <w:bookmarkStart w:id="635" w:name="_Toc381961164"/>
      <w:r>
        <w:lastRenderedPageBreak/>
        <w:t>Descriptio</w:t>
      </w:r>
      <w:r w:rsidR="00F420DF">
        <w:t>n of a</w:t>
      </w:r>
      <w:r>
        <w:t>quitards</w:t>
      </w:r>
      <w:bookmarkEnd w:id="634"/>
      <w:bookmarkEnd w:id="635"/>
    </w:p>
    <w:p w:rsidR="00DD07AF" w:rsidRPr="00117243" w:rsidRDefault="00DD07AF" w:rsidP="00BE7A62">
      <w:pPr>
        <w:pStyle w:val="Heading4"/>
      </w:pPr>
      <w:r w:rsidRPr="00117243">
        <w:t>Regional-scale aquitards</w:t>
      </w:r>
    </w:p>
    <w:p w:rsidR="00DD07AF" w:rsidRPr="00117243" w:rsidRDefault="00F420DF" w:rsidP="00BE7A62">
      <w:pPr>
        <w:pStyle w:val="Heading5"/>
      </w:pPr>
      <w:r w:rsidRPr="00117243">
        <w:t>The Moolayember f</w:t>
      </w:r>
      <w:r w:rsidR="00DD07AF" w:rsidRPr="00117243">
        <w:t>ormation</w:t>
      </w:r>
    </w:p>
    <w:p w:rsidR="00DD07AF" w:rsidRPr="004C632D" w:rsidRDefault="00DD07AF" w:rsidP="00F420DF">
      <w:pPr>
        <w:pStyle w:val="BRNormal"/>
      </w:pPr>
      <w:r w:rsidRPr="00F91D53">
        <w:t>The Moolayember Formatio</w:t>
      </w:r>
      <w:r>
        <w:t xml:space="preserve">n is the </w:t>
      </w:r>
      <w:r w:rsidR="00E17BAF">
        <w:t>shallowest</w:t>
      </w:r>
      <w:r>
        <w:t xml:space="preserve"> major HSU within the Bowen Basin and is a major aquitard of the GAB. It predominantly comprises low permeability mudstone, shale and siltstone to a thic</w:t>
      </w:r>
      <w:r w:rsidR="00F420DF">
        <w:t>kness of over 1500 m (Habermehl</w:t>
      </w:r>
      <w:r>
        <w:t xml:space="preserve"> 1980)</w:t>
      </w:r>
      <w:r w:rsidRPr="00F91D53">
        <w:t xml:space="preserve">. </w:t>
      </w:r>
      <w:r>
        <w:t>This aquitard is responsible for generating artesian conditions in the underlying Clematis Group sandstones and separates the sandstones from overlying a</w:t>
      </w:r>
      <w:r w:rsidR="00F420DF">
        <w:t>quifers of the Surat Basin (QWC</w:t>
      </w:r>
      <w:r>
        <w:t xml:space="preserve"> 2012a). The formation</w:t>
      </w:r>
      <w:r w:rsidRPr="00F91D53">
        <w:t xml:space="preserve"> </w:t>
      </w:r>
      <w:r>
        <w:t xml:space="preserve">is </w:t>
      </w:r>
      <w:r w:rsidRPr="00F91D53">
        <w:t>a</w:t>
      </w:r>
      <w:r>
        <w:t xml:space="preserve"> </w:t>
      </w:r>
      <w:r w:rsidRPr="00F91D53">
        <w:t>poor producer of groundwater, with predominantly poor water quality</w:t>
      </w:r>
      <w:r w:rsidR="00677957">
        <w:t>.</w:t>
      </w:r>
      <w:r w:rsidRPr="00F91D53">
        <w:t xml:space="preserve"> </w:t>
      </w:r>
      <w:r w:rsidR="00677957">
        <w:t>While the</w:t>
      </w:r>
      <w:r w:rsidRPr="00F91D53">
        <w:t xml:space="preserve"> yields</w:t>
      </w:r>
      <w:r w:rsidR="00677957">
        <w:t xml:space="preserve"> are comparable to the Clematis Group sandstones</w:t>
      </w:r>
      <w:r w:rsidRPr="00F91D53">
        <w:t xml:space="preserve"> </w:t>
      </w:r>
      <w:r w:rsidR="00677957">
        <w:t>(</w:t>
      </w:r>
      <w:r w:rsidRPr="00F91D53">
        <w:t>&lt; 1.0 L/s</w:t>
      </w:r>
      <w:r w:rsidR="00677957">
        <w:t xml:space="preserve">; </w:t>
      </w:r>
      <w:r w:rsidRPr="00F91D53">
        <w:t>DNRM 2005)</w:t>
      </w:r>
      <w:r w:rsidR="00677957">
        <w:t>, s</w:t>
      </w:r>
      <w:r w:rsidRPr="004C632D">
        <w:t>upplies are unreliable and generally only suitable for stock watering.</w:t>
      </w:r>
      <w:r>
        <w:t xml:space="preserve"> QWC (2012</w:t>
      </w:r>
      <w:r w:rsidR="004E5011">
        <w:t>a</w:t>
      </w:r>
      <w:r>
        <w:t>) estimated that 433</w:t>
      </w:r>
      <w:r w:rsidR="007C7837">
        <w:t> </w:t>
      </w:r>
      <w:r>
        <w:t>ML/a</w:t>
      </w:r>
      <w:r w:rsidR="002631E7">
        <w:t>nnum</w:t>
      </w:r>
      <w:r>
        <w:t xml:space="preserve"> is abstracted from the Moolayember Formation for stock and domestic purposes. </w:t>
      </w:r>
    </w:p>
    <w:p w:rsidR="00DD07AF" w:rsidRPr="00F91D53" w:rsidRDefault="00DD07AF" w:rsidP="00F420DF">
      <w:pPr>
        <w:pStyle w:val="BRNormal"/>
      </w:pPr>
      <w:r w:rsidRPr="004C632D">
        <w:t xml:space="preserve">On the </w:t>
      </w:r>
      <w:r w:rsidR="007C7837">
        <w:t>western margin of the B</w:t>
      </w:r>
      <w:r w:rsidRPr="004C632D">
        <w:t>asin</w:t>
      </w:r>
      <w:r>
        <w:t>,</w:t>
      </w:r>
      <w:r w:rsidRPr="004C632D">
        <w:t xml:space="preserve"> the </w:t>
      </w:r>
      <w:r w:rsidRPr="004C632D">
        <w:rPr>
          <w:iCs/>
        </w:rPr>
        <w:t xml:space="preserve">Moolayember Formation </w:t>
      </w:r>
      <w:r w:rsidRPr="004C632D">
        <w:t xml:space="preserve">pinches out and there is hydraulic connection </w:t>
      </w:r>
      <w:r>
        <w:t>between the</w:t>
      </w:r>
      <w:r w:rsidRPr="004C632D">
        <w:t xml:space="preserve"> </w:t>
      </w:r>
      <w:r>
        <w:rPr>
          <w:iCs/>
        </w:rPr>
        <w:t>Clematis Group sandstones and</w:t>
      </w:r>
      <w:r w:rsidRPr="004C632D">
        <w:rPr>
          <w:iCs/>
        </w:rPr>
        <w:t xml:space="preserve"> </w:t>
      </w:r>
      <w:r>
        <w:rPr>
          <w:iCs/>
        </w:rPr>
        <w:t xml:space="preserve">the </w:t>
      </w:r>
      <w:r w:rsidRPr="004C632D">
        <w:rPr>
          <w:iCs/>
        </w:rPr>
        <w:t>Precipice Sandstone</w:t>
      </w:r>
      <w:r w:rsidRPr="00F91D53">
        <w:t xml:space="preserve"> (</w:t>
      </w:r>
      <w:r w:rsidR="00F420DF">
        <w:t>Worley</w:t>
      </w:r>
      <w:r>
        <w:t>Parsons 2010</w:t>
      </w:r>
      <w:r w:rsidRPr="00F91D53">
        <w:t xml:space="preserve">). Within part of this </w:t>
      </w:r>
      <w:r>
        <w:t xml:space="preserve">western </w:t>
      </w:r>
      <w:r w:rsidRPr="00F91D53">
        <w:t>area, the underlying</w:t>
      </w:r>
      <w:r>
        <w:t xml:space="preserve"> </w:t>
      </w:r>
      <w:r w:rsidRPr="0007449B">
        <w:t>Clematis and Rewan Groups are also eroded and the underlying Bandana Formation is in direct contact with the Precipice Sandstone in the vicinity of the Spring Gully Gas Fields (QWC</w:t>
      </w:r>
      <w:r>
        <w:t xml:space="preserve"> 2012a).</w:t>
      </w:r>
    </w:p>
    <w:p w:rsidR="00DD07AF" w:rsidRPr="00F91D53" w:rsidRDefault="00F420DF" w:rsidP="00BE7A62">
      <w:pPr>
        <w:pStyle w:val="Heading5"/>
      </w:pPr>
      <w:r>
        <w:t xml:space="preserve">The Rewan </w:t>
      </w:r>
      <w:r w:rsidR="00F60268">
        <w:t>G</w:t>
      </w:r>
      <w:r w:rsidR="00DD07AF">
        <w:t>roup</w:t>
      </w:r>
    </w:p>
    <w:p w:rsidR="00DD07AF" w:rsidRPr="001265D7" w:rsidRDefault="00DD07AF" w:rsidP="00F60268">
      <w:pPr>
        <w:pStyle w:val="BRNormal"/>
      </w:pPr>
      <w:r>
        <w:t>The Rewan Group is considered to be a major</w:t>
      </w:r>
      <w:r w:rsidRPr="00CB34F3">
        <w:t xml:space="preserve"> aquitard</w:t>
      </w:r>
      <w:r>
        <w:t xml:space="preserve"> of the Bowen Basin</w:t>
      </w:r>
      <w:r w:rsidRPr="00CB34F3">
        <w:t xml:space="preserve"> and </w:t>
      </w:r>
      <w:r>
        <w:t xml:space="preserve">it is recognised as </w:t>
      </w:r>
      <w:r w:rsidRPr="00CB34F3">
        <w:t>the basal confining layer of the GAB</w:t>
      </w:r>
      <w:r>
        <w:t>. The Rewan Group</w:t>
      </w:r>
      <w:r w:rsidRPr="00CB34F3">
        <w:t xml:space="preserve"> separates the </w:t>
      </w:r>
      <w:r>
        <w:t xml:space="preserve">overlying </w:t>
      </w:r>
      <w:r w:rsidRPr="00CB34F3">
        <w:t xml:space="preserve">Clematis Group sandstones from the underlying Permian </w:t>
      </w:r>
      <w:r>
        <w:t>coal measures and d</w:t>
      </w:r>
      <w:r w:rsidR="00F60268">
        <w:t>eep isolated reservoirs (WorleyParsons</w:t>
      </w:r>
      <w:r>
        <w:t xml:space="preserve"> 2010).</w:t>
      </w:r>
      <w:r w:rsidRPr="008C1785">
        <w:t xml:space="preserve"> The Rewan Group consists of interbedded </w:t>
      </w:r>
      <w:r>
        <w:t xml:space="preserve">shale, </w:t>
      </w:r>
      <w:r w:rsidRPr="008C1785">
        <w:t>mudstone, siltstone and lithic sandstone with minor amounts of conglomerate (Radke et al</w:t>
      </w:r>
      <w:r>
        <w:t>.</w:t>
      </w:r>
      <w:r w:rsidRPr="008C1785">
        <w:t xml:space="preserve"> 2000). The upper section </w:t>
      </w:r>
      <w:r>
        <w:t>is mostly</w:t>
      </w:r>
      <w:r w:rsidRPr="008C1785">
        <w:t xml:space="preserve"> shale and is considered to </w:t>
      </w:r>
      <w:r>
        <w:t>be</w:t>
      </w:r>
      <w:r w:rsidRPr="008C1785">
        <w:t xml:space="preserve"> a seal </w:t>
      </w:r>
      <w:r>
        <w:t>for</w:t>
      </w:r>
      <w:r w:rsidRPr="008C1785">
        <w:t xml:space="preserve"> the basal Rewan Group sandstones (Hennig et al. 2006). </w:t>
      </w:r>
      <w:r w:rsidRPr="00CB34F3">
        <w:t>Silicification and clay alteration has significantly reduced the porosity and permeability in this formation (</w:t>
      </w:r>
      <w:r w:rsidR="00F60268">
        <w:t>Cadman et al.</w:t>
      </w:r>
      <w:r w:rsidRPr="00CB34F3">
        <w:t xml:space="preserve"> 1998</w:t>
      </w:r>
      <w:r w:rsidR="00F60268">
        <w:t xml:space="preserve"> cited within QWC</w:t>
      </w:r>
      <w:r>
        <w:t xml:space="preserve"> 2012a</w:t>
      </w:r>
      <w:r w:rsidRPr="00CB34F3">
        <w:t>) and no significant aquifers exist.</w:t>
      </w:r>
      <w:r>
        <w:t xml:space="preserve"> </w:t>
      </w:r>
      <w:r w:rsidRPr="008C1785">
        <w:t>The max</w:t>
      </w:r>
      <w:r w:rsidR="006948B3">
        <w:t>imum encountered thickness of 1</w:t>
      </w:r>
      <w:r w:rsidRPr="008C1785">
        <w:t>363</w:t>
      </w:r>
      <w:r w:rsidR="007C7837">
        <w:t> </w:t>
      </w:r>
      <w:r w:rsidR="006948B3">
        <w:t>m in the Bowen Basin (DME</w:t>
      </w:r>
      <w:r w:rsidRPr="008C1785">
        <w:t xml:space="preserve"> 1997) may increase up to a s</w:t>
      </w:r>
      <w:r w:rsidR="006948B3">
        <w:t>uspected maximum thickness of 3</w:t>
      </w:r>
      <w:r w:rsidRPr="008C1785">
        <w:t>500</w:t>
      </w:r>
      <w:r w:rsidR="007C7837">
        <w:t> </w:t>
      </w:r>
      <w:r w:rsidRPr="008C1785">
        <w:t>m</w:t>
      </w:r>
      <w:r>
        <w:t xml:space="preserve"> (WorleyParsons 2010)</w:t>
      </w:r>
      <w:r w:rsidRPr="008C1785">
        <w:t>.</w:t>
      </w:r>
      <w:r>
        <w:t xml:space="preserve"> </w:t>
      </w:r>
    </w:p>
    <w:p w:rsidR="00DD07AF" w:rsidRDefault="00DD07AF" w:rsidP="006948B3">
      <w:pPr>
        <w:pStyle w:val="BRNormal"/>
      </w:pPr>
      <w:r w:rsidRPr="001265D7">
        <w:t>Gro</w:t>
      </w:r>
      <w:r>
        <w:t>undwater level data</w:t>
      </w:r>
      <w:r w:rsidRPr="001265D7">
        <w:t xml:space="preserve"> </w:t>
      </w:r>
      <w:r>
        <w:t xml:space="preserve">reviewed by Santos (2009) </w:t>
      </w:r>
      <w:r w:rsidRPr="001265D7">
        <w:t>suggest little or no response to seasonal influence of wet and dry seasonal cycles</w:t>
      </w:r>
      <w:r w:rsidR="006948B3">
        <w:t xml:space="preserve"> (WorleyParsons </w:t>
      </w:r>
      <w:r>
        <w:t>2010)</w:t>
      </w:r>
      <w:r w:rsidRPr="001265D7">
        <w:t>.</w:t>
      </w:r>
      <w:r>
        <w:t xml:space="preserve"> QWC (2012a) estimated that 185 ML/annum is abstracted from the Rewan Group for stock and domestic purposes.</w:t>
      </w:r>
    </w:p>
    <w:p w:rsidR="00DD07AF" w:rsidRDefault="006948B3" w:rsidP="005F6513">
      <w:pPr>
        <w:pStyle w:val="Heading3"/>
      </w:pPr>
      <w:bookmarkStart w:id="636" w:name="_Toc334711978"/>
      <w:bookmarkStart w:id="637" w:name="_Toc381961165"/>
      <w:r>
        <w:t>Cumulative management of a</w:t>
      </w:r>
      <w:r w:rsidR="00DD07AF">
        <w:t>quifers in the Surat and Bowen Basin</w:t>
      </w:r>
      <w:bookmarkEnd w:id="636"/>
      <w:r w:rsidR="00947A79">
        <w:t>s</w:t>
      </w:r>
      <w:bookmarkEnd w:id="637"/>
    </w:p>
    <w:p w:rsidR="00DD07AF" w:rsidRDefault="00DD07AF" w:rsidP="006948B3">
      <w:pPr>
        <w:pStyle w:val="BRNormal"/>
        <w:rPr>
          <w:szCs w:val="21"/>
        </w:rPr>
      </w:pPr>
      <w:r w:rsidRPr="001D580B">
        <w:t xml:space="preserve">Coal seam gas production involves pumping large quantities of groundwater from </w:t>
      </w:r>
      <w:r>
        <w:t xml:space="preserve">buried </w:t>
      </w:r>
      <w:r w:rsidRPr="001D580B">
        <w:t>coal</w:t>
      </w:r>
      <w:r>
        <w:t xml:space="preserve"> </w:t>
      </w:r>
      <w:r w:rsidRPr="001D580B">
        <w:t xml:space="preserve">formations to reduce </w:t>
      </w:r>
      <w:r>
        <w:t>groundwater pressure and release</w:t>
      </w:r>
      <w:r w:rsidRPr="001D580B">
        <w:t xml:space="preserve"> the gas that is</w:t>
      </w:r>
      <w:r>
        <w:t xml:space="preserve"> </w:t>
      </w:r>
      <w:r w:rsidRPr="001D580B">
        <w:t>attached to the coal</w:t>
      </w:r>
      <w:r w:rsidR="00B606B7">
        <w:t xml:space="preserve"> (QWC</w:t>
      </w:r>
      <w:r>
        <w:t xml:space="preserve"> 2012a)</w:t>
      </w:r>
      <w:r w:rsidRPr="001D580B">
        <w:t xml:space="preserve">. In the Surat and southern Bowen Basins, </w:t>
      </w:r>
      <w:r>
        <w:t xml:space="preserve">rapid </w:t>
      </w:r>
      <w:r w:rsidRPr="001D580B">
        <w:t>expansion of coal seam gas production is proposed, involving multiple developers</w:t>
      </w:r>
      <w:r>
        <w:t xml:space="preserve"> across many adjacent tenements</w:t>
      </w:r>
      <w:r w:rsidRPr="001D580B">
        <w:t xml:space="preserve">. </w:t>
      </w:r>
      <w:r w:rsidR="00BD641A">
        <w:t>In response to these proposals</w:t>
      </w:r>
      <w:r w:rsidRPr="001D580B">
        <w:t>, the Surat Cumulative Management Area</w:t>
      </w:r>
      <w:r>
        <w:t xml:space="preserve"> (Surat CMA)</w:t>
      </w:r>
      <w:r w:rsidRPr="001D580B">
        <w:t xml:space="preserve"> </w:t>
      </w:r>
      <w:r>
        <w:t>was established on 18</w:t>
      </w:r>
      <w:r w:rsidR="00B606B7">
        <w:t> </w:t>
      </w:r>
      <w:r>
        <w:t>March 2011</w:t>
      </w:r>
      <w:r w:rsidR="00E77F4B">
        <w:t xml:space="preserve">, the management of which </w:t>
      </w:r>
      <w:r w:rsidR="007F57FE">
        <w:t>is</w:t>
      </w:r>
      <w:r w:rsidR="00E77F4B">
        <w:t xml:space="preserve"> overseen by the Office of Groundwater Impact Assessment (OGIA)</w:t>
      </w:r>
      <w:r>
        <w:t>. The Surat CMA is focused on c</w:t>
      </w:r>
      <w:r w:rsidRPr="001D580B">
        <w:t>oal seam gas produced from the Walloon Coal Measures of the</w:t>
      </w:r>
      <w:r>
        <w:t xml:space="preserve"> </w:t>
      </w:r>
      <w:r w:rsidRPr="001D580B">
        <w:t xml:space="preserve">Surat Basin and the Bandanna Formation of the Bowen Basin. </w:t>
      </w:r>
      <w:r>
        <w:t>It does not include CSG abstracted from the Moranbah Coal Measures in the northern Bowen Basin.</w:t>
      </w:r>
      <w:r w:rsidR="0003024A">
        <w:t xml:space="preserve"> Figure 27</w:t>
      </w:r>
      <w:r>
        <w:t xml:space="preserve"> shows the boundaries of the Surat CMA in context of the southern bounds of the Bowen Basin. </w:t>
      </w:r>
    </w:p>
    <w:p w:rsidR="00DD07AF" w:rsidRDefault="00DD07AF" w:rsidP="001C3374">
      <w:pPr>
        <w:pStyle w:val="Body"/>
      </w:pPr>
      <w:r w:rsidRPr="00851AF8">
        <w:rPr>
          <w:noProof/>
          <w:lang w:val="en-AU" w:eastAsia="en-AU"/>
        </w:rPr>
        <w:lastRenderedPageBreak/>
        <w:drawing>
          <wp:inline distT="0" distB="0" distL="0" distR="0">
            <wp:extent cx="5581650" cy="7941817"/>
            <wp:effectExtent l="0" t="0" r="0" b="0"/>
            <wp:docPr id="4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3" cstate="email"/>
                    <a:srcRect/>
                    <a:stretch>
                      <a:fillRect/>
                    </a:stretch>
                  </pic:blipFill>
                  <pic:spPr bwMode="auto">
                    <a:xfrm>
                      <a:off x="0" y="0"/>
                      <a:ext cx="5587930" cy="7950752"/>
                    </a:xfrm>
                    <a:prstGeom prst="rect">
                      <a:avLst/>
                    </a:prstGeom>
                    <a:noFill/>
                    <a:ln w="9525">
                      <a:noFill/>
                      <a:miter lim="800000"/>
                      <a:headEnd/>
                      <a:tailEnd/>
                    </a:ln>
                  </pic:spPr>
                </pic:pic>
              </a:graphicData>
            </a:graphic>
          </wp:inline>
        </w:drawing>
      </w:r>
    </w:p>
    <w:p w:rsidR="00DD07AF" w:rsidRDefault="00B606B7" w:rsidP="00B606B7">
      <w:pPr>
        <w:pStyle w:val="Caption"/>
      </w:pPr>
      <w:bookmarkStart w:id="638" w:name="_Ref333591260"/>
      <w:r w:rsidRPr="00EA5A48">
        <w:t xml:space="preserve">Figure </w:t>
      </w:r>
      <w:r w:rsidR="00E23933" w:rsidRPr="00EA5A48">
        <w:rPr>
          <w:b/>
        </w:rPr>
        <w:fldChar w:fldCharType="begin"/>
      </w:r>
      <w:r w:rsidRPr="00EA5A48">
        <w:instrText xml:space="preserve"> SEQ Figure \* ARABIC </w:instrText>
      </w:r>
      <w:r w:rsidR="00E23933" w:rsidRPr="00EA5A48">
        <w:rPr>
          <w:b/>
        </w:rPr>
        <w:fldChar w:fldCharType="separate"/>
      </w:r>
      <w:r w:rsidR="0003024A">
        <w:t>27</w:t>
      </w:r>
      <w:r w:rsidR="00E23933" w:rsidRPr="00EA5A48">
        <w:rPr>
          <w:b/>
        </w:rPr>
        <w:fldChar w:fldCharType="end"/>
      </w:r>
      <w:r>
        <w:rPr>
          <w:b/>
        </w:rPr>
        <w:t xml:space="preserve"> </w:t>
      </w:r>
      <w:bookmarkEnd w:id="638"/>
      <w:r w:rsidR="00DD07AF">
        <w:t xml:space="preserve">Bounds of the Surat Cumulative Management Area including aquifers and aquitards of the </w:t>
      </w:r>
      <w:r>
        <w:t>southern Bowen Basin (</w:t>
      </w:r>
      <w:r w:rsidR="00F976E1">
        <w:t>© Copyright</w:t>
      </w:r>
      <w:r w:rsidR="00BD641A">
        <w:t>,</w:t>
      </w:r>
      <w:r>
        <w:t xml:space="preserve"> QWC</w:t>
      </w:r>
      <w:r w:rsidR="00DD07AF">
        <w:t xml:space="preserve"> 2012a)</w:t>
      </w:r>
      <w:r>
        <w:t>.</w:t>
      </w:r>
    </w:p>
    <w:p w:rsidR="00DD07AF" w:rsidRDefault="00BD641A" w:rsidP="005F6513">
      <w:pPr>
        <w:pStyle w:val="Heading2"/>
      </w:pPr>
      <w:bookmarkStart w:id="639" w:name="_Toc334711979"/>
      <w:bookmarkStart w:id="640" w:name="_Toc381961166"/>
      <w:bookmarkStart w:id="641" w:name="_Toc389055253"/>
      <w:r>
        <w:lastRenderedPageBreak/>
        <w:t xml:space="preserve">Hydraulic </w:t>
      </w:r>
      <w:r w:rsidR="00B606B7">
        <w:t>p</w:t>
      </w:r>
      <w:r w:rsidR="00DD07AF">
        <w:t>roperties</w:t>
      </w:r>
      <w:bookmarkEnd w:id="639"/>
      <w:bookmarkEnd w:id="640"/>
      <w:bookmarkEnd w:id="641"/>
    </w:p>
    <w:p w:rsidR="00DD07AF" w:rsidRDefault="00BD641A" w:rsidP="005F6513">
      <w:pPr>
        <w:pStyle w:val="Heading3"/>
      </w:pPr>
      <w:bookmarkStart w:id="642" w:name="_Toc334711980"/>
      <w:bookmarkStart w:id="643" w:name="_Toc381961167"/>
      <w:r>
        <w:t>Horizontal and vertical hydraulic conductivity</w:t>
      </w:r>
      <w:r w:rsidR="00DD07AF">
        <w:t xml:space="preserve"> measurements</w:t>
      </w:r>
      <w:bookmarkEnd w:id="642"/>
      <w:bookmarkEnd w:id="643"/>
    </w:p>
    <w:p w:rsidR="00DD07AF" w:rsidRDefault="00DD07AF" w:rsidP="00B606B7">
      <w:pPr>
        <w:pStyle w:val="BRNormal"/>
      </w:pPr>
      <w:r>
        <w:t>QWC (2012c) estimated hydraulic parameter data for the Surat CMA groundwater model HSUs (including the major HSUs within the Bowen Basin) based on three main sources:</w:t>
      </w:r>
    </w:p>
    <w:p w:rsidR="00DD07AF" w:rsidRPr="00F561C3" w:rsidRDefault="00DD07AF" w:rsidP="00B606B7">
      <w:pPr>
        <w:pStyle w:val="Bulletpoint"/>
      </w:pPr>
      <w:r w:rsidRPr="00F561C3">
        <w:t>Queensland Petroleum Exploratio</w:t>
      </w:r>
      <w:r w:rsidR="00B606B7">
        <w:t>n Da</w:t>
      </w:r>
      <w:r w:rsidR="008170B3">
        <w:t>tabase: a</w:t>
      </w:r>
      <w:r w:rsidR="00B606B7">
        <w:t xml:space="preserve"> total of 9</w:t>
      </w:r>
      <w:r w:rsidRPr="00F561C3">
        <w:t>639 estimates of horizontal and/or vertical hydraulic conductivity obtained from Drill Stem Testing (DST) w</w:t>
      </w:r>
      <w:r w:rsidR="00C73ED2">
        <w:t>ere extracted from the database</w:t>
      </w:r>
    </w:p>
    <w:p w:rsidR="00DD07AF" w:rsidRPr="00F561C3" w:rsidRDefault="00430F44" w:rsidP="00B606B7">
      <w:pPr>
        <w:pStyle w:val="Bulletpoint"/>
      </w:pPr>
      <w:r>
        <w:t>Queensland</w:t>
      </w:r>
      <w:r w:rsidR="008170B3">
        <w:t xml:space="preserve"> Groundwater Database (</w:t>
      </w:r>
      <w:r>
        <w:t>Q</w:t>
      </w:r>
      <w:r w:rsidR="008170B3">
        <w:t>GD):</w:t>
      </w:r>
      <w:r w:rsidR="00DD07AF" w:rsidRPr="00F561C3">
        <w:t xml:space="preserve"> </w:t>
      </w:r>
      <w:r w:rsidR="008170B3">
        <w:t>t</w:t>
      </w:r>
      <w:r w:rsidR="00B606B7">
        <w:t>ransmissivity estimates from 2</w:t>
      </w:r>
      <w:r w:rsidR="00DD07AF" w:rsidRPr="00F561C3">
        <w:t xml:space="preserve">783 pumping tests </w:t>
      </w:r>
      <w:r w:rsidR="00C73ED2">
        <w:t>and 61 estimates of storativity</w:t>
      </w:r>
    </w:p>
    <w:p w:rsidR="00DD07AF" w:rsidRPr="00F561C3" w:rsidRDefault="00DD07AF" w:rsidP="00B606B7">
      <w:pPr>
        <w:pStyle w:val="Bulletpoint"/>
      </w:pPr>
      <w:r w:rsidRPr="00F561C3">
        <w:t>CSG companies.</w:t>
      </w:r>
    </w:p>
    <w:p w:rsidR="00807362" w:rsidRDefault="00DD07AF" w:rsidP="00B606B7">
      <w:pPr>
        <w:pStyle w:val="BRNormal"/>
      </w:pPr>
      <w:r>
        <w:t>Estimates of horizontal hydraulic conductivity (Kh) for the Moolayember Formation aquitard, the Clematis Group Sandstone aquifer, the Rewan Group aquitard, the Bandan</w:t>
      </w:r>
      <w:r w:rsidR="00BD641A">
        <w:t>na Formation water-bearing unit</w:t>
      </w:r>
      <w:r>
        <w:t xml:space="preserve"> and the deeper reservoirs are summarised in</w:t>
      </w:r>
      <w:r w:rsidR="0003024A">
        <w:t xml:space="preserve"> Table 20</w:t>
      </w:r>
      <w:r>
        <w:t>. Equivalent estimates of vertical hydraulic conductivity (Kv) for the same units are summarised in</w:t>
      </w:r>
      <w:r w:rsidR="0003024A">
        <w:t xml:space="preserve"> Table 21</w:t>
      </w:r>
      <w:r>
        <w:t>.</w:t>
      </w:r>
    </w:p>
    <w:p w:rsidR="00807362" w:rsidRPr="0027668F" w:rsidRDefault="0003024A" w:rsidP="00807362">
      <w:pPr>
        <w:pStyle w:val="BRNormal"/>
      </w:pPr>
      <w:r>
        <w:t>Figure 28</w:t>
      </w:r>
      <w:r w:rsidR="00807362">
        <w:t xml:space="preserve"> pro</w:t>
      </w:r>
      <w:r w:rsidR="00BD641A">
        <w:t>vides a statistical summary of hydraulic conductivity (K)</w:t>
      </w:r>
      <w:r w:rsidR="00807362">
        <w:t xml:space="preserve"> data available for the Surat and Bowen Basin</w:t>
      </w:r>
      <w:r w:rsidR="00BD641A">
        <w:t>s</w:t>
      </w:r>
      <w:r w:rsidR="00807362">
        <w:t xml:space="preserve">. The provided ranges and means are plausible, but since it combines data from different tests, the </w:t>
      </w:r>
      <w:r w:rsidR="00BD641A">
        <w:t>Figure 28</w:t>
      </w:r>
      <w:r w:rsidR="00807362">
        <w:t xml:space="preserve"> needs to be interpreted with care. </w:t>
      </w:r>
      <w:r w:rsidR="00C73ED2">
        <w:t>Figure 28</w:t>
      </w:r>
      <w:r w:rsidR="00807362">
        <w:t xml:space="preserve"> does show that the median </w:t>
      </w:r>
      <w:r w:rsidR="00BD641A">
        <w:t xml:space="preserve">horizontal hydraulic conductivity </w:t>
      </w:r>
      <w:r w:rsidR="00807362">
        <w:t xml:space="preserve">for the Clematis Group sandstone aquifer is equivalent to the overlying Precipice Sandstone aquifer of the Surat Basin (see chapter 6). The median </w:t>
      </w:r>
      <w:r w:rsidR="00BD641A">
        <w:t xml:space="preserve">horizontal hydraulic conductivity </w:t>
      </w:r>
      <w:r w:rsidR="00807362">
        <w:t xml:space="preserve">for the Clematis Group is also one to two orders of magnitude higher than the </w:t>
      </w:r>
      <w:r w:rsidR="00BD641A">
        <w:t xml:space="preserve">horizontal hydraulic conductivities </w:t>
      </w:r>
      <w:r w:rsidR="00807362">
        <w:t xml:space="preserve">for the Moolayember Formation, the Rewan Group and the Bandanna Formation. </w:t>
      </w:r>
    </w:p>
    <w:p w:rsidR="009C316A" w:rsidRDefault="009C316A" w:rsidP="00B606B7">
      <w:pPr>
        <w:pStyle w:val="Caption"/>
      </w:pPr>
      <w:bookmarkStart w:id="644" w:name="_Ref333597269"/>
    </w:p>
    <w:p w:rsidR="00DD07AF" w:rsidRPr="00B606B7" w:rsidRDefault="00B606B7" w:rsidP="00B606B7">
      <w:pPr>
        <w:pStyle w:val="Caption"/>
      </w:pPr>
      <w:r w:rsidRPr="00B606B7">
        <w:t xml:space="preserve">Table </w:t>
      </w:r>
      <w:r w:rsidR="00E23933" w:rsidRPr="00B606B7">
        <w:fldChar w:fldCharType="begin"/>
      </w:r>
      <w:r w:rsidRPr="00B606B7">
        <w:instrText xml:space="preserve"> SEQ Table \* ARABIC </w:instrText>
      </w:r>
      <w:r w:rsidR="00E23933" w:rsidRPr="00B606B7">
        <w:fldChar w:fldCharType="separate"/>
      </w:r>
      <w:r w:rsidR="00BD641A">
        <w:t>20</w:t>
      </w:r>
      <w:r w:rsidR="00E23933" w:rsidRPr="00B606B7">
        <w:fldChar w:fldCharType="end"/>
      </w:r>
      <w:r w:rsidRPr="00B606B7">
        <w:t xml:space="preserve"> </w:t>
      </w:r>
      <w:bookmarkEnd w:id="644"/>
      <w:r w:rsidR="00DD07AF" w:rsidRPr="00B606B7">
        <w:t xml:space="preserve">Summary of Kh estimates collated for Bowen Basin HSUs </w:t>
      </w:r>
      <w:r>
        <w:t>within the Surat CMA (</w:t>
      </w:r>
      <w:r w:rsidR="00F976E1">
        <w:t>© Copyright</w:t>
      </w:r>
      <w:r w:rsidR="00BD641A">
        <w:t>,</w:t>
      </w:r>
      <w:r>
        <w:t xml:space="preserve"> QWC</w:t>
      </w:r>
      <w:r w:rsidR="00DD07AF" w:rsidRPr="00B606B7">
        <w:t xml:space="preserve"> 2012b)</w:t>
      </w:r>
      <w:r w:rsidRPr="00B606B7">
        <w:t>.</w:t>
      </w:r>
    </w:p>
    <w:tbl>
      <w:tblPr>
        <w:tblStyle w:val="TableGrid"/>
        <w:tblW w:w="0" w:type="auto"/>
        <w:tblInd w:w="108" w:type="dxa"/>
        <w:tblLayout w:type="fixed"/>
        <w:tblLook w:val="04A0"/>
      </w:tblPr>
      <w:tblGrid>
        <w:gridCol w:w="2660"/>
        <w:gridCol w:w="1701"/>
        <w:gridCol w:w="1559"/>
        <w:gridCol w:w="1559"/>
        <w:gridCol w:w="1560"/>
      </w:tblGrid>
      <w:tr w:rsidR="00DD07AF" w:rsidRPr="00B606B7" w:rsidTr="00C73ED2">
        <w:trPr>
          <w:tblHeader/>
        </w:trPr>
        <w:tc>
          <w:tcPr>
            <w:tcW w:w="2660" w:type="dxa"/>
            <w:vMerge w:val="restart"/>
            <w:shd w:val="clear" w:color="auto" w:fill="C6D9F1" w:themeFill="text2" w:themeFillTint="33"/>
          </w:tcPr>
          <w:p w:rsidR="00DD07AF" w:rsidRPr="00B606B7" w:rsidRDefault="00DD07AF" w:rsidP="006B0EC2">
            <w:pPr>
              <w:pStyle w:val="Tableheading"/>
            </w:pPr>
            <w:r w:rsidRPr="00B606B7">
              <w:t>HSU</w:t>
            </w:r>
          </w:p>
        </w:tc>
        <w:tc>
          <w:tcPr>
            <w:tcW w:w="1701" w:type="dxa"/>
            <w:vMerge w:val="restart"/>
            <w:shd w:val="clear" w:color="auto" w:fill="C6D9F1" w:themeFill="text2" w:themeFillTint="33"/>
          </w:tcPr>
          <w:p w:rsidR="00DD07AF" w:rsidRPr="00B606B7" w:rsidRDefault="00DD07AF" w:rsidP="006B0EC2">
            <w:pPr>
              <w:pStyle w:val="Tableheading"/>
            </w:pPr>
            <w:r w:rsidRPr="00B606B7">
              <w:t>Number of tests</w:t>
            </w:r>
            <w:r w:rsidR="007711B1" w:rsidRPr="00B606B7">
              <w:t xml:space="preserve"> </w:t>
            </w:r>
            <w:r w:rsidRPr="00B606B7">
              <w:t>/</w:t>
            </w:r>
            <w:r w:rsidR="007711B1" w:rsidRPr="00B606B7">
              <w:t xml:space="preserve"> </w:t>
            </w:r>
            <w:r w:rsidRPr="00B606B7">
              <w:t>estimates</w:t>
            </w:r>
          </w:p>
        </w:tc>
        <w:tc>
          <w:tcPr>
            <w:tcW w:w="4678" w:type="dxa"/>
            <w:gridSpan w:val="3"/>
            <w:shd w:val="clear" w:color="auto" w:fill="C6D9F1" w:themeFill="text2" w:themeFillTint="33"/>
          </w:tcPr>
          <w:p w:rsidR="00DD07AF" w:rsidRPr="00B606B7" w:rsidRDefault="006B0EC2" w:rsidP="006B0EC2">
            <w:pPr>
              <w:pStyle w:val="Tableheading"/>
            </w:pPr>
            <w:r>
              <w:t>Horizontal hydraulic c</w:t>
            </w:r>
            <w:r w:rsidR="00DD07AF" w:rsidRPr="00B606B7">
              <w:t>onductivity (m/day)</w:t>
            </w:r>
          </w:p>
        </w:tc>
      </w:tr>
      <w:tr w:rsidR="00DD07AF" w:rsidRPr="00B606B7" w:rsidTr="00C73ED2">
        <w:trPr>
          <w:tblHeader/>
        </w:trPr>
        <w:tc>
          <w:tcPr>
            <w:tcW w:w="2660" w:type="dxa"/>
            <w:vMerge/>
            <w:shd w:val="clear" w:color="auto" w:fill="C6D9F1" w:themeFill="text2" w:themeFillTint="33"/>
          </w:tcPr>
          <w:p w:rsidR="00DD07AF" w:rsidRPr="00B606B7" w:rsidRDefault="00DD07AF" w:rsidP="006B0EC2">
            <w:pPr>
              <w:pStyle w:val="Tableheading"/>
            </w:pPr>
          </w:p>
        </w:tc>
        <w:tc>
          <w:tcPr>
            <w:tcW w:w="1701" w:type="dxa"/>
            <w:vMerge/>
            <w:shd w:val="clear" w:color="auto" w:fill="C6D9F1" w:themeFill="text2" w:themeFillTint="33"/>
          </w:tcPr>
          <w:p w:rsidR="00DD07AF" w:rsidRPr="00B606B7" w:rsidRDefault="00DD07AF" w:rsidP="006B0EC2">
            <w:pPr>
              <w:pStyle w:val="Tableheading"/>
            </w:pPr>
          </w:p>
        </w:tc>
        <w:tc>
          <w:tcPr>
            <w:tcW w:w="1559" w:type="dxa"/>
            <w:shd w:val="clear" w:color="auto" w:fill="C6D9F1" w:themeFill="text2" w:themeFillTint="33"/>
          </w:tcPr>
          <w:p w:rsidR="00DD07AF" w:rsidRPr="00B606B7" w:rsidRDefault="00DD07AF" w:rsidP="006B0EC2">
            <w:pPr>
              <w:pStyle w:val="Tableheading"/>
            </w:pPr>
            <w:r w:rsidRPr="00B606B7">
              <w:t>Minimum</w:t>
            </w:r>
          </w:p>
        </w:tc>
        <w:tc>
          <w:tcPr>
            <w:tcW w:w="1559" w:type="dxa"/>
            <w:shd w:val="clear" w:color="auto" w:fill="C6D9F1" w:themeFill="text2" w:themeFillTint="33"/>
          </w:tcPr>
          <w:p w:rsidR="00DD07AF" w:rsidRPr="00B606B7" w:rsidRDefault="00DD07AF" w:rsidP="006B0EC2">
            <w:pPr>
              <w:pStyle w:val="Tableheading"/>
            </w:pPr>
            <w:r w:rsidRPr="00B606B7">
              <w:t>Maximum</w:t>
            </w:r>
          </w:p>
        </w:tc>
        <w:tc>
          <w:tcPr>
            <w:tcW w:w="1560" w:type="dxa"/>
            <w:shd w:val="clear" w:color="auto" w:fill="C6D9F1" w:themeFill="text2" w:themeFillTint="33"/>
          </w:tcPr>
          <w:p w:rsidR="00DD07AF" w:rsidRPr="00B606B7" w:rsidRDefault="00DD07AF" w:rsidP="006B0EC2">
            <w:pPr>
              <w:pStyle w:val="Tableheading"/>
            </w:pPr>
            <w:r w:rsidRPr="00B606B7">
              <w:t>Median</w:t>
            </w:r>
          </w:p>
        </w:tc>
      </w:tr>
      <w:tr w:rsidR="00DD07AF" w:rsidRPr="00B606B7" w:rsidTr="00C73ED2">
        <w:tc>
          <w:tcPr>
            <w:tcW w:w="2660" w:type="dxa"/>
          </w:tcPr>
          <w:p w:rsidR="00DD07AF" w:rsidRPr="00B606B7" w:rsidRDefault="00DD07AF" w:rsidP="006B0EC2">
            <w:pPr>
              <w:pStyle w:val="Tabletext"/>
            </w:pPr>
            <w:r w:rsidRPr="00B606B7">
              <w:t>Moolayember Formation (Aquitard)</w:t>
            </w:r>
          </w:p>
        </w:tc>
        <w:tc>
          <w:tcPr>
            <w:tcW w:w="1701" w:type="dxa"/>
          </w:tcPr>
          <w:p w:rsidR="00DD07AF" w:rsidRPr="00B606B7" w:rsidRDefault="00DD07AF" w:rsidP="006B0EC2">
            <w:pPr>
              <w:pStyle w:val="Tabletext"/>
            </w:pPr>
            <w:r w:rsidRPr="00B606B7">
              <w:t>416</w:t>
            </w:r>
          </w:p>
        </w:tc>
        <w:tc>
          <w:tcPr>
            <w:tcW w:w="1559" w:type="dxa"/>
          </w:tcPr>
          <w:p w:rsidR="00DD07AF" w:rsidRPr="00B606B7" w:rsidRDefault="00DD07AF" w:rsidP="006B0EC2">
            <w:pPr>
              <w:pStyle w:val="Tabletext"/>
            </w:pPr>
            <w:r w:rsidRPr="00B606B7">
              <w:t>8.31x10</w:t>
            </w:r>
            <w:r w:rsidRPr="00B606B7">
              <w:rPr>
                <w:vertAlign w:val="superscript"/>
              </w:rPr>
              <w:t>-6</w:t>
            </w:r>
          </w:p>
        </w:tc>
        <w:tc>
          <w:tcPr>
            <w:tcW w:w="1559" w:type="dxa"/>
          </w:tcPr>
          <w:p w:rsidR="00DD07AF" w:rsidRPr="00B606B7" w:rsidRDefault="00DD07AF" w:rsidP="006B0EC2">
            <w:pPr>
              <w:pStyle w:val="Tabletext"/>
            </w:pPr>
            <w:r w:rsidRPr="00B606B7">
              <w:t>1.03x10</w:t>
            </w:r>
            <w:r w:rsidRPr="00B606B7">
              <w:rPr>
                <w:vertAlign w:val="superscript"/>
              </w:rPr>
              <w:t>1</w:t>
            </w:r>
          </w:p>
        </w:tc>
        <w:tc>
          <w:tcPr>
            <w:tcW w:w="1560" w:type="dxa"/>
          </w:tcPr>
          <w:p w:rsidR="00DD07AF" w:rsidRPr="00B606B7" w:rsidRDefault="00DD07AF" w:rsidP="006B0EC2">
            <w:pPr>
              <w:pStyle w:val="Tabletext"/>
            </w:pPr>
            <w:r w:rsidRPr="00B606B7">
              <w:t>1.6x10</w:t>
            </w:r>
            <w:r w:rsidRPr="00B606B7">
              <w:rPr>
                <w:vertAlign w:val="superscript"/>
              </w:rPr>
              <w:t>-3</w:t>
            </w:r>
          </w:p>
        </w:tc>
      </w:tr>
      <w:tr w:rsidR="00DD07AF" w:rsidRPr="00B606B7" w:rsidTr="00C73ED2">
        <w:tc>
          <w:tcPr>
            <w:tcW w:w="2660" w:type="dxa"/>
          </w:tcPr>
          <w:p w:rsidR="00DD07AF" w:rsidRPr="00B606B7" w:rsidRDefault="00DD07AF" w:rsidP="006B0EC2">
            <w:pPr>
              <w:pStyle w:val="Tabletext"/>
            </w:pPr>
            <w:r w:rsidRPr="00B606B7">
              <w:t>Clematis Group Sandstones and equivalents (Aquifer)</w:t>
            </w:r>
          </w:p>
        </w:tc>
        <w:tc>
          <w:tcPr>
            <w:tcW w:w="1701" w:type="dxa"/>
          </w:tcPr>
          <w:p w:rsidR="00DD07AF" w:rsidRPr="00B606B7" w:rsidRDefault="00B606B7" w:rsidP="006B0EC2">
            <w:pPr>
              <w:pStyle w:val="Tabletext"/>
            </w:pPr>
            <w:r>
              <w:t>1</w:t>
            </w:r>
            <w:r w:rsidR="00DD07AF" w:rsidRPr="00B606B7">
              <w:t>950</w:t>
            </w:r>
          </w:p>
        </w:tc>
        <w:tc>
          <w:tcPr>
            <w:tcW w:w="1559" w:type="dxa"/>
          </w:tcPr>
          <w:p w:rsidR="00DD07AF" w:rsidRPr="00B606B7" w:rsidRDefault="00DD07AF" w:rsidP="006B0EC2">
            <w:pPr>
              <w:pStyle w:val="Tabletext"/>
            </w:pPr>
            <w:r w:rsidRPr="00B606B7">
              <w:t>8.31x10</w:t>
            </w:r>
            <w:r w:rsidRPr="00B606B7">
              <w:rPr>
                <w:vertAlign w:val="superscript"/>
              </w:rPr>
              <w:t>-6</w:t>
            </w:r>
          </w:p>
        </w:tc>
        <w:tc>
          <w:tcPr>
            <w:tcW w:w="1559" w:type="dxa"/>
          </w:tcPr>
          <w:p w:rsidR="00DD07AF" w:rsidRPr="00B606B7" w:rsidRDefault="00DD07AF" w:rsidP="006B0EC2">
            <w:pPr>
              <w:pStyle w:val="Tabletext"/>
            </w:pPr>
            <w:r w:rsidRPr="00B606B7">
              <w:t>5.46x10</w:t>
            </w:r>
            <w:r w:rsidRPr="00B606B7">
              <w:rPr>
                <w:vertAlign w:val="superscript"/>
              </w:rPr>
              <w:t>1</w:t>
            </w:r>
          </w:p>
        </w:tc>
        <w:tc>
          <w:tcPr>
            <w:tcW w:w="1560" w:type="dxa"/>
          </w:tcPr>
          <w:p w:rsidR="00DD07AF" w:rsidRPr="00B606B7" w:rsidRDefault="00DD07AF" w:rsidP="006B0EC2">
            <w:pPr>
              <w:pStyle w:val="Tabletext"/>
            </w:pPr>
            <w:r w:rsidRPr="00B606B7">
              <w:t>2.7x10</w:t>
            </w:r>
            <w:r w:rsidRPr="00B606B7">
              <w:rPr>
                <w:vertAlign w:val="superscript"/>
              </w:rPr>
              <w:t>-2</w:t>
            </w:r>
          </w:p>
        </w:tc>
      </w:tr>
      <w:tr w:rsidR="00DD07AF" w:rsidRPr="00B606B7" w:rsidTr="00C73ED2">
        <w:tc>
          <w:tcPr>
            <w:tcW w:w="2660" w:type="dxa"/>
          </w:tcPr>
          <w:p w:rsidR="00DD07AF" w:rsidRPr="00B606B7" w:rsidRDefault="00DD07AF" w:rsidP="006B0EC2">
            <w:pPr>
              <w:pStyle w:val="Tabletext"/>
            </w:pPr>
            <w:r w:rsidRPr="00B606B7">
              <w:t>Rewan Group (Aquitard)</w:t>
            </w:r>
          </w:p>
        </w:tc>
        <w:tc>
          <w:tcPr>
            <w:tcW w:w="1701" w:type="dxa"/>
          </w:tcPr>
          <w:p w:rsidR="00DD07AF" w:rsidRPr="00B606B7" w:rsidRDefault="00DD07AF" w:rsidP="006B0EC2">
            <w:pPr>
              <w:pStyle w:val="Tabletext"/>
            </w:pPr>
            <w:r w:rsidRPr="00B606B7">
              <w:t>822</w:t>
            </w:r>
          </w:p>
        </w:tc>
        <w:tc>
          <w:tcPr>
            <w:tcW w:w="1559" w:type="dxa"/>
          </w:tcPr>
          <w:p w:rsidR="00DD07AF" w:rsidRPr="00B606B7" w:rsidRDefault="00DD07AF" w:rsidP="006B0EC2">
            <w:pPr>
              <w:pStyle w:val="Tabletext"/>
            </w:pPr>
            <w:r w:rsidRPr="00B606B7">
              <w:t>8.31x10</w:t>
            </w:r>
            <w:r w:rsidRPr="00B606B7">
              <w:rPr>
                <w:vertAlign w:val="superscript"/>
              </w:rPr>
              <w:t>-6</w:t>
            </w:r>
          </w:p>
        </w:tc>
        <w:tc>
          <w:tcPr>
            <w:tcW w:w="1559" w:type="dxa"/>
          </w:tcPr>
          <w:p w:rsidR="00DD07AF" w:rsidRPr="00B606B7" w:rsidRDefault="00DD07AF" w:rsidP="006B0EC2">
            <w:pPr>
              <w:pStyle w:val="Tabletext"/>
            </w:pPr>
            <w:r w:rsidRPr="00B606B7">
              <w:t>1.86x10</w:t>
            </w:r>
            <w:r w:rsidRPr="00B606B7">
              <w:rPr>
                <w:vertAlign w:val="superscript"/>
              </w:rPr>
              <w:t>0</w:t>
            </w:r>
          </w:p>
        </w:tc>
        <w:tc>
          <w:tcPr>
            <w:tcW w:w="1560" w:type="dxa"/>
          </w:tcPr>
          <w:p w:rsidR="00DD07AF" w:rsidRPr="00B606B7" w:rsidRDefault="00DD07AF" w:rsidP="006B0EC2">
            <w:pPr>
              <w:pStyle w:val="Tabletext"/>
            </w:pPr>
            <w:r w:rsidRPr="00B606B7">
              <w:t>3.6x10</w:t>
            </w:r>
            <w:r w:rsidRPr="00B606B7">
              <w:rPr>
                <w:vertAlign w:val="superscript"/>
              </w:rPr>
              <w:t>-4</w:t>
            </w:r>
          </w:p>
        </w:tc>
      </w:tr>
      <w:tr w:rsidR="00DD07AF" w:rsidRPr="00B606B7" w:rsidTr="00C73ED2">
        <w:tc>
          <w:tcPr>
            <w:tcW w:w="2660" w:type="dxa"/>
          </w:tcPr>
          <w:p w:rsidR="00DD07AF" w:rsidRPr="00B606B7" w:rsidRDefault="00DD07AF" w:rsidP="006B0EC2">
            <w:pPr>
              <w:pStyle w:val="Tabletext"/>
            </w:pPr>
            <w:r w:rsidRPr="00B606B7">
              <w:t>Bandanna Formation – Coal producing formation</w:t>
            </w:r>
          </w:p>
        </w:tc>
        <w:tc>
          <w:tcPr>
            <w:tcW w:w="1701" w:type="dxa"/>
          </w:tcPr>
          <w:p w:rsidR="00DD07AF" w:rsidRPr="00B606B7" w:rsidRDefault="00DD07AF" w:rsidP="006B0EC2">
            <w:pPr>
              <w:pStyle w:val="Tabletext"/>
            </w:pPr>
            <w:r w:rsidRPr="00B606B7">
              <w:t>261</w:t>
            </w:r>
          </w:p>
        </w:tc>
        <w:tc>
          <w:tcPr>
            <w:tcW w:w="1559" w:type="dxa"/>
          </w:tcPr>
          <w:p w:rsidR="00DD07AF" w:rsidRPr="00B606B7" w:rsidRDefault="00DD07AF" w:rsidP="006B0EC2">
            <w:pPr>
              <w:pStyle w:val="Tabletext"/>
            </w:pPr>
            <w:r w:rsidRPr="00B606B7">
              <w:t>8.31x10</w:t>
            </w:r>
            <w:r w:rsidRPr="00B606B7">
              <w:rPr>
                <w:vertAlign w:val="superscript"/>
              </w:rPr>
              <w:t>-6</w:t>
            </w:r>
          </w:p>
        </w:tc>
        <w:tc>
          <w:tcPr>
            <w:tcW w:w="1559" w:type="dxa"/>
          </w:tcPr>
          <w:p w:rsidR="00DD07AF" w:rsidRPr="00B606B7" w:rsidRDefault="00DD07AF" w:rsidP="006B0EC2">
            <w:pPr>
              <w:pStyle w:val="Tabletext"/>
            </w:pPr>
            <w:r w:rsidRPr="00B606B7">
              <w:t>7.84x10</w:t>
            </w:r>
            <w:r w:rsidRPr="00B606B7">
              <w:rPr>
                <w:vertAlign w:val="superscript"/>
              </w:rPr>
              <w:t>0</w:t>
            </w:r>
          </w:p>
        </w:tc>
        <w:tc>
          <w:tcPr>
            <w:tcW w:w="1560" w:type="dxa"/>
          </w:tcPr>
          <w:p w:rsidR="00DD07AF" w:rsidRPr="00B606B7" w:rsidRDefault="00DD07AF" w:rsidP="006B0EC2">
            <w:pPr>
              <w:pStyle w:val="Tabletext"/>
            </w:pPr>
            <w:r w:rsidRPr="00B606B7">
              <w:t>1.0x10</w:t>
            </w:r>
            <w:r w:rsidRPr="00B606B7">
              <w:rPr>
                <w:vertAlign w:val="superscript"/>
              </w:rPr>
              <w:t>-3</w:t>
            </w:r>
          </w:p>
        </w:tc>
      </w:tr>
      <w:tr w:rsidR="00DD07AF" w:rsidRPr="00B606B7" w:rsidTr="00C73ED2">
        <w:tc>
          <w:tcPr>
            <w:tcW w:w="2660" w:type="dxa"/>
          </w:tcPr>
          <w:p w:rsidR="00DD07AF" w:rsidRPr="00B606B7" w:rsidRDefault="00DD07AF" w:rsidP="006B0EC2">
            <w:pPr>
              <w:pStyle w:val="Tabletext"/>
            </w:pPr>
            <w:r w:rsidRPr="00B606B7">
              <w:t>Deeper Reservoirs (e</w:t>
            </w:r>
            <w:r w:rsidR="009C316A">
              <w:t>.</w:t>
            </w:r>
            <w:r w:rsidRPr="00B606B7">
              <w:t>g</w:t>
            </w:r>
            <w:r w:rsidR="009C316A">
              <w:t>.</w:t>
            </w:r>
            <w:r w:rsidRPr="00B606B7">
              <w:t xml:space="preserve"> Back Creek Group)</w:t>
            </w:r>
          </w:p>
        </w:tc>
        <w:tc>
          <w:tcPr>
            <w:tcW w:w="1701" w:type="dxa"/>
          </w:tcPr>
          <w:p w:rsidR="00DD07AF" w:rsidRPr="00B606B7" w:rsidRDefault="00DD07AF" w:rsidP="006B0EC2">
            <w:pPr>
              <w:pStyle w:val="Tabletext"/>
            </w:pPr>
            <w:r w:rsidRPr="00B606B7">
              <w:t>393</w:t>
            </w:r>
          </w:p>
        </w:tc>
        <w:tc>
          <w:tcPr>
            <w:tcW w:w="1559" w:type="dxa"/>
          </w:tcPr>
          <w:p w:rsidR="00DD07AF" w:rsidRPr="00B606B7" w:rsidRDefault="00DD07AF" w:rsidP="006B0EC2">
            <w:pPr>
              <w:pStyle w:val="Tabletext"/>
            </w:pPr>
            <w:r w:rsidRPr="00B606B7">
              <w:t>8.31x10</w:t>
            </w:r>
            <w:r w:rsidRPr="00B606B7">
              <w:rPr>
                <w:vertAlign w:val="superscript"/>
              </w:rPr>
              <w:t>-6</w:t>
            </w:r>
          </w:p>
        </w:tc>
        <w:tc>
          <w:tcPr>
            <w:tcW w:w="1559" w:type="dxa"/>
          </w:tcPr>
          <w:p w:rsidR="00DD07AF" w:rsidRPr="00B606B7" w:rsidRDefault="00DD07AF" w:rsidP="006B0EC2">
            <w:pPr>
              <w:pStyle w:val="Tabletext"/>
            </w:pPr>
            <w:r w:rsidRPr="00B606B7">
              <w:t>1.91x10</w:t>
            </w:r>
            <w:r w:rsidRPr="00B606B7">
              <w:rPr>
                <w:vertAlign w:val="superscript"/>
              </w:rPr>
              <w:t>0</w:t>
            </w:r>
          </w:p>
        </w:tc>
        <w:tc>
          <w:tcPr>
            <w:tcW w:w="1560" w:type="dxa"/>
          </w:tcPr>
          <w:p w:rsidR="00DD07AF" w:rsidRPr="00B606B7" w:rsidRDefault="00DD07AF" w:rsidP="006B0EC2">
            <w:pPr>
              <w:pStyle w:val="Tabletext"/>
            </w:pPr>
            <w:r w:rsidRPr="00B606B7">
              <w:t>1.5x10</w:t>
            </w:r>
            <w:r w:rsidRPr="00B606B7">
              <w:rPr>
                <w:vertAlign w:val="superscript"/>
              </w:rPr>
              <w:t>-3</w:t>
            </w:r>
          </w:p>
        </w:tc>
      </w:tr>
    </w:tbl>
    <w:p w:rsidR="006C1A57" w:rsidRDefault="006C1A57" w:rsidP="001C3374">
      <w:pPr>
        <w:pStyle w:val="Body"/>
      </w:pPr>
    </w:p>
    <w:p w:rsidR="006C1A57" w:rsidRDefault="006C1A57" w:rsidP="001C3374">
      <w:pPr>
        <w:rPr>
          <w:rFonts w:ascii="Calibri" w:hAnsi="Calibri" w:cs="Calibri"/>
          <w:sz w:val="18"/>
          <w:szCs w:val="18"/>
        </w:rPr>
      </w:pPr>
      <w:r>
        <w:br w:type="page"/>
      </w:r>
    </w:p>
    <w:p w:rsidR="00DD07AF" w:rsidRPr="00153C00" w:rsidRDefault="009C316A" w:rsidP="009C316A">
      <w:pPr>
        <w:pStyle w:val="Caption"/>
      </w:pPr>
      <w:bookmarkStart w:id="645" w:name="_Ref333597346"/>
      <w:r w:rsidRPr="006F2073">
        <w:lastRenderedPageBreak/>
        <w:t xml:space="preserve">Table </w:t>
      </w:r>
      <w:r w:rsidR="00E23933" w:rsidRPr="006F2073">
        <w:rPr>
          <w:b/>
          <w:noProof w:val="0"/>
        </w:rPr>
        <w:fldChar w:fldCharType="begin"/>
      </w:r>
      <w:r w:rsidRPr="006F2073">
        <w:instrText xml:space="preserve"> SEQ Table \* ARABIC </w:instrText>
      </w:r>
      <w:r w:rsidR="00E23933" w:rsidRPr="006F2073">
        <w:rPr>
          <w:b/>
          <w:noProof w:val="0"/>
        </w:rPr>
        <w:fldChar w:fldCharType="separate"/>
      </w:r>
      <w:r w:rsidR="0003024A">
        <w:t>21</w:t>
      </w:r>
      <w:r w:rsidR="00E23933" w:rsidRPr="006F2073">
        <w:rPr>
          <w:b/>
        </w:rPr>
        <w:fldChar w:fldCharType="end"/>
      </w:r>
      <w:r>
        <w:rPr>
          <w:b/>
        </w:rPr>
        <w:t xml:space="preserve"> </w:t>
      </w:r>
      <w:bookmarkEnd w:id="645"/>
      <w:r w:rsidR="00DD07AF">
        <w:t xml:space="preserve">Summary of Kv estimates collated for Bowen Basin HSUs </w:t>
      </w:r>
      <w:r>
        <w:t>within the Surat CMA (</w:t>
      </w:r>
      <w:r w:rsidR="00F976E1">
        <w:t>© </w:t>
      </w:r>
      <w:r w:rsidR="00C73ED2">
        <w:t>Coypright,</w:t>
      </w:r>
      <w:r>
        <w:t xml:space="preserve"> QWC</w:t>
      </w:r>
      <w:r w:rsidR="00DD07AF">
        <w:t xml:space="preserve"> 2012b)</w:t>
      </w:r>
      <w:r>
        <w:t>.</w:t>
      </w:r>
    </w:p>
    <w:tbl>
      <w:tblPr>
        <w:tblStyle w:val="TableGrid"/>
        <w:tblW w:w="8931" w:type="dxa"/>
        <w:tblInd w:w="108" w:type="dxa"/>
        <w:tblLayout w:type="fixed"/>
        <w:tblLook w:val="04A0"/>
      </w:tblPr>
      <w:tblGrid>
        <w:gridCol w:w="2660"/>
        <w:gridCol w:w="1593"/>
        <w:gridCol w:w="1559"/>
        <w:gridCol w:w="1559"/>
        <w:gridCol w:w="1560"/>
      </w:tblGrid>
      <w:tr w:rsidR="00DD07AF" w:rsidRPr="009C316A" w:rsidTr="00C73ED2">
        <w:tc>
          <w:tcPr>
            <w:tcW w:w="2660" w:type="dxa"/>
            <w:vMerge w:val="restart"/>
            <w:shd w:val="clear" w:color="auto" w:fill="C6D9F1" w:themeFill="text2" w:themeFillTint="33"/>
          </w:tcPr>
          <w:p w:rsidR="00DD07AF" w:rsidRPr="009C316A" w:rsidRDefault="00DD07AF" w:rsidP="00470AD4">
            <w:pPr>
              <w:pStyle w:val="Tableheading"/>
            </w:pPr>
            <w:r w:rsidRPr="009C316A">
              <w:t>HSU</w:t>
            </w:r>
          </w:p>
        </w:tc>
        <w:tc>
          <w:tcPr>
            <w:tcW w:w="1593" w:type="dxa"/>
            <w:vMerge w:val="restart"/>
            <w:shd w:val="clear" w:color="auto" w:fill="C6D9F1" w:themeFill="text2" w:themeFillTint="33"/>
          </w:tcPr>
          <w:p w:rsidR="00DD07AF" w:rsidRPr="009C316A" w:rsidRDefault="00DD07AF" w:rsidP="00470AD4">
            <w:pPr>
              <w:pStyle w:val="Tableheading"/>
            </w:pPr>
            <w:r w:rsidRPr="009C316A">
              <w:t>Number of tests</w:t>
            </w:r>
            <w:r w:rsidR="007711B1" w:rsidRPr="009C316A">
              <w:t xml:space="preserve"> </w:t>
            </w:r>
            <w:r w:rsidRPr="009C316A">
              <w:t>/</w:t>
            </w:r>
            <w:r w:rsidR="007711B1" w:rsidRPr="009C316A">
              <w:t xml:space="preserve"> </w:t>
            </w:r>
            <w:r w:rsidRPr="009C316A">
              <w:t>estimates</w:t>
            </w:r>
          </w:p>
        </w:tc>
        <w:tc>
          <w:tcPr>
            <w:tcW w:w="4678" w:type="dxa"/>
            <w:gridSpan w:val="3"/>
            <w:shd w:val="clear" w:color="auto" w:fill="C6D9F1" w:themeFill="text2" w:themeFillTint="33"/>
          </w:tcPr>
          <w:p w:rsidR="00DD07AF" w:rsidRPr="009C316A" w:rsidRDefault="006B0EC2" w:rsidP="00470AD4">
            <w:pPr>
              <w:pStyle w:val="Tableheading"/>
            </w:pPr>
            <w:r>
              <w:t>Horizontal hydraulic c</w:t>
            </w:r>
            <w:r w:rsidR="00DD07AF" w:rsidRPr="009C316A">
              <w:t>onductivity (m/day)</w:t>
            </w:r>
          </w:p>
        </w:tc>
      </w:tr>
      <w:tr w:rsidR="00DD07AF" w:rsidRPr="009C316A" w:rsidTr="00C73ED2">
        <w:tc>
          <w:tcPr>
            <w:tcW w:w="2660" w:type="dxa"/>
            <w:vMerge/>
            <w:shd w:val="clear" w:color="auto" w:fill="C6D9F1" w:themeFill="text2" w:themeFillTint="33"/>
          </w:tcPr>
          <w:p w:rsidR="00DD07AF" w:rsidRPr="009C316A" w:rsidRDefault="00DD07AF" w:rsidP="00470AD4">
            <w:pPr>
              <w:pStyle w:val="Tableheading"/>
            </w:pPr>
          </w:p>
        </w:tc>
        <w:tc>
          <w:tcPr>
            <w:tcW w:w="1593" w:type="dxa"/>
            <w:vMerge/>
            <w:shd w:val="clear" w:color="auto" w:fill="C6D9F1" w:themeFill="text2" w:themeFillTint="33"/>
          </w:tcPr>
          <w:p w:rsidR="00DD07AF" w:rsidRPr="009C316A" w:rsidRDefault="00DD07AF" w:rsidP="00470AD4">
            <w:pPr>
              <w:pStyle w:val="Tableheading"/>
            </w:pPr>
          </w:p>
        </w:tc>
        <w:tc>
          <w:tcPr>
            <w:tcW w:w="1559" w:type="dxa"/>
            <w:shd w:val="clear" w:color="auto" w:fill="C6D9F1" w:themeFill="text2" w:themeFillTint="33"/>
          </w:tcPr>
          <w:p w:rsidR="00DD07AF" w:rsidRPr="009C316A" w:rsidRDefault="00DD07AF" w:rsidP="00470AD4">
            <w:pPr>
              <w:pStyle w:val="Tableheading"/>
            </w:pPr>
            <w:r w:rsidRPr="009C316A">
              <w:t>Minimum</w:t>
            </w:r>
          </w:p>
        </w:tc>
        <w:tc>
          <w:tcPr>
            <w:tcW w:w="1559" w:type="dxa"/>
            <w:shd w:val="clear" w:color="auto" w:fill="C6D9F1" w:themeFill="text2" w:themeFillTint="33"/>
          </w:tcPr>
          <w:p w:rsidR="00DD07AF" w:rsidRPr="009C316A" w:rsidRDefault="00DD07AF" w:rsidP="00470AD4">
            <w:pPr>
              <w:pStyle w:val="Tableheading"/>
            </w:pPr>
            <w:r w:rsidRPr="009C316A">
              <w:t>Maximum</w:t>
            </w:r>
          </w:p>
        </w:tc>
        <w:tc>
          <w:tcPr>
            <w:tcW w:w="1560" w:type="dxa"/>
            <w:shd w:val="clear" w:color="auto" w:fill="C6D9F1" w:themeFill="text2" w:themeFillTint="33"/>
          </w:tcPr>
          <w:p w:rsidR="00DD07AF" w:rsidRPr="009C316A" w:rsidRDefault="00DD07AF" w:rsidP="00470AD4">
            <w:pPr>
              <w:pStyle w:val="Tableheading"/>
            </w:pPr>
            <w:r w:rsidRPr="009C316A">
              <w:t>Median</w:t>
            </w:r>
          </w:p>
        </w:tc>
      </w:tr>
      <w:tr w:rsidR="00DD07AF" w:rsidRPr="009C316A" w:rsidTr="00C73ED2">
        <w:tc>
          <w:tcPr>
            <w:tcW w:w="2660" w:type="dxa"/>
          </w:tcPr>
          <w:p w:rsidR="00DD07AF" w:rsidRPr="009C316A" w:rsidRDefault="00DD07AF" w:rsidP="00CB2FBB">
            <w:pPr>
              <w:pStyle w:val="Tabletext"/>
            </w:pPr>
            <w:r w:rsidRPr="009C316A">
              <w:t>Moolayember Formation (Aquitard)</w:t>
            </w:r>
          </w:p>
        </w:tc>
        <w:tc>
          <w:tcPr>
            <w:tcW w:w="1593" w:type="dxa"/>
          </w:tcPr>
          <w:p w:rsidR="00DD07AF" w:rsidRPr="009C316A" w:rsidRDefault="00DD07AF" w:rsidP="00CB2FBB">
            <w:pPr>
              <w:pStyle w:val="Tabletext"/>
            </w:pPr>
            <w:r w:rsidRPr="009C316A">
              <w:t>199</w:t>
            </w:r>
          </w:p>
        </w:tc>
        <w:tc>
          <w:tcPr>
            <w:tcW w:w="1559" w:type="dxa"/>
          </w:tcPr>
          <w:p w:rsidR="00DD07AF" w:rsidRPr="009C316A" w:rsidRDefault="00DD07AF" w:rsidP="00CB2FBB">
            <w:pPr>
              <w:pStyle w:val="Tabletext"/>
            </w:pPr>
            <w:r w:rsidRPr="009C316A">
              <w:t>9.32x10</w:t>
            </w:r>
            <w:r w:rsidRPr="009C316A">
              <w:rPr>
                <w:vertAlign w:val="superscript"/>
              </w:rPr>
              <w:t>-6</w:t>
            </w:r>
          </w:p>
        </w:tc>
        <w:tc>
          <w:tcPr>
            <w:tcW w:w="1559" w:type="dxa"/>
          </w:tcPr>
          <w:p w:rsidR="00DD07AF" w:rsidRPr="009C316A" w:rsidRDefault="00DD07AF" w:rsidP="00CB2FBB">
            <w:pPr>
              <w:pStyle w:val="Tabletext"/>
            </w:pPr>
            <w:r w:rsidRPr="009C316A">
              <w:t>9.06x10</w:t>
            </w:r>
            <w:r w:rsidRPr="009C316A">
              <w:rPr>
                <w:vertAlign w:val="superscript"/>
              </w:rPr>
              <w:t>0</w:t>
            </w:r>
          </w:p>
        </w:tc>
        <w:tc>
          <w:tcPr>
            <w:tcW w:w="1560" w:type="dxa"/>
          </w:tcPr>
          <w:p w:rsidR="00DD07AF" w:rsidRPr="009C316A" w:rsidRDefault="00DD07AF" w:rsidP="00CB2FBB">
            <w:pPr>
              <w:pStyle w:val="Tabletext"/>
            </w:pPr>
            <w:r w:rsidRPr="009C316A">
              <w:t>1.3x10</w:t>
            </w:r>
            <w:r w:rsidRPr="009C316A">
              <w:rPr>
                <w:vertAlign w:val="superscript"/>
              </w:rPr>
              <w:t>-3</w:t>
            </w:r>
          </w:p>
        </w:tc>
      </w:tr>
      <w:tr w:rsidR="00DD07AF" w:rsidRPr="009C316A" w:rsidTr="00C73ED2">
        <w:tc>
          <w:tcPr>
            <w:tcW w:w="2660" w:type="dxa"/>
          </w:tcPr>
          <w:p w:rsidR="00DD07AF" w:rsidRPr="009C316A" w:rsidRDefault="00DD07AF" w:rsidP="00CB2FBB">
            <w:pPr>
              <w:pStyle w:val="Tabletext"/>
            </w:pPr>
            <w:r w:rsidRPr="009C316A">
              <w:t>Clematis Group Sandstones and equivalents (Aquifer)</w:t>
            </w:r>
          </w:p>
        </w:tc>
        <w:tc>
          <w:tcPr>
            <w:tcW w:w="1593" w:type="dxa"/>
          </w:tcPr>
          <w:p w:rsidR="00DD07AF" w:rsidRPr="009C316A" w:rsidRDefault="00DD07AF" w:rsidP="00CB2FBB">
            <w:pPr>
              <w:pStyle w:val="Tabletext"/>
            </w:pPr>
            <w:r w:rsidRPr="009C316A">
              <w:t>570</w:t>
            </w:r>
          </w:p>
        </w:tc>
        <w:tc>
          <w:tcPr>
            <w:tcW w:w="1559" w:type="dxa"/>
          </w:tcPr>
          <w:p w:rsidR="00DD07AF" w:rsidRPr="009C316A" w:rsidRDefault="00DD07AF" w:rsidP="00CB2FBB">
            <w:pPr>
              <w:pStyle w:val="Tabletext"/>
            </w:pPr>
            <w:r w:rsidRPr="009C316A">
              <w:t>8.31x10</w:t>
            </w:r>
            <w:r w:rsidRPr="009C316A">
              <w:rPr>
                <w:vertAlign w:val="superscript"/>
              </w:rPr>
              <w:t>-6</w:t>
            </w:r>
          </w:p>
        </w:tc>
        <w:tc>
          <w:tcPr>
            <w:tcW w:w="1559" w:type="dxa"/>
          </w:tcPr>
          <w:p w:rsidR="00DD07AF" w:rsidRPr="009C316A" w:rsidRDefault="00DD07AF" w:rsidP="00CB2FBB">
            <w:pPr>
              <w:pStyle w:val="Tabletext"/>
            </w:pPr>
            <w:r w:rsidRPr="009C316A">
              <w:t>1.15x10</w:t>
            </w:r>
            <w:r w:rsidRPr="009C316A">
              <w:rPr>
                <w:vertAlign w:val="superscript"/>
              </w:rPr>
              <w:t>1</w:t>
            </w:r>
          </w:p>
        </w:tc>
        <w:tc>
          <w:tcPr>
            <w:tcW w:w="1560" w:type="dxa"/>
          </w:tcPr>
          <w:p w:rsidR="00DD07AF" w:rsidRPr="009C316A" w:rsidRDefault="00DD07AF" w:rsidP="00CB2FBB">
            <w:pPr>
              <w:pStyle w:val="Tabletext"/>
            </w:pPr>
            <w:r w:rsidRPr="009C316A">
              <w:t>1.2x10</w:t>
            </w:r>
            <w:r w:rsidRPr="009C316A">
              <w:rPr>
                <w:vertAlign w:val="superscript"/>
              </w:rPr>
              <w:t>-2</w:t>
            </w:r>
          </w:p>
        </w:tc>
      </w:tr>
      <w:tr w:rsidR="00DD07AF" w:rsidRPr="009C316A" w:rsidTr="00C73ED2">
        <w:tc>
          <w:tcPr>
            <w:tcW w:w="2660" w:type="dxa"/>
          </w:tcPr>
          <w:p w:rsidR="00DD07AF" w:rsidRPr="009C316A" w:rsidRDefault="00DD07AF" w:rsidP="00CB2FBB">
            <w:pPr>
              <w:pStyle w:val="Tabletext"/>
            </w:pPr>
            <w:r w:rsidRPr="009C316A">
              <w:t>Rewan Group (Aquitard)</w:t>
            </w:r>
          </w:p>
        </w:tc>
        <w:tc>
          <w:tcPr>
            <w:tcW w:w="1593" w:type="dxa"/>
          </w:tcPr>
          <w:p w:rsidR="00DD07AF" w:rsidRPr="009C316A" w:rsidRDefault="00DD07AF" w:rsidP="00CB2FBB">
            <w:pPr>
              <w:pStyle w:val="Tabletext"/>
            </w:pPr>
            <w:r w:rsidRPr="009C316A">
              <w:t>252</w:t>
            </w:r>
          </w:p>
        </w:tc>
        <w:tc>
          <w:tcPr>
            <w:tcW w:w="1559" w:type="dxa"/>
          </w:tcPr>
          <w:p w:rsidR="00DD07AF" w:rsidRPr="009C316A" w:rsidRDefault="00DD07AF" w:rsidP="00CB2FBB">
            <w:pPr>
              <w:pStyle w:val="Tabletext"/>
            </w:pPr>
            <w:r w:rsidRPr="009C316A">
              <w:t>8.31x10</w:t>
            </w:r>
            <w:r w:rsidRPr="009C316A">
              <w:rPr>
                <w:vertAlign w:val="superscript"/>
              </w:rPr>
              <w:t>-6</w:t>
            </w:r>
          </w:p>
        </w:tc>
        <w:tc>
          <w:tcPr>
            <w:tcW w:w="1559" w:type="dxa"/>
          </w:tcPr>
          <w:p w:rsidR="00DD07AF" w:rsidRPr="009C316A" w:rsidRDefault="00DD07AF" w:rsidP="00CB2FBB">
            <w:pPr>
              <w:pStyle w:val="Tabletext"/>
            </w:pPr>
            <w:r w:rsidRPr="009C316A">
              <w:t>4.50x10</w:t>
            </w:r>
            <w:r w:rsidRPr="009C316A">
              <w:rPr>
                <w:vertAlign w:val="superscript"/>
              </w:rPr>
              <w:t>-1</w:t>
            </w:r>
          </w:p>
        </w:tc>
        <w:tc>
          <w:tcPr>
            <w:tcW w:w="1560" w:type="dxa"/>
          </w:tcPr>
          <w:p w:rsidR="00DD07AF" w:rsidRPr="009C316A" w:rsidRDefault="00DD07AF" w:rsidP="00CB2FBB">
            <w:pPr>
              <w:pStyle w:val="Tabletext"/>
            </w:pPr>
            <w:r w:rsidRPr="009C316A">
              <w:t>1.9x10</w:t>
            </w:r>
            <w:r w:rsidRPr="009C316A">
              <w:rPr>
                <w:vertAlign w:val="superscript"/>
              </w:rPr>
              <w:t>-4</w:t>
            </w:r>
          </w:p>
        </w:tc>
      </w:tr>
      <w:tr w:rsidR="00DD07AF" w:rsidRPr="009C316A" w:rsidTr="00C73ED2">
        <w:tc>
          <w:tcPr>
            <w:tcW w:w="2660" w:type="dxa"/>
          </w:tcPr>
          <w:p w:rsidR="00DD07AF" w:rsidRPr="009C316A" w:rsidRDefault="00DD07AF" w:rsidP="00CB2FBB">
            <w:pPr>
              <w:pStyle w:val="Tabletext"/>
            </w:pPr>
            <w:r w:rsidRPr="009C316A">
              <w:t>Bandanna Formation – Coal producing formation</w:t>
            </w:r>
          </w:p>
        </w:tc>
        <w:tc>
          <w:tcPr>
            <w:tcW w:w="1593" w:type="dxa"/>
          </w:tcPr>
          <w:p w:rsidR="00DD07AF" w:rsidRPr="009C316A" w:rsidRDefault="00DD07AF" w:rsidP="00CB2FBB">
            <w:pPr>
              <w:pStyle w:val="Tabletext"/>
            </w:pPr>
            <w:r w:rsidRPr="009C316A">
              <w:t>70</w:t>
            </w:r>
          </w:p>
        </w:tc>
        <w:tc>
          <w:tcPr>
            <w:tcW w:w="1559" w:type="dxa"/>
          </w:tcPr>
          <w:p w:rsidR="00DD07AF" w:rsidRPr="009C316A" w:rsidRDefault="00DD07AF" w:rsidP="00CB2FBB">
            <w:pPr>
              <w:pStyle w:val="Tabletext"/>
            </w:pPr>
            <w:r w:rsidRPr="009C316A">
              <w:t>8.31x10</w:t>
            </w:r>
            <w:r w:rsidRPr="009C316A">
              <w:rPr>
                <w:vertAlign w:val="superscript"/>
              </w:rPr>
              <w:t>-6</w:t>
            </w:r>
          </w:p>
        </w:tc>
        <w:tc>
          <w:tcPr>
            <w:tcW w:w="1559" w:type="dxa"/>
          </w:tcPr>
          <w:p w:rsidR="00DD07AF" w:rsidRPr="009C316A" w:rsidRDefault="00DD07AF" w:rsidP="00CB2FBB">
            <w:pPr>
              <w:pStyle w:val="Tabletext"/>
            </w:pPr>
            <w:r w:rsidRPr="009C316A">
              <w:t>1.26x10</w:t>
            </w:r>
            <w:r w:rsidRPr="009C316A">
              <w:rPr>
                <w:vertAlign w:val="superscript"/>
              </w:rPr>
              <w:t>0</w:t>
            </w:r>
          </w:p>
        </w:tc>
        <w:tc>
          <w:tcPr>
            <w:tcW w:w="1560" w:type="dxa"/>
          </w:tcPr>
          <w:p w:rsidR="00DD07AF" w:rsidRPr="009C316A" w:rsidRDefault="00DD07AF" w:rsidP="00CB2FBB">
            <w:pPr>
              <w:pStyle w:val="Tabletext"/>
            </w:pPr>
            <w:r w:rsidRPr="009C316A">
              <w:t>5.6x10</w:t>
            </w:r>
            <w:r w:rsidRPr="009C316A">
              <w:rPr>
                <w:vertAlign w:val="superscript"/>
              </w:rPr>
              <w:t>-4</w:t>
            </w:r>
          </w:p>
        </w:tc>
      </w:tr>
      <w:tr w:rsidR="00DD07AF" w:rsidRPr="009C316A" w:rsidTr="00C73ED2">
        <w:tc>
          <w:tcPr>
            <w:tcW w:w="2660" w:type="dxa"/>
          </w:tcPr>
          <w:p w:rsidR="00DD07AF" w:rsidRPr="009C316A" w:rsidRDefault="00DD07AF" w:rsidP="00CB2FBB">
            <w:pPr>
              <w:pStyle w:val="Tabletext"/>
            </w:pPr>
            <w:r w:rsidRPr="009C316A">
              <w:t>Deeper Reservoirs (e</w:t>
            </w:r>
            <w:r w:rsidR="00807362">
              <w:t>.</w:t>
            </w:r>
            <w:r w:rsidRPr="009C316A">
              <w:t>g</w:t>
            </w:r>
            <w:r w:rsidR="00807362">
              <w:t>.</w:t>
            </w:r>
            <w:r w:rsidRPr="009C316A">
              <w:t xml:space="preserve"> Back Creek Group)</w:t>
            </w:r>
          </w:p>
        </w:tc>
        <w:tc>
          <w:tcPr>
            <w:tcW w:w="1593" w:type="dxa"/>
          </w:tcPr>
          <w:p w:rsidR="00DD07AF" w:rsidRPr="009C316A" w:rsidRDefault="00DD07AF" w:rsidP="00CB2FBB">
            <w:pPr>
              <w:pStyle w:val="Tabletext"/>
            </w:pPr>
            <w:r w:rsidRPr="009C316A">
              <w:t>18</w:t>
            </w:r>
          </w:p>
        </w:tc>
        <w:tc>
          <w:tcPr>
            <w:tcW w:w="1559" w:type="dxa"/>
          </w:tcPr>
          <w:p w:rsidR="00DD07AF" w:rsidRPr="009C316A" w:rsidRDefault="00DD07AF" w:rsidP="00CB2FBB">
            <w:pPr>
              <w:pStyle w:val="Tabletext"/>
            </w:pPr>
            <w:r w:rsidRPr="009C316A">
              <w:t>4.16x10</w:t>
            </w:r>
            <w:r w:rsidRPr="009C316A">
              <w:rPr>
                <w:vertAlign w:val="superscript"/>
              </w:rPr>
              <w:t>-5</w:t>
            </w:r>
          </w:p>
        </w:tc>
        <w:tc>
          <w:tcPr>
            <w:tcW w:w="1559" w:type="dxa"/>
          </w:tcPr>
          <w:p w:rsidR="00DD07AF" w:rsidRPr="009C316A" w:rsidRDefault="00DD07AF" w:rsidP="00CB2FBB">
            <w:pPr>
              <w:pStyle w:val="Tabletext"/>
            </w:pPr>
            <w:r w:rsidRPr="009C316A">
              <w:t>1.12x10</w:t>
            </w:r>
            <w:r w:rsidRPr="009C316A">
              <w:rPr>
                <w:vertAlign w:val="superscript"/>
              </w:rPr>
              <w:t>-1</w:t>
            </w:r>
          </w:p>
        </w:tc>
        <w:tc>
          <w:tcPr>
            <w:tcW w:w="1560" w:type="dxa"/>
          </w:tcPr>
          <w:p w:rsidR="00DD07AF" w:rsidRPr="009C316A" w:rsidRDefault="00DD07AF" w:rsidP="00CB2FBB">
            <w:pPr>
              <w:pStyle w:val="Tabletext"/>
            </w:pPr>
            <w:r w:rsidRPr="009C316A">
              <w:t>3.2x10</w:t>
            </w:r>
            <w:r w:rsidRPr="009C316A">
              <w:rPr>
                <w:vertAlign w:val="superscript"/>
              </w:rPr>
              <w:t>-4</w:t>
            </w:r>
          </w:p>
        </w:tc>
      </w:tr>
    </w:tbl>
    <w:p w:rsidR="002631E7" w:rsidRDefault="002631E7" w:rsidP="001C3374">
      <w:pPr>
        <w:pStyle w:val="Body"/>
      </w:pPr>
    </w:p>
    <w:p w:rsidR="00807362" w:rsidRDefault="00807362" w:rsidP="00807362">
      <w:pPr>
        <w:pStyle w:val="BRNormal"/>
      </w:pPr>
      <w:r>
        <w:t>The estimates in</w:t>
      </w:r>
      <w:r w:rsidR="0003024A">
        <w:t xml:space="preserve"> Table 20</w:t>
      </w:r>
      <w:r>
        <w:t>,</w:t>
      </w:r>
      <w:r w:rsidR="0003024A">
        <w:t xml:space="preserve"> Table 21</w:t>
      </w:r>
      <w:r>
        <w:t xml:space="preserve"> and</w:t>
      </w:r>
      <w:r w:rsidR="0003024A">
        <w:t xml:space="preserve"> Figure 28</w:t>
      </w:r>
      <w:r>
        <w:t xml:space="preserve"> are likely to be biased, in that the</w:t>
      </w:r>
      <w:r w:rsidR="00C73ED2">
        <w:t>y are</w:t>
      </w:r>
      <w:r>
        <w:t xml:space="preserve"> test wells and bores that have been drilled to target productive horizons for either CSG production or groundwater. These holes were intended to find the most permeable and productive parts of the heterogeneous aquifers</w:t>
      </w:r>
      <w:r w:rsidR="00714EB5">
        <w:t>, aquitards</w:t>
      </w:r>
      <w:r>
        <w:t xml:space="preserve"> or coal seams, at the shallowest and most accessible depths. Given the significant thicknesses of the actual HSUs in the Bowen Basin (e.g. thousands of metres in the Taroom Trough) it is likely tha</w:t>
      </w:r>
      <w:r w:rsidR="00C73ED2">
        <w:t>t deeper parts of the B</w:t>
      </w:r>
      <w:r>
        <w:t>asin are under</w:t>
      </w:r>
      <w:r w:rsidR="00714EB5">
        <w:t>-</w:t>
      </w:r>
      <w:r>
        <w:t>represented in the dataset. It is also likely that hydraulic conductivity will reduce with depth, as the aquifer/aquitard material is compacted and fracture and fissure apertures close up and diminish (QWC 2012c). The Queensland Carbon Gas Storage Initiative (QCGI 2009) describes a tendency for the permeability of the Walloon Coal Measures to reduce with depth of burial (QWC 2012c). This permeability reduction phenomenon is likely to occur in the equivalent Late Permian coal measures of the Bowen Basin. For these reasons, it is plausible that the bulk Kh values for the HSUs may actually be a lot lower than the values summarised in</w:t>
      </w:r>
      <w:r w:rsidR="0003024A">
        <w:t xml:space="preserve"> Table 20</w:t>
      </w:r>
      <w:r>
        <w:t>,</w:t>
      </w:r>
      <w:r w:rsidR="0003024A">
        <w:t xml:space="preserve"> Table 21</w:t>
      </w:r>
      <w:r>
        <w:t xml:space="preserve"> and</w:t>
      </w:r>
      <w:r w:rsidR="0003024A">
        <w:t xml:space="preserve"> Figure 28</w:t>
      </w:r>
      <w:r>
        <w:t xml:space="preserve">. </w:t>
      </w:r>
    </w:p>
    <w:p w:rsidR="002631E7" w:rsidRDefault="002631E7" w:rsidP="00807362">
      <w:pPr>
        <w:pStyle w:val="BRNormal"/>
      </w:pPr>
      <w:r>
        <w:t xml:space="preserve">Additionally, the testing methods used to obtain </w:t>
      </w:r>
      <w:r w:rsidR="00C73ED2">
        <w:t xml:space="preserve">the horizontal hydraulic conductivity and vertical hydraulic conductivity parameters </w:t>
      </w:r>
      <w:r>
        <w:t>(</w:t>
      </w:r>
      <w:r w:rsidR="00C73ED2">
        <w:t xml:space="preserve">i.e. </w:t>
      </w:r>
      <w:r>
        <w:t xml:space="preserve">pumping tests, core tests, </w:t>
      </w:r>
      <w:proofErr w:type="gramStart"/>
      <w:r>
        <w:t>drill</w:t>
      </w:r>
      <w:proofErr w:type="gramEnd"/>
      <w:r>
        <w:t xml:space="preserve"> stem tests) only provide a localised indication of aquifer properties. They are not representative of the bulk</w:t>
      </w:r>
      <w:r w:rsidR="00C73ED2">
        <w:t xml:space="preserve"> aquifer properties of the HSUs</w:t>
      </w:r>
      <w:r>
        <w:t xml:space="preserve"> and should not be considered as such. The </w:t>
      </w:r>
      <w:r w:rsidR="00C73ED2">
        <w:t xml:space="preserve">vertical hydraulic conductivity </w:t>
      </w:r>
      <w:r>
        <w:t xml:space="preserve">estimates in particular are unlikely to reflect the regional properties of the aquitards, as the tests would not have been completed for a sufficient period of time to generate vertical flow at the scale of the HSU, and as such the regional bulk </w:t>
      </w:r>
      <w:r w:rsidR="00C73ED2">
        <w:t xml:space="preserve">vertical hydraulic conductivity </w:t>
      </w:r>
      <w:r>
        <w:t xml:space="preserve">values may be greater than what the local-scale tests indicate. </w:t>
      </w:r>
      <w:r w:rsidR="00E77F4B">
        <w:t xml:space="preserve">It has to be noted that </w:t>
      </w:r>
      <w:r w:rsidR="002B3D9B">
        <w:t xml:space="preserve">horizontal hydraulic conductivity </w:t>
      </w:r>
      <w:r w:rsidR="00E77F4B">
        <w:t>estimates from such short test</w:t>
      </w:r>
      <w:r w:rsidR="002B3D9B">
        <w:t>s</w:t>
      </w:r>
      <w:r w:rsidR="00E77F4B">
        <w:t xml:space="preserve"> can have great uncertainty as well.</w:t>
      </w:r>
    </w:p>
    <w:p w:rsidR="002631E7" w:rsidRDefault="002631E7" w:rsidP="00807362">
      <w:pPr>
        <w:pStyle w:val="BRNormal"/>
      </w:pPr>
      <w:r>
        <w:t>Field testing at the local scale also ignores the influence of regional-scal</w:t>
      </w:r>
      <w:r w:rsidRPr="00807362">
        <w:rPr>
          <w:rStyle w:val="BRNormalChar"/>
        </w:rPr>
        <w:t>e</w:t>
      </w:r>
      <w:r>
        <w:t xml:space="preserve"> faults, fractures, facies changes and leaky bores, all of which can greatly influence regional </w:t>
      </w:r>
      <w:r w:rsidR="002B3D9B">
        <w:t xml:space="preserve">horizontal hydraulic conductivity </w:t>
      </w:r>
      <w:r>
        <w:t xml:space="preserve">and </w:t>
      </w:r>
      <w:r w:rsidR="002B3D9B">
        <w:t xml:space="preserve">vertical hydraulic conductivity </w:t>
      </w:r>
      <w:r>
        <w:t xml:space="preserve">values.  </w:t>
      </w:r>
    </w:p>
    <w:p w:rsidR="002631E7" w:rsidRDefault="002631E7" w:rsidP="001C3374">
      <w:pPr>
        <w:pStyle w:val="Body"/>
        <w:sectPr w:rsidR="002631E7" w:rsidSect="006B50D0">
          <w:headerReference w:type="even" r:id="rId64"/>
          <w:headerReference w:type="default" r:id="rId65"/>
          <w:pgSz w:w="11900" w:h="16840" w:code="9"/>
          <w:pgMar w:top="2126" w:right="1418" w:bottom="1418" w:left="1418" w:header="0" w:footer="684" w:gutter="0"/>
          <w:cols w:space="284"/>
          <w:noEndnote/>
          <w:docGrid w:linePitch="326"/>
        </w:sectPr>
      </w:pPr>
    </w:p>
    <w:p w:rsidR="002631E7" w:rsidRDefault="002631E7" w:rsidP="001C3374">
      <w:pPr>
        <w:pStyle w:val="Body"/>
      </w:pPr>
    </w:p>
    <w:p w:rsidR="00DD07AF" w:rsidRDefault="00D974C7" w:rsidP="007461E0">
      <w:pPr>
        <w:pStyle w:val="Caption"/>
      </w:pPr>
      <w:r w:rsidRPr="00D974C7">
        <w:drawing>
          <wp:inline distT="0" distB="0" distL="0" distR="0">
            <wp:extent cx="8203163" cy="4769511"/>
            <wp:effectExtent l="19050" t="0" r="7387" b="0"/>
            <wp:docPr id="2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6" cstate="email"/>
                    <a:srcRect/>
                    <a:stretch>
                      <a:fillRect/>
                    </a:stretch>
                  </pic:blipFill>
                  <pic:spPr bwMode="auto">
                    <a:xfrm>
                      <a:off x="0" y="0"/>
                      <a:ext cx="8200069" cy="4767712"/>
                    </a:xfrm>
                    <a:prstGeom prst="rect">
                      <a:avLst/>
                    </a:prstGeom>
                    <a:noFill/>
                    <a:ln w="9525">
                      <a:noFill/>
                      <a:miter lim="800000"/>
                      <a:headEnd/>
                      <a:tailEnd/>
                    </a:ln>
                  </pic:spPr>
                </pic:pic>
              </a:graphicData>
            </a:graphic>
          </wp:inline>
        </w:drawing>
      </w:r>
    </w:p>
    <w:p w:rsidR="002631E7" w:rsidRDefault="007461E0" w:rsidP="007461E0">
      <w:pPr>
        <w:pStyle w:val="Caption"/>
      </w:pPr>
      <w:bookmarkStart w:id="646" w:name="_Ref333600877"/>
      <w:r w:rsidRPr="00EA5A48">
        <w:t xml:space="preserve">Figure </w:t>
      </w:r>
      <w:r w:rsidR="00E23933" w:rsidRPr="00EA5A48">
        <w:rPr>
          <w:b/>
        </w:rPr>
        <w:fldChar w:fldCharType="begin"/>
      </w:r>
      <w:r w:rsidRPr="00EA5A48">
        <w:instrText xml:space="preserve"> SEQ Figure \* ARABIC </w:instrText>
      </w:r>
      <w:r w:rsidR="00E23933" w:rsidRPr="00EA5A48">
        <w:rPr>
          <w:b/>
        </w:rPr>
        <w:fldChar w:fldCharType="separate"/>
      </w:r>
      <w:r w:rsidR="002B3D9B">
        <w:t>28</w:t>
      </w:r>
      <w:r w:rsidR="00E23933" w:rsidRPr="00EA5A48">
        <w:rPr>
          <w:b/>
        </w:rPr>
        <w:fldChar w:fldCharType="end"/>
      </w:r>
      <w:r>
        <w:rPr>
          <w:b/>
        </w:rPr>
        <w:t xml:space="preserve"> </w:t>
      </w:r>
      <w:bookmarkEnd w:id="646"/>
      <w:r w:rsidR="00DD07AF">
        <w:t xml:space="preserve">Statistical summary of measured horizontal hydraulic conductivity </w:t>
      </w:r>
      <w:r w:rsidR="002B3D9B">
        <w:t xml:space="preserve">(Kh) </w:t>
      </w:r>
      <w:r w:rsidR="00DD07AF">
        <w:t>values (in m/day) for all HSUs in the Surat</w:t>
      </w:r>
      <w:r>
        <w:t xml:space="preserve"> CMA</w:t>
      </w:r>
      <w:r w:rsidR="00DD07AF">
        <w:t>, including the Moolayember Formation aquitard, the Clematis Group Sandstone aq</w:t>
      </w:r>
      <w:r w:rsidR="002B3D9B">
        <w:t>uifer, the Rewan Group aquitard</w:t>
      </w:r>
      <w:r w:rsidR="00DD07AF">
        <w:t xml:space="preserve"> and the Bandanna Formation</w:t>
      </w:r>
      <w:r w:rsidR="002B3D9B">
        <w:t xml:space="preserve">  (</w:t>
      </w:r>
      <w:r w:rsidR="00F976E1">
        <w:t>© Copyright</w:t>
      </w:r>
      <w:r w:rsidR="002B3D9B">
        <w:t>, QWC 2012a)</w:t>
      </w:r>
      <w:r w:rsidR="00DD07AF">
        <w:t xml:space="preserve">. </w:t>
      </w:r>
      <w:bookmarkStart w:id="647" w:name="_Toc334711981"/>
    </w:p>
    <w:p w:rsidR="002631E7" w:rsidRDefault="002631E7" w:rsidP="005F6513">
      <w:pPr>
        <w:pStyle w:val="Heading3"/>
        <w:sectPr w:rsidR="002631E7" w:rsidSect="001053A1">
          <w:headerReference w:type="even" r:id="rId67"/>
          <w:headerReference w:type="default" r:id="rId68"/>
          <w:pgSz w:w="16840" w:h="11900" w:orient="landscape" w:code="9"/>
          <w:pgMar w:top="1831" w:right="1418" w:bottom="1418" w:left="1418" w:header="0" w:footer="840" w:gutter="0"/>
          <w:cols w:space="284"/>
          <w:noEndnote/>
          <w:docGrid w:linePitch="326"/>
        </w:sectPr>
      </w:pPr>
    </w:p>
    <w:p w:rsidR="00DD07AF" w:rsidRDefault="00DD07AF" w:rsidP="005F6513">
      <w:pPr>
        <w:pStyle w:val="Heading3"/>
      </w:pPr>
      <w:bookmarkStart w:id="648" w:name="_Toc381961168"/>
      <w:r>
        <w:lastRenderedPageBreak/>
        <w:t xml:space="preserve">Model-derived </w:t>
      </w:r>
      <w:r w:rsidR="002B3D9B">
        <w:t>horizontal</w:t>
      </w:r>
      <w:r>
        <w:t xml:space="preserve"> and </w:t>
      </w:r>
      <w:r w:rsidR="002B3D9B">
        <w:t xml:space="preserve">vertical hydraulic conductivity </w:t>
      </w:r>
      <w:r>
        <w:t>estimates</w:t>
      </w:r>
      <w:bookmarkEnd w:id="647"/>
      <w:bookmarkEnd w:id="648"/>
    </w:p>
    <w:p w:rsidR="00DD07AF" w:rsidRDefault="00DD07AF" w:rsidP="007461E0">
      <w:pPr>
        <w:pStyle w:val="BRNormal"/>
      </w:pPr>
      <w:r>
        <w:t>QWC (</w:t>
      </w:r>
      <w:r w:rsidR="007461E0">
        <w:t xml:space="preserve">QWC </w:t>
      </w:r>
      <w:r>
        <w:t xml:space="preserve">2012a; </w:t>
      </w:r>
      <w:r w:rsidR="007461E0">
        <w:t xml:space="preserve">QWC </w:t>
      </w:r>
      <w:r w:rsidR="002B3D9B">
        <w:t>2012c) developed a 19-</w:t>
      </w:r>
      <w:r>
        <w:t xml:space="preserve">layer MODFLOW numerical groundwater model to determine the cumulative impacts of CSG abstraction on aquifers within the Surat and Bowen Basins. </w:t>
      </w:r>
      <w:r w:rsidR="00E77F4B">
        <w:t xml:space="preserve">The model was calibrated by adjusting </w:t>
      </w:r>
      <w:r w:rsidR="002B3D9B">
        <w:t xml:space="preserve">hydraulic conductivity </w:t>
      </w:r>
      <w:r w:rsidR="00E77F4B">
        <w:t>values to groundwater head data using</w:t>
      </w:r>
      <w:r>
        <w:t xml:space="preserve"> the parameter estimation software package PEST</w:t>
      </w:r>
      <w:r w:rsidR="00AC2DE3">
        <w:t xml:space="preserve"> (i.e. model-independent parameter estimation and uncertainty analysis)</w:t>
      </w:r>
      <w:r>
        <w:t xml:space="preserve">. Calibrated </w:t>
      </w:r>
      <w:r w:rsidR="00AC2DE3">
        <w:t xml:space="preserve">horizontal and vertical hydraulic conductivity </w:t>
      </w:r>
      <w:r>
        <w:t>values were obtained for the five major regionally-extensive HSUs within the Bowen Basin. Of those five HSUs, it was noted that calibration performance was poor for the Moolayember Formation</w:t>
      </w:r>
      <w:r w:rsidR="00E77F4B">
        <w:t xml:space="preserve"> due to various reasons including spatial heterogeneity of aquifer properties and the u</w:t>
      </w:r>
      <w:r w:rsidR="00AC2DE3">
        <w:t>se of point scale estimates of hydraulic conductivity</w:t>
      </w:r>
      <w:r>
        <w:t>, and should therefore be given a</w:t>
      </w:r>
      <w:r w:rsidR="007461E0">
        <w:t xml:space="preserve"> lower level of confidence (QWC 2012c). </w:t>
      </w:r>
      <w:r w:rsidR="00E70318">
        <w:t>Table 22</w:t>
      </w:r>
      <w:r>
        <w:t xml:space="preserve"> summarises the calibrated </w:t>
      </w:r>
      <w:r w:rsidR="00AC2DE3">
        <w:t xml:space="preserve">horizontal hydraulic conductivity </w:t>
      </w:r>
      <w:r>
        <w:t>values for the Bowen Basin HSUs and</w:t>
      </w:r>
      <w:r w:rsidR="00E70318">
        <w:t xml:space="preserve"> Table 23</w:t>
      </w:r>
      <w:r>
        <w:t xml:space="preserve"> summarises the calibrated </w:t>
      </w:r>
      <w:r w:rsidR="00AC2DE3">
        <w:t xml:space="preserve">vertical hydraulic conductivity </w:t>
      </w:r>
      <w:r>
        <w:t xml:space="preserve">values. </w:t>
      </w:r>
    </w:p>
    <w:p w:rsidR="00DD07AF" w:rsidRDefault="007461E0" w:rsidP="007461E0">
      <w:pPr>
        <w:pStyle w:val="Caption"/>
      </w:pPr>
      <w:bookmarkStart w:id="649" w:name="_Ref333609044"/>
      <w:r w:rsidRPr="006F2073">
        <w:t xml:space="preserve">Table </w:t>
      </w:r>
      <w:r w:rsidR="00E23933" w:rsidRPr="006F2073">
        <w:rPr>
          <w:b/>
          <w:noProof w:val="0"/>
        </w:rPr>
        <w:fldChar w:fldCharType="begin"/>
      </w:r>
      <w:r w:rsidRPr="006F2073">
        <w:instrText xml:space="preserve"> SEQ Table \* ARABIC </w:instrText>
      </w:r>
      <w:r w:rsidR="00E23933" w:rsidRPr="006F2073">
        <w:rPr>
          <w:b/>
          <w:noProof w:val="0"/>
        </w:rPr>
        <w:fldChar w:fldCharType="separate"/>
      </w:r>
      <w:r w:rsidR="00E70318">
        <w:t>22</w:t>
      </w:r>
      <w:r w:rsidR="00E23933" w:rsidRPr="006F2073">
        <w:rPr>
          <w:b/>
        </w:rPr>
        <w:fldChar w:fldCharType="end"/>
      </w:r>
      <w:r>
        <w:rPr>
          <w:b/>
        </w:rPr>
        <w:t xml:space="preserve"> </w:t>
      </w:r>
      <w:bookmarkEnd w:id="649"/>
      <w:r w:rsidR="00DD07AF">
        <w:t xml:space="preserve">Summary of calibrated </w:t>
      </w:r>
      <w:r w:rsidR="00AC2DE3">
        <w:t>horizontal hydraulic conductivity (</w:t>
      </w:r>
      <w:r w:rsidR="00DD07AF">
        <w:t>Kh</w:t>
      </w:r>
      <w:r w:rsidR="00AC2DE3">
        <w:t>)</w:t>
      </w:r>
      <w:r w:rsidR="00DD07AF">
        <w:t xml:space="preserve"> values for Bowen Basin HSUs </w:t>
      </w:r>
      <w:r>
        <w:t>within the Surat CMA (</w:t>
      </w:r>
      <w:r w:rsidR="00F976E1">
        <w:t>© Copyright</w:t>
      </w:r>
      <w:r w:rsidR="00AC2DE3">
        <w:t xml:space="preserve">, </w:t>
      </w:r>
      <w:r>
        <w:t>QWC</w:t>
      </w:r>
      <w:r w:rsidR="00DD07AF">
        <w:t xml:space="preserve"> 2012c)</w:t>
      </w:r>
    </w:p>
    <w:tbl>
      <w:tblPr>
        <w:tblStyle w:val="TableGrid"/>
        <w:tblW w:w="0" w:type="auto"/>
        <w:tblInd w:w="108" w:type="dxa"/>
        <w:tblLook w:val="04A0"/>
      </w:tblPr>
      <w:tblGrid>
        <w:gridCol w:w="3064"/>
        <w:gridCol w:w="794"/>
        <w:gridCol w:w="1529"/>
        <w:gridCol w:w="1559"/>
        <w:gridCol w:w="1701"/>
      </w:tblGrid>
      <w:tr w:rsidR="00DD07AF" w:rsidRPr="00ED2895" w:rsidTr="00AC2DE3">
        <w:trPr>
          <w:tblHeader/>
        </w:trPr>
        <w:tc>
          <w:tcPr>
            <w:tcW w:w="3064" w:type="dxa"/>
            <w:vMerge w:val="restart"/>
            <w:tcBorders>
              <w:bottom w:val="single" w:sz="4" w:space="0" w:color="auto"/>
              <w:right w:val="single" w:sz="4" w:space="0" w:color="auto"/>
            </w:tcBorders>
            <w:shd w:val="clear" w:color="auto" w:fill="C6D9F1" w:themeFill="text2" w:themeFillTint="33"/>
          </w:tcPr>
          <w:p w:rsidR="00DD07AF" w:rsidRPr="00ED2895" w:rsidRDefault="00DD07AF" w:rsidP="00470AD4">
            <w:pPr>
              <w:pStyle w:val="Tableheading"/>
            </w:pPr>
            <w:r w:rsidRPr="00ED2895">
              <w:t>HSU</w:t>
            </w:r>
          </w:p>
        </w:tc>
        <w:tc>
          <w:tcPr>
            <w:tcW w:w="794" w:type="dxa"/>
            <w:vMerge w:val="restart"/>
            <w:tcBorders>
              <w:left w:val="single" w:sz="4" w:space="0" w:color="auto"/>
              <w:bottom w:val="single" w:sz="4" w:space="0" w:color="auto"/>
              <w:right w:val="single" w:sz="4" w:space="0" w:color="auto"/>
            </w:tcBorders>
            <w:shd w:val="clear" w:color="auto" w:fill="C6D9F1" w:themeFill="text2" w:themeFillTint="33"/>
          </w:tcPr>
          <w:p w:rsidR="00DD07AF" w:rsidRPr="00ED2895" w:rsidRDefault="00DD07AF" w:rsidP="00470AD4">
            <w:pPr>
              <w:pStyle w:val="Tableheading"/>
            </w:pPr>
            <w:r w:rsidRPr="00ED2895">
              <w:t>Model</w:t>
            </w:r>
            <w:r w:rsidR="006B0EC2">
              <w:t xml:space="preserve"> l</w:t>
            </w:r>
            <w:r w:rsidRPr="00ED2895">
              <w:t>ayer</w:t>
            </w:r>
          </w:p>
        </w:tc>
        <w:tc>
          <w:tcPr>
            <w:tcW w:w="4789" w:type="dxa"/>
            <w:gridSpan w:val="3"/>
            <w:tcBorders>
              <w:left w:val="single" w:sz="4" w:space="0" w:color="auto"/>
              <w:bottom w:val="single" w:sz="4" w:space="0" w:color="auto"/>
            </w:tcBorders>
            <w:shd w:val="clear" w:color="auto" w:fill="C6D9F1" w:themeFill="text2" w:themeFillTint="33"/>
          </w:tcPr>
          <w:p w:rsidR="00DD07AF" w:rsidRPr="00ED2895" w:rsidRDefault="006B0EC2" w:rsidP="00470AD4">
            <w:pPr>
              <w:pStyle w:val="Tableheading"/>
            </w:pPr>
            <w:r>
              <w:t>Horizontal hydraulic c</w:t>
            </w:r>
            <w:r w:rsidR="00DD07AF" w:rsidRPr="00ED2895">
              <w:t>onductivity (m/day)</w:t>
            </w:r>
          </w:p>
        </w:tc>
      </w:tr>
      <w:tr w:rsidR="00DD07AF" w:rsidRPr="00ED2895" w:rsidTr="00AC2DE3">
        <w:trPr>
          <w:tblHeader/>
        </w:trPr>
        <w:tc>
          <w:tcPr>
            <w:tcW w:w="3064" w:type="dxa"/>
            <w:vMerge/>
            <w:tcBorders>
              <w:top w:val="single" w:sz="4" w:space="0" w:color="auto"/>
              <w:bottom w:val="single" w:sz="4" w:space="0" w:color="auto"/>
              <w:right w:val="single" w:sz="4" w:space="0" w:color="auto"/>
            </w:tcBorders>
            <w:shd w:val="clear" w:color="auto" w:fill="C6D9F1" w:themeFill="text2" w:themeFillTint="33"/>
          </w:tcPr>
          <w:p w:rsidR="00DD07AF" w:rsidRPr="00ED2895" w:rsidRDefault="00DD07AF" w:rsidP="00470AD4">
            <w:pPr>
              <w:pStyle w:val="Tableheading"/>
            </w:pPr>
          </w:p>
        </w:tc>
        <w:tc>
          <w:tcPr>
            <w:tcW w:w="794" w:type="dxa"/>
            <w:vMerge/>
            <w:tcBorders>
              <w:top w:val="single" w:sz="4" w:space="0" w:color="auto"/>
              <w:left w:val="single" w:sz="4" w:space="0" w:color="auto"/>
              <w:bottom w:val="single" w:sz="4" w:space="0" w:color="auto"/>
              <w:right w:val="single" w:sz="4" w:space="0" w:color="auto"/>
            </w:tcBorders>
            <w:shd w:val="clear" w:color="auto" w:fill="C6D9F1" w:themeFill="text2" w:themeFillTint="33"/>
          </w:tcPr>
          <w:p w:rsidR="00DD07AF" w:rsidRPr="00ED2895" w:rsidRDefault="00DD07AF" w:rsidP="00470AD4">
            <w:pPr>
              <w:pStyle w:val="Tableheading"/>
            </w:pPr>
          </w:p>
        </w:tc>
        <w:tc>
          <w:tcPr>
            <w:tcW w:w="1529" w:type="dxa"/>
            <w:tcBorders>
              <w:top w:val="single" w:sz="4" w:space="0" w:color="auto"/>
              <w:left w:val="single" w:sz="4" w:space="0" w:color="auto"/>
              <w:bottom w:val="single" w:sz="4" w:space="0" w:color="auto"/>
              <w:right w:val="single" w:sz="4" w:space="0" w:color="auto"/>
            </w:tcBorders>
            <w:shd w:val="clear" w:color="auto" w:fill="C6D9F1" w:themeFill="text2" w:themeFillTint="33"/>
          </w:tcPr>
          <w:p w:rsidR="00DD07AF" w:rsidRPr="00ED2895" w:rsidRDefault="00DD07AF" w:rsidP="00470AD4">
            <w:pPr>
              <w:pStyle w:val="Tableheading"/>
            </w:pPr>
            <w:r w:rsidRPr="00ED2895">
              <w:t>Minimum</w:t>
            </w:r>
          </w:p>
        </w:tc>
        <w:tc>
          <w:tcPr>
            <w:tcW w:w="1559" w:type="dxa"/>
            <w:tcBorders>
              <w:top w:val="single" w:sz="4" w:space="0" w:color="auto"/>
              <w:left w:val="single" w:sz="4" w:space="0" w:color="auto"/>
              <w:bottom w:val="single" w:sz="4" w:space="0" w:color="auto"/>
              <w:right w:val="single" w:sz="4" w:space="0" w:color="auto"/>
            </w:tcBorders>
            <w:shd w:val="clear" w:color="auto" w:fill="C6D9F1" w:themeFill="text2" w:themeFillTint="33"/>
          </w:tcPr>
          <w:p w:rsidR="00DD07AF" w:rsidRPr="00ED2895" w:rsidRDefault="00DD07AF" w:rsidP="00470AD4">
            <w:pPr>
              <w:pStyle w:val="Tableheading"/>
            </w:pPr>
            <w:r w:rsidRPr="00ED2895">
              <w:t>Average</w:t>
            </w:r>
          </w:p>
        </w:tc>
        <w:tc>
          <w:tcPr>
            <w:tcW w:w="1701" w:type="dxa"/>
            <w:tcBorders>
              <w:top w:val="single" w:sz="4" w:space="0" w:color="auto"/>
              <w:left w:val="single" w:sz="4" w:space="0" w:color="auto"/>
              <w:bottom w:val="single" w:sz="4" w:space="0" w:color="auto"/>
            </w:tcBorders>
            <w:shd w:val="clear" w:color="auto" w:fill="C6D9F1" w:themeFill="text2" w:themeFillTint="33"/>
          </w:tcPr>
          <w:p w:rsidR="00DD07AF" w:rsidRPr="00ED2895" w:rsidRDefault="00DD07AF" w:rsidP="00470AD4">
            <w:pPr>
              <w:pStyle w:val="Tableheading"/>
            </w:pPr>
            <w:r w:rsidRPr="00ED2895">
              <w:t>Maximum</w:t>
            </w:r>
          </w:p>
        </w:tc>
      </w:tr>
      <w:tr w:rsidR="00DD07AF" w:rsidRPr="00ED2895" w:rsidTr="00AC2DE3">
        <w:tc>
          <w:tcPr>
            <w:tcW w:w="3064" w:type="dxa"/>
            <w:tcBorders>
              <w:bottom w:val="single" w:sz="4" w:space="0" w:color="auto"/>
              <w:right w:val="single" w:sz="4" w:space="0" w:color="auto"/>
            </w:tcBorders>
          </w:tcPr>
          <w:p w:rsidR="00DD07AF" w:rsidRPr="00ED2895" w:rsidRDefault="00DD07AF" w:rsidP="00CB2FBB">
            <w:pPr>
              <w:pStyle w:val="Tabletext"/>
            </w:pPr>
            <w:r w:rsidRPr="00ED2895">
              <w:t>Moolayember Formation (Aquitard)</w:t>
            </w:r>
          </w:p>
        </w:tc>
        <w:tc>
          <w:tcPr>
            <w:tcW w:w="794" w:type="dxa"/>
            <w:tcBorders>
              <w:left w:val="single" w:sz="4" w:space="0" w:color="auto"/>
              <w:bottom w:val="single" w:sz="4" w:space="0" w:color="auto"/>
              <w:right w:val="single" w:sz="4" w:space="0" w:color="auto"/>
            </w:tcBorders>
          </w:tcPr>
          <w:p w:rsidR="00DD07AF" w:rsidRPr="00ED2895" w:rsidRDefault="00DD07AF" w:rsidP="00CB2FBB">
            <w:pPr>
              <w:pStyle w:val="Tabletext"/>
            </w:pPr>
            <w:r w:rsidRPr="00ED2895">
              <w:t>15</w:t>
            </w:r>
          </w:p>
        </w:tc>
        <w:tc>
          <w:tcPr>
            <w:tcW w:w="1529" w:type="dxa"/>
            <w:tcBorders>
              <w:left w:val="single" w:sz="4" w:space="0" w:color="auto"/>
              <w:bottom w:val="single" w:sz="4" w:space="0" w:color="auto"/>
              <w:right w:val="single" w:sz="4" w:space="0" w:color="auto"/>
            </w:tcBorders>
          </w:tcPr>
          <w:p w:rsidR="00DD07AF" w:rsidRPr="00ED2895" w:rsidRDefault="00DD07AF" w:rsidP="00CB2FBB">
            <w:pPr>
              <w:pStyle w:val="Tabletext"/>
            </w:pPr>
            <w:r w:rsidRPr="00ED2895">
              <w:t>3.7x10</w:t>
            </w:r>
            <w:r w:rsidRPr="00ED2895">
              <w:rPr>
                <w:vertAlign w:val="superscript"/>
              </w:rPr>
              <w:t>-06</w:t>
            </w:r>
            <w:r w:rsidRPr="00ED2895">
              <w:t xml:space="preserve"> </w:t>
            </w:r>
          </w:p>
        </w:tc>
        <w:tc>
          <w:tcPr>
            <w:tcW w:w="1559" w:type="dxa"/>
            <w:tcBorders>
              <w:left w:val="single" w:sz="4" w:space="0" w:color="auto"/>
              <w:bottom w:val="single" w:sz="4" w:space="0" w:color="auto"/>
              <w:right w:val="single" w:sz="4" w:space="0" w:color="auto"/>
            </w:tcBorders>
          </w:tcPr>
          <w:p w:rsidR="00DD07AF" w:rsidRPr="00ED2895" w:rsidRDefault="00DD07AF" w:rsidP="00CB2FBB">
            <w:pPr>
              <w:pStyle w:val="Tabletext"/>
            </w:pPr>
            <w:r w:rsidRPr="00ED2895">
              <w:t>1.4x10</w:t>
            </w:r>
            <w:r w:rsidRPr="00ED2895">
              <w:rPr>
                <w:vertAlign w:val="superscript"/>
              </w:rPr>
              <w:t>-03</w:t>
            </w:r>
          </w:p>
        </w:tc>
        <w:tc>
          <w:tcPr>
            <w:tcW w:w="1701" w:type="dxa"/>
            <w:tcBorders>
              <w:left w:val="single" w:sz="4" w:space="0" w:color="auto"/>
              <w:bottom w:val="single" w:sz="4" w:space="0" w:color="auto"/>
            </w:tcBorders>
          </w:tcPr>
          <w:p w:rsidR="00DD07AF" w:rsidRPr="00ED2895" w:rsidRDefault="00DD07AF" w:rsidP="00CB2FBB">
            <w:pPr>
              <w:pStyle w:val="Tabletext"/>
            </w:pPr>
            <w:r w:rsidRPr="00ED2895">
              <w:t>1.4x10</w:t>
            </w:r>
            <w:r w:rsidRPr="00ED2895">
              <w:rPr>
                <w:vertAlign w:val="superscript"/>
              </w:rPr>
              <w:t>+00</w:t>
            </w:r>
          </w:p>
        </w:tc>
      </w:tr>
      <w:tr w:rsidR="00DD07AF" w:rsidRPr="00ED2895" w:rsidTr="00AC2DE3">
        <w:tc>
          <w:tcPr>
            <w:tcW w:w="3064" w:type="dxa"/>
            <w:tcBorders>
              <w:top w:val="single" w:sz="4" w:space="0" w:color="auto"/>
              <w:bottom w:val="single" w:sz="4" w:space="0" w:color="auto"/>
              <w:right w:val="single" w:sz="4" w:space="0" w:color="auto"/>
            </w:tcBorders>
          </w:tcPr>
          <w:p w:rsidR="00DD07AF" w:rsidRPr="00ED2895" w:rsidRDefault="00DD07AF" w:rsidP="00CB2FBB">
            <w:pPr>
              <w:pStyle w:val="Tabletext"/>
            </w:pPr>
            <w:r w:rsidRPr="00ED2895">
              <w:t>Clematis Group Sandstones and equivalents (Aquifer)</w:t>
            </w:r>
          </w:p>
        </w:tc>
        <w:tc>
          <w:tcPr>
            <w:tcW w:w="794" w:type="dxa"/>
            <w:tcBorders>
              <w:top w:val="single" w:sz="4" w:space="0" w:color="auto"/>
              <w:left w:val="single" w:sz="4" w:space="0" w:color="auto"/>
              <w:bottom w:val="single" w:sz="4" w:space="0" w:color="auto"/>
              <w:right w:val="single" w:sz="4" w:space="0" w:color="auto"/>
            </w:tcBorders>
          </w:tcPr>
          <w:p w:rsidR="00DD07AF" w:rsidRPr="00ED2895" w:rsidRDefault="00DD07AF" w:rsidP="00CB2FBB">
            <w:pPr>
              <w:pStyle w:val="Tabletext"/>
            </w:pPr>
            <w:r w:rsidRPr="00ED2895">
              <w:t>16</w:t>
            </w:r>
          </w:p>
        </w:tc>
        <w:tc>
          <w:tcPr>
            <w:tcW w:w="1529" w:type="dxa"/>
            <w:tcBorders>
              <w:top w:val="single" w:sz="4" w:space="0" w:color="auto"/>
              <w:left w:val="single" w:sz="4" w:space="0" w:color="auto"/>
              <w:bottom w:val="single" w:sz="4" w:space="0" w:color="auto"/>
              <w:right w:val="single" w:sz="4" w:space="0" w:color="auto"/>
            </w:tcBorders>
          </w:tcPr>
          <w:p w:rsidR="00DD07AF" w:rsidRPr="00ED2895" w:rsidRDefault="00DD07AF" w:rsidP="00CB2FBB">
            <w:pPr>
              <w:pStyle w:val="Tabletext"/>
            </w:pPr>
            <w:r w:rsidRPr="00ED2895">
              <w:t>6x10</w:t>
            </w:r>
            <w:r w:rsidRPr="00ED2895">
              <w:rPr>
                <w:vertAlign w:val="superscript"/>
              </w:rPr>
              <w:t>-04</w:t>
            </w:r>
            <w:r w:rsidRPr="00ED2895">
              <w:t xml:space="preserve"> </w:t>
            </w:r>
          </w:p>
        </w:tc>
        <w:tc>
          <w:tcPr>
            <w:tcW w:w="1559" w:type="dxa"/>
            <w:tcBorders>
              <w:top w:val="single" w:sz="4" w:space="0" w:color="auto"/>
              <w:left w:val="single" w:sz="4" w:space="0" w:color="auto"/>
              <w:bottom w:val="single" w:sz="4" w:space="0" w:color="auto"/>
              <w:right w:val="single" w:sz="4" w:space="0" w:color="auto"/>
            </w:tcBorders>
          </w:tcPr>
          <w:p w:rsidR="00DD07AF" w:rsidRPr="00ED2895" w:rsidRDefault="00DD07AF" w:rsidP="00CB2FBB">
            <w:pPr>
              <w:pStyle w:val="Tabletext"/>
            </w:pPr>
            <w:r w:rsidRPr="00ED2895">
              <w:t>2.0x10</w:t>
            </w:r>
            <w:r w:rsidRPr="00ED2895">
              <w:rPr>
                <w:vertAlign w:val="superscript"/>
              </w:rPr>
              <w:t>-01</w:t>
            </w:r>
          </w:p>
        </w:tc>
        <w:tc>
          <w:tcPr>
            <w:tcW w:w="1701" w:type="dxa"/>
            <w:tcBorders>
              <w:top w:val="single" w:sz="4" w:space="0" w:color="auto"/>
              <w:left w:val="single" w:sz="4" w:space="0" w:color="auto"/>
              <w:bottom w:val="single" w:sz="4" w:space="0" w:color="auto"/>
            </w:tcBorders>
          </w:tcPr>
          <w:p w:rsidR="00DD07AF" w:rsidRPr="00ED2895" w:rsidRDefault="00DD07AF" w:rsidP="00CB2FBB">
            <w:pPr>
              <w:pStyle w:val="Tabletext"/>
            </w:pPr>
            <w:r w:rsidRPr="00ED2895">
              <w:t>5.0x10</w:t>
            </w:r>
            <w:r w:rsidRPr="00ED2895">
              <w:rPr>
                <w:vertAlign w:val="superscript"/>
              </w:rPr>
              <w:t>+00</w:t>
            </w:r>
          </w:p>
        </w:tc>
      </w:tr>
      <w:tr w:rsidR="00DD07AF" w:rsidRPr="00ED2895" w:rsidTr="00AC2DE3">
        <w:tc>
          <w:tcPr>
            <w:tcW w:w="3064" w:type="dxa"/>
            <w:tcBorders>
              <w:top w:val="single" w:sz="4" w:space="0" w:color="auto"/>
              <w:bottom w:val="single" w:sz="4" w:space="0" w:color="auto"/>
              <w:right w:val="single" w:sz="4" w:space="0" w:color="auto"/>
            </w:tcBorders>
          </w:tcPr>
          <w:p w:rsidR="00DD07AF" w:rsidRPr="00ED2895" w:rsidRDefault="00DD07AF" w:rsidP="00CB2FBB">
            <w:pPr>
              <w:pStyle w:val="Tabletext"/>
            </w:pPr>
            <w:r w:rsidRPr="00ED2895">
              <w:t>Rewan Group (Aquitard)</w:t>
            </w:r>
          </w:p>
        </w:tc>
        <w:tc>
          <w:tcPr>
            <w:tcW w:w="794" w:type="dxa"/>
            <w:tcBorders>
              <w:top w:val="single" w:sz="4" w:space="0" w:color="auto"/>
              <w:left w:val="single" w:sz="4" w:space="0" w:color="auto"/>
              <w:bottom w:val="single" w:sz="4" w:space="0" w:color="auto"/>
              <w:right w:val="single" w:sz="4" w:space="0" w:color="auto"/>
            </w:tcBorders>
          </w:tcPr>
          <w:p w:rsidR="00DD07AF" w:rsidRPr="00ED2895" w:rsidRDefault="00DD07AF" w:rsidP="00CB2FBB">
            <w:pPr>
              <w:pStyle w:val="Tabletext"/>
            </w:pPr>
            <w:r w:rsidRPr="00ED2895">
              <w:t>17</w:t>
            </w:r>
          </w:p>
        </w:tc>
        <w:tc>
          <w:tcPr>
            <w:tcW w:w="1529" w:type="dxa"/>
            <w:tcBorders>
              <w:top w:val="single" w:sz="4" w:space="0" w:color="auto"/>
              <w:left w:val="single" w:sz="4" w:space="0" w:color="auto"/>
              <w:bottom w:val="single" w:sz="4" w:space="0" w:color="auto"/>
              <w:right w:val="single" w:sz="4" w:space="0" w:color="auto"/>
            </w:tcBorders>
          </w:tcPr>
          <w:p w:rsidR="00DD07AF" w:rsidRPr="00ED2895" w:rsidRDefault="00DD07AF" w:rsidP="00CB2FBB">
            <w:pPr>
              <w:pStyle w:val="Tabletext"/>
            </w:pPr>
            <w:r w:rsidRPr="00ED2895">
              <w:t>1.0x10</w:t>
            </w:r>
            <w:r w:rsidRPr="00ED2895">
              <w:rPr>
                <w:vertAlign w:val="superscript"/>
              </w:rPr>
              <w:t>-04</w:t>
            </w:r>
            <w:r w:rsidRPr="00ED2895">
              <w:t xml:space="preserve"> </w:t>
            </w:r>
          </w:p>
        </w:tc>
        <w:tc>
          <w:tcPr>
            <w:tcW w:w="1559" w:type="dxa"/>
            <w:tcBorders>
              <w:top w:val="single" w:sz="4" w:space="0" w:color="auto"/>
              <w:left w:val="single" w:sz="4" w:space="0" w:color="auto"/>
              <w:bottom w:val="single" w:sz="4" w:space="0" w:color="auto"/>
              <w:right w:val="single" w:sz="4" w:space="0" w:color="auto"/>
            </w:tcBorders>
          </w:tcPr>
          <w:p w:rsidR="00DD07AF" w:rsidRPr="00ED2895" w:rsidRDefault="00DD07AF" w:rsidP="00CB2FBB">
            <w:pPr>
              <w:pStyle w:val="Tabletext"/>
            </w:pPr>
            <w:r w:rsidRPr="00ED2895">
              <w:t>5.4x10</w:t>
            </w:r>
            <w:r w:rsidRPr="00ED2895">
              <w:rPr>
                <w:vertAlign w:val="superscript"/>
              </w:rPr>
              <w:t>-02</w:t>
            </w:r>
          </w:p>
        </w:tc>
        <w:tc>
          <w:tcPr>
            <w:tcW w:w="1701" w:type="dxa"/>
            <w:tcBorders>
              <w:top w:val="single" w:sz="4" w:space="0" w:color="auto"/>
              <w:left w:val="single" w:sz="4" w:space="0" w:color="auto"/>
              <w:bottom w:val="single" w:sz="4" w:space="0" w:color="auto"/>
            </w:tcBorders>
          </w:tcPr>
          <w:p w:rsidR="00DD07AF" w:rsidRPr="00ED2895" w:rsidRDefault="00DD07AF" w:rsidP="00CB2FBB">
            <w:pPr>
              <w:pStyle w:val="Tabletext"/>
            </w:pPr>
            <w:r w:rsidRPr="00ED2895">
              <w:t>1.4x10</w:t>
            </w:r>
            <w:r w:rsidRPr="00ED2895">
              <w:rPr>
                <w:vertAlign w:val="superscript"/>
              </w:rPr>
              <w:t>+00</w:t>
            </w:r>
          </w:p>
        </w:tc>
      </w:tr>
      <w:tr w:rsidR="00DD07AF" w:rsidRPr="00ED2895" w:rsidTr="00AC2DE3">
        <w:tc>
          <w:tcPr>
            <w:tcW w:w="3064" w:type="dxa"/>
            <w:tcBorders>
              <w:top w:val="single" w:sz="4" w:space="0" w:color="auto"/>
              <w:bottom w:val="single" w:sz="4" w:space="0" w:color="auto"/>
              <w:right w:val="single" w:sz="4" w:space="0" w:color="auto"/>
            </w:tcBorders>
          </w:tcPr>
          <w:p w:rsidR="00DD07AF" w:rsidRPr="00ED2895" w:rsidRDefault="00DD07AF" w:rsidP="00CB2FBB">
            <w:pPr>
              <w:pStyle w:val="Tabletext"/>
            </w:pPr>
            <w:r w:rsidRPr="00ED2895">
              <w:t>Bandanna Formation – Coal producing formation</w:t>
            </w:r>
          </w:p>
        </w:tc>
        <w:tc>
          <w:tcPr>
            <w:tcW w:w="794" w:type="dxa"/>
            <w:tcBorders>
              <w:top w:val="single" w:sz="4" w:space="0" w:color="auto"/>
              <w:left w:val="single" w:sz="4" w:space="0" w:color="auto"/>
              <w:bottom w:val="single" w:sz="4" w:space="0" w:color="auto"/>
              <w:right w:val="single" w:sz="4" w:space="0" w:color="auto"/>
            </w:tcBorders>
          </w:tcPr>
          <w:p w:rsidR="00DD07AF" w:rsidRPr="00ED2895" w:rsidRDefault="00DD07AF" w:rsidP="00CB2FBB">
            <w:pPr>
              <w:pStyle w:val="Tabletext"/>
            </w:pPr>
            <w:r w:rsidRPr="00ED2895">
              <w:t>18</w:t>
            </w:r>
          </w:p>
        </w:tc>
        <w:tc>
          <w:tcPr>
            <w:tcW w:w="1529" w:type="dxa"/>
            <w:tcBorders>
              <w:top w:val="single" w:sz="4" w:space="0" w:color="auto"/>
              <w:left w:val="single" w:sz="4" w:space="0" w:color="auto"/>
              <w:bottom w:val="single" w:sz="4" w:space="0" w:color="auto"/>
              <w:right w:val="single" w:sz="4" w:space="0" w:color="auto"/>
            </w:tcBorders>
          </w:tcPr>
          <w:p w:rsidR="00DD07AF" w:rsidRPr="00ED2895" w:rsidRDefault="00DD07AF" w:rsidP="00CB2FBB">
            <w:pPr>
              <w:pStyle w:val="Tabletext"/>
            </w:pPr>
            <w:r w:rsidRPr="00ED2895">
              <w:t>1.0x10</w:t>
            </w:r>
            <w:r w:rsidRPr="00ED2895">
              <w:rPr>
                <w:vertAlign w:val="superscript"/>
              </w:rPr>
              <w:t>-05</w:t>
            </w:r>
            <w:r w:rsidRPr="00ED2895">
              <w:t xml:space="preserve"> </w:t>
            </w:r>
          </w:p>
        </w:tc>
        <w:tc>
          <w:tcPr>
            <w:tcW w:w="1559" w:type="dxa"/>
            <w:tcBorders>
              <w:top w:val="single" w:sz="4" w:space="0" w:color="auto"/>
              <w:left w:val="single" w:sz="4" w:space="0" w:color="auto"/>
              <w:bottom w:val="single" w:sz="4" w:space="0" w:color="auto"/>
              <w:right w:val="single" w:sz="4" w:space="0" w:color="auto"/>
            </w:tcBorders>
          </w:tcPr>
          <w:p w:rsidR="00DD07AF" w:rsidRPr="00ED2895" w:rsidRDefault="00DD07AF" w:rsidP="00CB2FBB">
            <w:pPr>
              <w:pStyle w:val="Tabletext"/>
            </w:pPr>
            <w:r w:rsidRPr="00ED2895">
              <w:t>3.2x10</w:t>
            </w:r>
            <w:r w:rsidRPr="00ED2895">
              <w:rPr>
                <w:vertAlign w:val="superscript"/>
              </w:rPr>
              <w:t>-02</w:t>
            </w:r>
          </w:p>
        </w:tc>
        <w:tc>
          <w:tcPr>
            <w:tcW w:w="1701" w:type="dxa"/>
            <w:tcBorders>
              <w:top w:val="single" w:sz="4" w:space="0" w:color="auto"/>
              <w:left w:val="single" w:sz="4" w:space="0" w:color="auto"/>
              <w:bottom w:val="single" w:sz="4" w:space="0" w:color="auto"/>
            </w:tcBorders>
          </w:tcPr>
          <w:p w:rsidR="00DD07AF" w:rsidRPr="00ED2895" w:rsidRDefault="00DD07AF" w:rsidP="00CB2FBB">
            <w:pPr>
              <w:pStyle w:val="Tabletext"/>
            </w:pPr>
            <w:r w:rsidRPr="00ED2895">
              <w:t>1.0x10</w:t>
            </w:r>
            <w:r w:rsidRPr="00ED2895">
              <w:rPr>
                <w:vertAlign w:val="superscript"/>
              </w:rPr>
              <w:t>+00</w:t>
            </w:r>
          </w:p>
        </w:tc>
      </w:tr>
      <w:tr w:rsidR="00DD07AF" w:rsidRPr="00ED2895" w:rsidTr="00AC2DE3">
        <w:tc>
          <w:tcPr>
            <w:tcW w:w="3064" w:type="dxa"/>
            <w:tcBorders>
              <w:top w:val="single" w:sz="4" w:space="0" w:color="auto"/>
              <w:right w:val="single" w:sz="4" w:space="0" w:color="auto"/>
            </w:tcBorders>
          </w:tcPr>
          <w:p w:rsidR="00DD07AF" w:rsidRPr="00ED2895" w:rsidRDefault="00DD07AF" w:rsidP="00CB2FBB">
            <w:pPr>
              <w:pStyle w:val="Tabletext"/>
            </w:pPr>
            <w:r w:rsidRPr="00ED2895">
              <w:t>Deeper Reservoirs (e</w:t>
            </w:r>
            <w:r w:rsidR="00ED2895">
              <w:t>.</w:t>
            </w:r>
            <w:r w:rsidRPr="00ED2895">
              <w:t>g</w:t>
            </w:r>
            <w:r w:rsidR="00ED2895">
              <w:t>.</w:t>
            </w:r>
            <w:r w:rsidRPr="00ED2895">
              <w:t xml:space="preserve"> Back Creek Group)</w:t>
            </w:r>
          </w:p>
        </w:tc>
        <w:tc>
          <w:tcPr>
            <w:tcW w:w="794" w:type="dxa"/>
            <w:tcBorders>
              <w:top w:val="single" w:sz="4" w:space="0" w:color="auto"/>
              <w:left w:val="single" w:sz="4" w:space="0" w:color="auto"/>
              <w:right w:val="single" w:sz="4" w:space="0" w:color="auto"/>
            </w:tcBorders>
          </w:tcPr>
          <w:p w:rsidR="00DD07AF" w:rsidRPr="00ED2895" w:rsidRDefault="00DD07AF" w:rsidP="00CB2FBB">
            <w:pPr>
              <w:pStyle w:val="Tabletext"/>
            </w:pPr>
            <w:r w:rsidRPr="00ED2895">
              <w:t>19</w:t>
            </w:r>
          </w:p>
        </w:tc>
        <w:tc>
          <w:tcPr>
            <w:tcW w:w="1529" w:type="dxa"/>
            <w:tcBorders>
              <w:top w:val="single" w:sz="4" w:space="0" w:color="auto"/>
              <w:left w:val="single" w:sz="4" w:space="0" w:color="auto"/>
              <w:right w:val="single" w:sz="4" w:space="0" w:color="auto"/>
            </w:tcBorders>
          </w:tcPr>
          <w:p w:rsidR="00DD07AF" w:rsidRPr="00ED2895" w:rsidRDefault="00DD07AF" w:rsidP="00CB2FBB">
            <w:pPr>
              <w:pStyle w:val="Tabletext"/>
            </w:pPr>
            <w:r w:rsidRPr="00ED2895">
              <w:t>5.0x10</w:t>
            </w:r>
            <w:r w:rsidRPr="00ED2895">
              <w:rPr>
                <w:vertAlign w:val="superscript"/>
              </w:rPr>
              <w:t>-07</w:t>
            </w:r>
            <w:r w:rsidRPr="00ED2895">
              <w:t xml:space="preserve"> </w:t>
            </w:r>
          </w:p>
        </w:tc>
        <w:tc>
          <w:tcPr>
            <w:tcW w:w="1559" w:type="dxa"/>
            <w:tcBorders>
              <w:top w:val="single" w:sz="4" w:space="0" w:color="auto"/>
              <w:left w:val="single" w:sz="4" w:space="0" w:color="auto"/>
              <w:right w:val="single" w:sz="4" w:space="0" w:color="auto"/>
            </w:tcBorders>
          </w:tcPr>
          <w:p w:rsidR="00DD07AF" w:rsidRPr="00ED2895" w:rsidRDefault="00DD07AF" w:rsidP="00CB2FBB">
            <w:pPr>
              <w:pStyle w:val="Tabletext"/>
            </w:pPr>
            <w:r w:rsidRPr="00ED2895">
              <w:t>8.5x10</w:t>
            </w:r>
            <w:r w:rsidRPr="00ED2895">
              <w:rPr>
                <w:vertAlign w:val="superscript"/>
              </w:rPr>
              <w:t>-06</w:t>
            </w:r>
          </w:p>
        </w:tc>
        <w:tc>
          <w:tcPr>
            <w:tcW w:w="1701" w:type="dxa"/>
            <w:tcBorders>
              <w:top w:val="single" w:sz="4" w:space="0" w:color="auto"/>
              <w:left w:val="single" w:sz="4" w:space="0" w:color="auto"/>
            </w:tcBorders>
          </w:tcPr>
          <w:p w:rsidR="00DD07AF" w:rsidRPr="00ED2895" w:rsidRDefault="00DD07AF" w:rsidP="00CB2FBB">
            <w:pPr>
              <w:pStyle w:val="Tabletext"/>
            </w:pPr>
            <w:r w:rsidRPr="00ED2895">
              <w:t>5.0x10</w:t>
            </w:r>
            <w:r w:rsidRPr="00ED2895">
              <w:rPr>
                <w:vertAlign w:val="superscript"/>
              </w:rPr>
              <w:t>-03</w:t>
            </w:r>
          </w:p>
        </w:tc>
      </w:tr>
    </w:tbl>
    <w:p w:rsidR="00DD07AF" w:rsidRDefault="00DD07AF" w:rsidP="001C3374">
      <w:pPr>
        <w:pStyle w:val="Body"/>
      </w:pPr>
    </w:p>
    <w:p w:rsidR="00DD07AF" w:rsidRDefault="001244FD" w:rsidP="001244FD">
      <w:pPr>
        <w:pStyle w:val="Caption"/>
      </w:pPr>
      <w:bookmarkStart w:id="650" w:name="_Ref333609062"/>
      <w:r w:rsidRPr="006F2073">
        <w:t xml:space="preserve">Table </w:t>
      </w:r>
      <w:r w:rsidR="00E23933" w:rsidRPr="006F2073">
        <w:rPr>
          <w:b/>
          <w:noProof w:val="0"/>
        </w:rPr>
        <w:fldChar w:fldCharType="begin"/>
      </w:r>
      <w:r w:rsidRPr="006F2073">
        <w:instrText xml:space="preserve"> SEQ Table \* ARABIC </w:instrText>
      </w:r>
      <w:r w:rsidR="00E23933" w:rsidRPr="006F2073">
        <w:rPr>
          <w:b/>
          <w:noProof w:val="0"/>
        </w:rPr>
        <w:fldChar w:fldCharType="separate"/>
      </w:r>
      <w:r w:rsidR="00E70318">
        <w:t>23</w:t>
      </w:r>
      <w:r w:rsidR="00E23933" w:rsidRPr="006F2073">
        <w:rPr>
          <w:b/>
        </w:rPr>
        <w:fldChar w:fldCharType="end"/>
      </w:r>
      <w:r>
        <w:rPr>
          <w:b/>
        </w:rPr>
        <w:t xml:space="preserve"> </w:t>
      </w:r>
      <w:bookmarkEnd w:id="650"/>
      <w:r w:rsidR="00DD07AF">
        <w:t xml:space="preserve">Summary of calibrated </w:t>
      </w:r>
      <w:r w:rsidR="00AC2DE3">
        <w:t>vertical hydraulic conductivity (</w:t>
      </w:r>
      <w:r w:rsidR="00DD07AF">
        <w:t>Kv</w:t>
      </w:r>
      <w:r w:rsidR="00AC2DE3">
        <w:t>)</w:t>
      </w:r>
      <w:r w:rsidR="00DD07AF">
        <w:t xml:space="preserve"> values for Bowen Basin HSUs </w:t>
      </w:r>
      <w:r>
        <w:t>within the Surat CMA (</w:t>
      </w:r>
      <w:r w:rsidR="00F976E1">
        <w:t>© Copyright</w:t>
      </w:r>
      <w:r w:rsidR="00AC2DE3">
        <w:t>,</w:t>
      </w:r>
      <w:r>
        <w:t xml:space="preserve"> QWC</w:t>
      </w:r>
      <w:r w:rsidR="00DD07AF">
        <w:t xml:space="preserve"> 2012c)</w:t>
      </w:r>
      <w:r>
        <w:t>.</w:t>
      </w:r>
    </w:p>
    <w:tbl>
      <w:tblPr>
        <w:tblStyle w:val="TableGrid"/>
        <w:tblW w:w="0" w:type="auto"/>
        <w:tblInd w:w="108" w:type="dxa"/>
        <w:tblLook w:val="04A0"/>
      </w:tblPr>
      <w:tblGrid>
        <w:gridCol w:w="3064"/>
        <w:gridCol w:w="794"/>
        <w:gridCol w:w="1529"/>
        <w:gridCol w:w="1417"/>
        <w:gridCol w:w="1843"/>
      </w:tblGrid>
      <w:tr w:rsidR="00DD07AF" w:rsidRPr="006B0EC2" w:rsidTr="006B0EC2">
        <w:trPr>
          <w:tblHeader/>
        </w:trPr>
        <w:tc>
          <w:tcPr>
            <w:tcW w:w="3064" w:type="dxa"/>
            <w:vMerge w:val="restart"/>
            <w:tcBorders>
              <w:bottom w:val="single" w:sz="4" w:space="0" w:color="auto"/>
              <w:right w:val="single" w:sz="4" w:space="0" w:color="auto"/>
            </w:tcBorders>
            <w:shd w:val="clear" w:color="auto" w:fill="C6D9F1" w:themeFill="text2" w:themeFillTint="33"/>
          </w:tcPr>
          <w:p w:rsidR="00DD07AF" w:rsidRPr="006B0EC2" w:rsidRDefault="00DD07AF" w:rsidP="006B0EC2">
            <w:pPr>
              <w:pStyle w:val="Tableheading"/>
            </w:pPr>
            <w:r w:rsidRPr="006B0EC2">
              <w:t>HSU</w:t>
            </w:r>
          </w:p>
        </w:tc>
        <w:tc>
          <w:tcPr>
            <w:tcW w:w="794" w:type="dxa"/>
            <w:vMerge w:val="restart"/>
            <w:tcBorders>
              <w:left w:val="single" w:sz="4" w:space="0" w:color="auto"/>
              <w:bottom w:val="single" w:sz="4" w:space="0" w:color="auto"/>
              <w:right w:val="single" w:sz="4" w:space="0" w:color="auto"/>
            </w:tcBorders>
            <w:shd w:val="clear" w:color="auto" w:fill="C6D9F1" w:themeFill="text2" w:themeFillTint="33"/>
          </w:tcPr>
          <w:p w:rsidR="00DD07AF" w:rsidRPr="006B0EC2" w:rsidRDefault="006B0EC2" w:rsidP="006B0EC2">
            <w:pPr>
              <w:pStyle w:val="Tableheading"/>
            </w:pPr>
            <w:r w:rsidRPr="006B0EC2">
              <w:t>Model l</w:t>
            </w:r>
            <w:r w:rsidR="00DD07AF" w:rsidRPr="006B0EC2">
              <w:t>ayer</w:t>
            </w:r>
          </w:p>
        </w:tc>
        <w:tc>
          <w:tcPr>
            <w:tcW w:w="4789" w:type="dxa"/>
            <w:gridSpan w:val="3"/>
            <w:tcBorders>
              <w:left w:val="single" w:sz="4" w:space="0" w:color="auto"/>
              <w:bottom w:val="single" w:sz="4" w:space="0" w:color="auto"/>
            </w:tcBorders>
            <w:shd w:val="clear" w:color="auto" w:fill="C6D9F1" w:themeFill="text2" w:themeFillTint="33"/>
          </w:tcPr>
          <w:p w:rsidR="00DD07AF" w:rsidRPr="006B0EC2" w:rsidRDefault="00A66B8B" w:rsidP="006B0EC2">
            <w:pPr>
              <w:pStyle w:val="Tableheading"/>
            </w:pPr>
            <w:r w:rsidRPr="006B0EC2">
              <w:t>Vertica</w:t>
            </w:r>
            <w:r w:rsidR="006B0EC2" w:rsidRPr="006B0EC2">
              <w:t>l hydraulic c</w:t>
            </w:r>
            <w:r w:rsidR="00DD07AF" w:rsidRPr="006B0EC2">
              <w:t>onductivity (m/day)</w:t>
            </w:r>
          </w:p>
        </w:tc>
      </w:tr>
      <w:tr w:rsidR="00DD07AF" w:rsidRPr="006B0EC2" w:rsidTr="006B0EC2">
        <w:trPr>
          <w:tblHeader/>
        </w:trPr>
        <w:tc>
          <w:tcPr>
            <w:tcW w:w="3064" w:type="dxa"/>
            <w:vMerge/>
            <w:tcBorders>
              <w:top w:val="single" w:sz="4" w:space="0" w:color="auto"/>
              <w:bottom w:val="single" w:sz="4" w:space="0" w:color="auto"/>
              <w:right w:val="single" w:sz="4" w:space="0" w:color="auto"/>
            </w:tcBorders>
            <w:shd w:val="clear" w:color="auto" w:fill="C6D9F1" w:themeFill="text2" w:themeFillTint="33"/>
          </w:tcPr>
          <w:p w:rsidR="00DD07AF" w:rsidRPr="006B0EC2" w:rsidRDefault="00DD07AF" w:rsidP="006B0EC2">
            <w:pPr>
              <w:pStyle w:val="Tableheading"/>
            </w:pPr>
          </w:p>
        </w:tc>
        <w:tc>
          <w:tcPr>
            <w:tcW w:w="794" w:type="dxa"/>
            <w:vMerge/>
            <w:tcBorders>
              <w:top w:val="single" w:sz="4" w:space="0" w:color="auto"/>
              <w:left w:val="single" w:sz="4" w:space="0" w:color="auto"/>
              <w:bottom w:val="single" w:sz="4" w:space="0" w:color="auto"/>
              <w:right w:val="single" w:sz="4" w:space="0" w:color="auto"/>
            </w:tcBorders>
            <w:shd w:val="clear" w:color="auto" w:fill="C6D9F1" w:themeFill="text2" w:themeFillTint="33"/>
          </w:tcPr>
          <w:p w:rsidR="00DD07AF" w:rsidRPr="006B0EC2" w:rsidRDefault="00DD07AF" w:rsidP="006B0EC2">
            <w:pPr>
              <w:pStyle w:val="Tableheading"/>
            </w:pPr>
          </w:p>
        </w:tc>
        <w:tc>
          <w:tcPr>
            <w:tcW w:w="1529" w:type="dxa"/>
            <w:tcBorders>
              <w:top w:val="single" w:sz="4" w:space="0" w:color="auto"/>
              <w:left w:val="single" w:sz="4" w:space="0" w:color="auto"/>
              <w:bottom w:val="single" w:sz="4" w:space="0" w:color="auto"/>
              <w:right w:val="single" w:sz="4" w:space="0" w:color="auto"/>
            </w:tcBorders>
            <w:shd w:val="clear" w:color="auto" w:fill="C6D9F1" w:themeFill="text2" w:themeFillTint="33"/>
          </w:tcPr>
          <w:p w:rsidR="00DD07AF" w:rsidRPr="006B0EC2" w:rsidRDefault="00DD07AF" w:rsidP="006B0EC2">
            <w:pPr>
              <w:pStyle w:val="Tableheading"/>
            </w:pPr>
            <w:r w:rsidRPr="006B0EC2">
              <w:t>Minimum</w:t>
            </w:r>
          </w:p>
        </w:tc>
        <w:tc>
          <w:tcPr>
            <w:tcW w:w="1417" w:type="dxa"/>
            <w:tcBorders>
              <w:top w:val="single" w:sz="4" w:space="0" w:color="auto"/>
              <w:left w:val="single" w:sz="4" w:space="0" w:color="auto"/>
              <w:bottom w:val="single" w:sz="4" w:space="0" w:color="auto"/>
              <w:right w:val="single" w:sz="4" w:space="0" w:color="auto"/>
            </w:tcBorders>
            <w:shd w:val="clear" w:color="auto" w:fill="C6D9F1" w:themeFill="text2" w:themeFillTint="33"/>
          </w:tcPr>
          <w:p w:rsidR="00DD07AF" w:rsidRPr="006B0EC2" w:rsidRDefault="00DD07AF" w:rsidP="006B0EC2">
            <w:pPr>
              <w:pStyle w:val="Tableheading"/>
            </w:pPr>
            <w:r w:rsidRPr="006B0EC2">
              <w:t>Average</w:t>
            </w:r>
          </w:p>
        </w:tc>
        <w:tc>
          <w:tcPr>
            <w:tcW w:w="1843" w:type="dxa"/>
            <w:tcBorders>
              <w:top w:val="single" w:sz="4" w:space="0" w:color="auto"/>
              <w:left w:val="single" w:sz="4" w:space="0" w:color="auto"/>
              <w:bottom w:val="single" w:sz="4" w:space="0" w:color="auto"/>
            </w:tcBorders>
            <w:shd w:val="clear" w:color="auto" w:fill="C6D9F1" w:themeFill="text2" w:themeFillTint="33"/>
          </w:tcPr>
          <w:p w:rsidR="00DD07AF" w:rsidRPr="006B0EC2" w:rsidRDefault="00DD07AF" w:rsidP="006B0EC2">
            <w:pPr>
              <w:pStyle w:val="Tableheading"/>
            </w:pPr>
            <w:r w:rsidRPr="006B0EC2">
              <w:t>Maximum</w:t>
            </w:r>
          </w:p>
        </w:tc>
      </w:tr>
      <w:tr w:rsidR="00DD07AF" w:rsidRPr="001244FD" w:rsidTr="00AC2DE3">
        <w:tc>
          <w:tcPr>
            <w:tcW w:w="3064" w:type="dxa"/>
            <w:tcBorders>
              <w:bottom w:val="single" w:sz="4" w:space="0" w:color="auto"/>
              <w:right w:val="single" w:sz="4" w:space="0" w:color="auto"/>
            </w:tcBorders>
          </w:tcPr>
          <w:p w:rsidR="00DD07AF" w:rsidRPr="001244FD" w:rsidRDefault="00DD07AF" w:rsidP="006B0EC2">
            <w:pPr>
              <w:pStyle w:val="Tabletext"/>
            </w:pPr>
            <w:r w:rsidRPr="001244FD">
              <w:t>Moolayember Formation (Aquitard)</w:t>
            </w:r>
          </w:p>
        </w:tc>
        <w:tc>
          <w:tcPr>
            <w:tcW w:w="794" w:type="dxa"/>
            <w:tcBorders>
              <w:left w:val="single" w:sz="4" w:space="0" w:color="auto"/>
              <w:bottom w:val="single" w:sz="4" w:space="0" w:color="auto"/>
              <w:right w:val="single" w:sz="4" w:space="0" w:color="auto"/>
            </w:tcBorders>
          </w:tcPr>
          <w:p w:rsidR="00DD07AF" w:rsidRPr="001244FD" w:rsidRDefault="00DD07AF" w:rsidP="006B0EC2">
            <w:pPr>
              <w:pStyle w:val="Tabletext"/>
            </w:pPr>
            <w:r w:rsidRPr="001244FD">
              <w:t>15</w:t>
            </w:r>
          </w:p>
        </w:tc>
        <w:tc>
          <w:tcPr>
            <w:tcW w:w="1529" w:type="dxa"/>
            <w:tcBorders>
              <w:left w:val="single" w:sz="4" w:space="0" w:color="auto"/>
              <w:bottom w:val="single" w:sz="4" w:space="0" w:color="auto"/>
              <w:right w:val="single" w:sz="4" w:space="0" w:color="auto"/>
            </w:tcBorders>
          </w:tcPr>
          <w:p w:rsidR="00DD07AF" w:rsidRPr="001244FD" w:rsidRDefault="00DD07AF" w:rsidP="006B0EC2">
            <w:pPr>
              <w:pStyle w:val="Tabletext"/>
            </w:pPr>
            <w:r w:rsidRPr="001244FD">
              <w:t>3.6x10</w:t>
            </w:r>
            <w:r w:rsidRPr="001244FD">
              <w:rPr>
                <w:vertAlign w:val="superscript"/>
              </w:rPr>
              <w:t>-07</w:t>
            </w:r>
            <w:r w:rsidRPr="001244FD">
              <w:t xml:space="preserve"> </w:t>
            </w:r>
          </w:p>
        </w:tc>
        <w:tc>
          <w:tcPr>
            <w:tcW w:w="1417" w:type="dxa"/>
            <w:tcBorders>
              <w:left w:val="single" w:sz="4" w:space="0" w:color="auto"/>
              <w:bottom w:val="single" w:sz="4" w:space="0" w:color="auto"/>
              <w:right w:val="single" w:sz="4" w:space="0" w:color="auto"/>
            </w:tcBorders>
          </w:tcPr>
          <w:p w:rsidR="00DD07AF" w:rsidRPr="001244FD" w:rsidRDefault="00DD07AF" w:rsidP="006B0EC2">
            <w:pPr>
              <w:pStyle w:val="Tabletext"/>
            </w:pPr>
            <w:r w:rsidRPr="001244FD">
              <w:t>1.3x10</w:t>
            </w:r>
            <w:r w:rsidRPr="001244FD">
              <w:rPr>
                <w:vertAlign w:val="superscript"/>
              </w:rPr>
              <w:t>-04</w:t>
            </w:r>
          </w:p>
        </w:tc>
        <w:tc>
          <w:tcPr>
            <w:tcW w:w="1843" w:type="dxa"/>
            <w:tcBorders>
              <w:left w:val="single" w:sz="4" w:space="0" w:color="auto"/>
              <w:bottom w:val="single" w:sz="4" w:space="0" w:color="auto"/>
            </w:tcBorders>
          </w:tcPr>
          <w:p w:rsidR="00DD07AF" w:rsidRPr="001244FD" w:rsidRDefault="00DD07AF" w:rsidP="006B0EC2">
            <w:pPr>
              <w:pStyle w:val="Tabletext"/>
            </w:pPr>
            <w:r w:rsidRPr="001244FD">
              <w:t>1.1x10</w:t>
            </w:r>
            <w:r w:rsidRPr="001244FD">
              <w:rPr>
                <w:vertAlign w:val="superscript"/>
              </w:rPr>
              <w:t>-01</w:t>
            </w:r>
          </w:p>
        </w:tc>
      </w:tr>
      <w:tr w:rsidR="00DD07AF" w:rsidRPr="001244FD" w:rsidTr="00AC2DE3">
        <w:tc>
          <w:tcPr>
            <w:tcW w:w="3064" w:type="dxa"/>
            <w:tcBorders>
              <w:top w:val="single" w:sz="4" w:space="0" w:color="auto"/>
              <w:bottom w:val="single" w:sz="4" w:space="0" w:color="auto"/>
              <w:right w:val="single" w:sz="4" w:space="0" w:color="auto"/>
            </w:tcBorders>
          </w:tcPr>
          <w:p w:rsidR="00DD07AF" w:rsidRPr="001244FD" w:rsidRDefault="00DD07AF" w:rsidP="006B0EC2">
            <w:pPr>
              <w:pStyle w:val="Tabletext"/>
            </w:pPr>
            <w:r w:rsidRPr="001244FD">
              <w:t>Clematis Group Sandstones and equivalents (Aquifer)</w:t>
            </w:r>
          </w:p>
        </w:tc>
        <w:tc>
          <w:tcPr>
            <w:tcW w:w="794" w:type="dxa"/>
            <w:tcBorders>
              <w:top w:val="single" w:sz="4" w:space="0" w:color="auto"/>
              <w:left w:val="single" w:sz="4" w:space="0" w:color="auto"/>
              <w:bottom w:val="single" w:sz="4" w:space="0" w:color="auto"/>
              <w:right w:val="single" w:sz="4" w:space="0" w:color="auto"/>
            </w:tcBorders>
          </w:tcPr>
          <w:p w:rsidR="00DD07AF" w:rsidRPr="001244FD" w:rsidRDefault="00DD07AF" w:rsidP="006B0EC2">
            <w:pPr>
              <w:pStyle w:val="Tabletext"/>
            </w:pPr>
            <w:r w:rsidRPr="001244FD">
              <w:t>16</w:t>
            </w:r>
          </w:p>
        </w:tc>
        <w:tc>
          <w:tcPr>
            <w:tcW w:w="1529" w:type="dxa"/>
            <w:tcBorders>
              <w:top w:val="single" w:sz="4" w:space="0" w:color="auto"/>
              <w:left w:val="single" w:sz="4" w:space="0" w:color="auto"/>
              <w:bottom w:val="single" w:sz="4" w:space="0" w:color="auto"/>
              <w:right w:val="single" w:sz="4" w:space="0" w:color="auto"/>
            </w:tcBorders>
          </w:tcPr>
          <w:p w:rsidR="00DD07AF" w:rsidRPr="001244FD" w:rsidRDefault="00DD07AF" w:rsidP="006B0EC2">
            <w:pPr>
              <w:pStyle w:val="Tabletext"/>
            </w:pPr>
            <w:r w:rsidRPr="001244FD">
              <w:t>1.0x10</w:t>
            </w:r>
            <w:r w:rsidRPr="001244FD">
              <w:rPr>
                <w:vertAlign w:val="superscript"/>
              </w:rPr>
              <w:t>-04</w:t>
            </w:r>
            <w:r w:rsidRPr="001244FD">
              <w:t xml:space="preserve"> </w:t>
            </w:r>
          </w:p>
        </w:tc>
        <w:tc>
          <w:tcPr>
            <w:tcW w:w="1417" w:type="dxa"/>
            <w:tcBorders>
              <w:top w:val="single" w:sz="4" w:space="0" w:color="auto"/>
              <w:left w:val="single" w:sz="4" w:space="0" w:color="auto"/>
              <w:bottom w:val="single" w:sz="4" w:space="0" w:color="auto"/>
              <w:right w:val="single" w:sz="4" w:space="0" w:color="auto"/>
            </w:tcBorders>
          </w:tcPr>
          <w:p w:rsidR="00DD07AF" w:rsidRPr="001244FD" w:rsidRDefault="00DD07AF" w:rsidP="006B0EC2">
            <w:pPr>
              <w:pStyle w:val="Tabletext"/>
            </w:pPr>
            <w:r w:rsidRPr="001244FD">
              <w:t>2.7x10</w:t>
            </w:r>
            <w:r w:rsidRPr="001244FD">
              <w:rPr>
                <w:vertAlign w:val="superscript"/>
              </w:rPr>
              <w:t>-02</w:t>
            </w:r>
          </w:p>
        </w:tc>
        <w:tc>
          <w:tcPr>
            <w:tcW w:w="1843" w:type="dxa"/>
            <w:tcBorders>
              <w:top w:val="single" w:sz="4" w:space="0" w:color="auto"/>
              <w:left w:val="single" w:sz="4" w:space="0" w:color="auto"/>
              <w:bottom w:val="single" w:sz="4" w:space="0" w:color="auto"/>
            </w:tcBorders>
          </w:tcPr>
          <w:p w:rsidR="00DD07AF" w:rsidRPr="001244FD" w:rsidRDefault="00DD07AF" w:rsidP="006B0EC2">
            <w:pPr>
              <w:pStyle w:val="Tabletext"/>
            </w:pPr>
            <w:r w:rsidRPr="001244FD">
              <w:t>6.9x10</w:t>
            </w:r>
            <w:r w:rsidRPr="001244FD">
              <w:rPr>
                <w:vertAlign w:val="superscript"/>
              </w:rPr>
              <w:t>-01</w:t>
            </w:r>
          </w:p>
        </w:tc>
      </w:tr>
      <w:tr w:rsidR="00DD07AF" w:rsidRPr="001244FD" w:rsidTr="00AC2DE3">
        <w:tc>
          <w:tcPr>
            <w:tcW w:w="3064" w:type="dxa"/>
            <w:tcBorders>
              <w:top w:val="single" w:sz="4" w:space="0" w:color="auto"/>
              <w:bottom w:val="single" w:sz="4" w:space="0" w:color="auto"/>
              <w:right w:val="single" w:sz="4" w:space="0" w:color="auto"/>
            </w:tcBorders>
          </w:tcPr>
          <w:p w:rsidR="00DD07AF" w:rsidRPr="001244FD" w:rsidRDefault="00DD07AF" w:rsidP="006B0EC2">
            <w:pPr>
              <w:pStyle w:val="Tabletext"/>
            </w:pPr>
            <w:r w:rsidRPr="001244FD">
              <w:t>Rewan Group (Aquitard)</w:t>
            </w:r>
          </w:p>
        </w:tc>
        <w:tc>
          <w:tcPr>
            <w:tcW w:w="794" w:type="dxa"/>
            <w:tcBorders>
              <w:top w:val="single" w:sz="4" w:space="0" w:color="auto"/>
              <w:left w:val="single" w:sz="4" w:space="0" w:color="auto"/>
              <w:bottom w:val="single" w:sz="4" w:space="0" w:color="auto"/>
              <w:right w:val="single" w:sz="4" w:space="0" w:color="auto"/>
            </w:tcBorders>
          </w:tcPr>
          <w:p w:rsidR="00DD07AF" w:rsidRPr="001244FD" w:rsidRDefault="00DD07AF" w:rsidP="006B0EC2">
            <w:pPr>
              <w:pStyle w:val="Tabletext"/>
            </w:pPr>
            <w:r w:rsidRPr="001244FD">
              <w:t>17</w:t>
            </w:r>
          </w:p>
        </w:tc>
        <w:tc>
          <w:tcPr>
            <w:tcW w:w="1529" w:type="dxa"/>
            <w:tcBorders>
              <w:top w:val="single" w:sz="4" w:space="0" w:color="auto"/>
              <w:left w:val="single" w:sz="4" w:space="0" w:color="auto"/>
              <w:bottom w:val="single" w:sz="4" w:space="0" w:color="auto"/>
              <w:right w:val="single" w:sz="4" w:space="0" w:color="auto"/>
            </w:tcBorders>
          </w:tcPr>
          <w:p w:rsidR="00DD07AF" w:rsidRPr="001244FD" w:rsidRDefault="00DD07AF" w:rsidP="006B0EC2">
            <w:pPr>
              <w:pStyle w:val="Tabletext"/>
            </w:pPr>
            <w:r w:rsidRPr="001244FD">
              <w:t>1.0x10</w:t>
            </w:r>
            <w:r w:rsidRPr="001244FD">
              <w:rPr>
                <w:vertAlign w:val="superscript"/>
              </w:rPr>
              <w:t>-07</w:t>
            </w:r>
            <w:r w:rsidRPr="001244FD">
              <w:t xml:space="preserve"> </w:t>
            </w:r>
          </w:p>
        </w:tc>
        <w:tc>
          <w:tcPr>
            <w:tcW w:w="1417" w:type="dxa"/>
            <w:tcBorders>
              <w:top w:val="single" w:sz="4" w:space="0" w:color="auto"/>
              <w:left w:val="single" w:sz="4" w:space="0" w:color="auto"/>
              <w:bottom w:val="single" w:sz="4" w:space="0" w:color="auto"/>
              <w:right w:val="single" w:sz="4" w:space="0" w:color="auto"/>
            </w:tcBorders>
          </w:tcPr>
          <w:p w:rsidR="00DD07AF" w:rsidRPr="001244FD" w:rsidRDefault="00DD07AF" w:rsidP="006B0EC2">
            <w:pPr>
              <w:pStyle w:val="Tabletext"/>
            </w:pPr>
            <w:r w:rsidRPr="001244FD">
              <w:t>9.7x10</w:t>
            </w:r>
            <w:r w:rsidRPr="001244FD">
              <w:rPr>
                <w:vertAlign w:val="superscript"/>
              </w:rPr>
              <w:t>-05</w:t>
            </w:r>
          </w:p>
        </w:tc>
        <w:tc>
          <w:tcPr>
            <w:tcW w:w="1843" w:type="dxa"/>
            <w:tcBorders>
              <w:top w:val="single" w:sz="4" w:space="0" w:color="auto"/>
              <w:left w:val="single" w:sz="4" w:space="0" w:color="auto"/>
              <w:bottom w:val="single" w:sz="4" w:space="0" w:color="auto"/>
            </w:tcBorders>
          </w:tcPr>
          <w:p w:rsidR="00DD07AF" w:rsidRPr="001244FD" w:rsidRDefault="00DD07AF" w:rsidP="006B0EC2">
            <w:pPr>
              <w:pStyle w:val="Tabletext"/>
            </w:pPr>
            <w:r w:rsidRPr="001244FD">
              <w:t>1.1x10</w:t>
            </w:r>
            <w:r w:rsidRPr="001244FD">
              <w:rPr>
                <w:vertAlign w:val="superscript"/>
              </w:rPr>
              <w:t>-01</w:t>
            </w:r>
          </w:p>
        </w:tc>
      </w:tr>
      <w:tr w:rsidR="00DD07AF" w:rsidRPr="001244FD" w:rsidTr="00AC2DE3">
        <w:tc>
          <w:tcPr>
            <w:tcW w:w="3064" w:type="dxa"/>
            <w:tcBorders>
              <w:top w:val="single" w:sz="4" w:space="0" w:color="auto"/>
              <w:bottom w:val="single" w:sz="4" w:space="0" w:color="auto"/>
              <w:right w:val="single" w:sz="4" w:space="0" w:color="auto"/>
            </w:tcBorders>
          </w:tcPr>
          <w:p w:rsidR="00DD07AF" w:rsidRPr="001244FD" w:rsidRDefault="00DD07AF" w:rsidP="006B0EC2">
            <w:pPr>
              <w:pStyle w:val="Tabletext"/>
            </w:pPr>
            <w:r w:rsidRPr="001244FD">
              <w:t>Bandanna Formation – Coal producing formation</w:t>
            </w:r>
          </w:p>
        </w:tc>
        <w:tc>
          <w:tcPr>
            <w:tcW w:w="794" w:type="dxa"/>
            <w:tcBorders>
              <w:top w:val="single" w:sz="4" w:space="0" w:color="auto"/>
              <w:left w:val="single" w:sz="4" w:space="0" w:color="auto"/>
              <w:bottom w:val="single" w:sz="4" w:space="0" w:color="auto"/>
              <w:right w:val="single" w:sz="4" w:space="0" w:color="auto"/>
            </w:tcBorders>
          </w:tcPr>
          <w:p w:rsidR="00DD07AF" w:rsidRPr="001244FD" w:rsidRDefault="00DD07AF" w:rsidP="006B0EC2">
            <w:pPr>
              <w:pStyle w:val="Tabletext"/>
            </w:pPr>
            <w:r w:rsidRPr="001244FD">
              <w:t>18</w:t>
            </w:r>
          </w:p>
        </w:tc>
        <w:tc>
          <w:tcPr>
            <w:tcW w:w="1529" w:type="dxa"/>
            <w:tcBorders>
              <w:top w:val="single" w:sz="4" w:space="0" w:color="auto"/>
              <w:left w:val="single" w:sz="4" w:space="0" w:color="auto"/>
              <w:bottom w:val="single" w:sz="4" w:space="0" w:color="auto"/>
              <w:right w:val="single" w:sz="4" w:space="0" w:color="auto"/>
            </w:tcBorders>
          </w:tcPr>
          <w:p w:rsidR="00DD07AF" w:rsidRPr="001244FD" w:rsidRDefault="00DD07AF" w:rsidP="006B0EC2">
            <w:pPr>
              <w:pStyle w:val="Tabletext"/>
            </w:pPr>
            <w:r w:rsidRPr="001244FD">
              <w:t>2.0x10</w:t>
            </w:r>
            <w:r w:rsidRPr="001244FD">
              <w:rPr>
                <w:vertAlign w:val="superscript"/>
              </w:rPr>
              <w:t>-09</w:t>
            </w:r>
            <w:r w:rsidRPr="001244FD">
              <w:t xml:space="preserve"> </w:t>
            </w:r>
          </w:p>
        </w:tc>
        <w:tc>
          <w:tcPr>
            <w:tcW w:w="1417" w:type="dxa"/>
            <w:tcBorders>
              <w:top w:val="single" w:sz="4" w:space="0" w:color="auto"/>
              <w:left w:val="single" w:sz="4" w:space="0" w:color="auto"/>
              <w:bottom w:val="single" w:sz="4" w:space="0" w:color="auto"/>
              <w:right w:val="single" w:sz="4" w:space="0" w:color="auto"/>
            </w:tcBorders>
          </w:tcPr>
          <w:p w:rsidR="00DD07AF" w:rsidRPr="001244FD" w:rsidRDefault="00DD07AF" w:rsidP="006B0EC2">
            <w:pPr>
              <w:pStyle w:val="Tabletext"/>
            </w:pPr>
            <w:r w:rsidRPr="001244FD">
              <w:t>6.4x10</w:t>
            </w:r>
            <w:r w:rsidRPr="001244FD">
              <w:rPr>
                <w:vertAlign w:val="superscript"/>
              </w:rPr>
              <w:t>-06</w:t>
            </w:r>
          </w:p>
        </w:tc>
        <w:tc>
          <w:tcPr>
            <w:tcW w:w="1843" w:type="dxa"/>
            <w:tcBorders>
              <w:top w:val="single" w:sz="4" w:space="0" w:color="auto"/>
              <w:left w:val="single" w:sz="4" w:space="0" w:color="auto"/>
              <w:bottom w:val="single" w:sz="4" w:space="0" w:color="auto"/>
            </w:tcBorders>
          </w:tcPr>
          <w:p w:rsidR="00DD07AF" w:rsidRPr="001244FD" w:rsidRDefault="00DD07AF" w:rsidP="006B0EC2">
            <w:pPr>
              <w:pStyle w:val="Tabletext"/>
            </w:pPr>
            <w:r w:rsidRPr="001244FD">
              <w:t>2.0x10</w:t>
            </w:r>
            <w:r w:rsidRPr="001244FD">
              <w:rPr>
                <w:vertAlign w:val="superscript"/>
              </w:rPr>
              <w:t>-04</w:t>
            </w:r>
          </w:p>
        </w:tc>
      </w:tr>
      <w:tr w:rsidR="00DD07AF" w:rsidRPr="001244FD" w:rsidTr="00AC2DE3">
        <w:tc>
          <w:tcPr>
            <w:tcW w:w="3064" w:type="dxa"/>
            <w:tcBorders>
              <w:top w:val="single" w:sz="4" w:space="0" w:color="auto"/>
              <w:right w:val="single" w:sz="4" w:space="0" w:color="auto"/>
            </w:tcBorders>
          </w:tcPr>
          <w:p w:rsidR="00DD07AF" w:rsidRPr="001244FD" w:rsidRDefault="00DD07AF" w:rsidP="006B0EC2">
            <w:pPr>
              <w:pStyle w:val="Tabletext"/>
            </w:pPr>
            <w:r w:rsidRPr="001244FD">
              <w:t>Deeper Reservoirs (e</w:t>
            </w:r>
            <w:r w:rsidR="001244FD">
              <w:t>.</w:t>
            </w:r>
            <w:r w:rsidRPr="001244FD">
              <w:t>g</w:t>
            </w:r>
            <w:r w:rsidR="001244FD">
              <w:t>.</w:t>
            </w:r>
            <w:r w:rsidRPr="001244FD">
              <w:t xml:space="preserve"> Back Creek Group)</w:t>
            </w:r>
          </w:p>
        </w:tc>
        <w:tc>
          <w:tcPr>
            <w:tcW w:w="794" w:type="dxa"/>
            <w:tcBorders>
              <w:top w:val="single" w:sz="4" w:space="0" w:color="auto"/>
              <w:left w:val="single" w:sz="4" w:space="0" w:color="auto"/>
              <w:right w:val="single" w:sz="4" w:space="0" w:color="auto"/>
            </w:tcBorders>
          </w:tcPr>
          <w:p w:rsidR="00DD07AF" w:rsidRPr="001244FD" w:rsidRDefault="00DD07AF" w:rsidP="006B0EC2">
            <w:pPr>
              <w:pStyle w:val="Tabletext"/>
            </w:pPr>
            <w:r w:rsidRPr="001244FD">
              <w:t>19</w:t>
            </w:r>
          </w:p>
        </w:tc>
        <w:tc>
          <w:tcPr>
            <w:tcW w:w="1529" w:type="dxa"/>
            <w:tcBorders>
              <w:top w:val="single" w:sz="4" w:space="0" w:color="auto"/>
              <w:left w:val="single" w:sz="4" w:space="0" w:color="auto"/>
              <w:right w:val="single" w:sz="4" w:space="0" w:color="auto"/>
            </w:tcBorders>
          </w:tcPr>
          <w:p w:rsidR="00DD07AF" w:rsidRPr="001244FD" w:rsidRDefault="00DD07AF" w:rsidP="006B0EC2">
            <w:pPr>
              <w:pStyle w:val="Tabletext"/>
            </w:pPr>
            <w:r w:rsidRPr="001244FD">
              <w:t>5.0x10</w:t>
            </w:r>
            <w:r w:rsidRPr="001244FD">
              <w:rPr>
                <w:vertAlign w:val="superscript"/>
              </w:rPr>
              <w:t>-08</w:t>
            </w:r>
            <w:r w:rsidRPr="001244FD">
              <w:t xml:space="preserve"> </w:t>
            </w:r>
          </w:p>
        </w:tc>
        <w:tc>
          <w:tcPr>
            <w:tcW w:w="1417" w:type="dxa"/>
            <w:tcBorders>
              <w:top w:val="single" w:sz="4" w:space="0" w:color="auto"/>
              <w:left w:val="single" w:sz="4" w:space="0" w:color="auto"/>
              <w:right w:val="single" w:sz="4" w:space="0" w:color="auto"/>
            </w:tcBorders>
          </w:tcPr>
          <w:p w:rsidR="00DD07AF" w:rsidRPr="001244FD" w:rsidRDefault="00DD07AF" w:rsidP="006B0EC2">
            <w:pPr>
              <w:pStyle w:val="Tabletext"/>
            </w:pPr>
            <w:r w:rsidRPr="001244FD">
              <w:t>8.5x10</w:t>
            </w:r>
            <w:r w:rsidRPr="001244FD">
              <w:rPr>
                <w:vertAlign w:val="superscript"/>
              </w:rPr>
              <w:t>-07</w:t>
            </w:r>
          </w:p>
        </w:tc>
        <w:tc>
          <w:tcPr>
            <w:tcW w:w="1843" w:type="dxa"/>
            <w:tcBorders>
              <w:top w:val="single" w:sz="4" w:space="0" w:color="auto"/>
              <w:left w:val="single" w:sz="4" w:space="0" w:color="auto"/>
            </w:tcBorders>
          </w:tcPr>
          <w:p w:rsidR="00DD07AF" w:rsidRPr="001244FD" w:rsidRDefault="00DD07AF" w:rsidP="006B0EC2">
            <w:pPr>
              <w:pStyle w:val="Tabletext"/>
            </w:pPr>
            <w:r w:rsidRPr="001244FD">
              <w:t>5.0x10</w:t>
            </w:r>
            <w:r w:rsidRPr="001244FD">
              <w:rPr>
                <w:vertAlign w:val="superscript"/>
              </w:rPr>
              <w:t>-04</w:t>
            </w:r>
          </w:p>
        </w:tc>
      </w:tr>
    </w:tbl>
    <w:p w:rsidR="00AC2DE3" w:rsidRDefault="00AC2DE3" w:rsidP="005F6513">
      <w:pPr>
        <w:pStyle w:val="Heading3"/>
        <w:numPr>
          <w:ilvl w:val="0"/>
          <w:numId w:val="0"/>
        </w:numPr>
        <w:ind w:left="720"/>
      </w:pPr>
      <w:bookmarkStart w:id="651" w:name="_Toc334711982"/>
      <w:bookmarkStart w:id="652" w:name="_Toc381961169"/>
    </w:p>
    <w:p w:rsidR="00DD07AF" w:rsidRDefault="00DD07AF" w:rsidP="005F6513">
      <w:pPr>
        <w:pStyle w:val="Heading3"/>
      </w:pPr>
      <w:r>
        <w:lastRenderedPageBreak/>
        <w:t>Model-derived specific storage estimates</w:t>
      </w:r>
      <w:bookmarkEnd w:id="651"/>
      <w:bookmarkEnd w:id="652"/>
    </w:p>
    <w:p w:rsidR="00DD07AF" w:rsidRPr="00656D9E" w:rsidRDefault="00DD07AF" w:rsidP="0041531B">
      <w:pPr>
        <w:pStyle w:val="BRNormal"/>
      </w:pPr>
      <w:r>
        <w:t>With the exception of the Bandanna Formation, the other regionally-extensive HSUs (Moolayember Formation, the Clematis Group sandstones, the Rewan Group and the deeper reservoirs) were all calibrated to a specific storage value of 5.0x10</w:t>
      </w:r>
      <w:r>
        <w:rPr>
          <w:vertAlign w:val="superscript"/>
        </w:rPr>
        <w:t xml:space="preserve">-05 </w:t>
      </w:r>
      <w:r w:rsidRPr="00656D9E">
        <w:t>m</w:t>
      </w:r>
      <w:r w:rsidRPr="00656D9E">
        <w:rPr>
          <w:vertAlign w:val="superscript"/>
        </w:rPr>
        <w:t>-1</w:t>
      </w:r>
      <w:r w:rsidR="0041531B">
        <w:t xml:space="preserve"> (QWC</w:t>
      </w:r>
      <w:r>
        <w:t xml:space="preserve"> 2012c). The Bandanna Formation varied between 1.0x10</w:t>
      </w:r>
      <w:r>
        <w:rPr>
          <w:vertAlign w:val="superscript"/>
        </w:rPr>
        <w:t>-7</w:t>
      </w:r>
      <w:r>
        <w:t xml:space="preserve"> and 3.4x10</w:t>
      </w:r>
      <w:r>
        <w:rPr>
          <w:vertAlign w:val="superscript"/>
        </w:rPr>
        <w:t xml:space="preserve">-05 </w:t>
      </w:r>
      <w:r w:rsidRPr="00656D9E">
        <w:t>m</w:t>
      </w:r>
      <w:r w:rsidRPr="00656D9E">
        <w:rPr>
          <w:vertAlign w:val="superscript"/>
        </w:rPr>
        <w:t>-1</w:t>
      </w:r>
      <w:r w:rsidR="0041531B">
        <w:t xml:space="preserve"> (QWC</w:t>
      </w:r>
      <w:r>
        <w:t xml:space="preserve"> 2012c). </w:t>
      </w:r>
    </w:p>
    <w:p w:rsidR="00DD07AF" w:rsidRDefault="00DD07AF" w:rsidP="005F6513">
      <w:pPr>
        <w:pStyle w:val="Heading2"/>
      </w:pPr>
      <w:bookmarkStart w:id="653" w:name="_Toc334711983"/>
      <w:bookmarkStart w:id="654" w:name="_Toc381961170"/>
      <w:bookmarkStart w:id="655" w:name="_Toc389055254"/>
      <w:r>
        <w:t>Structural properties</w:t>
      </w:r>
      <w:bookmarkEnd w:id="653"/>
      <w:bookmarkEnd w:id="654"/>
      <w:bookmarkEnd w:id="655"/>
    </w:p>
    <w:p w:rsidR="00DD07AF" w:rsidRDefault="00DD07AF" w:rsidP="005F6513">
      <w:pPr>
        <w:pStyle w:val="Heading3"/>
      </w:pPr>
      <w:bookmarkStart w:id="656" w:name="_Toc334711984"/>
      <w:bookmarkStart w:id="657" w:name="_Toc381961171"/>
      <w:r>
        <w:t>Major structural features</w:t>
      </w:r>
      <w:bookmarkEnd w:id="656"/>
      <w:bookmarkEnd w:id="657"/>
    </w:p>
    <w:p w:rsidR="00DD07AF" w:rsidRDefault="00DD07AF" w:rsidP="0041531B">
      <w:pPr>
        <w:pStyle w:val="BRNormal"/>
      </w:pPr>
      <w:r w:rsidRPr="00B640D1">
        <w:t>Because of the strong compressional</w:t>
      </w:r>
      <w:r>
        <w:t xml:space="preserve"> regime present in the Bowen Basin during the Triassic</w:t>
      </w:r>
      <w:r w:rsidRPr="00B640D1">
        <w:t>, there are many instances where individual formati</w:t>
      </w:r>
      <w:r w:rsidR="0009402D">
        <w:t>ons have been truncated, offset</w:t>
      </w:r>
      <w:r w:rsidRPr="00B640D1">
        <w:t xml:space="preserve"> or eroded, and where a number of formations that would not otherwise be in contact (due to large vertical separation) are now in contact. From a</w:t>
      </w:r>
      <w:r>
        <w:t xml:space="preserve"> </w:t>
      </w:r>
      <w:r w:rsidRPr="00B640D1">
        <w:t>connectivity perspective</w:t>
      </w:r>
      <w:r w:rsidR="0009402D">
        <w:t>, the structural fabric of the B</w:t>
      </w:r>
      <w:r w:rsidRPr="00B640D1">
        <w:t xml:space="preserve">asin is a significant factor. </w:t>
      </w:r>
      <w:r>
        <w:t>As discussed previously, CSIRO (2008</w:t>
      </w:r>
      <w:r w:rsidR="00167E75">
        <w:t>a</w:t>
      </w:r>
      <w:r>
        <w:t xml:space="preserve">) have summarised the major structural characterisation of the Bowen Basin and identified five major structural zones:      </w:t>
      </w:r>
    </w:p>
    <w:p w:rsidR="00DD07AF" w:rsidRPr="00FE6EE9" w:rsidRDefault="00DD07AF" w:rsidP="0041531B">
      <w:pPr>
        <w:pStyle w:val="Bulletpoint"/>
      </w:pPr>
      <w:r>
        <w:t>Gogango Fold Belt: def</w:t>
      </w:r>
      <w:r w:rsidR="0009402D">
        <w:t>orms the eastern margin of the B</w:t>
      </w:r>
      <w:r>
        <w:t xml:space="preserve">asin and consists of moderate open folding and east-over-west thrust faults. </w:t>
      </w:r>
    </w:p>
    <w:p w:rsidR="00DD07AF" w:rsidRDefault="00DD07AF" w:rsidP="0041531B">
      <w:pPr>
        <w:pStyle w:val="Bulletpoint"/>
      </w:pPr>
      <w:r w:rsidRPr="00FE6EE9">
        <w:t xml:space="preserve">Dingo Fold Belt: lies directly to the east of the Jellinbah Thrust Belt in </w:t>
      </w:r>
      <w:r>
        <w:t xml:space="preserve">the </w:t>
      </w:r>
      <w:r w:rsidR="0009402D">
        <w:t>central B</w:t>
      </w:r>
      <w:r w:rsidRPr="00FE6EE9">
        <w:t>asin. The rocks are folded into tight upright northwest trending folds producing dips of 50</w:t>
      </w:r>
      <w:r w:rsidR="0009402D">
        <w:t> </w:t>
      </w:r>
      <w:r w:rsidRPr="00FE6EE9">
        <w:t>to</w:t>
      </w:r>
      <w:r w:rsidR="0009402D">
        <w:t> </w:t>
      </w:r>
      <w:r w:rsidRPr="00FE6EE9">
        <w:t xml:space="preserve">80°. </w:t>
      </w:r>
    </w:p>
    <w:p w:rsidR="00DD07AF" w:rsidRDefault="00DD07AF" w:rsidP="0041531B">
      <w:pPr>
        <w:pStyle w:val="Bulletpoint"/>
      </w:pPr>
      <w:r>
        <w:t>Jellinbah Thrust Belt: north</w:t>
      </w:r>
      <w:r w:rsidR="0009402D">
        <w:t>-</w:t>
      </w:r>
      <w:r>
        <w:t>west trending zone (fol</w:t>
      </w:r>
      <w:r w:rsidR="0009402D">
        <w:t>lows the synclinal axis of the B</w:t>
      </w:r>
      <w:r>
        <w:t>asin) of complex thin-skinned thrust fault</w:t>
      </w:r>
      <w:r w:rsidR="0009402D">
        <w:t>ing, in a zone that is up to 80 </w:t>
      </w:r>
      <w:r>
        <w:t xml:space="preserve">km wide (and directly west of the Dingo Fold Belt). Majority of the faults dip at low angles to the east, commonly targeting weak coal seams as exit points.  </w:t>
      </w:r>
    </w:p>
    <w:p w:rsidR="00DD07AF" w:rsidRDefault="0009402D" w:rsidP="0041531B">
      <w:pPr>
        <w:pStyle w:val="Bulletpoint"/>
      </w:pPr>
      <w:r>
        <w:t>Denison Trough: c</w:t>
      </w:r>
      <w:r w:rsidR="00DD07AF">
        <w:t>rustal shortening focused along large (10-100</w:t>
      </w:r>
      <w:r w:rsidR="0041531B">
        <w:t xml:space="preserve"> </w:t>
      </w:r>
      <w:r w:rsidR="00DD07AF">
        <w:t xml:space="preserve">km long) north-south thrust faults that dip at moderate angles to both the east and the west. </w:t>
      </w:r>
    </w:p>
    <w:p w:rsidR="00DD07AF" w:rsidRDefault="0009402D" w:rsidP="0041531B">
      <w:pPr>
        <w:pStyle w:val="Bulletpoint"/>
      </w:pPr>
      <w:r>
        <w:t>Springsure Shelf: m</w:t>
      </w:r>
      <w:r w:rsidR="00DD07AF">
        <w:t>inimal crustal shortening associated with a series of reactivated basement faults. The faults are up to 100 km long and record a considerable Pre-Permian strike-slip component. These faults are covered by a veneer of Permian sediments.</w:t>
      </w:r>
    </w:p>
    <w:p w:rsidR="00DD07AF" w:rsidRDefault="00DD07AF" w:rsidP="005F6513">
      <w:pPr>
        <w:pStyle w:val="Heading3"/>
      </w:pPr>
      <w:bookmarkStart w:id="658" w:name="_Toc334711985"/>
      <w:bookmarkStart w:id="659" w:name="_Toc381961172"/>
      <w:r>
        <w:t>Relationships between structural features and aquifer connectivity</w:t>
      </w:r>
      <w:bookmarkEnd w:id="658"/>
      <w:bookmarkEnd w:id="659"/>
    </w:p>
    <w:p w:rsidR="00DD07AF" w:rsidRDefault="00DD07AF" w:rsidP="0041531B">
      <w:pPr>
        <w:pStyle w:val="BRNormal"/>
      </w:pPr>
      <w:r>
        <w:t>The influence of regional structural features on groundwater flow processes in the Bowen Basin is not well understood. With regards to the Surat CMA, t</w:t>
      </w:r>
      <w:r w:rsidRPr="004400C3">
        <w:t xml:space="preserve">here are contrasting perspectives about the overall influence of major faults in the Surat and Bowen </w:t>
      </w:r>
      <w:r w:rsidR="0009402D">
        <w:t>B</w:t>
      </w:r>
      <w:r w:rsidRPr="004400C3">
        <w:t>asins on regional</w:t>
      </w:r>
      <w:r>
        <w:t xml:space="preserve"> </w:t>
      </w:r>
      <w:r w:rsidRPr="004400C3">
        <w:t xml:space="preserve">groundwater flowpaths. Some of the views include: </w:t>
      </w:r>
      <w:r>
        <w:t xml:space="preserve"> </w:t>
      </w:r>
    </w:p>
    <w:p w:rsidR="00DD07AF" w:rsidRPr="0027668F" w:rsidRDefault="0041531B" w:rsidP="0041531B">
      <w:pPr>
        <w:pStyle w:val="Bulletpoint"/>
      </w:pPr>
      <w:r>
        <w:t>t</w:t>
      </w:r>
      <w:r w:rsidR="00DD07AF" w:rsidRPr="0027668F">
        <w:t>he faults are likely to reduce hydrauli</w:t>
      </w:r>
      <w:r>
        <w:t>c connection (Golder Associates</w:t>
      </w:r>
      <w:r w:rsidR="00DD07AF" w:rsidRPr="0027668F">
        <w:t xml:space="preserve"> 2009)</w:t>
      </w:r>
    </w:p>
    <w:p w:rsidR="00DD07AF" w:rsidRPr="0027668F" w:rsidRDefault="0041531B" w:rsidP="0041531B">
      <w:pPr>
        <w:pStyle w:val="Bulletpoint"/>
      </w:pPr>
      <w:proofErr w:type="gramStart"/>
      <w:r>
        <w:t>t</w:t>
      </w:r>
      <w:r w:rsidR="00DD07AF" w:rsidRPr="0027668F">
        <w:t>he</w:t>
      </w:r>
      <w:proofErr w:type="gramEnd"/>
      <w:r w:rsidR="00DD07AF" w:rsidRPr="0027668F">
        <w:t xml:space="preserve"> faults are unlikely to present barriers to horizontal groundwater flow in the</w:t>
      </w:r>
      <w:r>
        <w:t xml:space="preserve"> Surat Basin (Hodgkinson et al.</w:t>
      </w:r>
      <w:r w:rsidR="00DD07AF" w:rsidRPr="0027668F">
        <w:t xml:space="preserve"> 2010).</w:t>
      </w:r>
    </w:p>
    <w:p w:rsidR="00DD07AF" w:rsidRDefault="00DD07AF" w:rsidP="0041531B">
      <w:pPr>
        <w:pStyle w:val="BRNormal"/>
      </w:pPr>
      <w:r>
        <w:t>There does not appear to be any hydrogeological evidence at this stage to prove or disprove whether structural features have enhanced or diminished aquifer connectivity in the Bowen Basin. The lack of evidence and understanding is mainly attributed to:</w:t>
      </w:r>
    </w:p>
    <w:p w:rsidR="00DD07AF" w:rsidRPr="0027668F" w:rsidRDefault="0041531B" w:rsidP="0041531B">
      <w:pPr>
        <w:pStyle w:val="Bulletpoint"/>
      </w:pPr>
      <w:r>
        <w:t>t</w:t>
      </w:r>
      <w:r w:rsidR="00DD07AF" w:rsidRPr="0027668F">
        <w:t>he si</w:t>
      </w:r>
      <w:r w:rsidR="0009402D">
        <w:t>gnificant depth to HSUs in the B</w:t>
      </w:r>
      <w:r w:rsidR="00DD07AF" w:rsidRPr="0027668F">
        <w:t>asin makes groundwater explora</w:t>
      </w:r>
      <w:r>
        <w:t xml:space="preserve">tion and </w:t>
      </w:r>
      <w:r>
        <w:lastRenderedPageBreak/>
        <w:t>development difficult</w:t>
      </w:r>
    </w:p>
    <w:p w:rsidR="00DD07AF" w:rsidRDefault="0041531B" w:rsidP="0041531B">
      <w:pPr>
        <w:pStyle w:val="Bulletpoint"/>
      </w:pPr>
      <w:proofErr w:type="gramStart"/>
      <w:r>
        <w:t>t</w:t>
      </w:r>
      <w:r w:rsidR="00DD07AF" w:rsidRPr="0027668F">
        <w:t>he</w:t>
      </w:r>
      <w:proofErr w:type="gramEnd"/>
      <w:r w:rsidR="00DD07AF" w:rsidRPr="0027668F">
        <w:t xml:space="preserve"> limited use </w:t>
      </w:r>
      <w:r w:rsidR="0009402D">
        <w:t>of groundwater within the Basin</w:t>
      </w:r>
      <w:r w:rsidR="00DD07AF" w:rsidRPr="0027668F">
        <w:t xml:space="preserve"> and the generally low yields of the aquifers. Without significant pumping stresses on the aquifers to date, there has been no means of identifying positive or negative hydraulic flow behaviour caused by structural features.</w:t>
      </w:r>
    </w:p>
    <w:p w:rsidR="00DD07AF" w:rsidRPr="00E65BDF" w:rsidRDefault="00DD07AF" w:rsidP="0041531B">
      <w:pPr>
        <w:pStyle w:val="BRNormal"/>
      </w:pPr>
      <w:r>
        <w:t>Theoretically, structural features</w:t>
      </w:r>
      <w:r w:rsidRPr="004400C3">
        <w:t xml:space="preserve"> such as faults</w:t>
      </w:r>
      <w:r w:rsidR="0009402D">
        <w:t>, fractures and dykes</w:t>
      </w:r>
      <w:r w:rsidRPr="004400C3">
        <w:t xml:space="preserve"> can provide pathways for groundwater movement between aquifers</w:t>
      </w:r>
      <w:r w:rsidR="0009402D">
        <w:t>;</w:t>
      </w:r>
      <w:r>
        <w:t xml:space="preserve"> h</w:t>
      </w:r>
      <w:r w:rsidRPr="004400C3">
        <w:t>owever,</w:t>
      </w:r>
      <w:r>
        <w:t xml:space="preserve"> </w:t>
      </w:r>
      <w:r w:rsidRPr="004400C3">
        <w:t xml:space="preserve">they can also serve as hydraulic barriers, where mineralisation </w:t>
      </w:r>
      <w:r>
        <w:t xml:space="preserve">can </w:t>
      </w:r>
      <w:r w:rsidRPr="004400C3">
        <w:t xml:space="preserve">create a seal </w:t>
      </w:r>
      <w:r>
        <w:t>a</w:t>
      </w:r>
      <w:r w:rsidRPr="004400C3">
        <w:t xml:space="preserve">nd limit groundwater </w:t>
      </w:r>
      <w:r>
        <w:t xml:space="preserve">flow </w:t>
      </w:r>
      <w:r w:rsidRPr="004400C3">
        <w:t>across the structures (Hennig 2005</w:t>
      </w:r>
      <w:r w:rsidR="008A5401">
        <w:t xml:space="preserve"> cited in QWC</w:t>
      </w:r>
      <w:r>
        <w:t xml:space="preserve"> 2012a</w:t>
      </w:r>
      <w:r w:rsidRPr="004400C3">
        <w:t>).</w:t>
      </w:r>
      <w:r>
        <w:t xml:space="preserve"> High-strain structural features in the east of the Basin (e.g. Jellinbah Thrust Belt and Dingo Fold Belt) consist of tight, uprig</w:t>
      </w:r>
      <w:r w:rsidR="0009402D">
        <w:t>ht folding within Permian units</w:t>
      </w:r>
      <w:r>
        <w:t xml:space="preserve"> and complex series of thrust faults including </w:t>
      </w:r>
      <w:r w:rsidRPr="00736D24">
        <w:t>instances where low permeability HSUs (e.g. Rewan Group) are thrust up onto water-bearing units (e.g. the Baralaba Coal Measures)</w:t>
      </w:r>
      <w:r w:rsidR="008A5401">
        <w:t xml:space="preserve"> (CSIRO</w:t>
      </w:r>
      <w:r>
        <w:t xml:space="preserve"> 2008</w:t>
      </w:r>
      <w:r w:rsidR="00167E75">
        <w:t>a</w:t>
      </w:r>
      <w:r>
        <w:t>) and vice versa</w:t>
      </w:r>
      <w:r w:rsidRPr="00736D24">
        <w:t xml:space="preserve">. These faults have </w:t>
      </w:r>
      <w:r>
        <w:t>created significant unit offset e.g. the</w:t>
      </w:r>
      <w:r w:rsidRPr="00736D24">
        <w:t xml:space="preserve"> Bandanna Formation</w:t>
      </w:r>
      <w:r>
        <w:t xml:space="preserve"> has been fully displaced</w:t>
      </w:r>
      <w:r w:rsidRPr="00736D24">
        <w:t xml:space="preserve"> in the Jellinbah Thrust Belt (QWC 2012a). </w:t>
      </w:r>
    </w:p>
    <w:p w:rsidR="00DD07AF" w:rsidRDefault="00DD07AF" w:rsidP="008A5401">
      <w:pPr>
        <w:pStyle w:val="BRNormal"/>
      </w:pPr>
      <w:r>
        <w:t>Where these structural features have imposed localise</w:t>
      </w:r>
      <w:r w:rsidR="0009402D">
        <w:t>d changes to bedding continuity</w:t>
      </w:r>
      <w:r>
        <w:t xml:space="preserve"> or have emplaced previously disconnected HSUs in direct contact, then there will be inevitable alteration to local groundwater flowpaths and aquifer connectivity. What influence these localised</w:t>
      </w:r>
      <w:r w:rsidR="0009402D">
        <w:t xml:space="preserve"> alterations have on regional, B</w:t>
      </w:r>
      <w:r>
        <w:t>asin-wide groundwater dynamics is still unknown. Where faults and fractures occur repeatedly in a complex series, it is likely that the aquifer can become compartmentalised and aquifer connectivity can be diminished.</w:t>
      </w:r>
    </w:p>
    <w:p w:rsidR="00DD07AF" w:rsidRPr="004400C3" w:rsidRDefault="00DD07AF" w:rsidP="008A5401">
      <w:pPr>
        <w:pStyle w:val="BRNormal"/>
      </w:pPr>
      <w:r>
        <w:t>Based on current knowledge and understanding of regional groundwater flowpaths, QWC (2012a) acknowledged the uncertainty on structural controls in the Bowen Basin and concluded:</w:t>
      </w:r>
    </w:p>
    <w:p w:rsidR="00DD07AF" w:rsidRPr="0027668F" w:rsidRDefault="008A5401" w:rsidP="008A5401">
      <w:pPr>
        <w:pStyle w:val="Bulletpoint"/>
      </w:pPr>
      <w:r>
        <w:t>a</w:t>
      </w:r>
      <w:r w:rsidR="00DD07AF" w:rsidRPr="0027668F">
        <w:t>ny influence of the fault structures on regional groundwater flow, either as pathways or barriers, is likely to be restricted to the Bowen Basin</w:t>
      </w:r>
      <w:r w:rsidR="0009402D">
        <w:t xml:space="preserve"> where there is the most offset</w:t>
      </w:r>
      <w:r w:rsidR="00DD07AF" w:rsidRPr="0027668F">
        <w:t xml:space="preserve"> and is unlikely to materially influence a majority of the (overlying) </w:t>
      </w:r>
      <w:r>
        <w:t>GAB aquifers in the Surat Basin</w:t>
      </w:r>
    </w:p>
    <w:p w:rsidR="00DD07AF" w:rsidRPr="0027668F" w:rsidRDefault="008A5401" w:rsidP="008A5401">
      <w:pPr>
        <w:pStyle w:val="Bulletpoint"/>
      </w:pPr>
      <w:r>
        <w:t>a</w:t>
      </w:r>
      <w:r w:rsidR="00DD07AF" w:rsidRPr="0027668F">
        <w:t>ny regional effect of faults on groundwater flow over long periods of time should be reflected in current observed water levels which are used in calibrating the regiona</w:t>
      </w:r>
      <w:r>
        <w:t>l groundwater flow model</w:t>
      </w:r>
    </w:p>
    <w:p w:rsidR="00DD07AF" w:rsidRPr="0027668F" w:rsidRDefault="008A5401" w:rsidP="008A5401">
      <w:pPr>
        <w:pStyle w:val="Bulletpoint"/>
      </w:pPr>
      <w:proofErr w:type="gramStart"/>
      <w:r>
        <w:t>f</w:t>
      </w:r>
      <w:r w:rsidR="00DD07AF" w:rsidRPr="0027668F">
        <w:t>urther</w:t>
      </w:r>
      <w:proofErr w:type="gramEnd"/>
      <w:r w:rsidR="00DD07AF" w:rsidRPr="0027668F">
        <w:t xml:space="preserve"> targeted research is required to assess the influence of regional structures on groundwater flow in and around </w:t>
      </w:r>
      <w:r w:rsidR="00F209EE">
        <w:t>areas</w:t>
      </w:r>
      <w:r w:rsidR="00DD07AF" w:rsidRPr="0027668F">
        <w:t xml:space="preserve"> of CSG development.</w:t>
      </w:r>
    </w:p>
    <w:p w:rsidR="00DD07AF" w:rsidRDefault="00DD07AF" w:rsidP="005F6513">
      <w:pPr>
        <w:pStyle w:val="Heading2"/>
      </w:pPr>
      <w:bookmarkStart w:id="660" w:name="_Toc334711986"/>
      <w:bookmarkStart w:id="661" w:name="_Toc381961173"/>
      <w:bookmarkStart w:id="662" w:name="_Toc389055255"/>
      <w:r>
        <w:t>Geomechanical properties</w:t>
      </w:r>
      <w:bookmarkEnd w:id="660"/>
      <w:bookmarkEnd w:id="661"/>
      <w:bookmarkEnd w:id="662"/>
    </w:p>
    <w:p w:rsidR="00F209EE" w:rsidRDefault="00DD07AF" w:rsidP="008A5401">
      <w:pPr>
        <w:pStyle w:val="BRNormal"/>
      </w:pPr>
      <w:r>
        <w:t>A review of the hydrogeology literature associated with the Bowen Basin did not identify any references (of significance) regarding geomechanical properties of</w:t>
      </w:r>
      <w:r w:rsidR="0068584D">
        <w:t xml:space="preserve"> formations in the Bowen Basin.</w:t>
      </w:r>
      <w:r>
        <w:t xml:space="preserve"> This information may be present in engineering or petroleum literature, which was outside the scope of this review. CSIRO (2008</w:t>
      </w:r>
      <w:r w:rsidR="00167E75">
        <w:t>a</w:t>
      </w:r>
      <w:r>
        <w:t>) and SRK (2009) provide insights into the tectonic regimes that existed in the Permian and Triassic geological periods and the subsequent zones of high and low strain during the development of the Basin. These reports did not co</w:t>
      </w:r>
      <w:r w:rsidR="005F56D1">
        <w:t xml:space="preserve">ntain information on current in </w:t>
      </w:r>
      <w:r>
        <w:t>situ stresses, relative stress magnitudes or stress c</w:t>
      </w:r>
      <w:r w:rsidR="0068584D">
        <w:t xml:space="preserve">ontrasts within/between units. </w:t>
      </w:r>
      <w:r>
        <w:t>It is apparent that CSG companies are currently collecting geomechanical information; however</w:t>
      </w:r>
      <w:r w:rsidR="00F209EE">
        <w:t>,</w:t>
      </w:r>
      <w:r>
        <w:t xml:space="preserve"> this information </w:t>
      </w:r>
      <w:r w:rsidR="008F6B1E">
        <w:t>is generally</w:t>
      </w:r>
      <w:r>
        <w:t xml:space="preserve"> not publi</w:t>
      </w:r>
      <w:r w:rsidR="008F6B1E">
        <w:t>cly available</w:t>
      </w:r>
      <w:r>
        <w:t xml:space="preserve">. </w:t>
      </w:r>
    </w:p>
    <w:p w:rsidR="00DD07AF" w:rsidRDefault="00DD07AF" w:rsidP="008A5401">
      <w:pPr>
        <w:pStyle w:val="BRNormal"/>
      </w:pPr>
      <w:r>
        <w:t xml:space="preserve"> </w:t>
      </w:r>
    </w:p>
    <w:p w:rsidR="00DD07AF" w:rsidRDefault="00DD07AF" w:rsidP="005F6513">
      <w:pPr>
        <w:pStyle w:val="Heading2"/>
      </w:pPr>
      <w:bookmarkStart w:id="663" w:name="_Toc334711987"/>
      <w:bookmarkStart w:id="664" w:name="_Toc381961174"/>
      <w:bookmarkStart w:id="665" w:name="_Toc389055256"/>
      <w:r>
        <w:lastRenderedPageBreak/>
        <w:t>Geochemistry</w:t>
      </w:r>
      <w:bookmarkEnd w:id="663"/>
      <w:bookmarkEnd w:id="664"/>
      <w:bookmarkEnd w:id="665"/>
      <w:r>
        <w:t xml:space="preserve"> </w:t>
      </w:r>
    </w:p>
    <w:p w:rsidR="00DD07AF" w:rsidRDefault="0068584D" w:rsidP="005F6513">
      <w:pPr>
        <w:pStyle w:val="Heading3"/>
      </w:pPr>
      <w:bookmarkStart w:id="666" w:name="_Toc334711988"/>
      <w:bookmarkStart w:id="667" w:name="_Toc381961175"/>
      <w:r>
        <w:t>Major ion chemistry and s</w:t>
      </w:r>
      <w:r w:rsidR="00DD07AF">
        <w:t>alinity</w:t>
      </w:r>
      <w:bookmarkEnd w:id="666"/>
      <w:bookmarkEnd w:id="667"/>
    </w:p>
    <w:p w:rsidR="00DD07AF" w:rsidRDefault="00DD07AF" w:rsidP="0068584D">
      <w:pPr>
        <w:pStyle w:val="BRNormal"/>
      </w:pPr>
      <w:r w:rsidRPr="008B5D4A">
        <w:t xml:space="preserve">The Fitzroy Basin is a major </w:t>
      </w:r>
      <w:r>
        <w:t>water resource plan (WRP)</w:t>
      </w:r>
      <w:r w:rsidRPr="008B5D4A">
        <w:t xml:space="preserve"> area in Queensland and extends across most of the exposed northern Bowen Basin. </w:t>
      </w:r>
      <w:r w:rsidRPr="008B5D4A">
        <w:rPr>
          <w:szCs w:val="20"/>
        </w:rPr>
        <w:t xml:space="preserve">The </w:t>
      </w:r>
      <w:r w:rsidRPr="0007449B">
        <w:rPr>
          <w:szCs w:val="20"/>
        </w:rPr>
        <w:t>DNRM</w:t>
      </w:r>
      <w:r w:rsidRPr="008B5D4A">
        <w:rPr>
          <w:szCs w:val="20"/>
        </w:rPr>
        <w:t xml:space="preserve"> groundwater databa</w:t>
      </w:r>
      <w:r w:rsidR="00F209EE">
        <w:rPr>
          <w:szCs w:val="20"/>
        </w:rPr>
        <w:t>se (GWDB) contains more than 13 </w:t>
      </w:r>
      <w:r w:rsidRPr="008B5D4A">
        <w:rPr>
          <w:szCs w:val="20"/>
        </w:rPr>
        <w:t>000 subartesian water quality samples</w:t>
      </w:r>
      <w:r>
        <w:rPr>
          <w:szCs w:val="20"/>
        </w:rPr>
        <w:t xml:space="preserve"> </w:t>
      </w:r>
      <w:r w:rsidR="0068584D">
        <w:rPr>
          <w:szCs w:val="20"/>
        </w:rPr>
        <w:t>collected from 4</w:t>
      </w:r>
      <w:r w:rsidRPr="008B5D4A">
        <w:rPr>
          <w:szCs w:val="20"/>
        </w:rPr>
        <w:t xml:space="preserve">780 bores in the Fitzroy Basin </w:t>
      </w:r>
      <w:r>
        <w:rPr>
          <w:szCs w:val="20"/>
        </w:rPr>
        <w:t xml:space="preserve">spanning across a period of 50 years </w:t>
      </w:r>
      <w:r w:rsidRPr="008B5D4A">
        <w:t>(DERM 2011)</w:t>
      </w:r>
      <w:r w:rsidRPr="008B5D4A">
        <w:rPr>
          <w:szCs w:val="20"/>
        </w:rPr>
        <w:t xml:space="preserve">. </w:t>
      </w:r>
      <w:r w:rsidR="0068584D">
        <w:rPr>
          <w:szCs w:val="20"/>
        </w:rPr>
        <w:t>Approximately 75 per cent</w:t>
      </w:r>
      <w:r>
        <w:rPr>
          <w:szCs w:val="20"/>
        </w:rPr>
        <w:t xml:space="preserve"> of the samples have been taken from shallow</w:t>
      </w:r>
      <w:r w:rsidRPr="008B5D4A">
        <w:rPr>
          <w:szCs w:val="20"/>
        </w:rPr>
        <w:t xml:space="preserve"> bores</w:t>
      </w:r>
      <w:r>
        <w:rPr>
          <w:szCs w:val="20"/>
        </w:rPr>
        <w:t xml:space="preserve"> (</w:t>
      </w:r>
      <w:r w:rsidRPr="008B5D4A">
        <w:rPr>
          <w:szCs w:val="20"/>
        </w:rPr>
        <w:t>less than 30</w:t>
      </w:r>
      <w:r w:rsidR="00F209EE">
        <w:rPr>
          <w:szCs w:val="20"/>
        </w:rPr>
        <w:t> </w:t>
      </w:r>
      <w:r w:rsidRPr="008B5D4A">
        <w:rPr>
          <w:szCs w:val="20"/>
        </w:rPr>
        <w:t>m</w:t>
      </w:r>
      <w:r>
        <w:rPr>
          <w:szCs w:val="20"/>
        </w:rPr>
        <w:t>)</w:t>
      </w:r>
      <w:r w:rsidRPr="008B5D4A">
        <w:rPr>
          <w:szCs w:val="20"/>
        </w:rPr>
        <w:t xml:space="preserve"> </w:t>
      </w:r>
      <w:r w:rsidR="0068584D">
        <w:rPr>
          <w:szCs w:val="20"/>
        </w:rPr>
        <w:t>and 25 per cent</w:t>
      </w:r>
      <w:r>
        <w:rPr>
          <w:szCs w:val="20"/>
        </w:rPr>
        <w:t xml:space="preserve"> (3300) are from deeper bores. Multi</w:t>
      </w:r>
      <w:r w:rsidR="00F209EE">
        <w:rPr>
          <w:szCs w:val="20"/>
        </w:rPr>
        <w:t>-</w:t>
      </w:r>
      <w:r>
        <w:rPr>
          <w:szCs w:val="20"/>
        </w:rPr>
        <w:t xml:space="preserve">variate analyses of the entire water quality database identified two main hydrochemical sequences. </w:t>
      </w:r>
      <w:r>
        <w:t>The first, designated the ‘alluvial sequence’ occurs in surface waters and alluvial aquifers. Their cations are moderately balanced and dominated by bicarbonate (H</w:t>
      </w:r>
      <w:r w:rsidRPr="00E80E5C">
        <w:t>CO</w:t>
      </w:r>
      <w:r w:rsidRPr="00E80E5C">
        <w:rPr>
          <w:vertAlign w:val="subscript"/>
        </w:rPr>
        <w:t>3</w:t>
      </w:r>
      <w:r>
        <w:t>), except in the highest salinity range where sodium chloride (Na</w:t>
      </w:r>
      <w:r w:rsidR="0068584D">
        <w:t>-Cl) begins to dominate (DERM</w:t>
      </w:r>
      <w:r>
        <w:t xml:space="preserve"> 2011). The second sequence, the ‘sodic sequence’, is dominated by </w:t>
      </w:r>
      <w:r w:rsidR="00F209EE">
        <w:t>sodium chloride</w:t>
      </w:r>
      <w:r>
        <w:t xml:space="preserve">, although </w:t>
      </w:r>
      <w:r w:rsidR="00F209EE">
        <w:t xml:space="preserve">bicarbonate </w:t>
      </w:r>
      <w:r>
        <w:t>may be high</w:t>
      </w:r>
      <w:r w:rsidR="0068584D">
        <w:t xml:space="preserve"> at the lowest salinities (DERM</w:t>
      </w:r>
      <w:r>
        <w:t xml:space="preserve"> 2011). The sodic sequence is compositionally similar to marine water and is associated with deep and occasionally shallow groundwater that is in contact wit</w:t>
      </w:r>
      <w:r w:rsidR="0068584D">
        <w:t>h older sedimentary rocks (DERM</w:t>
      </w:r>
      <w:r>
        <w:t xml:space="preserve"> 2011).</w:t>
      </w:r>
    </w:p>
    <w:p w:rsidR="00DD07AF" w:rsidRDefault="0012724F" w:rsidP="0068584D">
      <w:pPr>
        <w:pStyle w:val="BRNormal"/>
      </w:pPr>
      <w:r>
        <w:t xml:space="preserve">Figure 29 </w:t>
      </w:r>
      <w:r w:rsidR="00DD07AF">
        <w:t xml:space="preserve">shows the hydrochemical provinces </w:t>
      </w:r>
      <w:r w:rsidR="00F209EE">
        <w:t>established by</w:t>
      </w:r>
      <w:r w:rsidR="00DD07AF">
        <w:t xml:space="preserve"> DERM (2011) within the Fitzroy Basin W</w:t>
      </w:r>
      <w:r w:rsidR="007156A8">
        <w:t xml:space="preserve">ater </w:t>
      </w:r>
      <w:r w:rsidR="00DD07AF">
        <w:t>R</w:t>
      </w:r>
      <w:r w:rsidR="007156A8">
        <w:t>esource Plan (WR</w:t>
      </w:r>
      <w:r w:rsidR="00DD07AF">
        <w:t>P</w:t>
      </w:r>
      <w:r w:rsidR="007156A8">
        <w:t>)</w:t>
      </w:r>
      <w:r w:rsidR="00DD07AF">
        <w:t xml:space="preserve"> area. Of significance for</w:t>
      </w:r>
      <w:r w:rsidR="00F209EE">
        <w:t xml:space="preserve"> the Bowen Basin hydrochemistry</w:t>
      </w:r>
      <w:r w:rsidR="00DD07AF">
        <w:t xml:space="preserve"> are the provinces delineated in red representing saline, </w:t>
      </w:r>
      <w:r w:rsidR="00F209EE">
        <w:t>sodium chloride</w:t>
      </w:r>
      <w:r w:rsidR="00DD07AF">
        <w:t>, sodic sequences:</w:t>
      </w:r>
    </w:p>
    <w:p w:rsidR="00DD07AF" w:rsidRPr="0027668F" w:rsidRDefault="00F209EE" w:rsidP="0068584D">
      <w:pPr>
        <w:pStyle w:val="Bulletpoint"/>
      </w:pPr>
      <w:r>
        <w:t>p</w:t>
      </w:r>
      <w:r w:rsidR="00DD07AF" w:rsidRPr="0027668F">
        <w:t>rovinces 31 and 35 in the vicinity of Emerald and Rolleston, which are deep samples taken from within the coal mea</w:t>
      </w:r>
      <w:r>
        <w:t>sures of the Bandanna Formation</w:t>
      </w:r>
    </w:p>
    <w:p w:rsidR="00DD07AF" w:rsidRPr="0027668F" w:rsidRDefault="00F209EE" w:rsidP="0068584D">
      <w:pPr>
        <w:pStyle w:val="Bulletpoint"/>
      </w:pPr>
      <w:r>
        <w:t>p</w:t>
      </w:r>
      <w:r w:rsidR="00DD07AF" w:rsidRPr="0027668F">
        <w:t xml:space="preserve">rovince 34 which stretches from Moranbah through Baralaba and down to Moura, which are deep samples taken </w:t>
      </w:r>
      <w:r>
        <w:t>from within Rangal, Fort Cooper</w:t>
      </w:r>
      <w:r w:rsidR="00DD07AF" w:rsidRPr="0027668F">
        <w:t xml:space="preserve"> and Moranbah Coal Measures in the north and the Baralaba Coal Measures in the south</w:t>
      </w:r>
      <w:r>
        <w:t>-</w:t>
      </w:r>
      <w:r w:rsidR="00DD07AF" w:rsidRPr="0027668F">
        <w:t>east.</w:t>
      </w:r>
    </w:p>
    <w:p w:rsidR="0001701F" w:rsidRDefault="00DD07AF" w:rsidP="0068584D">
      <w:pPr>
        <w:pStyle w:val="BRNormal"/>
      </w:pPr>
      <w:r>
        <w:t>Out of interest, Provinc</w:t>
      </w:r>
      <w:r w:rsidR="00F209EE">
        <w:t>e 32 in the vicinity of Wandoan</w:t>
      </w:r>
      <w:r>
        <w:t xml:space="preserve"> is also classified as a saline sodic sequence and is underlain by the Walloon Coal Measures of the Surat Basin. </w:t>
      </w:r>
      <w:r w:rsidR="0012724F">
        <w:t>Table 24</w:t>
      </w:r>
      <w:r>
        <w:t xml:space="preserve"> summarises the salinity and major ion statistics for each of the major coal measure zones identified above. The 50</w:t>
      </w:r>
      <w:r w:rsidRPr="00FD3DD6">
        <w:rPr>
          <w:vertAlign w:val="superscript"/>
        </w:rPr>
        <w:t>th</w:t>
      </w:r>
      <w:r>
        <w:t xml:space="preserve"> percentile electrical conductivity (EC) value </w:t>
      </w:r>
      <w:r w:rsidR="0068584D">
        <w:t>for the Bandanna Formation is 3150 µS/cm (near Emerald) and 9</w:t>
      </w:r>
      <w:r>
        <w:t>375 µS/cm (near Rolleston). The 50</w:t>
      </w:r>
      <w:r w:rsidRPr="00FD3DD6">
        <w:rPr>
          <w:vertAlign w:val="superscript"/>
        </w:rPr>
        <w:t>th</w:t>
      </w:r>
      <w:r>
        <w:t xml:space="preserve"> percentile electrical conductivity (EC) value for the Moranbah Coal Measures and </w:t>
      </w:r>
      <w:r w:rsidR="0068584D">
        <w:t>the Baralaba Coal Measures is 6</w:t>
      </w:r>
      <w:r>
        <w:t>100</w:t>
      </w:r>
      <w:r w:rsidR="00F209EE">
        <w:t> </w:t>
      </w:r>
      <w:r>
        <w:t xml:space="preserve">µS/cm. These saline sequences demonstrate the poor groundwater quality of the coal seams in the Bowen Basin.  </w:t>
      </w:r>
    </w:p>
    <w:p w:rsidR="0001701F" w:rsidRDefault="0001701F" w:rsidP="001C3374">
      <w:pPr>
        <w:rPr>
          <w:rFonts w:ascii="Calibri" w:hAnsi="Calibri" w:cs="Calibri"/>
          <w:sz w:val="18"/>
          <w:szCs w:val="18"/>
        </w:rPr>
      </w:pPr>
      <w:r>
        <w:br w:type="page"/>
      </w:r>
    </w:p>
    <w:p w:rsidR="00266482" w:rsidRDefault="00266482" w:rsidP="001C3374">
      <w:pPr>
        <w:pStyle w:val="Body"/>
      </w:pPr>
      <w:bookmarkStart w:id="668" w:name="_Ref333664987"/>
      <w:r w:rsidRPr="00266482">
        <w:rPr>
          <w:noProof/>
          <w:lang w:val="en-AU" w:eastAsia="en-AU"/>
        </w:rPr>
        <w:lastRenderedPageBreak/>
        <w:drawing>
          <wp:inline distT="0" distB="0" distL="0" distR="0">
            <wp:extent cx="5772150" cy="8156299"/>
            <wp:effectExtent l="0" t="0" r="0" b="0"/>
            <wp:docPr id="2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69" cstate="email"/>
                    <a:srcRect/>
                    <a:stretch/>
                  </pic:blipFill>
                  <pic:spPr bwMode="auto">
                    <a:xfrm>
                      <a:off x="0" y="0"/>
                      <a:ext cx="5772150" cy="8156299"/>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DD07AF" w:rsidRPr="00DE1357" w:rsidRDefault="0068584D" w:rsidP="0068584D">
      <w:pPr>
        <w:pStyle w:val="Caption"/>
      </w:pPr>
      <w:bookmarkStart w:id="669" w:name="_Ref333662318"/>
      <w:r w:rsidRPr="00EA5A48">
        <w:t xml:space="preserve">Figure </w:t>
      </w:r>
      <w:r w:rsidR="00E23933" w:rsidRPr="00EA5A48">
        <w:rPr>
          <w:b/>
        </w:rPr>
        <w:fldChar w:fldCharType="begin"/>
      </w:r>
      <w:r w:rsidRPr="00EA5A48">
        <w:instrText xml:space="preserve"> SEQ Figure \* ARABIC </w:instrText>
      </w:r>
      <w:r w:rsidR="00E23933" w:rsidRPr="00EA5A48">
        <w:rPr>
          <w:b/>
        </w:rPr>
        <w:fldChar w:fldCharType="separate"/>
      </w:r>
      <w:r w:rsidR="00E879F5">
        <w:t>29</w:t>
      </w:r>
      <w:r w:rsidR="00E23933" w:rsidRPr="00EA5A48">
        <w:rPr>
          <w:b/>
        </w:rPr>
        <w:fldChar w:fldCharType="end"/>
      </w:r>
      <w:r>
        <w:rPr>
          <w:b/>
        </w:rPr>
        <w:t xml:space="preserve"> </w:t>
      </w:r>
      <w:bookmarkEnd w:id="669"/>
      <w:r w:rsidR="007156A8">
        <w:t>T</w:t>
      </w:r>
      <w:r w:rsidR="00DD07AF" w:rsidRPr="00DE1357">
        <w:t>he dominant hydrochemical provinces within the Fitzroy Basin (</w:t>
      </w:r>
      <w:r w:rsidR="00F976E1">
        <w:t>© Copyright</w:t>
      </w:r>
      <w:r w:rsidR="00F209EE">
        <w:t>,</w:t>
      </w:r>
      <w:r w:rsidR="00DD07AF" w:rsidRPr="00DE1357">
        <w:t xml:space="preserve"> DERM 2011)</w:t>
      </w:r>
      <w:r w:rsidR="00D506C2">
        <w:t>.</w:t>
      </w:r>
    </w:p>
    <w:p w:rsidR="00DD07AF" w:rsidRDefault="0068584D" w:rsidP="0068584D">
      <w:pPr>
        <w:pStyle w:val="Caption"/>
      </w:pPr>
      <w:bookmarkStart w:id="670" w:name="_Ref334713299"/>
      <w:r w:rsidRPr="006F2073">
        <w:lastRenderedPageBreak/>
        <w:t xml:space="preserve">Table </w:t>
      </w:r>
      <w:r w:rsidR="00E23933" w:rsidRPr="006F2073">
        <w:rPr>
          <w:b/>
          <w:noProof w:val="0"/>
        </w:rPr>
        <w:fldChar w:fldCharType="begin"/>
      </w:r>
      <w:r w:rsidRPr="006F2073">
        <w:instrText xml:space="preserve"> SEQ Table \* ARABIC </w:instrText>
      </w:r>
      <w:r w:rsidR="00E23933" w:rsidRPr="006F2073">
        <w:rPr>
          <w:b/>
          <w:noProof w:val="0"/>
        </w:rPr>
        <w:fldChar w:fldCharType="separate"/>
      </w:r>
      <w:r w:rsidR="0012724F">
        <w:t>24</w:t>
      </w:r>
      <w:r w:rsidR="00E23933" w:rsidRPr="006F2073">
        <w:rPr>
          <w:b/>
        </w:rPr>
        <w:fldChar w:fldCharType="end"/>
      </w:r>
      <w:r>
        <w:rPr>
          <w:b/>
        </w:rPr>
        <w:t xml:space="preserve"> </w:t>
      </w:r>
      <w:bookmarkEnd w:id="668"/>
      <w:bookmarkEnd w:id="670"/>
      <w:r w:rsidR="00DD07AF">
        <w:t>Summary of salinity and major ion statistics for each of the major ‘deep’ hydrochemical provinces associated with the Late Permian coal measures in the Bo</w:t>
      </w:r>
      <w:r>
        <w:t>wen Basin (</w:t>
      </w:r>
      <w:r w:rsidR="00F976E1">
        <w:t>© Copyright</w:t>
      </w:r>
      <w:r w:rsidR="00F209EE">
        <w:t>,</w:t>
      </w:r>
      <w:r>
        <w:t xml:space="preserve"> DERM 2011).</w:t>
      </w:r>
    </w:p>
    <w:tbl>
      <w:tblPr>
        <w:tblStyle w:val="TableGrid"/>
        <w:tblW w:w="9148" w:type="dxa"/>
        <w:tblInd w:w="108" w:type="dxa"/>
        <w:tblLayout w:type="fixed"/>
        <w:tblLook w:val="04A0"/>
      </w:tblPr>
      <w:tblGrid>
        <w:gridCol w:w="1418"/>
        <w:gridCol w:w="1276"/>
        <w:gridCol w:w="708"/>
        <w:gridCol w:w="993"/>
        <w:gridCol w:w="709"/>
        <w:gridCol w:w="567"/>
        <w:gridCol w:w="567"/>
        <w:gridCol w:w="708"/>
        <w:gridCol w:w="727"/>
        <w:gridCol w:w="691"/>
        <w:gridCol w:w="784"/>
      </w:tblGrid>
      <w:tr w:rsidR="00DD07AF" w:rsidRPr="0068584D" w:rsidTr="006B0EC2">
        <w:trPr>
          <w:tblHeader/>
        </w:trPr>
        <w:tc>
          <w:tcPr>
            <w:tcW w:w="1418" w:type="dxa"/>
            <w:vMerge w:val="restart"/>
            <w:shd w:val="clear" w:color="auto" w:fill="C6D9F1" w:themeFill="text2" w:themeFillTint="33"/>
          </w:tcPr>
          <w:p w:rsidR="00DD07AF" w:rsidRPr="0068584D" w:rsidRDefault="00F209EE" w:rsidP="006B0EC2">
            <w:pPr>
              <w:pStyle w:val="Tableheading"/>
            </w:pPr>
            <w:r>
              <w:t>Hydrochem z</w:t>
            </w:r>
            <w:r w:rsidR="00DD07AF" w:rsidRPr="0068584D">
              <w:t>one</w:t>
            </w:r>
          </w:p>
        </w:tc>
        <w:tc>
          <w:tcPr>
            <w:tcW w:w="1276" w:type="dxa"/>
            <w:vMerge w:val="restart"/>
            <w:shd w:val="clear" w:color="auto" w:fill="C6D9F1" w:themeFill="text2" w:themeFillTint="33"/>
          </w:tcPr>
          <w:p w:rsidR="00DD07AF" w:rsidRPr="0068584D" w:rsidRDefault="00F209EE" w:rsidP="006B0EC2">
            <w:pPr>
              <w:pStyle w:val="Tableheading"/>
            </w:pPr>
            <w:r>
              <w:t>Coal m</w:t>
            </w:r>
            <w:r w:rsidR="00DD07AF" w:rsidRPr="0068584D">
              <w:t>easures</w:t>
            </w:r>
          </w:p>
        </w:tc>
        <w:tc>
          <w:tcPr>
            <w:tcW w:w="708" w:type="dxa"/>
            <w:vMerge w:val="restart"/>
            <w:shd w:val="clear" w:color="auto" w:fill="C6D9F1" w:themeFill="text2" w:themeFillTint="33"/>
            <w:textDirection w:val="btLr"/>
          </w:tcPr>
          <w:p w:rsidR="00DD07AF" w:rsidRPr="0068584D" w:rsidRDefault="00DD07AF" w:rsidP="006B0EC2">
            <w:pPr>
              <w:pStyle w:val="Tableheading"/>
            </w:pPr>
            <w:r w:rsidRPr="0068584D">
              <w:t>Percentile</w:t>
            </w:r>
          </w:p>
        </w:tc>
        <w:tc>
          <w:tcPr>
            <w:tcW w:w="993" w:type="dxa"/>
            <w:vMerge w:val="restart"/>
            <w:shd w:val="clear" w:color="auto" w:fill="C6D9F1" w:themeFill="text2" w:themeFillTint="33"/>
          </w:tcPr>
          <w:p w:rsidR="00DD07AF" w:rsidRPr="0068584D" w:rsidRDefault="00DD07AF" w:rsidP="006B0EC2">
            <w:pPr>
              <w:pStyle w:val="Tableheading"/>
            </w:pPr>
            <w:r w:rsidRPr="0068584D">
              <w:t>EC (uS/cm)</w:t>
            </w:r>
          </w:p>
        </w:tc>
        <w:tc>
          <w:tcPr>
            <w:tcW w:w="709" w:type="dxa"/>
            <w:vMerge w:val="restart"/>
            <w:shd w:val="clear" w:color="auto" w:fill="C6D9F1" w:themeFill="text2" w:themeFillTint="33"/>
          </w:tcPr>
          <w:p w:rsidR="00DD07AF" w:rsidRPr="0068584D" w:rsidRDefault="00DD07AF" w:rsidP="006B0EC2">
            <w:pPr>
              <w:pStyle w:val="Tableheading"/>
            </w:pPr>
            <w:r w:rsidRPr="0068584D">
              <w:t>pH</w:t>
            </w:r>
          </w:p>
        </w:tc>
        <w:tc>
          <w:tcPr>
            <w:tcW w:w="4044" w:type="dxa"/>
            <w:gridSpan w:val="6"/>
            <w:tcBorders>
              <w:bottom w:val="single" w:sz="4" w:space="0" w:color="auto"/>
            </w:tcBorders>
            <w:shd w:val="clear" w:color="auto" w:fill="C6D9F1" w:themeFill="text2" w:themeFillTint="33"/>
          </w:tcPr>
          <w:p w:rsidR="00DD07AF" w:rsidRPr="0068584D" w:rsidRDefault="00DD07AF" w:rsidP="006B0EC2">
            <w:pPr>
              <w:pStyle w:val="Tableheading"/>
            </w:pPr>
            <w:r w:rsidRPr="0068584D">
              <w:t>Major Ions (mg/L)</w:t>
            </w:r>
          </w:p>
        </w:tc>
      </w:tr>
      <w:tr w:rsidR="00DD07AF" w:rsidRPr="0068584D" w:rsidTr="006B0EC2">
        <w:trPr>
          <w:trHeight w:val="812"/>
          <w:tblHeader/>
        </w:trPr>
        <w:tc>
          <w:tcPr>
            <w:tcW w:w="1418" w:type="dxa"/>
            <w:vMerge/>
            <w:shd w:val="clear" w:color="auto" w:fill="C6D9F1" w:themeFill="text2" w:themeFillTint="33"/>
          </w:tcPr>
          <w:p w:rsidR="00DD07AF" w:rsidRPr="0068584D" w:rsidRDefault="00DD07AF" w:rsidP="006B0EC2">
            <w:pPr>
              <w:pStyle w:val="Tableheading"/>
            </w:pPr>
          </w:p>
        </w:tc>
        <w:tc>
          <w:tcPr>
            <w:tcW w:w="1276" w:type="dxa"/>
            <w:vMerge/>
            <w:shd w:val="clear" w:color="auto" w:fill="C6D9F1" w:themeFill="text2" w:themeFillTint="33"/>
          </w:tcPr>
          <w:p w:rsidR="00DD07AF" w:rsidRPr="0068584D" w:rsidRDefault="00DD07AF" w:rsidP="006B0EC2">
            <w:pPr>
              <w:pStyle w:val="Tableheading"/>
            </w:pPr>
          </w:p>
        </w:tc>
        <w:tc>
          <w:tcPr>
            <w:tcW w:w="708" w:type="dxa"/>
            <w:vMerge/>
            <w:shd w:val="clear" w:color="auto" w:fill="C6D9F1" w:themeFill="text2" w:themeFillTint="33"/>
          </w:tcPr>
          <w:p w:rsidR="00DD07AF" w:rsidRPr="0068584D" w:rsidRDefault="00DD07AF" w:rsidP="006B0EC2">
            <w:pPr>
              <w:pStyle w:val="Tableheading"/>
            </w:pPr>
          </w:p>
        </w:tc>
        <w:tc>
          <w:tcPr>
            <w:tcW w:w="993" w:type="dxa"/>
            <w:vMerge/>
            <w:shd w:val="clear" w:color="auto" w:fill="C6D9F1" w:themeFill="text2" w:themeFillTint="33"/>
          </w:tcPr>
          <w:p w:rsidR="00DD07AF" w:rsidRPr="0068584D" w:rsidRDefault="00DD07AF" w:rsidP="006B0EC2">
            <w:pPr>
              <w:pStyle w:val="Tableheading"/>
            </w:pPr>
          </w:p>
        </w:tc>
        <w:tc>
          <w:tcPr>
            <w:tcW w:w="709" w:type="dxa"/>
            <w:vMerge/>
            <w:shd w:val="clear" w:color="auto" w:fill="C6D9F1" w:themeFill="text2" w:themeFillTint="33"/>
          </w:tcPr>
          <w:p w:rsidR="00DD07AF" w:rsidRPr="0068584D" w:rsidRDefault="00DD07AF" w:rsidP="006B0EC2">
            <w:pPr>
              <w:pStyle w:val="Tableheading"/>
            </w:pPr>
          </w:p>
        </w:tc>
        <w:tc>
          <w:tcPr>
            <w:tcW w:w="567" w:type="dxa"/>
            <w:shd w:val="clear" w:color="auto" w:fill="C6D9F1" w:themeFill="text2" w:themeFillTint="33"/>
          </w:tcPr>
          <w:p w:rsidR="00DD07AF" w:rsidRPr="0068584D" w:rsidRDefault="00DD07AF" w:rsidP="006B0EC2">
            <w:pPr>
              <w:pStyle w:val="Tableheading"/>
            </w:pPr>
            <w:r w:rsidRPr="0068584D">
              <w:t>Ca</w:t>
            </w:r>
          </w:p>
        </w:tc>
        <w:tc>
          <w:tcPr>
            <w:tcW w:w="567" w:type="dxa"/>
            <w:shd w:val="clear" w:color="auto" w:fill="C6D9F1" w:themeFill="text2" w:themeFillTint="33"/>
          </w:tcPr>
          <w:p w:rsidR="00DD07AF" w:rsidRPr="0068584D" w:rsidRDefault="00DD07AF" w:rsidP="006B0EC2">
            <w:pPr>
              <w:pStyle w:val="Tableheading"/>
            </w:pPr>
            <w:r w:rsidRPr="0068584D">
              <w:t>Mg</w:t>
            </w:r>
          </w:p>
        </w:tc>
        <w:tc>
          <w:tcPr>
            <w:tcW w:w="708" w:type="dxa"/>
            <w:shd w:val="clear" w:color="auto" w:fill="C6D9F1" w:themeFill="text2" w:themeFillTint="33"/>
          </w:tcPr>
          <w:p w:rsidR="00DD07AF" w:rsidRPr="0068584D" w:rsidRDefault="00DD07AF" w:rsidP="006B0EC2">
            <w:pPr>
              <w:pStyle w:val="Tableheading"/>
            </w:pPr>
            <w:r w:rsidRPr="0068584D">
              <w:t>Na</w:t>
            </w:r>
          </w:p>
        </w:tc>
        <w:tc>
          <w:tcPr>
            <w:tcW w:w="727" w:type="dxa"/>
            <w:shd w:val="clear" w:color="auto" w:fill="C6D9F1" w:themeFill="text2" w:themeFillTint="33"/>
          </w:tcPr>
          <w:p w:rsidR="00DD07AF" w:rsidRPr="0068584D" w:rsidRDefault="00DD07AF" w:rsidP="006B0EC2">
            <w:pPr>
              <w:pStyle w:val="Tableheading"/>
            </w:pPr>
            <w:r w:rsidRPr="0068584D">
              <w:t>Cl</w:t>
            </w:r>
          </w:p>
        </w:tc>
        <w:tc>
          <w:tcPr>
            <w:tcW w:w="691" w:type="dxa"/>
            <w:shd w:val="clear" w:color="auto" w:fill="C6D9F1" w:themeFill="text2" w:themeFillTint="33"/>
          </w:tcPr>
          <w:p w:rsidR="00DD07AF" w:rsidRPr="0068584D" w:rsidRDefault="00DD07AF" w:rsidP="006B0EC2">
            <w:pPr>
              <w:pStyle w:val="Tableheading"/>
            </w:pPr>
            <w:r w:rsidRPr="0068584D">
              <w:t>SO</w:t>
            </w:r>
            <w:r w:rsidRPr="0068584D">
              <w:rPr>
                <w:vertAlign w:val="subscript"/>
              </w:rPr>
              <w:t>4</w:t>
            </w:r>
          </w:p>
        </w:tc>
        <w:tc>
          <w:tcPr>
            <w:tcW w:w="784" w:type="dxa"/>
            <w:shd w:val="clear" w:color="auto" w:fill="C6D9F1" w:themeFill="text2" w:themeFillTint="33"/>
          </w:tcPr>
          <w:p w:rsidR="00DD07AF" w:rsidRPr="0068584D" w:rsidRDefault="00DD07AF" w:rsidP="006B0EC2">
            <w:pPr>
              <w:pStyle w:val="Tableheading"/>
            </w:pPr>
            <w:r w:rsidRPr="0068584D">
              <w:t>HCO</w:t>
            </w:r>
            <w:r w:rsidRPr="0068584D">
              <w:rPr>
                <w:vertAlign w:val="subscript"/>
              </w:rPr>
              <w:t>3</w:t>
            </w:r>
          </w:p>
        </w:tc>
      </w:tr>
      <w:tr w:rsidR="00DD07AF" w:rsidRPr="0068584D" w:rsidTr="00F209EE">
        <w:tc>
          <w:tcPr>
            <w:tcW w:w="1418" w:type="dxa"/>
            <w:vMerge w:val="restart"/>
          </w:tcPr>
          <w:p w:rsidR="00DD07AF" w:rsidRPr="0068584D" w:rsidRDefault="00DD07AF" w:rsidP="006B0EC2">
            <w:pPr>
              <w:pStyle w:val="Tabletext"/>
            </w:pPr>
            <w:r w:rsidRPr="0068584D">
              <w:t>31</w:t>
            </w:r>
          </w:p>
          <w:p w:rsidR="00DD07AF" w:rsidRPr="0068584D" w:rsidRDefault="00DD07AF" w:rsidP="006B0EC2">
            <w:pPr>
              <w:pStyle w:val="Tabletext"/>
            </w:pPr>
          </w:p>
        </w:tc>
        <w:tc>
          <w:tcPr>
            <w:tcW w:w="1276" w:type="dxa"/>
            <w:vMerge w:val="restart"/>
          </w:tcPr>
          <w:p w:rsidR="00DD07AF" w:rsidRPr="0068584D" w:rsidRDefault="00DD07AF" w:rsidP="006B0EC2">
            <w:pPr>
              <w:pStyle w:val="Tabletext"/>
            </w:pPr>
            <w:r w:rsidRPr="0068584D">
              <w:t>Bandanna Fm</w:t>
            </w:r>
          </w:p>
          <w:p w:rsidR="00DD07AF" w:rsidRPr="0068584D" w:rsidRDefault="00DD07AF" w:rsidP="006B0EC2">
            <w:pPr>
              <w:pStyle w:val="Tabletext"/>
            </w:pPr>
          </w:p>
        </w:tc>
        <w:tc>
          <w:tcPr>
            <w:tcW w:w="708" w:type="dxa"/>
          </w:tcPr>
          <w:p w:rsidR="00DD07AF" w:rsidRPr="0068584D" w:rsidRDefault="00DD07AF" w:rsidP="006B0EC2">
            <w:pPr>
              <w:pStyle w:val="Tabletext"/>
            </w:pPr>
            <w:r w:rsidRPr="0068584D">
              <w:t>20</w:t>
            </w:r>
            <w:r w:rsidRPr="0068584D">
              <w:rPr>
                <w:vertAlign w:val="superscript"/>
              </w:rPr>
              <w:t>th</w:t>
            </w:r>
          </w:p>
        </w:tc>
        <w:tc>
          <w:tcPr>
            <w:tcW w:w="993" w:type="dxa"/>
          </w:tcPr>
          <w:p w:rsidR="00DD07AF" w:rsidRPr="0068584D" w:rsidRDefault="00DD07AF" w:rsidP="006B0EC2">
            <w:pPr>
              <w:pStyle w:val="Tabletext"/>
            </w:pPr>
            <w:r w:rsidRPr="0068584D">
              <w:t>2151</w:t>
            </w:r>
          </w:p>
        </w:tc>
        <w:tc>
          <w:tcPr>
            <w:tcW w:w="709" w:type="dxa"/>
          </w:tcPr>
          <w:p w:rsidR="00DD07AF" w:rsidRPr="0068584D" w:rsidRDefault="00DD07AF" w:rsidP="006B0EC2">
            <w:pPr>
              <w:pStyle w:val="Tabletext"/>
            </w:pPr>
            <w:r w:rsidRPr="0068584D">
              <w:t>7.70</w:t>
            </w:r>
          </w:p>
        </w:tc>
        <w:tc>
          <w:tcPr>
            <w:tcW w:w="567" w:type="dxa"/>
          </w:tcPr>
          <w:p w:rsidR="00DD07AF" w:rsidRPr="0068584D" w:rsidRDefault="00DD07AF" w:rsidP="006B0EC2">
            <w:pPr>
              <w:pStyle w:val="Tabletext"/>
            </w:pPr>
            <w:r w:rsidRPr="0068584D">
              <w:t>9</w:t>
            </w:r>
          </w:p>
        </w:tc>
        <w:tc>
          <w:tcPr>
            <w:tcW w:w="567" w:type="dxa"/>
          </w:tcPr>
          <w:p w:rsidR="00DD07AF" w:rsidRPr="0068584D" w:rsidRDefault="00DD07AF" w:rsidP="006B0EC2">
            <w:pPr>
              <w:pStyle w:val="Tabletext"/>
            </w:pPr>
            <w:r w:rsidRPr="0068584D">
              <w:t>14</w:t>
            </w:r>
          </w:p>
        </w:tc>
        <w:tc>
          <w:tcPr>
            <w:tcW w:w="708" w:type="dxa"/>
          </w:tcPr>
          <w:p w:rsidR="00DD07AF" w:rsidRPr="0068584D" w:rsidRDefault="00DD07AF" w:rsidP="006B0EC2">
            <w:pPr>
              <w:pStyle w:val="Tabletext"/>
            </w:pPr>
            <w:r w:rsidRPr="0068584D">
              <w:t>375</w:t>
            </w:r>
          </w:p>
        </w:tc>
        <w:tc>
          <w:tcPr>
            <w:tcW w:w="727" w:type="dxa"/>
          </w:tcPr>
          <w:p w:rsidR="00DD07AF" w:rsidRPr="0068584D" w:rsidRDefault="00DD07AF" w:rsidP="006B0EC2">
            <w:pPr>
              <w:pStyle w:val="Tabletext"/>
            </w:pPr>
            <w:r w:rsidRPr="0068584D">
              <w:t>414</w:t>
            </w:r>
          </w:p>
        </w:tc>
        <w:tc>
          <w:tcPr>
            <w:tcW w:w="691" w:type="dxa"/>
          </w:tcPr>
          <w:p w:rsidR="00DD07AF" w:rsidRPr="0068584D" w:rsidRDefault="00DD07AF" w:rsidP="006B0EC2">
            <w:pPr>
              <w:pStyle w:val="Tabletext"/>
            </w:pPr>
            <w:r w:rsidRPr="0068584D">
              <w:t>0</w:t>
            </w:r>
          </w:p>
        </w:tc>
        <w:tc>
          <w:tcPr>
            <w:tcW w:w="784" w:type="dxa"/>
          </w:tcPr>
          <w:p w:rsidR="00DD07AF" w:rsidRPr="0068584D" w:rsidRDefault="00DD07AF" w:rsidP="006B0EC2">
            <w:pPr>
              <w:pStyle w:val="Tabletext"/>
            </w:pPr>
            <w:r w:rsidRPr="0068584D">
              <w:t>412</w:t>
            </w:r>
          </w:p>
        </w:tc>
      </w:tr>
      <w:tr w:rsidR="00DD07AF" w:rsidRPr="0068584D" w:rsidTr="00F209EE">
        <w:tc>
          <w:tcPr>
            <w:tcW w:w="1418" w:type="dxa"/>
            <w:vMerge/>
          </w:tcPr>
          <w:p w:rsidR="00DD07AF" w:rsidRPr="0068584D" w:rsidRDefault="00DD07AF" w:rsidP="006B0EC2">
            <w:pPr>
              <w:pStyle w:val="Tabletext"/>
            </w:pPr>
          </w:p>
        </w:tc>
        <w:tc>
          <w:tcPr>
            <w:tcW w:w="1276" w:type="dxa"/>
            <w:vMerge/>
          </w:tcPr>
          <w:p w:rsidR="00DD07AF" w:rsidRPr="0068584D" w:rsidRDefault="00DD07AF" w:rsidP="006B0EC2">
            <w:pPr>
              <w:pStyle w:val="Tabletext"/>
            </w:pPr>
          </w:p>
        </w:tc>
        <w:tc>
          <w:tcPr>
            <w:tcW w:w="708" w:type="dxa"/>
          </w:tcPr>
          <w:p w:rsidR="00DD07AF" w:rsidRPr="0068584D" w:rsidRDefault="00DD07AF" w:rsidP="006B0EC2">
            <w:pPr>
              <w:pStyle w:val="Tabletext"/>
            </w:pPr>
            <w:r w:rsidRPr="0068584D">
              <w:t>50</w:t>
            </w:r>
            <w:r w:rsidRPr="0068584D">
              <w:rPr>
                <w:vertAlign w:val="superscript"/>
              </w:rPr>
              <w:t>th</w:t>
            </w:r>
          </w:p>
        </w:tc>
        <w:tc>
          <w:tcPr>
            <w:tcW w:w="993" w:type="dxa"/>
          </w:tcPr>
          <w:p w:rsidR="00DD07AF" w:rsidRPr="0068584D" w:rsidRDefault="00DD07AF" w:rsidP="006B0EC2">
            <w:pPr>
              <w:pStyle w:val="Tabletext"/>
            </w:pPr>
            <w:r w:rsidRPr="0068584D">
              <w:t>3150</w:t>
            </w:r>
          </w:p>
        </w:tc>
        <w:tc>
          <w:tcPr>
            <w:tcW w:w="709" w:type="dxa"/>
          </w:tcPr>
          <w:p w:rsidR="00DD07AF" w:rsidRPr="0068584D" w:rsidRDefault="00DD07AF" w:rsidP="006B0EC2">
            <w:pPr>
              <w:pStyle w:val="Tabletext"/>
            </w:pPr>
            <w:r w:rsidRPr="0068584D">
              <w:t>7.95</w:t>
            </w:r>
          </w:p>
        </w:tc>
        <w:tc>
          <w:tcPr>
            <w:tcW w:w="567" w:type="dxa"/>
          </w:tcPr>
          <w:p w:rsidR="00DD07AF" w:rsidRPr="0068584D" w:rsidRDefault="00DD07AF" w:rsidP="006B0EC2">
            <w:pPr>
              <w:pStyle w:val="Tabletext"/>
            </w:pPr>
            <w:r w:rsidRPr="0068584D">
              <w:t>27</w:t>
            </w:r>
          </w:p>
        </w:tc>
        <w:tc>
          <w:tcPr>
            <w:tcW w:w="567" w:type="dxa"/>
          </w:tcPr>
          <w:p w:rsidR="00DD07AF" w:rsidRPr="0068584D" w:rsidRDefault="00DD07AF" w:rsidP="006B0EC2">
            <w:pPr>
              <w:pStyle w:val="Tabletext"/>
            </w:pPr>
            <w:r w:rsidRPr="0068584D">
              <w:t>28</w:t>
            </w:r>
          </w:p>
        </w:tc>
        <w:tc>
          <w:tcPr>
            <w:tcW w:w="708" w:type="dxa"/>
          </w:tcPr>
          <w:p w:rsidR="00DD07AF" w:rsidRPr="0068584D" w:rsidRDefault="00DD07AF" w:rsidP="006B0EC2">
            <w:pPr>
              <w:pStyle w:val="Tabletext"/>
            </w:pPr>
            <w:r w:rsidRPr="0068584D">
              <w:t>589</w:t>
            </w:r>
          </w:p>
        </w:tc>
        <w:tc>
          <w:tcPr>
            <w:tcW w:w="727" w:type="dxa"/>
          </w:tcPr>
          <w:p w:rsidR="00DD07AF" w:rsidRPr="0068584D" w:rsidRDefault="00DD07AF" w:rsidP="006B0EC2">
            <w:pPr>
              <w:pStyle w:val="Tabletext"/>
            </w:pPr>
            <w:r w:rsidRPr="0068584D">
              <w:t>554</w:t>
            </w:r>
          </w:p>
        </w:tc>
        <w:tc>
          <w:tcPr>
            <w:tcW w:w="691" w:type="dxa"/>
          </w:tcPr>
          <w:p w:rsidR="00DD07AF" w:rsidRPr="0068584D" w:rsidRDefault="00DD07AF" w:rsidP="006B0EC2">
            <w:pPr>
              <w:pStyle w:val="Tabletext"/>
            </w:pPr>
            <w:r w:rsidRPr="0068584D">
              <w:t>10</w:t>
            </w:r>
          </w:p>
        </w:tc>
        <w:tc>
          <w:tcPr>
            <w:tcW w:w="784" w:type="dxa"/>
          </w:tcPr>
          <w:p w:rsidR="00DD07AF" w:rsidRPr="0068584D" w:rsidRDefault="00DD07AF" w:rsidP="006B0EC2">
            <w:pPr>
              <w:pStyle w:val="Tabletext"/>
            </w:pPr>
            <w:r w:rsidRPr="0068584D">
              <w:t>683</w:t>
            </w:r>
          </w:p>
        </w:tc>
      </w:tr>
      <w:tr w:rsidR="00DD07AF" w:rsidRPr="0068584D" w:rsidTr="00F209EE">
        <w:tc>
          <w:tcPr>
            <w:tcW w:w="1418" w:type="dxa"/>
            <w:vMerge/>
          </w:tcPr>
          <w:p w:rsidR="00DD07AF" w:rsidRPr="0068584D" w:rsidRDefault="00DD07AF" w:rsidP="006B0EC2">
            <w:pPr>
              <w:pStyle w:val="Tabletext"/>
            </w:pPr>
          </w:p>
        </w:tc>
        <w:tc>
          <w:tcPr>
            <w:tcW w:w="1276" w:type="dxa"/>
            <w:vMerge/>
          </w:tcPr>
          <w:p w:rsidR="00DD07AF" w:rsidRPr="0068584D" w:rsidRDefault="00DD07AF" w:rsidP="006B0EC2">
            <w:pPr>
              <w:pStyle w:val="Tabletext"/>
            </w:pPr>
          </w:p>
        </w:tc>
        <w:tc>
          <w:tcPr>
            <w:tcW w:w="708" w:type="dxa"/>
          </w:tcPr>
          <w:p w:rsidR="00DD07AF" w:rsidRPr="0068584D" w:rsidRDefault="00DD07AF" w:rsidP="006B0EC2">
            <w:pPr>
              <w:pStyle w:val="Tabletext"/>
            </w:pPr>
            <w:r w:rsidRPr="0068584D">
              <w:t>80</w:t>
            </w:r>
            <w:r w:rsidRPr="0068584D">
              <w:rPr>
                <w:vertAlign w:val="superscript"/>
              </w:rPr>
              <w:t>th</w:t>
            </w:r>
            <w:r w:rsidRPr="0068584D">
              <w:t xml:space="preserve"> </w:t>
            </w:r>
          </w:p>
        </w:tc>
        <w:tc>
          <w:tcPr>
            <w:tcW w:w="993" w:type="dxa"/>
          </w:tcPr>
          <w:p w:rsidR="00DD07AF" w:rsidRPr="0068584D" w:rsidRDefault="00DD07AF" w:rsidP="006B0EC2">
            <w:pPr>
              <w:pStyle w:val="Tabletext"/>
            </w:pPr>
            <w:r w:rsidRPr="0068584D">
              <w:t>3540</w:t>
            </w:r>
          </w:p>
        </w:tc>
        <w:tc>
          <w:tcPr>
            <w:tcW w:w="709" w:type="dxa"/>
          </w:tcPr>
          <w:p w:rsidR="00DD07AF" w:rsidRPr="0068584D" w:rsidRDefault="00DD07AF" w:rsidP="006B0EC2">
            <w:pPr>
              <w:pStyle w:val="Tabletext"/>
            </w:pPr>
            <w:r w:rsidRPr="0068584D">
              <w:t>8.20</w:t>
            </w:r>
          </w:p>
        </w:tc>
        <w:tc>
          <w:tcPr>
            <w:tcW w:w="567" w:type="dxa"/>
          </w:tcPr>
          <w:p w:rsidR="00DD07AF" w:rsidRPr="0068584D" w:rsidRDefault="00DD07AF" w:rsidP="006B0EC2">
            <w:pPr>
              <w:pStyle w:val="Tabletext"/>
            </w:pPr>
            <w:r w:rsidRPr="0068584D">
              <w:t>70</w:t>
            </w:r>
          </w:p>
        </w:tc>
        <w:tc>
          <w:tcPr>
            <w:tcW w:w="567" w:type="dxa"/>
          </w:tcPr>
          <w:p w:rsidR="00DD07AF" w:rsidRPr="0068584D" w:rsidRDefault="00DD07AF" w:rsidP="006B0EC2">
            <w:pPr>
              <w:pStyle w:val="Tabletext"/>
            </w:pPr>
            <w:r w:rsidRPr="0068584D">
              <w:t>106</w:t>
            </w:r>
          </w:p>
        </w:tc>
        <w:tc>
          <w:tcPr>
            <w:tcW w:w="708" w:type="dxa"/>
          </w:tcPr>
          <w:p w:rsidR="00DD07AF" w:rsidRPr="0068584D" w:rsidRDefault="00DD07AF" w:rsidP="006B0EC2">
            <w:pPr>
              <w:pStyle w:val="Tabletext"/>
            </w:pPr>
            <w:r w:rsidRPr="0068584D">
              <w:t>734</w:t>
            </w:r>
          </w:p>
        </w:tc>
        <w:tc>
          <w:tcPr>
            <w:tcW w:w="727" w:type="dxa"/>
          </w:tcPr>
          <w:p w:rsidR="00DD07AF" w:rsidRPr="0068584D" w:rsidRDefault="00DD07AF" w:rsidP="006B0EC2">
            <w:pPr>
              <w:pStyle w:val="Tabletext"/>
            </w:pPr>
            <w:r w:rsidRPr="0068584D">
              <w:t>954</w:t>
            </w:r>
          </w:p>
        </w:tc>
        <w:tc>
          <w:tcPr>
            <w:tcW w:w="691" w:type="dxa"/>
          </w:tcPr>
          <w:p w:rsidR="00DD07AF" w:rsidRPr="0068584D" w:rsidRDefault="00DD07AF" w:rsidP="006B0EC2">
            <w:pPr>
              <w:pStyle w:val="Tabletext"/>
            </w:pPr>
            <w:r w:rsidRPr="0068584D">
              <w:t>64</w:t>
            </w:r>
          </w:p>
        </w:tc>
        <w:tc>
          <w:tcPr>
            <w:tcW w:w="784" w:type="dxa"/>
          </w:tcPr>
          <w:p w:rsidR="00DD07AF" w:rsidRPr="0068584D" w:rsidRDefault="00DD07AF" w:rsidP="006B0EC2">
            <w:pPr>
              <w:pStyle w:val="Tabletext"/>
            </w:pPr>
            <w:r w:rsidRPr="0068584D">
              <w:t>763</w:t>
            </w:r>
          </w:p>
        </w:tc>
      </w:tr>
      <w:tr w:rsidR="00DD07AF" w:rsidRPr="0068584D" w:rsidTr="00F209EE">
        <w:trPr>
          <w:trHeight w:val="643"/>
        </w:trPr>
        <w:tc>
          <w:tcPr>
            <w:tcW w:w="1418" w:type="dxa"/>
            <w:vMerge w:val="restart"/>
          </w:tcPr>
          <w:p w:rsidR="00DD07AF" w:rsidRPr="0068584D" w:rsidRDefault="00DD07AF" w:rsidP="006B0EC2">
            <w:pPr>
              <w:pStyle w:val="Tabletext"/>
            </w:pPr>
            <w:r w:rsidRPr="0068584D">
              <w:t>34</w:t>
            </w:r>
          </w:p>
          <w:p w:rsidR="00DD07AF" w:rsidRPr="0068584D" w:rsidRDefault="00DD07AF" w:rsidP="006B0EC2">
            <w:pPr>
              <w:pStyle w:val="Tabletext"/>
            </w:pPr>
          </w:p>
        </w:tc>
        <w:tc>
          <w:tcPr>
            <w:tcW w:w="1276" w:type="dxa"/>
            <w:vMerge w:val="restart"/>
          </w:tcPr>
          <w:p w:rsidR="00DD07AF" w:rsidRPr="0068584D" w:rsidRDefault="001056F6" w:rsidP="006B0EC2">
            <w:pPr>
              <w:pStyle w:val="Tabletext"/>
            </w:pPr>
            <w:r>
              <w:t>Moranbah CM and</w:t>
            </w:r>
            <w:r w:rsidR="00DD07AF" w:rsidRPr="0068584D">
              <w:t xml:space="preserve"> Baralaba CM</w:t>
            </w:r>
          </w:p>
          <w:p w:rsidR="00DD07AF" w:rsidRPr="0068584D" w:rsidRDefault="00DD07AF" w:rsidP="006B0EC2">
            <w:pPr>
              <w:pStyle w:val="Tabletext"/>
            </w:pPr>
          </w:p>
        </w:tc>
        <w:tc>
          <w:tcPr>
            <w:tcW w:w="708" w:type="dxa"/>
          </w:tcPr>
          <w:p w:rsidR="00DD07AF" w:rsidRPr="0068584D" w:rsidRDefault="00DD07AF" w:rsidP="006B0EC2">
            <w:pPr>
              <w:pStyle w:val="Tabletext"/>
            </w:pPr>
            <w:r w:rsidRPr="0068584D">
              <w:t>20</w:t>
            </w:r>
            <w:r w:rsidRPr="0068584D">
              <w:rPr>
                <w:vertAlign w:val="superscript"/>
              </w:rPr>
              <w:t>th</w:t>
            </w:r>
          </w:p>
        </w:tc>
        <w:tc>
          <w:tcPr>
            <w:tcW w:w="993" w:type="dxa"/>
          </w:tcPr>
          <w:p w:rsidR="00DD07AF" w:rsidRPr="0068584D" w:rsidRDefault="00DD07AF" w:rsidP="006B0EC2">
            <w:pPr>
              <w:pStyle w:val="Tabletext"/>
            </w:pPr>
            <w:r w:rsidRPr="0068584D">
              <w:t>3419</w:t>
            </w:r>
          </w:p>
        </w:tc>
        <w:tc>
          <w:tcPr>
            <w:tcW w:w="709" w:type="dxa"/>
          </w:tcPr>
          <w:p w:rsidR="00DD07AF" w:rsidRPr="0068584D" w:rsidRDefault="00DD07AF" w:rsidP="006B0EC2">
            <w:pPr>
              <w:pStyle w:val="Tabletext"/>
            </w:pPr>
            <w:r w:rsidRPr="0068584D">
              <w:t>7.40</w:t>
            </w:r>
          </w:p>
        </w:tc>
        <w:tc>
          <w:tcPr>
            <w:tcW w:w="567" w:type="dxa"/>
          </w:tcPr>
          <w:p w:rsidR="00DD07AF" w:rsidRPr="0068584D" w:rsidRDefault="00DD07AF" w:rsidP="006B0EC2">
            <w:pPr>
              <w:pStyle w:val="Tabletext"/>
            </w:pPr>
            <w:r w:rsidRPr="0068584D">
              <w:t>46</w:t>
            </w:r>
          </w:p>
        </w:tc>
        <w:tc>
          <w:tcPr>
            <w:tcW w:w="567" w:type="dxa"/>
          </w:tcPr>
          <w:p w:rsidR="00DD07AF" w:rsidRPr="0068584D" w:rsidRDefault="00DD07AF" w:rsidP="006B0EC2">
            <w:pPr>
              <w:pStyle w:val="Tabletext"/>
            </w:pPr>
            <w:r w:rsidRPr="0068584D">
              <w:t>35</w:t>
            </w:r>
          </w:p>
        </w:tc>
        <w:tc>
          <w:tcPr>
            <w:tcW w:w="708" w:type="dxa"/>
          </w:tcPr>
          <w:p w:rsidR="00DD07AF" w:rsidRPr="0068584D" w:rsidRDefault="00DD07AF" w:rsidP="006B0EC2">
            <w:pPr>
              <w:pStyle w:val="Tabletext"/>
            </w:pPr>
            <w:r w:rsidRPr="0068584D">
              <w:t>480</w:t>
            </w:r>
          </w:p>
        </w:tc>
        <w:tc>
          <w:tcPr>
            <w:tcW w:w="727" w:type="dxa"/>
          </w:tcPr>
          <w:p w:rsidR="00DD07AF" w:rsidRPr="0068584D" w:rsidRDefault="00DD07AF" w:rsidP="006B0EC2">
            <w:pPr>
              <w:pStyle w:val="Tabletext"/>
            </w:pPr>
            <w:r w:rsidRPr="0068584D">
              <w:t>753</w:t>
            </w:r>
          </w:p>
        </w:tc>
        <w:tc>
          <w:tcPr>
            <w:tcW w:w="691" w:type="dxa"/>
          </w:tcPr>
          <w:p w:rsidR="00DD07AF" w:rsidRPr="0068584D" w:rsidRDefault="00DD07AF" w:rsidP="006B0EC2">
            <w:pPr>
              <w:pStyle w:val="Tabletext"/>
            </w:pPr>
            <w:r w:rsidRPr="0068584D">
              <w:t>25</w:t>
            </w:r>
          </w:p>
        </w:tc>
        <w:tc>
          <w:tcPr>
            <w:tcW w:w="784" w:type="dxa"/>
          </w:tcPr>
          <w:p w:rsidR="00DD07AF" w:rsidRPr="0068584D" w:rsidRDefault="00DD07AF" w:rsidP="006B0EC2">
            <w:pPr>
              <w:pStyle w:val="Tabletext"/>
            </w:pPr>
            <w:r w:rsidRPr="0068584D">
              <w:t>188</w:t>
            </w:r>
          </w:p>
        </w:tc>
      </w:tr>
      <w:tr w:rsidR="00DD07AF" w:rsidRPr="0068584D" w:rsidTr="00F209EE">
        <w:tc>
          <w:tcPr>
            <w:tcW w:w="1418" w:type="dxa"/>
            <w:vMerge/>
          </w:tcPr>
          <w:p w:rsidR="00DD07AF" w:rsidRPr="0068584D" w:rsidRDefault="00DD07AF" w:rsidP="006B0EC2">
            <w:pPr>
              <w:pStyle w:val="Tabletext"/>
            </w:pPr>
          </w:p>
        </w:tc>
        <w:tc>
          <w:tcPr>
            <w:tcW w:w="1276" w:type="dxa"/>
            <w:vMerge/>
          </w:tcPr>
          <w:p w:rsidR="00DD07AF" w:rsidRPr="0068584D" w:rsidRDefault="00DD07AF" w:rsidP="006B0EC2">
            <w:pPr>
              <w:pStyle w:val="Tabletext"/>
            </w:pPr>
          </w:p>
        </w:tc>
        <w:tc>
          <w:tcPr>
            <w:tcW w:w="708" w:type="dxa"/>
          </w:tcPr>
          <w:p w:rsidR="00DD07AF" w:rsidRPr="0068584D" w:rsidRDefault="00DD07AF" w:rsidP="006B0EC2">
            <w:pPr>
              <w:pStyle w:val="Tabletext"/>
            </w:pPr>
            <w:r w:rsidRPr="0068584D">
              <w:t>50</w:t>
            </w:r>
            <w:r w:rsidRPr="0068584D">
              <w:rPr>
                <w:vertAlign w:val="superscript"/>
              </w:rPr>
              <w:t>th</w:t>
            </w:r>
          </w:p>
        </w:tc>
        <w:tc>
          <w:tcPr>
            <w:tcW w:w="993" w:type="dxa"/>
          </w:tcPr>
          <w:p w:rsidR="00DD07AF" w:rsidRPr="0068584D" w:rsidRDefault="00DD07AF" w:rsidP="006B0EC2">
            <w:pPr>
              <w:pStyle w:val="Tabletext"/>
            </w:pPr>
            <w:r w:rsidRPr="0068584D">
              <w:t>6100</w:t>
            </w:r>
          </w:p>
        </w:tc>
        <w:tc>
          <w:tcPr>
            <w:tcW w:w="709" w:type="dxa"/>
          </w:tcPr>
          <w:p w:rsidR="00DD07AF" w:rsidRPr="0068584D" w:rsidRDefault="00DD07AF" w:rsidP="006B0EC2">
            <w:pPr>
              <w:pStyle w:val="Tabletext"/>
            </w:pPr>
            <w:r w:rsidRPr="0068584D">
              <w:t>7.80</w:t>
            </w:r>
          </w:p>
        </w:tc>
        <w:tc>
          <w:tcPr>
            <w:tcW w:w="567" w:type="dxa"/>
          </w:tcPr>
          <w:p w:rsidR="00DD07AF" w:rsidRPr="0068584D" w:rsidRDefault="00DD07AF" w:rsidP="006B0EC2">
            <w:pPr>
              <w:pStyle w:val="Tabletext"/>
            </w:pPr>
            <w:r w:rsidRPr="0068584D">
              <w:t>145</w:t>
            </w:r>
          </w:p>
        </w:tc>
        <w:tc>
          <w:tcPr>
            <w:tcW w:w="567" w:type="dxa"/>
          </w:tcPr>
          <w:p w:rsidR="00DD07AF" w:rsidRPr="0068584D" w:rsidRDefault="00DD07AF" w:rsidP="006B0EC2">
            <w:pPr>
              <w:pStyle w:val="Tabletext"/>
            </w:pPr>
            <w:r w:rsidRPr="0068584D">
              <w:t>115</w:t>
            </w:r>
          </w:p>
        </w:tc>
        <w:tc>
          <w:tcPr>
            <w:tcW w:w="708" w:type="dxa"/>
          </w:tcPr>
          <w:p w:rsidR="00DD07AF" w:rsidRPr="0068584D" w:rsidRDefault="00DD07AF" w:rsidP="006B0EC2">
            <w:pPr>
              <w:pStyle w:val="Tabletext"/>
            </w:pPr>
            <w:r w:rsidRPr="0068584D">
              <w:t>1100</w:t>
            </w:r>
          </w:p>
        </w:tc>
        <w:tc>
          <w:tcPr>
            <w:tcW w:w="727" w:type="dxa"/>
          </w:tcPr>
          <w:p w:rsidR="00DD07AF" w:rsidRPr="0068584D" w:rsidRDefault="00DD07AF" w:rsidP="006B0EC2">
            <w:pPr>
              <w:pStyle w:val="Tabletext"/>
            </w:pPr>
            <w:r w:rsidRPr="0068584D">
              <w:t>1900</w:t>
            </w:r>
          </w:p>
        </w:tc>
        <w:tc>
          <w:tcPr>
            <w:tcW w:w="691" w:type="dxa"/>
          </w:tcPr>
          <w:p w:rsidR="00DD07AF" w:rsidRPr="0068584D" w:rsidRDefault="00DD07AF" w:rsidP="006B0EC2">
            <w:pPr>
              <w:pStyle w:val="Tabletext"/>
            </w:pPr>
            <w:r w:rsidRPr="0068584D">
              <w:t>138</w:t>
            </w:r>
          </w:p>
        </w:tc>
        <w:tc>
          <w:tcPr>
            <w:tcW w:w="784" w:type="dxa"/>
          </w:tcPr>
          <w:p w:rsidR="00DD07AF" w:rsidRPr="0068584D" w:rsidRDefault="00DD07AF" w:rsidP="006B0EC2">
            <w:pPr>
              <w:pStyle w:val="Tabletext"/>
            </w:pPr>
            <w:r w:rsidRPr="0068584D">
              <w:t>330</w:t>
            </w:r>
          </w:p>
        </w:tc>
      </w:tr>
      <w:tr w:rsidR="00DD07AF" w:rsidRPr="0068584D" w:rsidTr="00F209EE">
        <w:tc>
          <w:tcPr>
            <w:tcW w:w="1418" w:type="dxa"/>
            <w:vMerge/>
          </w:tcPr>
          <w:p w:rsidR="00DD07AF" w:rsidRPr="0068584D" w:rsidRDefault="00DD07AF" w:rsidP="006B0EC2">
            <w:pPr>
              <w:pStyle w:val="Tabletext"/>
            </w:pPr>
          </w:p>
        </w:tc>
        <w:tc>
          <w:tcPr>
            <w:tcW w:w="1276" w:type="dxa"/>
            <w:vMerge/>
          </w:tcPr>
          <w:p w:rsidR="00DD07AF" w:rsidRPr="0068584D" w:rsidRDefault="00DD07AF" w:rsidP="006B0EC2">
            <w:pPr>
              <w:pStyle w:val="Tabletext"/>
            </w:pPr>
          </w:p>
        </w:tc>
        <w:tc>
          <w:tcPr>
            <w:tcW w:w="708" w:type="dxa"/>
          </w:tcPr>
          <w:p w:rsidR="00DD07AF" w:rsidRPr="0068584D" w:rsidRDefault="00DD07AF" w:rsidP="006B0EC2">
            <w:pPr>
              <w:pStyle w:val="Tabletext"/>
            </w:pPr>
            <w:r w:rsidRPr="0068584D">
              <w:t>80</w:t>
            </w:r>
            <w:r w:rsidRPr="0068584D">
              <w:rPr>
                <w:vertAlign w:val="superscript"/>
              </w:rPr>
              <w:t>th</w:t>
            </w:r>
            <w:r w:rsidRPr="0068584D">
              <w:t xml:space="preserve"> </w:t>
            </w:r>
          </w:p>
        </w:tc>
        <w:tc>
          <w:tcPr>
            <w:tcW w:w="993" w:type="dxa"/>
          </w:tcPr>
          <w:p w:rsidR="00DD07AF" w:rsidRPr="0068584D" w:rsidRDefault="00DD07AF" w:rsidP="006B0EC2">
            <w:pPr>
              <w:pStyle w:val="Tabletext"/>
            </w:pPr>
            <w:r w:rsidRPr="0068584D">
              <w:t>16000</w:t>
            </w:r>
          </w:p>
        </w:tc>
        <w:tc>
          <w:tcPr>
            <w:tcW w:w="709" w:type="dxa"/>
          </w:tcPr>
          <w:p w:rsidR="00DD07AF" w:rsidRPr="0068584D" w:rsidRDefault="00DD07AF" w:rsidP="006B0EC2">
            <w:pPr>
              <w:pStyle w:val="Tabletext"/>
            </w:pPr>
            <w:r w:rsidRPr="0068584D">
              <w:t>8.03</w:t>
            </w:r>
          </w:p>
        </w:tc>
        <w:tc>
          <w:tcPr>
            <w:tcW w:w="567" w:type="dxa"/>
          </w:tcPr>
          <w:p w:rsidR="00DD07AF" w:rsidRPr="0068584D" w:rsidRDefault="00DD07AF" w:rsidP="006B0EC2">
            <w:pPr>
              <w:pStyle w:val="Tabletext"/>
            </w:pPr>
            <w:r w:rsidRPr="0068584D">
              <w:t>442</w:t>
            </w:r>
          </w:p>
        </w:tc>
        <w:tc>
          <w:tcPr>
            <w:tcW w:w="567" w:type="dxa"/>
          </w:tcPr>
          <w:p w:rsidR="00DD07AF" w:rsidRPr="0068584D" w:rsidRDefault="00DD07AF" w:rsidP="006B0EC2">
            <w:pPr>
              <w:pStyle w:val="Tabletext"/>
            </w:pPr>
            <w:r w:rsidRPr="0068584D">
              <w:t>491</w:t>
            </w:r>
          </w:p>
        </w:tc>
        <w:tc>
          <w:tcPr>
            <w:tcW w:w="708" w:type="dxa"/>
          </w:tcPr>
          <w:p w:rsidR="00DD07AF" w:rsidRPr="0068584D" w:rsidRDefault="00DD07AF" w:rsidP="006B0EC2">
            <w:pPr>
              <w:pStyle w:val="Tabletext"/>
            </w:pPr>
            <w:r w:rsidRPr="0068584D">
              <w:t>2565</w:t>
            </w:r>
          </w:p>
        </w:tc>
        <w:tc>
          <w:tcPr>
            <w:tcW w:w="727" w:type="dxa"/>
          </w:tcPr>
          <w:p w:rsidR="00DD07AF" w:rsidRPr="0068584D" w:rsidRDefault="00DD07AF" w:rsidP="006B0EC2">
            <w:pPr>
              <w:pStyle w:val="Tabletext"/>
            </w:pPr>
            <w:r w:rsidRPr="0068584D">
              <w:t>5905</w:t>
            </w:r>
          </w:p>
        </w:tc>
        <w:tc>
          <w:tcPr>
            <w:tcW w:w="691" w:type="dxa"/>
          </w:tcPr>
          <w:p w:rsidR="00DD07AF" w:rsidRPr="0068584D" w:rsidRDefault="00DD07AF" w:rsidP="006B0EC2">
            <w:pPr>
              <w:pStyle w:val="Tabletext"/>
            </w:pPr>
            <w:r w:rsidRPr="0068584D">
              <w:t>398</w:t>
            </w:r>
          </w:p>
        </w:tc>
        <w:tc>
          <w:tcPr>
            <w:tcW w:w="784" w:type="dxa"/>
          </w:tcPr>
          <w:p w:rsidR="00DD07AF" w:rsidRPr="0068584D" w:rsidRDefault="00DD07AF" w:rsidP="006B0EC2">
            <w:pPr>
              <w:pStyle w:val="Tabletext"/>
            </w:pPr>
            <w:r w:rsidRPr="0068584D">
              <w:t>650</w:t>
            </w:r>
          </w:p>
        </w:tc>
      </w:tr>
      <w:tr w:rsidR="00DD07AF" w:rsidRPr="0068584D" w:rsidTr="00F209EE">
        <w:tc>
          <w:tcPr>
            <w:tcW w:w="1418" w:type="dxa"/>
            <w:vMerge w:val="restart"/>
          </w:tcPr>
          <w:p w:rsidR="00DD07AF" w:rsidRPr="0068584D" w:rsidRDefault="00DD07AF" w:rsidP="006B0EC2">
            <w:pPr>
              <w:pStyle w:val="Tabletext"/>
            </w:pPr>
            <w:r w:rsidRPr="0068584D">
              <w:t>35</w:t>
            </w:r>
          </w:p>
          <w:p w:rsidR="00DD07AF" w:rsidRPr="0068584D" w:rsidRDefault="00DD07AF" w:rsidP="006B0EC2">
            <w:pPr>
              <w:pStyle w:val="Tabletext"/>
            </w:pPr>
          </w:p>
        </w:tc>
        <w:tc>
          <w:tcPr>
            <w:tcW w:w="1276" w:type="dxa"/>
            <w:vMerge w:val="restart"/>
          </w:tcPr>
          <w:p w:rsidR="00DD07AF" w:rsidRPr="0068584D" w:rsidRDefault="00DD07AF" w:rsidP="006B0EC2">
            <w:pPr>
              <w:pStyle w:val="Tabletext"/>
            </w:pPr>
            <w:r w:rsidRPr="0068584D">
              <w:t>Bandanna Fm</w:t>
            </w:r>
          </w:p>
          <w:p w:rsidR="00DD07AF" w:rsidRPr="0068584D" w:rsidRDefault="00DD07AF" w:rsidP="006B0EC2">
            <w:pPr>
              <w:pStyle w:val="Tabletext"/>
            </w:pPr>
          </w:p>
        </w:tc>
        <w:tc>
          <w:tcPr>
            <w:tcW w:w="708" w:type="dxa"/>
          </w:tcPr>
          <w:p w:rsidR="00DD07AF" w:rsidRPr="0068584D" w:rsidRDefault="00DD07AF" w:rsidP="006B0EC2">
            <w:pPr>
              <w:pStyle w:val="Tabletext"/>
            </w:pPr>
            <w:r w:rsidRPr="0068584D">
              <w:t>20</w:t>
            </w:r>
            <w:r w:rsidRPr="0068584D">
              <w:rPr>
                <w:vertAlign w:val="superscript"/>
              </w:rPr>
              <w:t>th</w:t>
            </w:r>
          </w:p>
        </w:tc>
        <w:tc>
          <w:tcPr>
            <w:tcW w:w="993" w:type="dxa"/>
          </w:tcPr>
          <w:p w:rsidR="00DD07AF" w:rsidRPr="0068584D" w:rsidRDefault="00DD07AF" w:rsidP="006B0EC2">
            <w:pPr>
              <w:pStyle w:val="Tabletext"/>
            </w:pPr>
            <w:r w:rsidRPr="0068584D">
              <w:t>4103</w:t>
            </w:r>
          </w:p>
        </w:tc>
        <w:tc>
          <w:tcPr>
            <w:tcW w:w="709" w:type="dxa"/>
          </w:tcPr>
          <w:p w:rsidR="00DD07AF" w:rsidRPr="0068584D" w:rsidRDefault="00DD07AF" w:rsidP="006B0EC2">
            <w:pPr>
              <w:pStyle w:val="Tabletext"/>
            </w:pPr>
            <w:r w:rsidRPr="0068584D">
              <w:t>7.37</w:t>
            </w:r>
          </w:p>
        </w:tc>
        <w:tc>
          <w:tcPr>
            <w:tcW w:w="567" w:type="dxa"/>
          </w:tcPr>
          <w:p w:rsidR="00DD07AF" w:rsidRPr="0068584D" w:rsidRDefault="00DD07AF" w:rsidP="006B0EC2">
            <w:pPr>
              <w:pStyle w:val="Tabletext"/>
            </w:pPr>
            <w:r w:rsidRPr="0068584D">
              <w:t>33</w:t>
            </w:r>
          </w:p>
        </w:tc>
        <w:tc>
          <w:tcPr>
            <w:tcW w:w="567" w:type="dxa"/>
          </w:tcPr>
          <w:p w:rsidR="00DD07AF" w:rsidRPr="0068584D" w:rsidRDefault="00DD07AF" w:rsidP="006B0EC2">
            <w:pPr>
              <w:pStyle w:val="Tabletext"/>
            </w:pPr>
            <w:r w:rsidRPr="0068584D">
              <w:t>45</w:t>
            </w:r>
          </w:p>
        </w:tc>
        <w:tc>
          <w:tcPr>
            <w:tcW w:w="708" w:type="dxa"/>
          </w:tcPr>
          <w:p w:rsidR="00DD07AF" w:rsidRPr="0068584D" w:rsidRDefault="00DD07AF" w:rsidP="006B0EC2">
            <w:pPr>
              <w:pStyle w:val="Tabletext"/>
            </w:pPr>
            <w:r w:rsidRPr="0068584D">
              <w:t>465</w:t>
            </w:r>
          </w:p>
        </w:tc>
        <w:tc>
          <w:tcPr>
            <w:tcW w:w="727" w:type="dxa"/>
          </w:tcPr>
          <w:p w:rsidR="00DD07AF" w:rsidRPr="0068584D" w:rsidRDefault="00DD07AF" w:rsidP="006B0EC2">
            <w:pPr>
              <w:pStyle w:val="Tabletext"/>
            </w:pPr>
            <w:r w:rsidRPr="0068584D">
              <w:t>1079</w:t>
            </w:r>
          </w:p>
        </w:tc>
        <w:tc>
          <w:tcPr>
            <w:tcW w:w="691" w:type="dxa"/>
          </w:tcPr>
          <w:p w:rsidR="00DD07AF" w:rsidRPr="0068584D" w:rsidRDefault="00DD07AF" w:rsidP="006B0EC2">
            <w:pPr>
              <w:pStyle w:val="Tabletext"/>
            </w:pPr>
            <w:r w:rsidRPr="0068584D">
              <w:t>0</w:t>
            </w:r>
          </w:p>
        </w:tc>
        <w:tc>
          <w:tcPr>
            <w:tcW w:w="784" w:type="dxa"/>
          </w:tcPr>
          <w:p w:rsidR="00DD07AF" w:rsidRPr="0068584D" w:rsidRDefault="00DD07AF" w:rsidP="006B0EC2">
            <w:pPr>
              <w:pStyle w:val="Tabletext"/>
            </w:pPr>
            <w:r w:rsidRPr="0068584D">
              <w:t>126</w:t>
            </w:r>
          </w:p>
        </w:tc>
      </w:tr>
      <w:tr w:rsidR="00DD07AF" w:rsidRPr="0068584D" w:rsidTr="00F209EE">
        <w:tc>
          <w:tcPr>
            <w:tcW w:w="1418" w:type="dxa"/>
            <w:vMerge/>
          </w:tcPr>
          <w:p w:rsidR="00DD07AF" w:rsidRPr="0068584D" w:rsidRDefault="00DD07AF" w:rsidP="006B0EC2">
            <w:pPr>
              <w:pStyle w:val="Tabletext"/>
            </w:pPr>
          </w:p>
        </w:tc>
        <w:tc>
          <w:tcPr>
            <w:tcW w:w="1276" w:type="dxa"/>
            <w:vMerge/>
          </w:tcPr>
          <w:p w:rsidR="00DD07AF" w:rsidRPr="0068584D" w:rsidRDefault="00DD07AF" w:rsidP="006B0EC2">
            <w:pPr>
              <w:pStyle w:val="Tabletext"/>
            </w:pPr>
          </w:p>
        </w:tc>
        <w:tc>
          <w:tcPr>
            <w:tcW w:w="708" w:type="dxa"/>
          </w:tcPr>
          <w:p w:rsidR="00DD07AF" w:rsidRPr="0068584D" w:rsidRDefault="00DD07AF" w:rsidP="006B0EC2">
            <w:pPr>
              <w:pStyle w:val="Tabletext"/>
            </w:pPr>
            <w:r w:rsidRPr="0068584D">
              <w:t>50</w:t>
            </w:r>
            <w:r w:rsidRPr="0068584D">
              <w:rPr>
                <w:vertAlign w:val="superscript"/>
              </w:rPr>
              <w:t>th</w:t>
            </w:r>
          </w:p>
        </w:tc>
        <w:tc>
          <w:tcPr>
            <w:tcW w:w="993" w:type="dxa"/>
          </w:tcPr>
          <w:p w:rsidR="00DD07AF" w:rsidRPr="0068584D" w:rsidRDefault="00DD07AF" w:rsidP="006B0EC2">
            <w:pPr>
              <w:pStyle w:val="Tabletext"/>
            </w:pPr>
            <w:r w:rsidRPr="0068584D">
              <w:t>9375</w:t>
            </w:r>
          </w:p>
        </w:tc>
        <w:tc>
          <w:tcPr>
            <w:tcW w:w="709" w:type="dxa"/>
          </w:tcPr>
          <w:p w:rsidR="00DD07AF" w:rsidRPr="0068584D" w:rsidRDefault="00DD07AF" w:rsidP="006B0EC2">
            <w:pPr>
              <w:pStyle w:val="Tabletext"/>
            </w:pPr>
            <w:r w:rsidRPr="0068584D">
              <w:t>7.60</w:t>
            </w:r>
          </w:p>
        </w:tc>
        <w:tc>
          <w:tcPr>
            <w:tcW w:w="567" w:type="dxa"/>
          </w:tcPr>
          <w:p w:rsidR="00DD07AF" w:rsidRPr="0068584D" w:rsidRDefault="00DD07AF" w:rsidP="006B0EC2">
            <w:pPr>
              <w:pStyle w:val="Tabletext"/>
            </w:pPr>
            <w:r w:rsidRPr="0068584D">
              <w:t>146</w:t>
            </w:r>
          </w:p>
        </w:tc>
        <w:tc>
          <w:tcPr>
            <w:tcW w:w="567" w:type="dxa"/>
          </w:tcPr>
          <w:p w:rsidR="00DD07AF" w:rsidRPr="0068584D" w:rsidRDefault="00DD07AF" w:rsidP="006B0EC2">
            <w:pPr>
              <w:pStyle w:val="Tabletext"/>
            </w:pPr>
            <w:r w:rsidRPr="0068584D">
              <w:t>204</w:t>
            </w:r>
          </w:p>
        </w:tc>
        <w:tc>
          <w:tcPr>
            <w:tcW w:w="708" w:type="dxa"/>
          </w:tcPr>
          <w:p w:rsidR="00DD07AF" w:rsidRPr="0068584D" w:rsidRDefault="00DD07AF" w:rsidP="006B0EC2">
            <w:pPr>
              <w:pStyle w:val="Tabletext"/>
            </w:pPr>
            <w:r w:rsidRPr="0068584D">
              <w:t>1750</w:t>
            </w:r>
          </w:p>
        </w:tc>
        <w:tc>
          <w:tcPr>
            <w:tcW w:w="727" w:type="dxa"/>
          </w:tcPr>
          <w:p w:rsidR="00DD07AF" w:rsidRPr="0068584D" w:rsidRDefault="00DD07AF" w:rsidP="006B0EC2">
            <w:pPr>
              <w:pStyle w:val="Tabletext"/>
            </w:pPr>
            <w:r w:rsidRPr="0068584D">
              <w:t>3316</w:t>
            </w:r>
          </w:p>
        </w:tc>
        <w:tc>
          <w:tcPr>
            <w:tcW w:w="691" w:type="dxa"/>
          </w:tcPr>
          <w:p w:rsidR="00DD07AF" w:rsidRPr="0068584D" w:rsidRDefault="00DD07AF" w:rsidP="006B0EC2">
            <w:pPr>
              <w:pStyle w:val="Tabletext"/>
            </w:pPr>
            <w:r w:rsidRPr="0068584D">
              <w:t>20</w:t>
            </w:r>
          </w:p>
        </w:tc>
        <w:tc>
          <w:tcPr>
            <w:tcW w:w="784" w:type="dxa"/>
          </w:tcPr>
          <w:p w:rsidR="00DD07AF" w:rsidRPr="0068584D" w:rsidRDefault="00DD07AF" w:rsidP="006B0EC2">
            <w:pPr>
              <w:pStyle w:val="Tabletext"/>
            </w:pPr>
            <w:r w:rsidRPr="0068584D">
              <w:t>268</w:t>
            </w:r>
          </w:p>
        </w:tc>
      </w:tr>
      <w:tr w:rsidR="00DD07AF" w:rsidRPr="0068584D" w:rsidTr="00F209EE">
        <w:tc>
          <w:tcPr>
            <w:tcW w:w="1418" w:type="dxa"/>
            <w:vMerge/>
          </w:tcPr>
          <w:p w:rsidR="00DD07AF" w:rsidRPr="0068584D" w:rsidRDefault="00DD07AF" w:rsidP="006B0EC2">
            <w:pPr>
              <w:pStyle w:val="Tabletext"/>
            </w:pPr>
          </w:p>
        </w:tc>
        <w:tc>
          <w:tcPr>
            <w:tcW w:w="1276" w:type="dxa"/>
            <w:vMerge/>
          </w:tcPr>
          <w:p w:rsidR="00DD07AF" w:rsidRPr="0068584D" w:rsidRDefault="00DD07AF" w:rsidP="006B0EC2">
            <w:pPr>
              <w:pStyle w:val="Tabletext"/>
            </w:pPr>
          </w:p>
        </w:tc>
        <w:tc>
          <w:tcPr>
            <w:tcW w:w="708" w:type="dxa"/>
          </w:tcPr>
          <w:p w:rsidR="00DD07AF" w:rsidRPr="0068584D" w:rsidRDefault="00DD07AF" w:rsidP="006B0EC2">
            <w:pPr>
              <w:pStyle w:val="Tabletext"/>
            </w:pPr>
            <w:r w:rsidRPr="0068584D">
              <w:t>80</w:t>
            </w:r>
            <w:r w:rsidRPr="0068584D">
              <w:rPr>
                <w:vertAlign w:val="superscript"/>
              </w:rPr>
              <w:t>th</w:t>
            </w:r>
            <w:r w:rsidRPr="0068584D">
              <w:t xml:space="preserve"> </w:t>
            </w:r>
          </w:p>
        </w:tc>
        <w:tc>
          <w:tcPr>
            <w:tcW w:w="993" w:type="dxa"/>
          </w:tcPr>
          <w:p w:rsidR="00DD07AF" w:rsidRPr="0068584D" w:rsidRDefault="00DD07AF" w:rsidP="006B0EC2">
            <w:pPr>
              <w:pStyle w:val="Tabletext"/>
            </w:pPr>
            <w:r w:rsidRPr="0068584D">
              <w:t>13604</w:t>
            </w:r>
          </w:p>
        </w:tc>
        <w:tc>
          <w:tcPr>
            <w:tcW w:w="709" w:type="dxa"/>
          </w:tcPr>
          <w:p w:rsidR="00DD07AF" w:rsidRPr="0068584D" w:rsidRDefault="00DD07AF" w:rsidP="006B0EC2">
            <w:pPr>
              <w:pStyle w:val="Tabletext"/>
            </w:pPr>
            <w:r w:rsidRPr="0068584D">
              <w:t>8.01</w:t>
            </w:r>
          </w:p>
        </w:tc>
        <w:tc>
          <w:tcPr>
            <w:tcW w:w="567" w:type="dxa"/>
          </w:tcPr>
          <w:p w:rsidR="00DD07AF" w:rsidRPr="0068584D" w:rsidRDefault="00DD07AF" w:rsidP="006B0EC2">
            <w:pPr>
              <w:pStyle w:val="Tabletext"/>
            </w:pPr>
            <w:r w:rsidRPr="0068584D">
              <w:t>366</w:t>
            </w:r>
          </w:p>
        </w:tc>
        <w:tc>
          <w:tcPr>
            <w:tcW w:w="567" w:type="dxa"/>
          </w:tcPr>
          <w:p w:rsidR="00DD07AF" w:rsidRPr="0068584D" w:rsidRDefault="00DD07AF" w:rsidP="006B0EC2">
            <w:pPr>
              <w:pStyle w:val="Tabletext"/>
            </w:pPr>
            <w:r w:rsidRPr="0068584D">
              <w:t>226</w:t>
            </w:r>
          </w:p>
        </w:tc>
        <w:tc>
          <w:tcPr>
            <w:tcW w:w="708" w:type="dxa"/>
          </w:tcPr>
          <w:p w:rsidR="00DD07AF" w:rsidRPr="0068584D" w:rsidRDefault="00DD07AF" w:rsidP="006B0EC2">
            <w:pPr>
              <w:pStyle w:val="Tabletext"/>
            </w:pPr>
            <w:r w:rsidRPr="0068584D">
              <w:t>2555</w:t>
            </w:r>
          </w:p>
        </w:tc>
        <w:tc>
          <w:tcPr>
            <w:tcW w:w="727" w:type="dxa"/>
          </w:tcPr>
          <w:p w:rsidR="00DD07AF" w:rsidRPr="0068584D" w:rsidRDefault="00DD07AF" w:rsidP="006B0EC2">
            <w:pPr>
              <w:pStyle w:val="Tabletext"/>
            </w:pPr>
            <w:r w:rsidRPr="0068584D">
              <w:t>5368</w:t>
            </w:r>
          </w:p>
        </w:tc>
        <w:tc>
          <w:tcPr>
            <w:tcW w:w="691" w:type="dxa"/>
          </w:tcPr>
          <w:p w:rsidR="00DD07AF" w:rsidRPr="0068584D" w:rsidRDefault="00DD07AF" w:rsidP="006B0EC2">
            <w:pPr>
              <w:pStyle w:val="Tabletext"/>
            </w:pPr>
            <w:r w:rsidRPr="0068584D">
              <w:t>122</w:t>
            </w:r>
          </w:p>
        </w:tc>
        <w:tc>
          <w:tcPr>
            <w:tcW w:w="784" w:type="dxa"/>
          </w:tcPr>
          <w:p w:rsidR="00DD07AF" w:rsidRPr="0068584D" w:rsidRDefault="00DD07AF" w:rsidP="006B0EC2">
            <w:pPr>
              <w:pStyle w:val="Tabletext"/>
            </w:pPr>
            <w:r w:rsidRPr="0068584D">
              <w:t>376</w:t>
            </w:r>
          </w:p>
        </w:tc>
      </w:tr>
    </w:tbl>
    <w:p w:rsidR="002631E7" w:rsidRDefault="002631E7" w:rsidP="001C3374">
      <w:pPr>
        <w:pStyle w:val="Body"/>
      </w:pPr>
    </w:p>
    <w:p w:rsidR="00DD07AF" w:rsidRDefault="001056F6" w:rsidP="00C67FF4">
      <w:pPr>
        <w:pStyle w:val="BRNormal"/>
      </w:pPr>
      <w:r>
        <w:t>Worley</w:t>
      </w:r>
      <w:r w:rsidR="00DD07AF">
        <w:t xml:space="preserve">Parsons (2010) conducted a literature review of the spatial attributes of coal seam water chemistry in the Bowen </w:t>
      </w:r>
      <w:r w:rsidR="00DD07AF" w:rsidRPr="002904BE">
        <w:t xml:space="preserve">and Surat Basins. Their major findings </w:t>
      </w:r>
      <w:r w:rsidR="00DD07AF">
        <w:t>for the Bowen Basin</w:t>
      </w:r>
      <w:r w:rsidR="00DD07AF" w:rsidRPr="002904BE">
        <w:t xml:space="preserve"> were as follows:</w:t>
      </w:r>
    </w:p>
    <w:p w:rsidR="00DD07AF" w:rsidRPr="0027668F" w:rsidRDefault="0027668F" w:rsidP="00C67FF4">
      <w:pPr>
        <w:pStyle w:val="Bulletpoint"/>
      </w:pPr>
      <w:r>
        <w:t>T</w:t>
      </w:r>
      <w:r w:rsidR="00DD07AF" w:rsidRPr="0027668F">
        <w:t>he major HSUs of the Bowen Basin (e.g. Clematis Group sandstones and the Moolayember Formation) display similar hydrochemical characteris</w:t>
      </w:r>
      <w:r w:rsidR="007B0FFB">
        <w:t>tics to the overlying GAB units</w:t>
      </w:r>
      <w:r w:rsidR="00DD07AF" w:rsidRPr="0027668F">
        <w:t xml:space="preserve"> and for this reason are thought to be somehow conne</w:t>
      </w:r>
      <w:r w:rsidR="00C67FF4">
        <w:t>cted (Habermehl</w:t>
      </w:r>
      <w:r w:rsidR="00DD07AF" w:rsidRPr="0027668F">
        <w:t xml:space="preserve"> 1980).</w:t>
      </w:r>
    </w:p>
    <w:p w:rsidR="00DD07AF" w:rsidRPr="0027668F" w:rsidRDefault="00DD07AF" w:rsidP="00C67FF4">
      <w:pPr>
        <w:pStyle w:val="Bulletpoint"/>
      </w:pPr>
      <w:r w:rsidRPr="0027668F">
        <w:t>The Moolayember Formation ha</w:t>
      </w:r>
      <w:r w:rsidR="00C67FF4">
        <w:t>s been established as Na-Cl-HCO</w:t>
      </w:r>
      <w:r w:rsidR="00C67FF4">
        <w:rPr>
          <w:vertAlign w:val="subscript"/>
        </w:rPr>
        <w:t>3</w:t>
      </w:r>
      <w:r w:rsidR="00C67FF4">
        <w:t xml:space="preserve"> type groundwater (Santos</w:t>
      </w:r>
      <w:r w:rsidRPr="0027668F">
        <w:t xml:space="preserve"> 2009). Samples collected from th</w:t>
      </w:r>
      <w:r w:rsidR="007B0FFB">
        <w:t>e F</w:t>
      </w:r>
      <w:r w:rsidRPr="0027668F">
        <w:t>ormation were generally found to be elevated in manganese and w</w:t>
      </w:r>
      <w:r w:rsidR="007B0FFB">
        <w:t>ith low pH at several locations</w:t>
      </w:r>
      <w:r w:rsidRPr="0027668F">
        <w:t xml:space="preserve"> and with EC v</w:t>
      </w:r>
      <w:r w:rsidR="00C67FF4">
        <w:t>alues of approximately 2</w:t>
      </w:r>
      <w:r w:rsidRPr="0027668F">
        <w:t>000</w:t>
      </w:r>
      <w:r w:rsidR="00C67FF4">
        <w:t> </w:t>
      </w:r>
      <w:r w:rsidRPr="0027668F">
        <w:t>μS/c</w:t>
      </w:r>
      <w:r w:rsidR="00C67FF4">
        <w:t>m in the upper horizons (Santos</w:t>
      </w:r>
      <w:r w:rsidRPr="0027668F">
        <w:t xml:space="preserve"> 2009). </w:t>
      </w:r>
    </w:p>
    <w:p w:rsidR="00DD07AF" w:rsidRPr="0027668F" w:rsidRDefault="00DD07AF" w:rsidP="00C67FF4">
      <w:pPr>
        <w:pStyle w:val="Bulletpoint"/>
      </w:pPr>
      <w:r w:rsidRPr="0027668F">
        <w:t xml:space="preserve">The Clematis Group sandstones and equivalents (based on only eight bores) had EC values between 131 and </w:t>
      </w:r>
      <w:proofErr w:type="gramStart"/>
      <w:r w:rsidRPr="00C67FF4">
        <w:t>900</w:t>
      </w:r>
      <w:r w:rsidR="00017FB9">
        <w:t> </w:t>
      </w:r>
      <w:r w:rsidRPr="00C67FF4">
        <w:t>μS</w:t>
      </w:r>
      <w:r w:rsidR="00C67FF4">
        <w:t>/cm,</w:t>
      </w:r>
      <w:proofErr w:type="gramEnd"/>
      <w:r w:rsidR="00C67FF4">
        <w:t xml:space="preserve"> with one outlier of 1</w:t>
      </w:r>
      <w:r w:rsidRPr="0027668F">
        <w:t>980</w:t>
      </w:r>
      <w:r w:rsidR="007B0FFB">
        <w:t> </w:t>
      </w:r>
      <w:r w:rsidRPr="0027668F">
        <w:t>μS/cm. The salinities within the Clematis Sandstone increase from north to south, which is suspected to be a function of proximity to nearby outcropping recharge areas. There is insufficient data to determine spatial variations in chem</w:t>
      </w:r>
      <w:r w:rsidR="00C67FF4">
        <w:t>ical composition (Hennig et al.</w:t>
      </w:r>
      <w:r w:rsidRPr="0027668F">
        <w:t xml:space="preserve"> 2006). </w:t>
      </w:r>
    </w:p>
    <w:p w:rsidR="00DD07AF" w:rsidRPr="0027668F" w:rsidRDefault="00DD07AF" w:rsidP="00C67FF4">
      <w:pPr>
        <w:pStyle w:val="Bulletpoint"/>
      </w:pPr>
      <w:r w:rsidRPr="0027668F">
        <w:t>The hydrochemistry of the Clematis Group sandstones is stable over time with only minor fluctuations in major ion concentrations. The geochemical signature may be overprinted to some extent by the diffusion of Na and Cl ions (as well as other soluble ions) from overlying or underlying aquitards with marginal marine depos</w:t>
      </w:r>
      <w:r w:rsidR="00C67FF4">
        <w:t>itional histories (Radke et al.</w:t>
      </w:r>
      <w:r w:rsidRPr="0027668F">
        <w:t xml:space="preserve"> 2000). </w:t>
      </w:r>
    </w:p>
    <w:p w:rsidR="00DD07AF" w:rsidRPr="0027668F" w:rsidRDefault="00DD07AF" w:rsidP="00C67FF4">
      <w:pPr>
        <w:pStyle w:val="Bulletpoint"/>
      </w:pPr>
      <w:r w:rsidRPr="0027668F">
        <w:t>The Rewan Group has very limited hydrochemical data; however, groundwater quality is generally considered to be poor with eleva</w:t>
      </w:r>
      <w:r w:rsidR="00452341">
        <w:t>ted salinity on the order of 25 </w:t>
      </w:r>
      <w:r w:rsidRPr="0027668F">
        <w:t>000</w:t>
      </w:r>
      <w:r w:rsidR="00452341">
        <w:t> </w:t>
      </w:r>
      <w:r w:rsidRPr="0027668F">
        <w:t>μS/cm (Sant</w:t>
      </w:r>
      <w:r w:rsidR="00C67FF4">
        <w:t>os</w:t>
      </w:r>
      <w:r w:rsidRPr="0027668F">
        <w:t xml:space="preserve"> 2009). The groundwater is generally a Na-Cl dominant type with elevated potassium and sulphate when compare</w:t>
      </w:r>
      <w:r w:rsidR="00C67FF4">
        <w:t>d to the other aquifers (Santos</w:t>
      </w:r>
      <w:r w:rsidRPr="0027668F">
        <w:t xml:space="preserve"> 2009). </w:t>
      </w:r>
    </w:p>
    <w:p w:rsidR="00DD07AF" w:rsidRPr="002904BE" w:rsidRDefault="00DD07AF" w:rsidP="00C67FF4">
      <w:pPr>
        <w:pStyle w:val="Bulletpoint"/>
        <w:rPr>
          <w:rFonts w:asciiTheme="majorHAnsi" w:hAnsiTheme="majorHAnsi"/>
        </w:rPr>
      </w:pPr>
      <w:r w:rsidRPr="0027668F">
        <w:lastRenderedPageBreak/>
        <w:t xml:space="preserve">Groundwater in the isolated, </w:t>
      </w:r>
      <w:r w:rsidRPr="00C67FF4">
        <w:t>deep reservoirs displays different hydraulic characteristics</w:t>
      </w:r>
      <w:r w:rsidR="00073EE0" w:rsidRPr="00C67FF4">
        <w:t xml:space="preserve"> and</w:t>
      </w:r>
      <w:r w:rsidRPr="00C67FF4">
        <w:t xml:space="preserve"> hydrochemistry from the overlying HSUs. Groundwater quality in the isolated, deep reservoirs is variable but generally of a much poorer quality than the overlying Clematis Group. The Late Permian coal seams in the area under review by Santos (2009) yielded EC values</w:t>
      </w:r>
      <w:r w:rsidR="00452341">
        <w:t xml:space="preserve"> up to 19 </w:t>
      </w:r>
      <w:r w:rsidRPr="00C67FF4">
        <w:t>000</w:t>
      </w:r>
      <w:r w:rsidR="00452341">
        <w:t> </w:t>
      </w:r>
      <w:r w:rsidRPr="00C67FF4">
        <w:t>μS/cm. Salinity within the coal seams was generally observed to increase from north to south. Electrical conductivity values within the Back Creek G</w:t>
      </w:r>
      <w:r w:rsidR="00C67FF4">
        <w:t>roup were found to range from 2</w:t>
      </w:r>
      <w:r w:rsidRPr="00C67FF4">
        <w:t>800</w:t>
      </w:r>
      <w:r w:rsidR="00452341">
        <w:t> μS/cm to 30 </w:t>
      </w:r>
      <w:r w:rsidRPr="00C67FF4">
        <w:t>000</w:t>
      </w:r>
      <w:r w:rsidR="00452341">
        <w:t> </w:t>
      </w:r>
      <w:r w:rsidR="00C67FF4">
        <w:t>μS/cm (Santos</w:t>
      </w:r>
      <w:r w:rsidRPr="00C67FF4">
        <w:t xml:space="preserve"> 2009).</w:t>
      </w:r>
      <w:r w:rsidRPr="002904BE">
        <w:rPr>
          <w:rFonts w:asciiTheme="majorHAnsi" w:hAnsiTheme="majorHAnsi"/>
        </w:rPr>
        <w:t xml:space="preserve"> </w:t>
      </w:r>
    </w:p>
    <w:p w:rsidR="00DD07AF" w:rsidRDefault="00DD07AF" w:rsidP="005F6513">
      <w:pPr>
        <w:pStyle w:val="Heading3"/>
      </w:pPr>
      <w:bookmarkStart w:id="671" w:name="_Toc334711989"/>
      <w:bookmarkStart w:id="672" w:name="_Toc381961176"/>
      <w:r>
        <w:t>Isotope studies and hydrogeological implications</w:t>
      </w:r>
      <w:bookmarkEnd w:id="671"/>
      <w:bookmarkEnd w:id="672"/>
    </w:p>
    <w:p w:rsidR="00DD07AF" w:rsidRDefault="00FF4DEE" w:rsidP="00BD7312">
      <w:pPr>
        <w:pStyle w:val="BRNormal"/>
      </w:pPr>
      <w:r>
        <w:t>Environmental isotope studies in the region have focused on recharge mechanisms and residence times in the overlying GAB aquifers</w:t>
      </w:r>
      <w:r w:rsidR="00BD7312">
        <w:t xml:space="preserve"> (GABCC</w:t>
      </w:r>
      <w:r w:rsidR="00F03962">
        <w:t xml:space="preserve"> 1998)</w:t>
      </w:r>
      <w:r w:rsidR="00BD7312">
        <w:t>.</w:t>
      </w:r>
      <w:r w:rsidR="00DD07AF" w:rsidRPr="008B67E7">
        <w:t xml:space="preserve"> </w:t>
      </w:r>
      <w:r w:rsidR="00F03962">
        <w:t>Although limited data is available for th</w:t>
      </w:r>
      <w:r w:rsidR="00DD07AF" w:rsidRPr="008B67E7">
        <w:t>e deeper aquifer and aquitards of the Bowen Basin</w:t>
      </w:r>
      <w:r w:rsidR="00F03962">
        <w:t xml:space="preserve">, it can be assumed that water movement is slow </w:t>
      </w:r>
      <w:r w:rsidR="00DD07AF" w:rsidRPr="008B67E7">
        <w:t xml:space="preserve">and </w:t>
      </w:r>
      <w:r w:rsidR="00F03962">
        <w:t xml:space="preserve">that aquifers </w:t>
      </w:r>
      <w:r w:rsidR="00DD07AF" w:rsidRPr="008B67E7">
        <w:t>have very long residence times.</w:t>
      </w:r>
      <w:r w:rsidR="00DD07AF">
        <w:t xml:space="preserve"> For this reason, it can be expected that the system will have significant lag times associated with responses to stresses, and significant recovery times should impacts occur.  </w:t>
      </w:r>
    </w:p>
    <w:p w:rsidR="00DD07AF" w:rsidRDefault="00BC1B89" w:rsidP="005F6513">
      <w:pPr>
        <w:pStyle w:val="Heading2"/>
      </w:pPr>
      <w:bookmarkStart w:id="673" w:name="_Toc334711990"/>
      <w:bookmarkStart w:id="674" w:name="_Toc381961177"/>
      <w:bookmarkStart w:id="675" w:name="_Toc389055257"/>
      <w:r>
        <w:t>Regional groundwater flow t</w:t>
      </w:r>
      <w:r w:rsidR="00DD07AF">
        <w:t>rends</w:t>
      </w:r>
      <w:bookmarkEnd w:id="673"/>
      <w:bookmarkEnd w:id="674"/>
      <w:bookmarkEnd w:id="675"/>
    </w:p>
    <w:p w:rsidR="00DD07AF" w:rsidRDefault="00DD07AF" w:rsidP="00BC1B89">
      <w:pPr>
        <w:pStyle w:val="BRNormal"/>
      </w:pPr>
      <w:r>
        <w:t>There is not enough current spatial and temporal groundwater monitoring data for HSUs across the Bowen Basin to interpret regional groundwater flow patterns. Conceptually, groundwater flow should flow from the outcropping recharge zones to the south and south-west along the direct</w:t>
      </w:r>
      <w:r w:rsidR="00BC1B89">
        <w:t>ion of dip in the Basin (WorleyParsons</w:t>
      </w:r>
      <w:r>
        <w:t xml:space="preserve"> 2010).</w:t>
      </w:r>
      <w:r w:rsidR="0012724F">
        <w:t xml:space="preserve"> Table 25 </w:t>
      </w:r>
      <w:r>
        <w:t>summarises the very limited number of DNRM and CSG groundwater monitoring locations for the major HSUs within the Surat CMA. This table highlights that there are only 33 groundwater level and quality monitoring sites for the five major Bowen Basin HSUs in the Su</w:t>
      </w:r>
      <w:r w:rsidR="00BC1B89">
        <w:t>rat CMA (data obtained from QWC</w:t>
      </w:r>
      <w:r>
        <w:t xml:space="preserve"> 2012d). The Clematis Group sandstones comprise approximately half of the current network. </w:t>
      </w:r>
      <w:r w:rsidR="00452341">
        <w:t>Additional monitoring sites will be installed by CSG operators as the industry expands in this Basin</w:t>
      </w:r>
      <w:r>
        <w:t xml:space="preserve">. The significant depth of the HSUs within the Taroom and Denison Troughs precludes the practicality of installing more monitoring sites in the buried, down-gradient extents of the Bowen Basin. Most of the current sites are situated along the outcropping areas in the exposed parts of the Basin.  </w:t>
      </w:r>
    </w:p>
    <w:p w:rsidR="00DD07AF" w:rsidRDefault="00452341" w:rsidP="00363822">
      <w:pPr>
        <w:pStyle w:val="Caption"/>
      </w:pPr>
      <w:bookmarkStart w:id="676" w:name="_Ref333672937"/>
      <w:r>
        <w:t>T</w:t>
      </w:r>
      <w:r w:rsidR="00363822" w:rsidRPr="006F2073">
        <w:t xml:space="preserve">able </w:t>
      </w:r>
      <w:r w:rsidR="00E23933" w:rsidRPr="006F2073">
        <w:rPr>
          <w:b/>
          <w:noProof w:val="0"/>
        </w:rPr>
        <w:fldChar w:fldCharType="begin"/>
      </w:r>
      <w:r w:rsidR="00363822" w:rsidRPr="006F2073">
        <w:instrText xml:space="preserve"> SEQ Table \* ARABIC </w:instrText>
      </w:r>
      <w:r w:rsidR="00E23933" w:rsidRPr="006F2073">
        <w:rPr>
          <w:b/>
          <w:noProof w:val="0"/>
        </w:rPr>
        <w:fldChar w:fldCharType="separate"/>
      </w:r>
      <w:r w:rsidR="0012724F">
        <w:t>25</w:t>
      </w:r>
      <w:r w:rsidR="00E23933" w:rsidRPr="006F2073">
        <w:rPr>
          <w:b/>
        </w:rPr>
        <w:fldChar w:fldCharType="end"/>
      </w:r>
      <w:r w:rsidR="00363822">
        <w:rPr>
          <w:b/>
        </w:rPr>
        <w:t xml:space="preserve"> </w:t>
      </w:r>
      <w:bookmarkEnd w:id="676"/>
      <w:r w:rsidR="00DD07AF">
        <w:t>Existing and proposed groundwater monitoring sites for the Bowen Basin HSUs within the Surat CMA (</w:t>
      </w:r>
      <w:r w:rsidR="00F976E1">
        <w:t>© Copyright</w:t>
      </w:r>
      <w:r>
        <w:t>,</w:t>
      </w:r>
      <w:r w:rsidR="00DD07AF">
        <w:t xml:space="preserve"> QWC 2012d)</w:t>
      </w:r>
      <w:r w:rsidR="00363822">
        <w:t>.</w:t>
      </w:r>
    </w:p>
    <w:tbl>
      <w:tblPr>
        <w:tblStyle w:val="TableGrid"/>
        <w:tblW w:w="9073" w:type="dxa"/>
        <w:tblInd w:w="108" w:type="dxa"/>
        <w:tblLayout w:type="fixed"/>
        <w:tblLook w:val="04A0"/>
      </w:tblPr>
      <w:tblGrid>
        <w:gridCol w:w="2269"/>
        <w:gridCol w:w="2268"/>
        <w:gridCol w:w="2268"/>
        <w:gridCol w:w="2268"/>
      </w:tblGrid>
      <w:tr w:rsidR="00452341" w:rsidRPr="00452341" w:rsidTr="00452341">
        <w:trPr>
          <w:trHeight w:val="1181"/>
          <w:tblHeader/>
        </w:trPr>
        <w:tc>
          <w:tcPr>
            <w:tcW w:w="2269" w:type="dxa"/>
            <w:shd w:val="clear" w:color="auto" w:fill="C6D9F1" w:themeFill="text2" w:themeFillTint="33"/>
          </w:tcPr>
          <w:p w:rsidR="00452341" w:rsidRPr="00452341" w:rsidRDefault="00452341" w:rsidP="00470AD4">
            <w:pPr>
              <w:pStyle w:val="Tableheading"/>
            </w:pPr>
            <w:r w:rsidRPr="00452341">
              <w:t>HSU</w:t>
            </w:r>
          </w:p>
        </w:tc>
        <w:tc>
          <w:tcPr>
            <w:tcW w:w="2268" w:type="dxa"/>
            <w:shd w:val="clear" w:color="auto" w:fill="C6D9F1" w:themeFill="text2" w:themeFillTint="33"/>
          </w:tcPr>
          <w:p w:rsidR="00452341" w:rsidRPr="00452341" w:rsidRDefault="00452341" w:rsidP="00470AD4">
            <w:pPr>
              <w:pStyle w:val="Tableheading"/>
            </w:pPr>
            <w:r w:rsidRPr="00452341">
              <w:t>Existing DNRM groundwater monitoring sites</w:t>
            </w:r>
          </w:p>
        </w:tc>
        <w:tc>
          <w:tcPr>
            <w:tcW w:w="2268" w:type="dxa"/>
            <w:shd w:val="clear" w:color="auto" w:fill="C6D9F1" w:themeFill="text2" w:themeFillTint="33"/>
          </w:tcPr>
          <w:p w:rsidR="00452341" w:rsidRPr="00452341" w:rsidRDefault="00452341" w:rsidP="00470AD4">
            <w:pPr>
              <w:pStyle w:val="Tableheading"/>
            </w:pPr>
            <w:r w:rsidRPr="00452341">
              <w:t>Existing CSG operator groundwater monitoring sites</w:t>
            </w:r>
          </w:p>
        </w:tc>
        <w:tc>
          <w:tcPr>
            <w:tcW w:w="2268" w:type="dxa"/>
            <w:shd w:val="clear" w:color="auto" w:fill="C6D9F1" w:themeFill="text2" w:themeFillTint="33"/>
          </w:tcPr>
          <w:p w:rsidR="00452341" w:rsidRPr="00452341" w:rsidRDefault="00452341" w:rsidP="00470AD4">
            <w:pPr>
              <w:pStyle w:val="Tableheading"/>
            </w:pPr>
            <w:r>
              <w:t>Total e</w:t>
            </w:r>
            <w:r w:rsidRPr="00452341">
              <w:t>xisting groundwater monitoring sites</w:t>
            </w:r>
          </w:p>
        </w:tc>
      </w:tr>
      <w:tr w:rsidR="00452341" w:rsidRPr="00452341" w:rsidTr="00452341">
        <w:tc>
          <w:tcPr>
            <w:tcW w:w="2269" w:type="dxa"/>
          </w:tcPr>
          <w:p w:rsidR="00452341" w:rsidRPr="00452341" w:rsidRDefault="00452341" w:rsidP="00CB2FBB">
            <w:pPr>
              <w:pStyle w:val="Tabletext"/>
            </w:pPr>
            <w:r w:rsidRPr="00452341">
              <w:t>Moolayember Fm</w:t>
            </w:r>
          </w:p>
        </w:tc>
        <w:tc>
          <w:tcPr>
            <w:tcW w:w="2268" w:type="dxa"/>
          </w:tcPr>
          <w:p w:rsidR="00452341" w:rsidRPr="00452341" w:rsidRDefault="00452341" w:rsidP="00CB2FBB">
            <w:pPr>
              <w:pStyle w:val="Tabletext"/>
            </w:pPr>
            <w:r w:rsidRPr="00452341">
              <w:t>2</w:t>
            </w:r>
          </w:p>
        </w:tc>
        <w:tc>
          <w:tcPr>
            <w:tcW w:w="2268" w:type="dxa"/>
          </w:tcPr>
          <w:p w:rsidR="00452341" w:rsidRPr="00452341" w:rsidRDefault="00452341" w:rsidP="00CB2FBB">
            <w:pPr>
              <w:pStyle w:val="Tabletext"/>
            </w:pPr>
            <w:r w:rsidRPr="00452341">
              <w:t>0</w:t>
            </w:r>
          </w:p>
        </w:tc>
        <w:tc>
          <w:tcPr>
            <w:tcW w:w="2268" w:type="dxa"/>
          </w:tcPr>
          <w:p w:rsidR="00452341" w:rsidRPr="00452341" w:rsidRDefault="00452341" w:rsidP="00CB2FBB">
            <w:pPr>
              <w:pStyle w:val="Tabletext"/>
            </w:pPr>
            <w:r w:rsidRPr="00452341">
              <w:t>2</w:t>
            </w:r>
          </w:p>
        </w:tc>
      </w:tr>
      <w:tr w:rsidR="00452341" w:rsidRPr="00452341" w:rsidTr="00452341">
        <w:tc>
          <w:tcPr>
            <w:tcW w:w="2269" w:type="dxa"/>
          </w:tcPr>
          <w:p w:rsidR="00452341" w:rsidRPr="00452341" w:rsidRDefault="00452341" w:rsidP="00CB2FBB">
            <w:pPr>
              <w:pStyle w:val="Tabletext"/>
            </w:pPr>
            <w:r w:rsidRPr="00452341">
              <w:t>Clematis Group sandstones</w:t>
            </w:r>
          </w:p>
        </w:tc>
        <w:tc>
          <w:tcPr>
            <w:tcW w:w="2268" w:type="dxa"/>
          </w:tcPr>
          <w:p w:rsidR="00452341" w:rsidRPr="00452341" w:rsidRDefault="00452341" w:rsidP="00CB2FBB">
            <w:pPr>
              <w:pStyle w:val="Tabletext"/>
            </w:pPr>
            <w:r w:rsidRPr="00452341">
              <w:t>7</w:t>
            </w:r>
          </w:p>
        </w:tc>
        <w:tc>
          <w:tcPr>
            <w:tcW w:w="2268" w:type="dxa"/>
          </w:tcPr>
          <w:p w:rsidR="00452341" w:rsidRPr="00452341" w:rsidRDefault="00452341" w:rsidP="00CB2FBB">
            <w:pPr>
              <w:pStyle w:val="Tabletext"/>
            </w:pPr>
            <w:r w:rsidRPr="00452341">
              <w:t>8</w:t>
            </w:r>
          </w:p>
        </w:tc>
        <w:tc>
          <w:tcPr>
            <w:tcW w:w="2268" w:type="dxa"/>
          </w:tcPr>
          <w:p w:rsidR="00452341" w:rsidRPr="00452341" w:rsidRDefault="00452341" w:rsidP="00CB2FBB">
            <w:pPr>
              <w:pStyle w:val="Tabletext"/>
            </w:pPr>
            <w:r w:rsidRPr="00452341">
              <w:t>15</w:t>
            </w:r>
          </w:p>
        </w:tc>
      </w:tr>
      <w:tr w:rsidR="00452341" w:rsidRPr="00452341" w:rsidTr="00452341">
        <w:tc>
          <w:tcPr>
            <w:tcW w:w="2269" w:type="dxa"/>
          </w:tcPr>
          <w:p w:rsidR="00452341" w:rsidRPr="00452341" w:rsidRDefault="00452341" w:rsidP="00CB2FBB">
            <w:pPr>
              <w:pStyle w:val="Tabletext"/>
            </w:pPr>
            <w:r w:rsidRPr="00452341">
              <w:t>Rewan Group</w:t>
            </w:r>
          </w:p>
        </w:tc>
        <w:tc>
          <w:tcPr>
            <w:tcW w:w="2268" w:type="dxa"/>
          </w:tcPr>
          <w:p w:rsidR="00452341" w:rsidRPr="00452341" w:rsidRDefault="00452341" w:rsidP="00CB2FBB">
            <w:pPr>
              <w:pStyle w:val="Tabletext"/>
            </w:pPr>
            <w:r w:rsidRPr="00452341">
              <w:t>4</w:t>
            </w:r>
          </w:p>
        </w:tc>
        <w:tc>
          <w:tcPr>
            <w:tcW w:w="2268" w:type="dxa"/>
          </w:tcPr>
          <w:p w:rsidR="00452341" w:rsidRPr="00452341" w:rsidRDefault="00452341" w:rsidP="00CB2FBB">
            <w:pPr>
              <w:pStyle w:val="Tabletext"/>
            </w:pPr>
            <w:r w:rsidRPr="00452341">
              <w:t>0</w:t>
            </w:r>
          </w:p>
        </w:tc>
        <w:tc>
          <w:tcPr>
            <w:tcW w:w="2268" w:type="dxa"/>
          </w:tcPr>
          <w:p w:rsidR="00452341" w:rsidRPr="00452341" w:rsidRDefault="00452341" w:rsidP="00CB2FBB">
            <w:pPr>
              <w:pStyle w:val="Tabletext"/>
            </w:pPr>
            <w:r w:rsidRPr="00452341">
              <w:t>4</w:t>
            </w:r>
          </w:p>
        </w:tc>
      </w:tr>
      <w:tr w:rsidR="00452341" w:rsidRPr="00452341" w:rsidTr="00452341">
        <w:tc>
          <w:tcPr>
            <w:tcW w:w="2269" w:type="dxa"/>
          </w:tcPr>
          <w:p w:rsidR="00452341" w:rsidRPr="00452341" w:rsidRDefault="00452341" w:rsidP="00CB2FBB">
            <w:pPr>
              <w:pStyle w:val="Tabletext"/>
            </w:pPr>
            <w:r w:rsidRPr="00452341">
              <w:t>Bandanna Fm</w:t>
            </w:r>
          </w:p>
        </w:tc>
        <w:tc>
          <w:tcPr>
            <w:tcW w:w="2268" w:type="dxa"/>
          </w:tcPr>
          <w:p w:rsidR="00452341" w:rsidRPr="00452341" w:rsidRDefault="00452341" w:rsidP="00CB2FBB">
            <w:pPr>
              <w:pStyle w:val="Tabletext"/>
            </w:pPr>
            <w:r w:rsidRPr="00452341">
              <w:t>0</w:t>
            </w:r>
          </w:p>
        </w:tc>
        <w:tc>
          <w:tcPr>
            <w:tcW w:w="2268" w:type="dxa"/>
          </w:tcPr>
          <w:p w:rsidR="00452341" w:rsidRPr="00452341" w:rsidRDefault="00452341" w:rsidP="00CB2FBB">
            <w:pPr>
              <w:pStyle w:val="Tabletext"/>
            </w:pPr>
            <w:r w:rsidRPr="00452341">
              <w:t>3</w:t>
            </w:r>
          </w:p>
        </w:tc>
        <w:tc>
          <w:tcPr>
            <w:tcW w:w="2268" w:type="dxa"/>
          </w:tcPr>
          <w:p w:rsidR="00452341" w:rsidRPr="00452341" w:rsidRDefault="00452341" w:rsidP="00CB2FBB">
            <w:pPr>
              <w:pStyle w:val="Tabletext"/>
            </w:pPr>
            <w:r w:rsidRPr="00452341">
              <w:t>3</w:t>
            </w:r>
          </w:p>
        </w:tc>
      </w:tr>
      <w:tr w:rsidR="00452341" w:rsidRPr="00452341" w:rsidTr="00452341">
        <w:tc>
          <w:tcPr>
            <w:tcW w:w="2269" w:type="dxa"/>
          </w:tcPr>
          <w:p w:rsidR="00452341" w:rsidRPr="00452341" w:rsidRDefault="00452341" w:rsidP="00CB2FBB">
            <w:pPr>
              <w:pStyle w:val="Tabletext"/>
            </w:pPr>
            <w:r w:rsidRPr="00452341">
              <w:t>Deep Reservoirs</w:t>
            </w:r>
          </w:p>
        </w:tc>
        <w:tc>
          <w:tcPr>
            <w:tcW w:w="2268" w:type="dxa"/>
          </w:tcPr>
          <w:p w:rsidR="00452341" w:rsidRPr="00452341" w:rsidRDefault="00452341" w:rsidP="00CB2FBB">
            <w:pPr>
              <w:pStyle w:val="Tabletext"/>
            </w:pPr>
            <w:r w:rsidRPr="00452341">
              <w:t>9</w:t>
            </w:r>
          </w:p>
        </w:tc>
        <w:tc>
          <w:tcPr>
            <w:tcW w:w="2268" w:type="dxa"/>
          </w:tcPr>
          <w:p w:rsidR="00452341" w:rsidRPr="00452341" w:rsidRDefault="00452341" w:rsidP="00CB2FBB">
            <w:pPr>
              <w:pStyle w:val="Tabletext"/>
            </w:pPr>
            <w:r w:rsidRPr="00452341">
              <w:t>0</w:t>
            </w:r>
          </w:p>
        </w:tc>
        <w:tc>
          <w:tcPr>
            <w:tcW w:w="2268" w:type="dxa"/>
          </w:tcPr>
          <w:p w:rsidR="00452341" w:rsidRPr="00452341" w:rsidRDefault="00452341" w:rsidP="00CB2FBB">
            <w:pPr>
              <w:pStyle w:val="Tabletext"/>
            </w:pPr>
            <w:r w:rsidRPr="00452341">
              <w:t>9</w:t>
            </w:r>
          </w:p>
        </w:tc>
      </w:tr>
    </w:tbl>
    <w:p w:rsidR="00BE7A62" w:rsidRDefault="00BE7A62" w:rsidP="00452341">
      <w:pPr>
        <w:pStyle w:val="BRNormal"/>
      </w:pPr>
    </w:p>
    <w:p w:rsidR="00452341" w:rsidRDefault="00452341" w:rsidP="00452341">
      <w:pPr>
        <w:pStyle w:val="BRNormal"/>
      </w:pPr>
      <w:r>
        <w:t xml:space="preserve">A review of the literature did not identify any references regarding the connectivity of the northern Bowen Basin aquifers and water-bearing units and their equivalents in the southern Bowen Basin. </w:t>
      </w:r>
    </w:p>
    <w:p w:rsidR="00DD07AF" w:rsidRDefault="00DD07AF" w:rsidP="005F6513">
      <w:pPr>
        <w:pStyle w:val="Heading2"/>
      </w:pPr>
      <w:bookmarkStart w:id="677" w:name="_Toc334711991"/>
      <w:bookmarkStart w:id="678" w:name="_Toc381961178"/>
      <w:bookmarkStart w:id="679" w:name="_Toc389055258"/>
      <w:r>
        <w:lastRenderedPageBreak/>
        <w:t>Recharge</w:t>
      </w:r>
      <w:bookmarkEnd w:id="677"/>
      <w:bookmarkEnd w:id="678"/>
      <w:bookmarkEnd w:id="679"/>
    </w:p>
    <w:p w:rsidR="00DD07AF" w:rsidRDefault="00DD07AF" w:rsidP="005F6513">
      <w:pPr>
        <w:pStyle w:val="Heading3"/>
      </w:pPr>
      <w:bookmarkStart w:id="680" w:name="_Toc334711992"/>
      <w:bookmarkStart w:id="681" w:name="_Toc381961179"/>
      <w:r>
        <w:t>Surat CMA</w:t>
      </w:r>
      <w:bookmarkEnd w:id="680"/>
      <w:bookmarkEnd w:id="681"/>
    </w:p>
    <w:p w:rsidR="00DD07AF" w:rsidRPr="00380CBA" w:rsidRDefault="00DD07AF" w:rsidP="003F25E1">
      <w:pPr>
        <w:pStyle w:val="BRNormal"/>
      </w:pPr>
      <w:r w:rsidRPr="00380CBA">
        <w:t xml:space="preserve">The commonly accepted theory for recharge into the GAB aquifers is via rainfall recharge along the outcrop areas proximal to the Great Dividing Range (see </w:t>
      </w:r>
      <w:r w:rsidR="003F25E1" w:rsidRPr="00380CBA">
        <w:t>Kellet et al</w:t>
      </w:r>
      <w:r w:rsidR="003F25E1">
        <w:t xml:space="preserve">. 2003; </w:t>
      </w:r>
      <w:r w:rsidR="003F25E1" w:rsidRPr="00380CBA">
        <w:t>Habermehl 2002</w:t>
      </w:r>
      <w:r w:rsidR="003F25E1">
        <w:t>;</w:t>
      </w:r>
      <w:r w:rsidR="003F25E1" w:rsidRPr="00380CBA">
        <w:t xml:space="preserve"> </w:t>
      </w:r>
      <w:r w:rsidRPr="00380CBA">
        <w:t>Habermehl 1980</w:t>
      </w:r>
      <w:r w:rsidR="003F25E1">
        <w:t>).</w:t>
      </w:r>
      <w:r w:rsidRPr="00380CBA">
        <w:t xml:space="preserve"> Collectively these outcrop recharge areas are often referred to as the GAB intake beds (QWC 2012a</w:t>
      </w:r>
      <w:r>
        <w:t>; QWC</w:t>
      </w:r>
      <w:r w:rsidRPr="00380CBA">
        <w:t xml:space="preserve"> 2012c). QWC (2012a) summarise the main recharge process for the Surat CMA as:</w:t>
      </w:r>
    </w:p>
    <w:p w:rsidR="00DD07AF" w:rsidRDefault="00452341" w:rsidP="00452341">
      <w:pPr>
        <w:pStyle w:val="BRQuote"/>
      </w:pPr>
      <w:r>
        <w:t>‘</w:t>
      </w:r>
      <w:r w:rsidR="00DD07AF" w:rsidRPr="00380CBA">
        <w:t xml:space="preserve">Recharge occurs predominantly by rainfall, either by direct infiltration into the outcrop areas, or indirectly via leakage from streams or overlying aquifers. It </w:t>
      </w:r>
      <w:r>
        <w:t>has been identified (Kellett et al.</w:t>
      </w:r>
      <w:r w:rsidR="00DD07AF" w:rsidRPr="00380CBA">
        <w:t xml:space="preserve"> 2003) that direct rainfall or diffuse recharge rates are generally</w:t>
      </w:r>
      <w:r>
        <w:t xml:space="preserve"> small, generally less than 2.5 </w:t>
      </w:r>
      <w:r w:rsidR="00DD07AF" w:rsidRPr="00380CBA">
        <w:t xml:space="preserve">mm per year. However, recharge rates through preferred pathway flow during high intensity rainfall events, and localised recharge from stream or </w:t>
      </w:r>
      <w:r>
        <w:t>aquifer leakage can be up to 30 mm per year.’</w:t>
      </w:r>
    </w:p>
    <w:p w:rsidR="00452341" w:rsidRPr="00452341" w:rsidRDefault="00F976E1" w:rsidP="00452341">
      <w:pPr>
        <w:pStyle w:val="BRQuote"/>
        <w:rPr>
          <w:i w:val="0"/>
        </w:rPr>
      </w:pPr>
      <w:r>
        <w:rPr>
          <w:i w:val="0"/>
        </w:rPr>
        <w:t>© Copyright</w:t>
      </w:r>
      <w:r w:rsidR="00452341">
        <w:rPr>
          <w:i w:val="0"/>
        </w:rPr>
        <w:t>,</w:t>
      </w:r>
      <w:r w:rsidR="00452341" w:rsidRPr="00452341">
        <w:rPr>
          <w:i w:val="0"/>
        </w:rPr>
        <w:t xml:space="preserve"> QWC </w:t>
      </w:r>
      <w:r w:rsidR="006B0EC2">
        <w:rPr>
          <w:i w:val="0"/>
        </w:rPr>
        <w:t>(</w:t>
      </w:r>
      <w:r w:rsidR="00452341" w:rsidRPr="00452341">
        <w:rPr>
          <w:i w:val="0"/>
        </w:rPr>
        <w:t>2012a</w:t>
      </w:r>
      <w:r w:rsidR="006B0EC2">
        <w:rPr>
          <w:i w:val="0"/>
        </w:rPr>
        <w:t>)</w:t>
      </w:r>
    </w:p>
    <w:p w:rsidR="00DD07AF" w:rsidRPr="00B17CA0" w:rsidRDefault="00DD07AF" w:rsidP="003F25E1">
      <w:pPr>
        <w:pStyle w:val="BRNormal"/>
      </w:pPr>
      <w:r>
        <w:t>QWC (2012a</w:t>
      </w:r>
      <w:r w:rsidR="003F25E1">
        <w:t>), QWC (</w:t>
      </w:r>
      <w:r>
        <w:t>2012b</w:t>
      </w:r>
      <w:r w:rsidR="003F25E1">
        <w:t>) and QWC (</w:t>
      </w:r>
      <w:r>
        <w:t>2012c) ide</w:t>
      </w:r>
      <w:r w:rsidRPr="009A0FBC">
        <w:t>ntified that there is some disagreement regarding which aquifers comprise intake beds. Habermehl (2002) listed the main intake beds as the Hooray, Hutton, Precipice and Clematis sandstone aquifers and their equivalent formations</w:t>
      </w:r>
      <w:r>
        <w:t>. Kellet et al. (2003) only describe the Hooray and Hutton sandstones and suggest that recharge through other outcropping units is minimal. These differing theories have significant implications for recharge into the m</w:t>
      </w:r>
      <w:r w:rsidR="00452341">
        <w:t>ajor aquifer of the Bowen Basin -</w:t>
      </w:r>
      <w:r>
        <w:t xml:space="preserve"> the Clematis Group sandstones. Using the original Kellet et al. (2003) chloride mass balance calculations for recharge rates through the Hooray and Hutton sandstones, QWC (2012a) estimated that the Clematis Group sandstones have an</w:t>
      </w:r>
      <w:r w:rsidR="00452341">
        <w:t xml:space="preserve"> outcrop area of just over 5000 </w:t>
      </w:r>
      <w:r>
        <w:t>km</w:t>
      </w:r>
      <w:r>
        <w:rPr>
          <w:vertAlign w:val="superscript"/>
        </w:rPr>
        <w:t>2</w:t>
      </w:r>
      <w:r w:rsidR="003F25E1">
        <w:t xml:space="preserve"> and</w:t>
      </w:r>
      <w:r w:rsidR="00452341">
        <w:t xml:space="preserve"> receive approximately 29 000 </w:t>
      </w:r>
      <w:r>
        <w:t xml:space="preserve">ML/year of recharge at a recharge rate of 5.8 mm/year. </w:t>
      </w:r>
    </w:p>
    <w:p w:rsidR="00DD07AF" w:rsidRDefault="00DD07AF" w:rsidP="003F25E1">
      <w:pPr>
        <w:pStyle w:val="BRNormal"/>
      </w:pPr>
      <w:r w:rsidRPr="00380CBA">
        <w:t>Calibrated recharge rates</w:t>
      </w:r>
      <w:r>
        <w:t xml:space="preserve"> for</w:t>
      </w:r>
      <w:r w:rsidRPr="00380CBA">
        <w:t xml:space="preserve"> the </w:t>
      </w:r>
      <w:r>
        <w:t>19 layer</w:t>
      </w:r>
      <w:r w:rsidR="003F25E1">
        <w:t>, Surat CMA, MODFLOW model (QWC</w:t>
      </w:r>
      <w:r>
        <w:t xml:space="preserve"> 2012c) indicate that far less annual recharge reports to the Clematis Group sandstones than the Kellet-</w:t>
      </w:r>
      <w:r w:rsidR="00847FCA">
        <w:t>based estimate of 29 000 </w:t>
      </w:r>
      <w:r w:rsidR="006701A9">
        <w:t>ML/annum</w:t>
      </w:r>
      <w:r>
        <w:t xml:space="preserve"> rate.</w:t>
      </w:r>
      <w:r w:rsidR="003F25E1">
        <w:t xml:space="preserve"> The model predicts that only 2</w:t>
      </w:r>
      <w:r w:rsidR="00847FCA">
        <w:t>540 </w:t>
      </w:r>
      <w:r>
        <w:t xml:space="preserve">ML/year of </w:t>
      </w:r>
      <w:r w:rsidR="00073EE0">
        <w:t xml:space="preserve">net watertable </w:t>
      </w:r>
      <w:r>
        <w:t>recharge reports to the Clematis Group aquifer.</w:t>
      </w:r>
      <w:r w:rsidR="0012724F">
        <w:t xml:space="preserve"> Table 26</w:t>
      </w:r>
      <w:r>
        <w:t xml:space="preserve"> summarises the calibrated recharge values for all five of the major Bowen Basin HSUs within the Surat CMA.  The net recharge values listed in the table take account of modelled water table recharge, subtracting modelled discharge to lo</w:t>
      </w:r>
      <w:r w:rsidR="00847FCA">
        <w:t>cal shallow groundwater systems</w:t>
      </w:r>
      <w:r>
        <w:t xml:space="preserve"> and adding in net inflow from adjacent layers (QWC 2012c). As can be seen from the table, very little recharge enters the two major aquitards (Moolayember Formation and Rewan Group) or the water-bearing Bandanna Formation coal seams. No </w:t>
      </w:r>
      <w:r w:rsidR="00E77F4B">
        <w:t xml:space="preserve">water table </w:t>
      </w:r>
      <w:r>
        <w:t>recharge is predicted to occur to the deeper reservoirs beneath the Bandanna Formation</w:t>
      </w:r>
      <w:r w:rsidR="00E77F4B">
        <w:t xml:space="preserve"> as these do not outcrop</w:t>
      </w:r>
      <w:r>
        <w:t>. The Clemati</w:t>
      </w:r>
      <w:r w:rsidR="003F25E1">
        <w:t>s Group</w:t>
      </w:r>
      <w:r w:rsidR="006C1E9E">
        <w:t xml:space="preserve"> aquifer accounts for 79 per ce</w:t>
      </w:r>
      <w:r w:rsidR="003F25E1">
        <w:t>nt</w:t>
      </w:r>
      <w:r>
        <w:t xml:space="preserve"> of the calibrated recharge flux into the Bowen Basin in the Surat CMA area. </w:t>
      </w:r>
    </w:p>
    <w:p w:rsidR="006B0EC2" w:rsidRDefault="006B0EC2" w:rsidP="008C7D54">
      <w:pPr>
        <w:pStyle w:val="Caption"/>
      </w:pPr>
      <w:bookmarkStart w:id="682" w:name="_Ref333675614"/>
    </w:p>
    <w:p w:rsidR="006B0EC2" w:rsidRDefault="006B0EC2" w:rsidP="008C7D54">
      <w:pPr>
        <w:pStyle w:val="Caption"/>
      </w:pPr>
    </w:p>
    <w:p w:rsidR="006B0EC2" w:rsidRDefault="006B0EC2" w:rsidP="008C7D54">
      <w:pPr>
        <w:pStyle w:val="Caption"/>
      </w:pPr>
    </w:p>
    <w:p w:rsidR="006B0EC2" w:rsidRDefault="006B0EC2" w:rsidP="008C7D54">
      <w:pPr>
        <w:pStyle w:val="Caption"/>
      </w:pPr>
    </w:p>
    <w:p w:rsidR="006B0EC2" w:rsidRDefault="006B0EC2" w:rsidP="008C7D54">
      <w:pPr>
        <w:pStyle w:val="Caption"/>
      </w:pPr>
    </w:p>
    <w:p w:rsidR="006B0EC2" w:rsidRDefault="006B0EC2" w:rsidP="008C7D54">
      <w:pPr>
        <w:pStyle w:val="Caption"/>
      </w:pPr>
    </w:p>
    <w:p w:rsidR="00DD07AF" w:rsidRDefault="008C7D54" w:rsidP="008C7D54">
      <w:pPr>
        <w:pStyle w:val="Caption"/>
      </w:pPr>
      <w:r w:rsidRPr="006F2073">
        <w:lastRenderedPageBreak/>
        <w:t xml:space="preserve">Table </w:t>
      </w:r>
      <w:r w:rsidR="00E23933" w:rsidRPr="006F2073">
        <w:rPr>
          <w:b/>
          <w:noProof w:val="0"/>
        </w:rPr>
        <w:fldChar w:fldCharType="begin"/>
      </w:r>
      <w:r w:rsidRPr="006F2073">
        <w:instrText xml:space="preserve"> SEQ Table \* ARABIC </w:instrText>
      </w:r>
      <w:r w:rsidR="00E23933" w:rsidRPr="006F2073">
        <w:rPr>
          <w:b/>
          <w:noProof w:val="0"/>
        </w:rPr>
        <w:fldChar w:fldCharType="separate"/>
      </w:r>
      <w:r w:rsidR="0012724F">
        <w:t>26</w:t>
      </w:r>
      <w:r w:rsidR="00E23933" w:rsidRPr="006F2073">
        <w:rPr>
          <w:b/>
        </w:rPr>
        <w:fldChar w:fldCharType="end"/>
      </w:r>
      <w:r>
        <w:rPr>
          <w:b/>
        </w:rPr>
        <w:t xml:space="preserve"> </w:t>
      </w:r>
      <w:bookmarkEnd w:id="682"/>
      <w:r w:rsidR="00DD07AF">
        <w:t>Summary of calibrated recharge values for Bowen Basin HSUs in the Surat C</w:t>
      </w:r>
      <w:r>
        <w:t>MA groundwater model (</w:t>
      </w:r>
      <w:r w:rsidR="00F976E1">
        <w:t>© Copyright</w:t>
      </w:r>
      <w:r w:rsidR="001642A1">
        <w:t>,</w:t>
      </w:r>
      <w:r>
        <w:t xml:space="preserve"> QWC</w:t>
      </w:r>
      <w:r w:rsidR="00DD07AF">
        <w:t xml:space="preserve"> 2012c)</w:t>
      </w:r>
      <w:r>
        <w:t>.</w:t>
      </w:r>
    </w:p>
    <w:tbl>
      <w:tblPr>
        <w:tblStyle w:val="TableGrid"/>
        <w:tblW w:w="0" w:type="auto"/>
        <w:tblInd w:w="108" w:type="dxa"/>
        <w:tblLook w:val="04A0"/>
      </w:tblPr>
      <w:tblGrid>
        <w:gridCol w:w="3544"/>
        <w:gridCol w:w="1985"/>
        <w:gridCol w:w="2693"/>
      </w:tblGrid>
      <w:tr w:rsidR="006701A9" w:rsidRPr="008C7D54" w:rsidTr="008A702D">
        <w:trPr>
          <w:tblHeader/>
        </w:trPr>
        <w:tc>
          <w:tcPr>
            <w:tcW w:w="3544" w:type="dxa"/>
            <w:shd w:val="clear" w:color="auto" w:fill="C6D9F1" w:themeFill="text2" w:themeFillTint="33"/>
          </w:tcPr>
          <w:p w:rsidR="006701A9" w:rsidRPr="008C7D54" w:rsidRDefault="006701A9" w:rsidP="00470AD4">
            <w:pPr>
              <w:pStyle w:val="Tableheading"/>
            </w:pPr>
            <w:r w:rsidRPr="008C7D54">
              <w:t>HSU</w:t>
            </w:r>
          </w:p>
        </w:tc>
        <w:tc>
          <w:tcPr>
            <w:tcW w:w="1985" w:type="dxa"/>
            <w:shd w:val="clear" w:color="auto" w:fill="C6D9F1" w:themeFill="text2" w:themeFillTint="33"/>
          </w:tcPr>
          <w:p w:rsidR="006701A9" w:rsidRPr="008C7D54" w:rsidRDefault="006B0EC2" w:rsidP="00470AD4">
            <w:pPr>
              <w:pStyle w:val="Tableheading"/>
            </w:pPr>
            <w:r>
              <w:t>Model l</w:t>
            </w:r>
            <w:r w:rsidR="006701A9" w:rsidRPr="008C7D54">
              <w:t>ayer</w:t>
            </w:r>
          </w:p>
        </w:tc>
        <w:tc>
          <w:tcPr>
            <w:tcW w:w="2693" w:type="dxa"/>
            <w:shd w:val="clear" w:color="auto" w:fill="C6D9F1" w:themeFill="text2" w:themeFillTint="33"/>
          </w:tcPr>
          <w:p w:rsidR="006701A9" w:rsidRPr="008C7D54" w:rsidRDefault="006701A9" w:rsidP="00470AD4">
            <w:pPr>
              <w:pStyle w:val="Tableheading"/>
            </w:pPr>
            <w:r w:rsidRPr="008C7D54">
              <w:t>Net recharge (ML/annum)</w:t>
            </w:r>
          </w:p>
        </w:tc>
      </w:tr>
      <w:tr w:rsidR="006701A9" w:rsidRPr="008C7D54" w:rsidTr="008A702D">
        <w:tc>
          <w:tcPr>
            <w:tcW w:w="3544" w:type="dxa"/>
          </w:tcPr>
          <w:p w:rsidR="006701A9" w:rsidRPr="008C7D54" w:rsidRDefault="006701A9" w:rsidP="00CB2FBB">
            <w:pPr>
              <w:pStyle w:val="Tabletext"/>
            </w:pPr>
            <w:r w:rsidRPr="008C7D54">
              <w:t>Moolayember Formation</w:t>
            </w:r>
          </w:p>
        </w:tc>
        <w:tc>
          <w:tcPr>
            <w:tcW w:w="1985" w:type="dxa"/>
          </w:tcPr>
          <w:p w:rsidR="006701A9" w:rsidRPr="008C7D54" w:rsidRDefault="006701A9" w:rsidP="00CB2FBB">
            <w:pPr>
              <w:pStyle w:val="Tabletext"/>
            </w:pPr>
            <w:r w:rsidRPr="008C7D54">
              <w:t>15</w:t>
            </w:r>
          </w:p>
        </w:tc>
        <w:tc>
          <w:tcPr>
            <w:tcW w:w="2693" w:type="dxa"/>
          </w:tcPr>
          <w:p w:rsidR="006701A9" w:rsidRPr="008C7D54" w:rsidRDefault="006701A9" w:rsidP="00CB2FBB">
            <w:pPr>
              <w:pStyle w:val="Tabletext"/>
            </w:pPr>
            <w:r w:rsidRPr="008C7D54">
              <w:t>445</w:t>
            </w:r>
          </w:p>
        </w:tc>
      </w:tr>
      <w:tr w:rsidR="006701A9" w:rsidRPr="008C7D54" w:rsidTr="008A702D">
        <w:tc>
          <w:tcPr>
            <w:tcW w:w="3544" w:type="dxa"/>
          </w:tcPr>
          <w:p w:rsidR="006701A9" w:rsidRPr="008C7D54" w:rsidRDefault="006701A9" w:rsidP="00CB2FBB">
            <w:pPr>
              <w:pStyle w:val="Tabletext"/>
            </w:pPr>
            <w:r w:rsidRPr="008C7D54">
              <w:t>Clematis Group sandstones</w:t>
            </w:r>
          </w:p>
        </w:tc>
        <w:tc>
          <w:tcPr>
            <w:tcW w:w="1985" w:type="dxa"/>
          </w:tcPr>
          <w:p w:rsidR="006701A9" w:rsidRPr="008C7D54" w:rsidRDefault="006701A9" w:rsidP="00CB2FBB">
            <w:pPr>
              <w:pStyle w:val="Tabletext"/>
            </w:pPr>
            <w:r w:rsidRPr="008C7D54">
              <w:t>16</w:t>
            </w:r>
          </w:p>
        </w:tc>
        <w:tc>
          <w:tcPr>
            <w:tcW w:w="2693" w:type="dxa"/>
          </w:tcPr>
          <w:p w:rsidR="006701A9" w:rsidRPr="008C7D54" w:rsidRDefault="006701A9" w:rsidP="00CB2FBB">
            <w:pPr>
              <w:pStyle w:val="Tabletext"/>
            </w:pPr>
            <w:r w:rsidRPr="008C7D54">
              <w:t>2,540</w:t>
            </w:r>
          </w:p>
        </w:tc>
      </w:tr>
      <w:tr w:rsidR="006701A9" w:rsidRPr="008C7D54" w:rsidTr="008A702D">
        <w:tc>
          <w:tcPr>
            <w:tcW w:w="3544" w:type="dxa"/>
          </w:tcPr>
          <w:p w:rsidR="006701A9" w:rsidRPr="008C7D54" w:rsidRDefault="006701A9" w:rsidP="00CB2FBB">
            <w:pPr>
              <w:pStyle w:val="Tabletext"/>
            </w:pPr>
            <w:r w:rsidRPr="008C7D54">
              <w:t>Rewan Group</w:t>
            </w:r>
          </w:p>
        </w:tc>
        <w:tc>
          <w:tcPr>
            <w:tcW w:w="1985" w:type="dxa"/>
          </w:tcPr>
          <w:p w:rsidR="006701A9" w:rsidRPr="008C7D54" w:rsidRDefault="006701A9" w:rsidP="00CB2FBB">
            <w:pPr>
              <w:pStyle w:val="Tabletext"/>
            </w:pPr>
            <w:r w:rsidRPr="008C7D54">
              <w:t>17</w:t>
            </w:r>
          </w:p>
        </w:tc>
        <w:tc>
          <w:tcPr>
            <w:tcW w:w="2693" w:type="dxa"/>
          </w:tcPr>
          <w:p w:rsidR="006701A9" w:rsidRPr="008C7D54" w:rsidRDefault="006701A9" w:rsidP="00CB2FBB">
            <w:pPr>
              <w:pStyle w:val="Tabletext"/>
            </w:pPr>
            <w:r w:rsidRPr="008C7D54">
              <w:t>115</w:t>
            </w:r>
          </w:p>
        </w:tc>
      </w:tr>
      <w:tr w:rsidR="006701A9" w:rsidRPr="008C7D54" w:rsidTr="008A702D">
        <w:tc>
          <w:tcPr>
            <w:tcW w:w="3544" w:type="dxa"/>
          </w:tcPr>
          <w:p w:rsidR="006701A9" w:rsidRPr="008C7D54" w:rsidRDefault="006701A9" w:rsidP="00CB2FBB">
            <w:pPr>
              <w:pStyle w:val="Tabletext"/>
            </w:pPr>
            <w:r w:rsidRPr="008C7D54">
              <w:t>Bandanna Formation</w:t>
            </w:r>
          </w:p>
        </w:tc>
        <w:tc>
          <w:tcPr>
            <w:tcW w:w="1985" w:type="dxa"/>
          </w:tcPr>
          <w:p w:rsidR="006701A9" w:rsidRPr="008C7D54" w:rsidRDefault="006701A9" w:rsidP="00CB2FBB">
            <w:pPr>
              <w:pStyle w:val="Tabletext"/>
            </w:pPr>
            <w:r w:rsidRPr="008C7D54">
              <w:t>18</w:t>
            </w:r>
          </w:p>
        </w:tc>
        <w:tc>
          <w:tcPr>
            <w:tcW w:w="2693" w:type="dxa"/>
          </w:tcPr>
          <w:p w:rsidR="006701A9" w:rsidRPr="008C7D54" w:rsidRDefault="006701A9" w:rsidP="00CB2FBB">
            <w:pPr>
              <w:pStyle w:val="Tabletext"/>
            </w:pPr>
            <w:r w:rsidRPr="008C7D54">
              <w:t>130</w:t>
            </w:r>
          </w:p>
        </w:tc>
      </w:tr>
      <w:tr w:rsidR="006701A9" w:rsidRPr="008C7D54" w:rsidTr="008A702D">
        <w:tc>
          <w:tcPr>
            <w:tcW w:w="3544" w:type="dxa"/>
          </w:tcPr>
          <w:p w:rsidR="006701A9" w:rsidRPr="008C7D54" w:rsidRDefault="006701A9" w:rsidP="00CB2FBB">
            <w:pPr>
              <w:pStyle w:val="Tabletext"/>
            </w:pPr>
            <w:r w:rsidRPr="008C7D54">
              <w:t>Other Deep Reservoirs</w:t>
            </w:r>
          </w:p>
        </w:tc>
        <w:tc>
          <w:tcPr>
            <w:tcW w:w="1985" w:type="dxa"/>
          </w:tcPr>
          <w:p w:rsidR="006701A9" w:rsidRPr="008C7D54" w:rsidRDefault="006701A9" w:rsidP="00CB2FBB">
            <w:pPr>
              <w:pStyle w:val="Tabletext"/>
            </w:pPr>
            <w:r w:rsidRPr="008C7D54">
              <w:t>19</w:t>
            </w:r>
          </w:p>
        </w:tc>
        <w:tc>
          <w:tcPr>
            <w:tcW w:w="2693" w:type="dxa"/>
          </w:tcPr>
          <w:p w:rsidR="006701A9" w:rsidRPr="008C7D54" w:rsidRDefault="006701A9" w:rsidP="00CB2FBB">
            <w:pPr>
              <w:pStyle w:val="Tabletext"/>
            </w:pPr>
            <w:r w:rsidRPr="008C7D54">
              <w:t>0</w:t>
            </w:r>
          </w:p>
        </w:tc>
      </w:tr>
    </w:tbl>
    <w:p w:rsidR="00DD07AF" w:rsidRDefault="00DD07AF" w:rsidP="001C3374">
      <w:pPr>
        <w:pStyle w:val="Body"/>
      </w:pPr>
    </w:p>
    <w:p w:rsidR="001642A1" w:rsidRDefault="001642A1" w:rsidP="005F6513">
      <w:pPr>
        <w:pStyle w:val="Heading3"/>
      </w:pPr>
      <w:bookmarkStart w:id="683" w:name="_Toc334711993"/>
      <w:bookmarkStart w:id="684" w:name="_Toc381961180"/>
      <w:r>
        <w:t>Northern Bowen Basin</w:t>
      </w:r>
      <w:bookmarkEnd w:id="683"/>
      <w:bookmarkEnd w:id="684"/>
    </w:p>
    <w:p w:rsidR="001642A1" w:rsidRDefault="001642A1" w:rsidP="001642A1">
      <w:pPr>
        <w:pStyle w:val="BRNormal"/>
      </w:pPr>
      <w:r>
        <w:t xml:space="preserve">The Clematis Group, Rewan Group and Moolayember Formation also subcrop/outcrop within the axis of the syncline that extends up through the northern extents of the elongated Bowen Basin. No information was </w:t>
      </w:r>
      <w:r w:rsidRPr="00300C27">
        <w:t>available regarding recharge rates into the northern i</w:t>
      </w:r>
      <w:r>
        <w:t>ntake beds of these HSUs. The Arrow Energy underground water impact report (UWI</w:t>
      </w:r>
      <w:r w:rsidRPr="00300C27">
        <w:t>R</w:t>
      </w:r>
      <w:r>
        <w:t>)</w:t>
      </w:r>
      <w:r w:rsidRPr="00300C27">
        <w:t xml:space="preserve"> assessment for </w:t>
      </w:r>
      <w:r>
        <w:t>the northern Bowen Basin (Arrow Energy</w:t>
      </w:r>
      <w:r w:rsidRPr="00300C27">
        <w:t xml:space="preserve"> 2011) adopted recharge rates as a percentage of rainfall. The Arrow UWIR groundwater mod</w:t>
      </w:r>
      <w:r>
        <w:t>el used a recharge value of 0.5 per cent of annual rainfall. Across the model area of approximately 150 km</w:t>
      </w:r>
      <w:r>
        <w:rPr>
          <w:vertAlign w:val="superscript"/>
        </w:rPr>
        <w:t>2</w:t>
      </w:r>
      <w:r>
        <w:t xml:space="preserve">, this was translated into 226.5 ML/day (or 82 670 ML/year) of recharge. This recharge rate in the northern Bowen Basin is an order of magnitude higher than the recharge rate predicted for the southern Bowen Basin by the QWC groundwater model. The presence of Quaternary alluvial aquifers, Tertiary unconsolidated aquifers and Tertiary basalt aquifers in the northern Bowen Basin are a possible explanation for this much higher recharge rate.  </w:t>
      </w:r>
    </w:p>
    <w:p w:rsidR="00DD07AF" w:rsidRDefault="00DD07AF" w:rsidP="005F6513">
      <w:pPr>
        <w:pStyle w:val="Heading2"/>
      </w:pPr>
      <w:bookmarkStart w:id="685" w:name="_Toc334711994"/>
      <w:bookmarkStart w:id="686" w:name="_Toc381961181"/>
      <w:bookmarkStart w:id="687" w:name="_Toc389055259"/>
      <w:r>
        <w:t>Groundwater modelling</w:t>
      </w:r>
      <w:bookmarkEnd w:id="685"/>
      <w:bookmarkEnd w:id="686"/>
      <w:bookmarkEnd w:id="687"/>
    </w:p>
    <w:p w:rsidR="00DD07AF" w:rsidRDefault="00DD07AF" w:rsidP="005F6513">
      <w:pPr>
        <w:pStyle w:val="Heading3"/>
      </w:pPr>
      <w:bookmarkStart w:id="688" w:name="_Toc334711995"/>
      <w:bookmarkStart w:id="689" w:name="_Toc381961182"/>
      <w:r>
        <w:t>Surat CMA modelling</w:t>
      </w:r>
      <w:bookmarkEnd w:id="688"/>
      <w:bookmarkEnd w:id="689"/>
    </w:p>
    <w:p w:rsidR="00DD07AF" w:rsidRDefault="00DD07AF" w:rsidP="003811B2">
      <w:pPr>
        <w:pStyle w:val="BRNormal"/>
      </w:pPr>
      <w:r>
        <w:t xml:space="preserve">A major groundwater modelling exercise was undertaken by </w:t>
      </w:r>
      <w:r w:rsidR="003614FB" w:rsidRPr="0039190F">
        <w:t>QWC (2012a; 2012c)</w:t>
      </w:r>
      <w:r w:rsidRPr="0039190F">
        <w:t xml:space="preserve"> to</w:t>
      </w:r>
      <w:r>
        <w:t xml:space="preserve"> determine the cumulative impacts of CSG </w:t>
      </w:r>
      <w:r w:rsidR="001642A1">
        <w:t>extraction</w:t>
      </w:r>
      <w:r>
        <w:t xml:space="preserve"> within the Surat and Bowen Basin</w:t>
      </w:r>
      <w:r w:rsidR="001642A1">
        <w:t>s on aquifers within those two B</w:t>
      </w:r>
      <w:r>
        <w:t>asins.</w:t>
      </w:r>
      <w:r w:rsidR="0012724F">
        <w:t xml:space="preserve"> Figure 30</w:t>
      </w:r>
      <w:r>
        <w:t xml:space="preserve"> shows a west-east cross-sectional conceptual model of the northern extents of the Surat CMA. </w:t>
      </w:r>
      <w:r w:rsidR="001642A1">
        <w:t xml:space="preserve">Figure 30 also </w:t>
      </w:r>
      <w:r>
        <w:t xml:space="preserve">shows the hydrostratigraphic relationship between the Surat Basin HSUs (shown in various shades of green) and the underlying Bowen Basin HSUs (shown in various shades of grey). The </w:t>
      </w:r>
      <w:r w:rsidR="001642A1">
        <w:t>conceptual model</w:t>
      </w:r>
      <w:r>
        <w:t xml:space="preserve"> reflects the shallow nature of the Bowen Basin HSUs in their northern outcropping area. Further to the south, these same HSUs will be buried by thousands of metres of Surat Basin sediments. </w:t>
      </w:r>
    </w:p>
    <w:p w:rsidR="006701A9" w:rsidRPr="001865DD" w:rsidRDefault="003614FB" w:rsidP="003811B2">
      <w:pPr>
        <w:pStyle w:val="BRNormal"/>
      </w:pPr>
      <w:r w:rsidRPr="0039190F">
        <w:t>QWC (</w:t>
      </w:r>
      <w:r w:rsidR="00BE6AF5" w:rsidRPr="0039190F">
        <w:t>2012c</w:t>
      </w:r>
      <w:r w:rsidR="0039190F" w:rsidRPr="0039190F">
        <w:t>)</w:t>
      </w:r>
      <w:r w:rsidR="007F57FE">
        <w:t xml:space="preserve"> </w:t>
      </w:r>
      <w:r w:rsidR="006701A9" w:rsidRPr="0039190F">
        <w:t>developed</w:t>
      </w:r>
      <w:r w:rsidR="006701A9" w:rsidRPr="004661AD">
        <w:t xml:space="preserve"> a </w:t>
      </w:r>
      <w:r w:rsidR="006701A9">
        <w:t xml:space="preserve">numerical </w:t>
      </w:r>
      <w:r w:rsidR="006701A9" w:rsidRPr="004661AD">
        <w:t xml:space="preserve">groundwater flow model using </w:t>
      </w:r>
      <w:r w:rsidR="006701A9">
        <w:t xml:space="preserve">the </w:t>
      </w:r>
      <w:r w:rsidR="006701A9" w:rsidRPr="004661AD">
        <w:t>MODFLOW code. The model domain overlays the entire Surat CMA area and includes 19 layers to represent the full GAB sequence and the CSG producing Bandanna Formation in the Bowen Basin</w:t>
      </w:r>
      <w:r w:rsidR="003811B2">
        <w:t xml:space="preserve"> (QWC</w:t>
      </w:r>
      <w:r w:rsidR="006701A9">
        <w:t xml:space="preserve"> 2012c)</w:t>
      </w:r>
      <w:r w:rsidR="006701A9" w:rsidRPr="004661AD">
        <w:t>. The Bowen Basin is represented by Layers 15 to 19</w:t>
      </w:r>
      <w:r w:rsidR="006701A9">
        <w:t xml:space="preserve"> of the model</w:t>
      </w:r>
      <w:r w:rsidR="006701A9" w:rsidRPr="004661AD">
        <w:t xml:space="preserve">: </w:t>
      </w:r>
      <w:r w:rsidR="006701A9">
        <w:t xml:space="preserve">the </w:t>
      </w:r>
      <w:r w:rsidR="006701A9" w:rsidRPr="004661AD">
        <w:t xml:space="preserve">Moolayember Formation, Clematis </w:t>
      </w:r>
      <w:r w:rsidR="006701A9">
        <w:t>Group s</w:t>
      </w:r>
      <w:r w:rsidR="006701A9" w:rsidRPr="004661AD">
        <w:t>andstone</w:t>
      </w:r>
      <w:r w:rsidR="006701A9">
        <w:t>s</w:t>
      </w:r>
      <w:r w:rsidR="006701A9" w:rsidRPr="004661AD">
        <w:t xml:space="preserve">, </w:t>
      </w:r>
      <w:r w:rsidR="001642A1">
        <w:t>Rewan Group, Bandanna Formation</w:t>
      </w:r>
      <w:r w:rsidR="006701A9" w:rsidRPr="004661AD">
        <w:t xml:space="preserve"> </w:t>
      </w:r>
      <w:r w:rsidR="006701A9">
        <w:t xml:space="preserve">and deep Permian reservoirs. </w:t>
      </w:r>
      <w:r w:rsidR="006701A9" w:rsidRPr="001865DD">
        <w:t xml:space="preserve">The primary purpose of the model is to predict </w:t>
      </w:r>
      <w:r w:rsidR="006701A9">
        <w:t>ground</w:t>
      </w:r>
      <w:r w:rsidR="006701A9" w:rsidRPr="001865DD">
        <w:t>water level changes in aquifers within the Surat CMA in response to</w:t>
      </w:r>
      <w:r w:rsidR="006701A9">
        <w:t xml:space="preserve"> proposed </w:t>
      </w:r>
      <w:r w:rsidR="006701A9" w:rsidRPr="001865DD">
        <w:t>extraction of CSG water</w:t>
      </w:r>
      <w:r w:rsidR="006701A9">
        <w:t xml:space="preserve"> by the four major CSG p</w:t>
      </w:r>
      <w:r w:rsidR="001642A1">
        <w:t>roponents operating in the two B</w:t>
      </w:r>
      <w:r w:rsidR="006701A9">
        <w:t>asins</w:t>
      </w:r>
      <w:r w:rsidR="006701A9" w:rsidRPr="001865DD">
        <w:t>.</w:t>
      </w:r>
      <w:r w:rsidR="006701A9">
        <w:t xml:space="preserve"> </w:t>
      </w:r>
    </w:p>
    <w:p w:rsidR="006701A9" w:rsidRDefault="006701A9" w:rsidP="003811B2">
      <w:pPr>
        <w:pStyle w:val="BRNormal"/>
      </w:pPr>
      <w:r>
        <w:t>Model predictions were scrutinised to identify impacts using the following criteria:</w:t>
      </w:r>
    </w:p>
    <w:p w:rsidR="006701A9" w:rsidRPr="00536485" w:rsidRDefault="003811B2" w:rsidP="003811B2">
      <w:pPr>
        <w:pStyle w:val="Bulletpoint"/>
      </w:pPr>
      <w:r>
        <w:rPr>
          <w:i/>
        </w:rPr>
        <w:t>s</w:t>
      </w:r>
      <w:r w:rsidR="006701A9" w:rsidRPr="003811B2">
        <w:rPr>
          <w:i/>
        </w:rPr>
        <w:t>ignificant drawdown:</w:t>
      </w:r>
      <w:r w:rsidR="006701A9" w:rsidRPr="00536485">
        <w:t xml:space="preserve"> 5 m drawdown for consolidated aquifers (such as sandstone) and </w:t>
      </w:r>
      <w:r w:rsidR="006701A9" w:rsidRPr="00536485">
        <w:lastRenderedPageBreak/>
        <w:t xml:space="preserve">2 m drawdown for unconsolidated aquifers (such as </w:t>
      </w:r>
      <w:r w:rsidR="006701A9">
        <w:t xml:space="preserve">alluvial </w:t>
      </w:r>
      <w:r w:rsidR="006701A9" w:rsidRPr="00536485">
        <w:t>sands)</w:t>
      </w:r>
    </w:p>
    <w:p w:rsidR="006701A9" w:rsidRPr="00051148" w:rsidRDefault="003811B2" w:rsidP="003811B2">
      <w:pPr>
        <w:pStyle w:val="Bulletpoint"/>
      </w:pPr>
      <w:r>
        <w:rPr>
          <w:i/>
        </w:rPr>
        <w:t>immediately affected a</w:t>
      </w:r>
      <w:r w:rsidR="006701A9" w:rsidRPr="003811B2">
        <w:rPr>
          <w:i/>
        </w:rPr>
        <w:t>reas (IAA):</w:t>
      </w:r>
      <w:r w:rsidR="006701A9" w:rsidRPr="00051148">
        <w:t xml:space="preserve"> those aquifers that register a</w:t>
      </w:r>
      <w:r w:rsidR="006701A9">
        <w:t xml:space="preserve"> significant drawdown</w:t>
      </w:r>
      <w:r w:rsidR="006701A9" w:rsidRPr="00051148">
        <w:t xml:space="preserve"> impact in the short-term (i.e. 0-3 years)</w:t>
      </w:r>
    </w:p>
    <w:p w:rsidR="006701A9" w:rsidRDefault="003811B2" w:rsidP="003811B2">
      <w:pPr>
        <w:pStyle w:val="Bulletpoint"/>
      </w:pPr>
      <w:proofErr w:type="gramStart"/>
      <w:r>
        <w:rPr>
          <w:i/>
        </w:rPr>
        <w:t>l</w:t>
      </w:r>
      <w:r w:rsidR="006701A9" w:rsidRPr="003811B2">
        <w:rPr>
          <w:i/>
        </w:rPr>
        <w:t>ong-term</w:t>
      </w:r>
      <w:proofErr w:type="gramEnd"/>
      <w:r w:rsidR="006701A9" w:rsidRPr="003811B2">
        <w:rPr>
          <w:i/>
        </w:rPr>
        <w:t xml:space="preserve"> affected areas (LAA):</w:t>
      </w:r>
      <w:r w:rsidR="006701A9" w:rsidRPr="00051148">
        <w:t xml:space="preserve"> those aquifers that register a</w:t>
      </w:r>
      <w:r w:rsidR="006701A9">
        <w:t xml:space="preserve"> significant drawdow</w:t>
      </w:r>
      <w:r w:rsidR="006701A9" w:rsidRPr="00051148">
        <w:t xml:space="preserve">n impact beyond the short-term IAA. The LAA is more aligned with the expected delayed responses in the Bowen Basin HSUs. </w:t>
      </w:r>
    </w:p>
    <w:p w:rsidR="003811B2" w:rsidRDefault="003811B2" w:rsidP="003811B2">
      <w:pPr>
        <w:pStyle w:val="BRNormal"/>
      </w:pPr>
      <w:r>
        <w:t>It should be noted that the Surat CMA groundwater model did not i</w:t>
      </w:r>
      <w:r w:rsidR="001642A1">
        <w:t>nclude the northern Bowen Basin</w:t>
      </w:r>
      <w:r>
        <w:t xml:space="preserve"> and therefore the impacts of CSG abstraction from the Moranbah Coal Measures have not been considered. </w:t>
      </w:r>
    </w:p>
    <w:p w:rsidR="003811B2" w:rsidRPr="00051148" w:rsidRDefault="003811B2" w:rsidP="003811B2">
      <w:pPr>
        <w:pStyle w:val="Bulletpoint"/>
        <w:numPr>
          <w:ilvl w:val="0"/>
          <w:numId w:val="0"/>
        </w:numPr>
        <w:ind w:left="426" w:hanging="426"/>
      </w:pPr>
    </w:p>
    <w:p w:rsidR="006701A9" w:rsidRDefault="006701A9" w:rsidP="001C3374">
      <w:pPr>
        <w:pStyle w:val="Body"/>
      </w:pPr>
    </w:p>
    <w:p w:rsidR="006701A9" w:rsidRDefault="006701A9" w:rsidP="001C3374">
      <w:pPr>
        <w:rPr>
          <w:rFonts w:ascii="Calibri" w:hAnsi="Calibri" w:cs="Calibri"/>
          <w:sz w:val="18"/>
          <w:szCs w:val="18"/>
        </w:rPr>
      </w:pPr>
      <w:r>
        <w:br w:type="page"/>
      </w:r>
    </w:p>
    <w:p w:rsidR="006701A9" w:rsidRDefault="006701A9" w:rsidP="001C3374">
      <w:pPr>
        <w:pStyle w:val="Body"/>
        <w:sectPr w:rsidR="006701A9" w:rsidSect="001053A1">
          <w:headerReference w:type="even" r:id="rId70"/>
          <w:headerReference w:type="default" r:id="rId71"/>
          <w:pgSz w:w="11900" w:h="16840" w:code="9"/>
          <w:pgMar w:top="1952" w:right="1418" w:bottom="1418" w:left="1418" w:header="0" w:footer="825" w:gutter="0"/>
          <w:cols w:space="284"/>
          <w:noEndnote/>
          <w:docGrid w:linePitch="326"/>
        </w:sectPr>
      </w:pPr>
    </w:p>
    <w:p w:rsidR="006701A9" w:rsidRDefault="006701A9" w:rsidP="001C3374">
      <w:pPr>
        <w:pStyle w:val="Body"/>
      </w:pPr>
    </w:p>
    <w:p w:rsidR="00DD07AF" w:rsidRDefault="00DD07AF" w:rsidP="001C3374">
      <w:r w:rsidRPr="00160E6B">
        <w:rPr>
          <w:noProof/>
          <w:lang w:val="en-AU" w:eastAsia="en-AU"/>
        </w:rPr>
        <w:drawing>
          <wp:inline distT="0" distB="0" distL="0" distR="0">
            <wp:extent cx="8934450" cy="4435284"/>
            <wp:effectExtent l="19050" t="19050" r="0" b="3810"/>
            <wp:docPr id="4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2" cstate="email"/>
                    <a:srcRect b="14223"/>
                    <a:stretch>
                      <a:fillRect/>
                    </a:stretch>
                  </pic:blipFill>
                  <pic:spPr bwMode="auto">
                    <a:xfrm>
                      <a:off x="0" y="0"/>
                      <a:ext cx="8938827" cy="4437457"/>
                    </a:xfrm>
                    <a:prstGeom prst="rect">
                      <a:avLst/>
                    </a:prstGeom>
                    <a:noFill/>
                    <a:ln w="9525">
                      <a:solidFill>
                        <a:schemeClr val="tx1"/>
                      </a:solidFill>
                      <a:miter lim="800000"/>
                      <a:headEnd/>
                      <a:tailEnd/>
                    </a:ln>
                  </pic:spPr>
                </pic:pic>
              </a:graphicData>
            </a:graphic>
          </wp:inline>
        </w:drawing>
      </w:r>
    </w:p>
    <w:p w:rsidR="00DD07AF" w:rsidRDefault="003811B2" w:rsidP="003811B2">
      <w:pPr>
        <w:pStyle w:val="Caption"/>
      </w:pPr>
      <w:bookmarkStart w:id="690" w:name="_Ref333680166"/>
      <w:r w:rsidRPr="00EA5A48">
        <w:t xml:space="preserve">Figure </w:t>
      </w:r>
      <w:r w:rsidR="00E23933" w:rsidRPr="00EA5A48">
        <w:rPr>
          <w:b/>
        </w:rPr>
        <w:fldChar w:fldCharType="begin"/>
      </w:r>
      <w:r w:rsidRPr="00EA5A48">
        <w:instrText xml:space="preserve"> SEQ Figure \* ARABIC </w:instrText>
      </w:r>
      <w:r w:rsidR="00E23933" w:rsidRPr="00EA5A48">
        <w:rPr>
          <w:b/>
        </w:rPr>
        <w:fldChar w:fldCharType="separate"/>
      </w:r>
      <w:r w:rsidR="00A62253">
        <w:t>30</w:t>
      </w:r>
      <w:r w:rsidR="00E23933" w:rsidRPr="00EA5A48">
        <w:rPr>
          <w:b/>
        </w:rPr>
        <w:fldChar w:fldCharType="end"/>
      </w:r>
      <w:r>
        <w:rPr>
          <w:b/>
        </w:rPr>
        <w:t xml:space="preserve"> </w:t>
      </w:r>
      <w:bookmarkEnd w:id="690"/>
      <w:r w:rsidR="00DD07AF">
        <w:t>Conceptual Model of the Surat CMA in the north</w:t>
      </w:r>
      <w:r>
        <w:t>ern Bowen Basin area (</w:t>
      </w:r>
      <w:r w:rsidR="00F976E1">
        <w:t>© Copyright</w:t>
      </w:r>
      <w:r w:rsidR="001642A1">
        <w:t>,</w:t>
      </w:r>
      <w:r>
        <w:t xml:space="preserve"> QWC</w:t>
      </w:r>
      <w:r w:rsidR="00DD07AF">
        <w:t xml:space="preserve"> 2012c)</w:t>
      </w:r>
      <w:r>
        <w:t>.</w:t>
      </w:r>
      <w:r w:rsidR="00823AF5">
        <w:t xml:space="preserve"> </w:t>
      </w:r>
    </w:p>
    <w:p w:rsidR="006701A9" w:rsidRDefault="006701A9" w:rsidP="001C3374">
      <w:pPr>
        <w:rPr>
          <w:rFonts w:eastAsia="Times New Roman" w:cs="Times New Roman"/>
          <w:sz w:val="18"/>
          <w:szCs w:val="20"/>
          <w:lang w:eastAsia="en-AU"/>
        </w:rPr>
      </w:pPr>
      <w:r>
        <w:br w:type="page"/>
      </w:r>
    </w:p>
    <w:p w:rsidR="006701A9" w:rsidRDefault="006701A9" w:rsidP="001C3374">
      <w:pPr>
        <w:pStyle w:val="Body"/>
        <w:sectPr w:rsidR="006701A9" w:rsidSect="001053A1">
          <w:headerReference w:type="even" r:id="rId73"/>
          <w:headerReference w:type="default" r:id="rId74"/>
          <w:pgSz w:w="16840" w:h="11900" w:orient="landscape" w:code="9"/>
          <w:pgMar w:top="1973" w:right="1418" w:bottom="1418" w:left="1418" w:header="0" w:footer="710" w:gutter="0"/>
          <w:cols w:space="284"/>
          <w:noEndnote/>
          <w:docGrid w:linePitch="326"/>
        </w:sectPr>
      </w:pPr>
    </w:p>
    <w:p w:rsidR="00441E4A" w:rsidRDefault="00DD07AF" w:rsidP="003811B2">
      <w:pPr>
        <w:pStyle w:val="BRNormal"/>
      </w:pPr>
      <w:r>
        <w:lastRenderedPageBreak/>
        <w:t>Model predictions have shown that the Walloon Coal Measures (Surat Basin) and the Bandanna Formation (Bowen Basin) (see</w:t>
      </w:r>
      <w:r w:rsidR="0012724F">
        <w:t xml:space="preserve"> Figure 31</w:t>
      </w:r>
      <w:r>
        <w:t>) were the only IAAs, as would be expected given that they are the productive coal seams. The LAAs that were predicted to be significant include: the Walloon Coal Measures (Surat Basin), the Bandanna Formation (Bowen Basin), the Sp</w:t>
      </w:r>
      <w:r w:rsidR="00441E4A">
        <w:t>ringbok Formation (Surat Basin)</w:t>
      </w:r>
      <w:r>
        <w:t xml:space="preserve"> and the Hutton Sandstone (Surat Basin). </w:t>
      </w:r>
    </w:p>
    <w:p w:rsidR="00A62253" w:rsidRDefault="00DD07AF" w:rsidP="003811B2">
      <w:pPr>
        <w:pStyle w:val="BRNormal"/>
      </w:pPr>
      <w:r>
        <w:t xml:space="preserve">There are </w:t>
      </w:r>
      <w:r w:rsidRPr="003811B2">
        <w:t>localised and discrete LAAs for the Precipice Sandstone (Surat Basin) and Clematis Sandstone (Bowen Basin) (see</w:t>
      </w:r>
      <w:r w:rsidR="0012724F">
        <w:t xml:space="preserve"> Figure 32</w:t>
      </w:r>
      <w:r w:rsidRPr="003811B2">
        <w:t xml:space="preserve">). </w:t>
      </w:r>
      <w:r w:rsidR="00CB60AA" w:rsidRPr="003811B2">
        <w:t>Regarding</w:t>
      </w:r>
      <w:r w:rsidRPr="003811B2">
        <w:t xml:space="preserve"> the Bowen Basin, this means that major LAAs </w:t>
      </w:r>
      <w:r w:rsidR="00CB60AA" w:rsidRPr="003811B2">
        <w:t xml:space="preserve">appear to be limited to </w:t>
      </w:r>
      <w:r w:rsidRPr="003811B2">
        <w:t>the coal seams themselves</w:t>
      </w:r>
      <w:r w:rsidR="002616B1" w:rsidRPr="003811B2">
        <w:t>,</w:t>
      </w:r>
      <w:r w:rsidRPr="003811B2">
        <w:t xml:space="preserve"> and </w:t>
      </w:r>
      <w:r w:rsidR="00CB60AA" w:rsidRPr="003811B2">
        <w:t>areas of</w:t>
      </w:r>
      <w:r w:rsidRPr="003811B2">
        <w:t xml:space="preserve"> the Clematis Sandstone </w:t>
      </w:r>
      <w:r w:rsidR="00CB60AA" w:rsidRPr="003811B2">
        <w:t xml:space="preserve">that are locally impacted due to </w:t>
      </w:r>
      <w:r w:rsidR="002616B1" w:rsidRPr="003811B2">
        <w:t>high level</w:t>
      </w:r>
      <w:r w:rsidR="00CB60AA" w:rsidRPr="003811B2">
        <w:t>s</w:t>
      </w:r>
      <w:r w:rsidR="002616B1" w:rsidRPr="003811B2">
        <w:t xml:space="preserve"> of vertical </w:t>
      </w:r>
      <w:r w:rsidRPr="003811B2">
        <w:t>connectivity.  As described in Section 7.1.6.1</w:t>
      </w:r>
      <w:r w:rsidR="00441E4A">
        <w:t xml:space="preserve"> Regional-scale acqitards</w:t>
      </w:r>
      <w:r w:rsidRPr="003811B2">
        <w:t xml:space="preserve">, the </w:t>
      </w:r>
      <w:r w:rsidRPr="003811B2">
        <w:rPr>
          <w:iCs/>
        </w:rPr>
        <w:t xml:space="preserve">Moolayember Formation </w:t>
      </w:r>
      <w:r w:rsidR="00441E4A">
        <w:t>pinches out near Injune</w:t>
      </w:r>
      <w:r w:rsidRPr="003811B2">
        <w:t xml:space="preserve"> and there is hydraulic connection between the </w:t>
      </w:r>
      <w:r w:rsidRPr="003811B2">
        <w:rPr>
          <w:iCs/>
        </w:rPr>
        <w:t>Clematis Group sandstones and the Precipice Sandstone</w:t>
      </w:r>
      <w:r w:rsidR="0012724F">
        <w:t xml:space="preserve"> (WorleyParsons</w:t>
      </w:r>
      <w:r w:rsidRPr="003811B2">
        <w:t xml:space="preserve"> 2010). Within part of this western area, the underlying Clematis and Rewan Groups are also eroded and the underlying Bandana Formation is in direct contact with the Precipice Sandstone in the vicinity of t</w:t>
      </w:r>
      <w:r w:rsidR="003811B2" w:rsidRPr="003811B2">
        <w:t>he Spring Gully Gas Fields (QWC</w:t>
      </w:r>
      <w:r w:rsidRPr="003811B2">
        <w:t xml:space="preserve"> 2012a). This enhanced connectivity may explain the elongated and enlarged drawdown predicted in the Clematis Sandstone in the Injune area.</w:t>
      </w:r>
    </w:p>
    <w:p w:rsidR="00441E4A" w:rsidRDefault="00441E4A" w:rsidP="00441E4A">
      <w:pPr>
        <w:pStyle w:val="BRNormal"/>
      </w:pPr>
      <w:r>
        <w:t xml:space="preserve">QWC (2012c) summarise the specific impacts to the Bowen Basin HSUs as follows: </w:t>
      </w:r>
    </w:p>
    <w:p w:rsidR="00441E4A" w:rsidRPr="009E23B8" w:rsidRDefault="00441E4A" w:rsidP="00441E4A">
      <w:pPr>
        <w:pStyle w:val="Bulletpoint"/>
      </w:pPr>
      <w:r w:rsidRPr="00F20A3D">
        <w:rPr>
          <w:rFonts w:cs="Arial-ItalicMT"/>
          <w:iCs/>
        </w:rPr>
        <w:t>Bandanna Formation</w:t>
      </w:r>
      <w:r w:rsidRPr="009E23B8">
        <w:rPr>
          <w:rFonts w:cs="Arial-ItalicMT"/>
          <w:i/>
          <w:iCs/>
        </w:rPr>
        <w:t xml:space="preserve">: </w:t>
      </w:r>
      <w:r>
        <w:t>t</w:t>
      </w:r>
      <w:r w:rsidRPr="009E23B8">
        <w:t>he target CSG formation in the Bowen Basin. In most of the area the long</w:t>
      </w:r>
      <w:r>
        <w:t>-</w:t>
      </w:r>
      <w:r w:rsidRPr="009E23B8">
        <w:t xml:space="preserve">term impact is expected to be less than 200 m. </w:t>
      </w:r>
      <w:r>
        <w:t>I</w:t>
      </w:r>
      <w:r w:rsidRPr="009E23B8">
        <w:t xml:space="preserve">mpacts in </w:t>
      </w:r>
      <w:r>
        <w:t xml:space="preserve">the </w:t>
      </w:r>
      <w:r w:rsidRPr="009E23B8">
        <w:t xml:space="preserve">Bandanna Formation are also greater in areas where the coal formation is deep. The impact in these </w:t>
      </w:r>
      <w:r>
        <w:t>areas is expected to be up to 1</w:t>
      </w:r>
      <w:r w:rsidRPr="009E23B8">
        <w:t>000 m. However in areas where private bores tap the formation the impacts are expected to be much smaller. It is expecte</w:t>
      </w:r>
      <w:r>
        <w:t xml:space="preserve">d that impacts will not exceed </w:t>
      </w:r>
      <w:r w:rsidR="00F20A3D">
        <w:t>5 m</w:t>
      </w:r>
      <w:r w:rsidRPr="009E23B8">
        <w:t xml:space="preserve"> in any bore.</w:t>
      </w:r>
    </w:p>
    <w:p w:rsidR="00441E4A" w:rsidRDefault="00441E4A" w:rsidP="00441E4A">
      <w:pPr>
        <w:pStyle w:val="Bulletpoint"/>
      </w:pPr>
      <w:r w:rsidRPr="00F20A3D">
        <w:t>Clematis Sandstone</w:t>
      </w:r>
      <w:r w:rsidRPr="005E3519">
        <w:rPr>
          <w:i/>
        </w:rPr>
        <w:t>:</w:t>
      </w:r>
      <w:r>
        <w:t xml:space="preserve"> t</w:t>
      </w:r>
      <w:r w:rsidRPr="009E23B8">
        <w:t xml:space="preserve">here are small </w:t>
      </w:r>
      <w:r>
        <w:t xml:space="preserve">areas where an impact of up to </w:t>
      </w:r>
      <w:r w:rsidR="00F20A3D">
        <w:t>2 m</w:t>
      </w:r>
      <w:r w:rsidRPr="009E23B8">
        <w:t xml:space="preserve"> is </w:t>
      </w:r>
      <w:r>
        <w:t>simulated</w:t>
      </w:r>
      <w:r w:rsidRPr="009E23B8">
        <w:t>. Near Moonie there are very small areas of local impact where conventional petroleum and gas is currently being produced directly from the formation.</w:t>
      </w:r>
    </w:p>
    <w:p w:rsidR="00441E4A" w:rsidRDefault="00441E4A" w:rsidP="003811B2">
      <w:pPr>
        <w:pStyle w:val="BRNormal"/>
      </w:pPr>
    </w:p>
    <w:p w:rsidR="003B3A7F" w:rsidRDefault="003B3A7F" w:rsidP="003B3A7F">
      <w:pPr>
        <w:pStyle w:val="BRNormal"/>
      </w:pPr>
      <w:r>
        <w:rPr>
          <w:noProof/>
        </w:rPr>
        <w:lastRenderedPageBreak/>
        <w:drawing>
          <wp:inline distT="0" distB="0" distL="0" distR="0">
            <wp:extent cx="5560060" cy="7974330"/>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5"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560060" cy="7974330"/>
                    </a:xfrm>
                    <a:prstGeom prst="rect">
                      <a:avLst/>
                    </a:prstGeom>
                    <a:noFill/>
                  </pic:spPr>
                </pic:pic>
              </a:graphicData>
            </a:graphic>
          </wp:inline>
        </w:drawing>
      </w:r>
    </w:p>
    <w:p w:rsidR="00A62253" w:rsidRDefault="00A62253" w:rsidP="003B3A7F">
      <w:pPr>
        <w:pStyle w:val="BRNormal"/>
      </w:pPr>
      <w:r w:rsidRPr="003B3A7F">
        <w:rPr>
          <w:rStyle w:val="CaptionChar"/>
        </w:rPr>
        <w:t xml:space="preserve">Figure </w:t>
      </w:r>
      <w:r w:rsidR="00E23933" w:rsidRPr="003B3A7F">
        <w:rPr>
          <w:rStyle w:val="CaptionChar"/>
        </w:rPr>
        <w:fldChar w:fldCharType="begin"/>
      </w:r>
      <w:r w:rsidRPr="003B3A7F">
        <w:rPr>
          <w:rStyle w:val="CaptionChar"/>
        </w:rPr>
        <w:instrText xml:space="preserve"> SEQ Figure \* ARABIC </w:instrText>
      </w:r>
      <w:r w:rsidR="00E23933" w:rsidRPr="003B3A7F">
        <w:rPr>
          <w:rStyle w:val="CaptionChar"/>
        </w:rPr>
        <w:fldChar w:fldCharType="separate"/>
      </w:r>
      <w:r w:rsidRPr="003B3A7F">
        <w:rPr>
          <w:rStyle w:val="CaptionChar"/>
        </w:rPr>
        <w:t>31</w:t>
      </w:r>
      <w:r w:rsidR="00E23933" w:rsidRPr="003B3A7F">
        <w:rPr>
          <w:rStyle w:val="CaptionChar"/>
        </w:rPr>
        <w:fldChar w:fldCharType="end"/>
      </w:r>
      <w:r w:rsidRPr="003B3A7F">
        <w:rPr>
          <w:rStyle w:val="CaptionChar"/>
        </w:rPr>
        <w:t xml:space="preserve"> Long-term (LAA) drawdown predictions for the Bandanna Formation within the Surat CMA (</w:t>
      </w:r>
      <w:r w:rsidR="00F976E1">
        <w:rPr>
          <w:rStyle w:val="CaptionChar"/>
        </w:rPr>
        <w:t>© Copyright</w:t>
      </w:r>
      <w:r w:rsidR="00441E4A" w:rsidRPr="003B3A7F">
        <w:rPr>
          <w:rStyle w:val="CaptionChar"/>
        </w:rPr>
        <w:t>,</w:t>
      </w:r>
      <w:r w:rsidRPr="003B3A7F">
        <w:rPr>
          <w:rStyle w:val="CaptionChar"/>
        </w:rPr>
        <w:t xml:space="preserve"> QWC 2012c</w:t>
      </w:r>
      <w:r>
        <w:t>).</w:t>
      </w:r>
    </w:p>
    <w:p w:rsidR="00A62253" w:rsidRDefault="003529E5" w:rsidP="003811B2">
      <w:pPr>
        <w:pStyle w:val="BRNormal"/>
      </w:pPr>
      <w:r>
        <w:rPr>
          <w:noProof/>
        </w:rPr>
        <w:lastRenderedPageBreak/>
        <w:drawing>
          <wp:inline distT="0" distB="0" distL="0" distR="0">
            <wp:extent cx="5585610" cy="8020050"/>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6"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595451" cy="8034180"/>
                    </a:xfrm>
                    <a:prstGeom prst="rect">
                      <a:avLst/>
                    </a:prstGeom>
                    <a:noFill/>
                  </pic:spPr>
                </pic:pic>
              </a:graphicData>
            </a:graphic>
          </wp:inline>
        </w:drawing>
      </w:r>
    </w:p>
    <w:p w:rsidR="005C5386" w:rsidRPr="00A62253" w:rsidRDefault="00A62253" w:rsidP="00A62253">
      <w:pPr>
        <w:pStyle w:val="Caption"/>
      </w:pPr>
      <w:r w:rsidRPr="00A62253">
        <w:t xml:space="preserve">Figure </w:t>
      </w:r>
      <w:r w:rsidR="00E23933" w:rsidRPr="00A62253">
        <w:fldChar w:fldCharType="begin"/>
      </w:r>
      <w:r w:rsidRPr="00A62253">
        <w:instrText xml:space="preserve"> SEQ Figure \* ARABIC </w:instrText>
      </w:r>
      <w:r w:rsidR="00E23933" w:rsidRPr="00A62253">
        <w:fldChar w:fldCharType="separate"/>
      </w:r>
      <w:r w:rsidRPr="00A62253">
        <w:t>32</w:t>
      </w:r>
      <w:r w:rsidR="00E23933" w:rsidRPr="00A62253">
        <w:fldChar w:fldCharType="end"/>
      </w:r>
      <w:r w:rsidRPr="00A62253">
        <w:t xml:space="preserve"> </w:t>
      </w:r>
      <w:r w:rsidR="00DD07AF" w:rsidRPr="00A62253">
        <w:t xml:space="preserve">Long-term (LAA) drawdown predictions for the Clematis Group aquifer </w:t>
      </w:r>
      <w:r w:rsidR="005C5386" w:rsidRPr="00A62253">
        <w:t>within the Surat CMA (</w:t>
      </w:r>
      <w:r w:rsidR="00F976E1">
        <w:t>© Copyright</w:t>
      </w:r>
      <w:r w:rsidR="00441E4A">
        <w:t>,</w:t>
      </w:r>
      <w:r w:rsidR="005C5386" w:rsidRPr="00A62253">
        <w:t xml:space="preserve"> QWC</w:t>
      </w:r>
      <w:r w:rsidR="00DD07AF" w:rsidRPr="00A62253">
        <w:t xml:space="preserve"> 2012c)</w:t>
      </w:r>
      <w:r w:rsidR="005C5386" w:rsidRPr="00A62253">
        <w:t>.</w:t>
      </w:r>
    </w:p>
    <w:p w:rsidR="00DD07AF" w:rsidRDefault="00DD07AF" w:rsidP="005F6513">
      <w:pPr>
        <w:pStyle w:val="Heading3"/>
      </w:pPr>
      <w:bookmarkStart w:id="691" w:name="_Toc334711996"/>
      <w:bookmarkStart w:id="692" w:name="_Toc381961183"/>
      <w:r>
        <w:lastRenderedPageBreak/>
        <w:t>Visualisation of Surat CMA</w:t>
      </w:r>
      <w:r w:rsidRPr="00D63708">
        <w:t xml:space="preserve"> groundwater model</w:t>
      </w:r>
      <w:bookmarkEnd w:id="691"/>
      <w:bookmarkEnd w:id="692"/>
    </w:p>
    <w:p w:rsidR="00DD07AF" w:rsidRDefault="00CD5D6D" w:rsidP="005C5386">
      <w:pPr>
        <w:pStyle w:val="BRNormal"/>
      </w:pPr>
      <w:r>
        <w:t xml:space="preserve">QWC </w:t>
      </w:r>
      <w:r w:rsidR="00DD07AF" w:rsidRPr="00D63708">
        <w:t>develop</w:t>
      </w:r>
      <w:r w:rsidR="00DD07AF">
        <w:t xml:space="preserve">ed </w:t>
      </w:r>
      <w:r>
        <w:t xml:space="preserve">a 3D </w:t>
      </w:r>
      <w:r w:rsidRPr="00CE24DF">
        <w:t xml:space="preserve">geological </w:t>
      </w:r>
      <w:r w:rsidR="003614FB" w:rsidRPr="00CE24DF">
        <w:t>model (QWC 2012c)</w:t>
      </w:r>
      <w:r w:rsidR="00BE6AF5" w:rsidRPr="00CE24DF">
        <w:t xml:space="preserve"> </w:t>
      </w:r>
      <w:r w:rsidR="00DD07AF" w:rsidRPr="00CE24DF">
        <w:t>a</w:t>
      </w:r>
      <w:r w:rsidRPr="00CE24DF">
        <w:t>nd</w:t>
      </w:r>
      <w:r>
        <w:t xml:space="preserve"> the Queensland University of Technology (QUT) produced a</w:t>
      </w:r>
      <w:r w:rsidR="00DD07AF">
        <w:t xml:space="preserve"> 3D visualisation of</w:t>
      </w:r>
      <w:r w:rsidR="00DD07AF" w:rsidRPr="00D63708">
        <w:t xml:space="preserve"> the </w:t>
      </w:r>
      <w:r w:rsidR="00DD07AF">
        <w:t xml:space="preserve">Surat </w:t>
      </w:r>
      <w:r w:rsidR="00DD07AF" w:rsidRPr="00D63708">
        <w:t xml:space="preserve">CMA </w:t>
      </w:r>
      <w:r w:rsidR="00DD07AF">
        <w:t>groundwater modelling predictions</w:t>
      </w:r>
      <w:r w:rsidR="005C5386">
        <w:t xml:space="preserve"> (Hawke et al. 2011). </w:t>
      </w:r>
      <w:r w:rsidR="00DD07AF" w:rsidRPr="00D63708">
        <w:t>The m</w:t>
      </w:r>
      <w:r w:rsidR="00A11676">
        <w:t>odel domain is around 660 x 550 </w:t>
      </w:r>
      <w:r w:rsidR="00DD07AF" w:rsidRPr="00D63708">
        <w:t>km and includes the Surat Basin and underlying so</w:t>
      </w:r>
      <w:r w:rsidR="00DD07AF">
        <w:t>uthern Bowen Basin (see</w:t>
      </w:r>
      <w:r w:rsidR="0003024A">
        <w:t xml:space="preserve"> Figure 27</w:t>
      </w:r>
      <w:r w:rsidR="00A11676">
        <w:t xml:space="preserve"> Basin map</w:t>
      </w:r>
      <w:r w:rsidR="005C5386">
        <w:t xml:space="preserve">). </w:t>
      </w:r>
      <w:r w:rsidR="00DD07AF" w:rsidRPr="00D63708">
        <w:t>The 3D model was built using Groundwater Visualisation System (G</w:t>
      </w:r>
      <w:r w:rsidR="005C5386">
        <w:t xml:space="preserve">VS) with data supplied by QWC. </w:t>
      </w:r>
      <w:r w:rsidR="00DD07AF" w:rsidRPr="00D63708">
        <w:t>The solid geology is from the QWC groundwater model</w:t>
      </w:r>
      <w:r w:rsidR="005C5386">
        <w:t xml:space="preserve">. </w:t>
      </w:r>
      <w:r w:rsidR="00DD07AF">
        <w:t>Data from</w:t>
      </w:r>
      <w:r w:rsidR="00A11676">
        <w:t xml:space="preserve"> 26 </w:t>
      </w:r>
      <w:r w:rsidR="00DD07AF" w:rsidRPr="00D63708">
        <w:t>388 bores</w:t>
      </w:r>
      <w:r w:rsidR="00DD07AF">
        <w:t xml:space="preserve"> were included in the visualisation</w:t>
      </w:r>
      <w:r w:rsidR="005C5386">
        <w:t xml:space="preserve">. </w:t>
      </w:r>
      <w:r w:rsidR="00DD07AF" w:rsidRPr="00D63708">
        <w:t>Simulation data of water levels</w:t>
      </w:r>
      <w:r w:rsidR="00DD07AF">
        <w:t xml:space="preserve"> and pressures</w:t>
      </w:r>
      <w:r w:rsidR="00DD07AF" w:rsidRPr="00D63708">
        <w:t xml:space="preserve"> from</w:t>
      </w:r>
      <w:r w:rsidR="00DD07AF">
        <w:t xml:space="preserve"> steady state conditions (</w:t>
      </w:r>
      <w:r w:rsidR="00A11676">
        <w:t xml:space="preserve">year </w:t>
      </w:r>
      <w:r w:rsidR="00DD07AF">
        <w:t xml:space="preserve">1995) to the year 2305 </w:t>
      </w:r>
      <w:r w:rsidR="00DD07AF" w:rsidRPr="00D63708">
        <w:t>were</w:t>
      </w:r>
      <w:r w:rsidR="00A11676">
        <w:t xml:space="preserve"> imported into the GVS 3D model</w:t>
      </w:r>
      <w:r w:rsidR="00DD07AF" w:rsidRPr="00D63708">
        <w:t xml:space="preserve"> and can be displayed as time series animation</w:t>
      </w:r>
      <w:r w:rsidR="00DD07AF">
        <w:t xml:space="preserve"> (see</w:t>
      </w:r>
      <w:r w:rsidR="00A62253">
        <w:t xml:space="preserve"> Figure 33</w:t>
      </w:r>
      <w:r w:rsidR="00DD07AF">
        <w:t xml:space="preserve"> and</w:t>
      </w:r>
      <w:r w:rsidR="00A62253">
        <w:t xml:space="preserve"> Figure 34</w:t>
      </w:r>
      <w:r w:rsidR="00DD07AF">
        <w:t xml:space="preserve"> for example outputs</w:t>
      </w:r>
      <w:r w:rsidR="00DD07AF" w:rsidRPr="00CE24DF">
        <w:t xml:space="preserve">). </w:t>
      </w:r>
    </w:p>
    <w:p w:rsidR="00DD07AF" w:rsidRDefault="00DD07AF" w:rsidP="001C3374">
      <w:pPr>
        <w:pStyle w:val="Body"/>
      </w:pPr>
      <w:r>
        <w:rPr>
          <w:noProof/>
          <w:lang w:val="en-AU" w:eastAsia="en-AU"/>
        </w:rPr>
        <w:drawing>
          <wp:inline distT="0" distB="0" distL="0" distR="0">
            <wp:extent cx="3840480" cy="2075180"/>
            <wp:effectExtent l="19050" t="19050" r="26670" b="20320"/>
            <wp:docPr id="100" name="Picture 15" descr="C:\Documents and Settings\cox\My Documents\Res - CSG - QWC  DERM Gas Commiss\SCREEN SHOTS QWC CMA\11-surat-formation-slic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Documents and Settings\cox\My Documents\Res - CSG - QWC  DERM Gas Commiss\SCREEN SHOTS QWC CMA\11-surat-formation-sliced.png"/>
                    <pic:cNvPicPr>
                      <a:picLocks noChangeAspect="1" noChangeArrowheads="1"/>
                    </pic:cNvPicPr>
                  </pic:nvPicPr>
                  <pic:blipFill>
                    <a:blip r:embed="rId77" cstate="email"/>
                    <a:srcRect/>
                    <a:stretch>
                      <a:fillRect/>
                    </a:stretch>
                  </pic:blipFill>
                  <pic:spPr bwMode="auto">
                    <a:xfrm>
                      <a:off x="0" y="0"/>
                      <a:ext cx="3840480" cy="2075180"/>
                    </a:xfrm>
                    <a:prstGeom prst="rect">
                      <a:avLst/>
                    </a:prstGeom>
                    <a:noFill/>
                    <a:ln w="9525">
                      <a:solidFill>
                        <a:schemeClr val="tx1"/>
                      </a:solidFill>
                      <a:miter lim="800000"/>
                      <a:headEnd/>
                      <a:tailEnd/>
                    </a:ln>
                  </pic:spPr>
                </pic:pic>
              </a:graphicData>
            </a:graphic>
          </wp:inline>
        </w:drawing>
      </w:r>
    </w:p>
    <w:p w:rsidR="00DD07AF" w:rsidRDefault="005C5386" w:rsidP="005C5386">
      <w:pPr>
        <w:pStyle w:val="Caption"/>
      </w:pPr>
      <w:bookmarkStart w:id="693" w:name="_Ref334711795"/>
      <w:r w:rsidRPr="00EA5A48">
        <w:t xml:space="preserve">Figure </w:t>
      </w:r>
      <w:r w:rsidR="00E23933" w:rsidRPr="00EA5A48">
        <w:rPr>
          <w:b/>
        </w:rPr>
        <w:fldChar w:fldCharType="begin"/>
      </w:r>
      <w:r w:rsidRPr="00EA5A48">
        <w:instrText xml:space="preserve"> SEQ Figure \* ARABIC </w:instrText>
      </w:r>
      <w:r w:rsidR="00E23933" w:rsidRPr="00EA5A48">
        <w:rPr>
          <w:b/>
        </w:rPr>
        <w:fldChar w:fldCharType="separate"/>
      </w:r>
      <w:r w:rsidR="00A62253">
        <w:t>33</w:t>
      </w:r>
      <w:r w:rsidR="00E23933" w:rsidRPr="00EA5A48">
        <w:rPr>
          <w:b/>
        </w:rPr>
        <w:fldChar w:fldCharType="end"/>
      </w:r>
      <w:r>
        <w:rPr>
          <w:b/>
        </w:rPr>
        <w:t xml:space="preserve"> </w:t>
      </w:r>
      <w:bookmarkEnd w:id="693"/>
      <w:r w:rsidR="00DD07AF">
        <w:t>Oblique view of GVS 3D visualisation of Surat CMA model domain (including southern Bowen Basin) with cross-section displayed. Outline of the CMA is shown in yellow.</w:t>
      </w:r>
    </w:p>
    <w:p w:rsidR="005C5386" w:rsidRDefault="005C5386" w:rsidP="005C5386">
      <w:pPr>
        <w:pStyle w:val="Caption"/>
      </w:pPr>
    </w:p>
    <w:p w:rsidR="005C5386" w:rsidRDefault="005C5386" w:rsidP="005C5386">
      <w:pPr>
        <w:pStyle w:val="Caption"/>
      </w:pPr>
    </w:p>
    <w:p w:rsidR="00DD07AF" w:rsidRPr="006F1821" w:rsidRDefault="00DD07AF" w:rsidP="001C3374">
      <w:pPr>
        <w:rPr>
          <w:lang w:val="en-AU" w:eastAsia="en-AU"/>
        </w:rPr>
      </w:pPr>
      <w:r>
        <w:rPr>
          <w:noProof/>
          <w:lang w:val="en-AU" w:eastAsia="en-AU"/>
        </w:rPr>
        <w:drawing>
          <wp:inline distT="0" distB="0" distL="0" distR="0">
            <wp:extent cx="3896360" cy="2917825"/>
            <wp:effectExtent l="19050" t="19050" r="27940" b="15875"/>
            <wp:docPr id="101" name="Picture 16" descr="C:\Documents and Settings\cox\My Documents\Res - CSG - QWC  DERM Gas Commiss\SCREEN SHOTS QWC CMA\bandan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Documents and Settings\cox\My Documents\Res - CSG - QWC  DERM Gas Commiss\SCREEN SHOTS QWC CMA\bandanna.jpg"/>
                    <pic:cNvPicPr>
                      <a:picLocks noChangeAspect="1" noChangeArrowheads="1"/>
                    </pic:cNvPicPr>
                  </pic:nvPicPr>
                  <pic:blipFill>
                    <a:blip r:embed="rId78" cstate="email"/>
                    <a:srcRect/>
                    <a:stretch>
                      <a:fillRect/>
                    </a:stretch>
                  </pic:blipFill>
                  <pic:spPr bwMode="auto">
                    <a:xfrm>
                      <a:off x="0" y="0"/>
                      <a:ext cx="3896360" cy="2917825"/>
                    </a:xfrm>
                    <a:prstGeom prst="rect">
                      <a:avLst/>
                    </a:prstGeom>
                    <a:noFill/>
                    <a:ln w="9525">
                      <a:solidFill>
                        <a:schemeClr val="tx1"/>
                      </a:solidFill>
                      <a:miter lim="800000"/>
                      <a:headEnd/>
                      <a:tailEnd/>
                    </a:ln>
                  </pic:spPr>
                </pic:pic>
              </a:graphicData>
            </a:graphic>
          </wp:inline>
        </w:drawing>
      </w:r>
    </w:p>
    <w:p w:rsidR="00DD07AF" w:rsidRDefault="005C5386" w:rsidP="005C5386">
      <w:pPr>
        <w:pStyle w:val="Caption"/>
      </w:pPr>
      <w:bookmarkStart w:id="694" w:name="_Ref334711799"/>
      <w:r w:rsidRPr="00EA5A48">
        <w:t xml:space="preserve">Figure </w:t>
      </w:r>
      <w:r w:rsidR="00E23933" w:rsidRPr="00EA5A48">
        <w:rPr>
          <w:b/>
        </w:rPr>
        <w:fldChar w:fldCharType="begin"/>
      </w:r>
      <w:r w:rsidRPr="00EA5A48">
        <w:instrText xml:space="preserve"> SEQ Figure \* ARABIC </w:instrText>
      </w:r>
      <w:r w:rsidR="00E23933" w:rsidRPr="00EA5A48">
        <w:rPr>
          <w:b/>
        </w:rPr>
        <w:fldChar w:fldCharType="separate"/>
      </w:r>
      <w:r w:rsidR="00A62253">
        <w:t>34</w:t>
      </w:r>
      <w:r w:rsidR="00E23933" w:rsidRPr="00EA5A48">
        <w:rPr>
          <w:b/>
        </w:rPr>
        <w:fldChar w:fldCharType="end"/>
      </w:r>
      <w:r>
        <w:rPr>
          <w:b/>
        </w:rPr>
        <w:t xml:space="preserve"> </w:t>
      </w:r>
      <w:bookmarkEnd w:id="694"/>
      <w:r w:rsidR="00DD07AF">
        <w:t xml:space="preserve">Oblique view of Bandanna Formation with simulated piezometric surface at </w:t>
      </w:r>
      <w:r w:rsidR="00A11676">
        <w:t xml:space="preserve">the years </w:t>
      </w:r>
      <w:r w:rsidR="00DD07AF">
        <w:t>2015, 2025 and 2045.</w:t>
      </w:r>
    </w:p>
    <w:p w:rsidR="00DD07AF" w:rsidRDefault="00DD07AF" w:rsidP="005F6513">
      <w:pPr>
        <w:pStyle w:val="Heading2"/>
      </w:pPr>
      <w:bookmarkStart w:id="695" w:name="_Toc334711997"/>
      <w:bookmarkStart w:id="696" w:name="_Toc381961184"/>
      <w:bookmarkStart w:id="697" w:name="_Toc389055260"/>
      <w:r>
        <w:lastRenderedPageBreak/>
        <w:t xml:space="preserve">Aquifer </w:t>
      </w:r>
      <w:r w:rsidRPr="00C26C02">
        <w:t>connectivity</w:t>
      </w:r>
      <w:bookmarkEnd w:id="695"/>
      <w:bookmarkEnd w:id="696"/>
      <w:bookmarkEnd w:id="697"/>
    </w:p>
    <w:p w:rsidR="00DD07AF" w:rsidRDefault="00DD07AF" w:rsidP="00C26C02">
      <w:pPr>
        <w:pStyle w:val="BRNormal"/>
      </w:pPr>
      <w:r>
        <w:t xml:space="preserve">Coal mining has been a constant occurrence in the Bowen Basin for over one hundred years. Over time, shallow open-pit mining operations have evolved into deeper underground mines and large-scale CSG fields. To date, </w:t>
      </w:r>
      <w:r w:rsidRPr="00B41C8E">
        <w:t xml:space="preserve">the potential </w:t>
      </w:r>
      <w:r>
        <w:t xml:space="preserve">for </w:t>
      </w:r>
      <w:r w:rsidRPr="00B41C8E">
        <w:t xml:space="preserve">connectivity between </w:t>
      </w:r>
      <w:r w:rsidR="008D18D9">
        <w:t>coal</w:t>
      </w:r>
      <w:r w:rsidRPr="00B41C8E">
        <w:t xml:space="preserve"> seams</w:t>
      </w:r>
      <w:r>
        <w:t xml:space="preserve"> and overlying</w:t>
      </w:r>
      <w:r w:rsidRPr="00B41C8E">
        <w:t xml:space="preserve"> aquifers </w:t>
      </w:r>
      <w:r>
        <w:t>has usually been assessed at the local scale of the mining operation, and not at the cumulative basin-scale.</w:t>
      </w:r>
    </w:p>
    <w:p w:rsidR="00DD07AF" w:rsidRDefault="00DD07AF" w:rsidP="00E87496">
      <w:pPr>
        <w:pStyle w:val="BRNormal"/>
      </w:pPr>
      <w:r>
        <w:t>In the south of the Basin, the significant vertical thickness of the low permeability Rewan Group is relied upon as a regional hydraulic seal between the coal seams in the Bandanna Formation and the overlying Clematis Group sandstones. The effectiveness of this seal has not been field-validated, although groundwate</w:t>
      </w:r>
      <w:r w:rsidR="00714EB5">
        <w:t>r modelling by QWC (2012c) seemed</w:t>
      </w:r>
      <w:r>
        <w:t xml:space="preserve"> to support its role as a significant barrier to vertical flow (with exceptions as described in Section 7.8). This modelling does not account for faults or other structural features to enhance preferential flow through the Rewan Group aquitard (</w:t>
      </w:r>
      <w:r w:rsidR="00714EB5">
        <w:t xml:space="preserve">e.g. </w:t>
      </w:r>
      <w:r w:rsidRPr="00193819">
        <w:t xml:space="preserve">Brown (1981) </w:t>
      </w:r>
      <w:r>
        <w:t xml:space="preserve">attributed hydrocarbon occurrences within the Clematis Group to fault-induced </w:t>
      </w:r>
      <w:r w:rsidRPr="00193819">
        <w:t>hydraulic pathways across the Rewan Group seal</w:t>
      </w:r>
      <w:r>
        <w:t>)</w:t>
      </w:r>
      <w:r w:rsidRPr="00193819">
        <w:t>.</w:t>
      </w:r>
      <w:r>
        <w:t xml:space="preserve"> The modelling predictions will only be as reliable as the quality of the physical data and knowledge that are used to construct and constrain the model. As discussed in Section 7.2.1, the catalogue of </w:t>
      </w:r>
      <w:r w:rsidR="00636914">
        <w:t>horizontal and vertical hydraulic conductivity</w:t>
      </w:r>
      <w:r>
        <w:t xml:space="preserve"> estimates for the major HSUs needs to be continually revised and improved as longer-term stress testing becomes available. The regional </w:t>
      </w:r>
      <w:r w:rsidR="00636914">
        <w:t xml:space="preserve">vertical hydraulic conductivity </w:t>
      </w:r>
      <w:r>
        <w:t xml:space="preserve">values should ideally be based on regional field tests that have been completed for a sufficient period of time to generate vertical flow at the scale of the HSU. Longer-term field testing will also enable better understanding of the influence of regional-scale faults, fractures, facies changes and leaky bores on regional </w:t>
      </w:r>
      <w:r w:rsidR="00636914">
        <w:t xml:space="preserve">vertical hydraulic conductivity </w:t>
      </w:r>
      <w:r>
        <w:t xml:space="preserve">values. QWC (2012a; 2012c) have acknowledged </w:t>
      </w:r>
      <w:r w:rsidR="00636914">
        <w:t>these uncertainties</w:t>
      </w:r>
      <w:r>
        <w:t xml:space="preserve"> and have adopted an adaptive management approach to the Surat CMA. </w:t>
      </w:r>
    </w:p>
    <w:p w:rsidR="00DD07AF" w:rsidRDefault="00DD07AF" w:rsidP="00E87496">
      <w:pPr>
        <w:pStyle w:val="BRNormal"/>
        <w:rPr>
          <w:szCs w:val="20"/>
        </w:rPr>
      </w:pPr>
      <w:r>
        <w:t>The significant vertical th</w:t>
      </w:r>
      <w:r w:rsidR="00636914">
        <w:t>ickness of the low permeability</w:t>
      </w:r>
      <w:r>
        <w:t xml:space="preserve"> Moolayember Formation provides another hydraulic barrier between the coal seams and the overlying sandstone aquifers of the GAB. </w:t>
      </w:r>
      <w:r w:rsidRPr="00123762">
        <w:rPr>
          <w:szCs w:val="20"/>
        </w:rPr>
        <w:t xml:space="preserve">However, the Moolayember Formation is not </w:t>
      </w:r>
      <w:r>
        <w:rPr>
          <w:szCs w:val="20"/>
        </w:rPr>
        <w:t xml:space="preserve">a continuous geological unit </w:t>
      </w:r>
      <w:r w:rsidR="00636914">
        <w:rPr>
          <w:szCs w:val="20"/>
        </w:rPr>
        <w:t>across the Basin</w:t>
      </w:r>
      <w:r>
        <w:rPr>
          <w:szCs w:val="20"/>
        </w:rPr>
        <w:t xml:space="preserve"> and</w:t>
      </w:r>
      <w:r w:rsidR="00636914">
        <w:rPr>
          <w:szCs w:val="20"/>
        </w:rPr>
        <w:t xml:space="preserve"> for this reason</w:t>
      </w:r>
      <w:r w:rsidRPr="00123762">
        <w:rPr>
          <w:szCs w:val="20"/>
        </w:rPr>
        <w:t xml:space="preserve"> the upper </w:t>
      </w:r>
      <w:r>
        <w:rPr>
          <w:szCs w:val="20"/>
        </w:rPr>
        <w:t>HSUs</w:t>
      </w:r>
      <w:r w:rsidRPr="00123762">
        <w:rPr>
          <w:szCs w:val="20"/>
        </w:rPr>
        <w:t xml:space="preserve"> (Rewan Group, Clematis Sandstone and the Moolayember Formation) of the Bowen Basin are considered to be in hydraulic co</w:t>
      </w:r>
      <w:r>
        <w:rPr>
          <w:szCs w:val="20"/>
        </w:rPr>
        <w:t>nnection</w:t>
      </w:r>
      <w:r w:rsidR="00636914">
        <w:rPr>
          <w:szCs w:val="20"/>
        </w:rPr>
        <w:t xml:space="preserve"> at a regional scale</w:t>
      </w:r>
      <w:r w:rsidRPr="00123762">
        <w:rPr>
          <w:szCs w:val="20"/>
        </w:rPr>
        <w:t xml:space="preserve"> with the aquifers of the Surat Basin. This </w:t>
      </w:r>
      <w:r>
        <w:rPr>
          <w:szCs w:val="20"/>
        </w:rPr>
        <w:t xml:space="preserve">connection </w:t>
      </w:r>
      <w:r w:rsidRPr="00123762">
        <w:rPr>
          <w:szCs w:val="20"/>
        </w:rPr>
        <w:t>is reflected by the similar ground</w:t>
      </w:r>
      <w:r>
        <w:rPr>
          <w:szCs w:val="20"/>
        </w:rPr>
        <w:t xml:space="preserve">water chemistries of these Bowen Basin HSUs and the overlying GAB aquifers </w:t>
      </w:r>
      <w:r w:rsidRPr="00123762">
        <w:rPr>
          <w:szCs w:val="20"/>
        </w:rPr>
        <w:t>(Hennig</w:t>
      </w:r>
      <w:r w:rsidR="00E87496">
        <w:rPr>
          <w:szCs w:val="20"/>
        </w:rPr>
        <w:t xml:space="preserve"> 2005</w:t>
      </w:r>
      <w:r w:rsidR="00636914">
        <w:rPr>
          <w:szCs w:val="20"/>
        </w:rPr>
        <w:t>).</w:t>
      </w:r>
      <w:r>
        <w:rPr>
          <w:szCs w:val="20"/>
        </w:rPr>
        <w:t xml:space="preserve"> The mechanisms and timescales for these interactions are poorly understood.</w:t>
      </w:r>
    </w:p>
    <w:p w:rsidR="006D019E" w:rsidRDefault="00043407" w:rsidP="00E87496">
      <w:pPr>
        <w:pStyle w:val="BRNormal"/>
      </w:pPr>
      <w:r>
        <w:t>Bradshaw et al</w:t>
      </w:r>
      <w:r w:rsidR="006D019E">
        <w:t>. (2009)</w:t>
      </w:r>
      <w:r>
        <w:t xml:space="preserve"> have conducted significant research on the potential for carbon geostorage across a number of basins in Queensl</w:t>
      </w:r>
      <w:r w:rsidR="006D019E">
        <w:t>and, including the Bowen Basin. They concluded that the presence of thrust fault systems in the eastern parts of the Taroom Trough and extensive faulting in the northern Basin compromised the potential integrity of seals (</w:t>
      </w:r>
      <w:r w:rsidR="00636914">
        <w:t xml:space="preserve">i.e. </w:t>
      </w:r>
      <w:r w:rsidR="006D019E">
        <w:t>Moolayember Formation and basal Snake Creek Mudstone) and made these areas unsuitable for</w:t>
      </w:r>
      <w:r w:rsidR="00636914">
        <w:t xml:space="preserve"> carbon dioxide (</w:t>
      </w:r>
      <w:r w:rsidR="006D019E">
        <w:t>CO</w:t>
      </w:r>
      <w:r w:rsidR="006D019E">
        <w:rPr>
          <w:vertAlign w:val="subscript"/>
        </w:rPr>
        <w:t>2</w:t>
      </w:r>
      <w:r w:rsidR="00636914">
        <w:t xml:space="preserve">) </w:t>
      </w:r>
      <w:r w:rsidR="006D019E">
        <w:t xml:space="preserve">storage.    </w:t>
      </w:r>
    </w:p>
    <w:p w:rsidR="00DD07AF" w:rsidRDefault="00DD07AF" w:rsidP="00E87496">
      <w:pPr>
        <w:pStyle w:val="BRNormal"/>
      </w:pPr>
      <w:r>
        <w:t>The heterogeneity within each of the major Bowen Basin HSUs is acknowledged in the published geology and hydrogeology literature. As mentioned in Section 7.1.4, grouping these regionally-extensive geological units into hydrostratigraphic units (HSUs) simplifies the process of analysing the interconnectivity of</w:t>
      </w:r>
      <w:r w:rsidR="009A1C2B">
        <w:t xml:space="preserve"> aquifers and aquitards at the B</w:t>
      </w:r>
      <w:r>
        <w:t>asin-scale and also allows the potential for cumulative impacts to be considered. These HSUs can be readily and conveniently used within groundwater models to represent packages of sediment that span hundreds of kilometres and can be hundreds to thousands of metres thick. In reality, within a given HSU, there are countless facies changes (both horizontally and vertically) from fine-grained units (</w:t>
      </w:r>
      <w:r w:rsidR="009A1C2B">
        <w:t>e.g. mudstones and</w:t>
      </w:r>
      <w:r>
        <w:t xml:space="preserve"> shales) to coarser-grained units (</w:t>
      </w:r>
      <w:r w:rsidR="009A1C2B">
        <w:t xml:space="preserve">e.g. </w:t>
      </w:r>
      <w:r>
        <w:lastRenderedPageBreak/>
        <w:t>sands</w:t>
      </w:r>
      <w:r w:rsidR="009A1C2B">
        <w:t>tones). There are also complex B</w:t>
      </w:r>
      <w:r>
        <w:t>asin-wide erosion events that can remove large sections of a sedimentary profile and other zones that are altered post-deposition (e.g. cementation). Hy</w:t>
      </w:r>
      <w:r w:rsidR="009A1C2B">
        <w:t>drogeological ‘expert knowledge’</w:t>
      </w:r>
      <w:r>
        <w:t xml:space="preserve"> is used to account for all of these geological parameters when defining the over-riding hydraulic functioning of a given </w:t>
      </w:r>
      <w:r w:rsidR="009A1C2B">
        <w:t>HSU. Given that the geological ‘unknowns’</w:t>
      </w:r>
      <w:r>
        <w:t xml:space="preserve"> in such a massive basin are f</w:t>
      </w:r>
      <w:r w:rsidR="009A1C2B">
        <w:t>ar greater than the geological ‘knowns’</w:t>
      </w:r>
      <w:r>
        <w:t xml:space="preserve">, targeted ongoing groundwater investigations and monitoring of all of the major HSUs must continue to be undertaken to provide valuable data and information on how the actual bulk aquifers and aquitards behave under natural or developed conditions.  </w:t>
      </w:r>
    </w:p>
    <w:p w:rsidR="00DD07AF" w:rsidRDefault="00DD07AF" w:rsidP="00E87496">
      <w:pPr>
        <w:pStyle w:val="BRNormal"/>
      </w:pPr>
      <w:r>
        <w:t>A known example of geological control on interconnectivity in the Bowen Basin is discussed in Sections 7.1.6.1 and 7.8. Significant erosion of the Clematis Group and Rewan Group in a narrow area where the Mo</w:t>
      </w:r>
      <w:r w:rsidR="009A1C2B">
        <w:t>olayember Formation pinches out</w:t>
      </w:r>
      <w:r>
        <w:t xml:space="preserve"> has led to direct hydraulic connection between the Bandanna Formation and the Precipice Sandstone in the near vicinity of the Spring Gully gas field. </w:t>
      </w:r>
      <w:r w:rsidRPr="007F355E">
        <w:t>The groundwater quality of the Late Permian coal seams (</w:t>
      </w:r>
      <w:r w:rsidR="009A1C2B">
        <w:t xml:space="preserve">i.e. </w:t>
      </w:r>
      <w:r w:rsidRPr="007F355E">
        <w:t>Moranbah Coal Measures, Bandanna Formation and Baralaba Coal Measures) is generally very poor and has</w:t>
      </w:r>
      <w:r>
        <w:t xml:space="preserve"> been characterised</w:t>
      </w:r>
      <w:r w:rsidRPr="007F355E">
        <w:t xml:space="preserve"> by DERM (2011) as </w:t>
      </w:r>
      <w:r>
        <w:t xml:space="preserve">being </w:t>
      </w:r>
      <w:r w:rsidRPr="007F355E">
        <w:t>saline.</w:t>
      </w:r>
      <w:r>
        <w:t xml:space="preserve"> </w:t>
      </w:r>
      <w:r w:rsidRPr="00A24E56">
        <w:t>Draper and Boreham (2006) have noted</w:t>
      </w:r>
      <w:r>
        <w:t xml:space="preserve"> that coal seam waters abstracted from</w:t>
      </w:r>
      <w:r w:rsidRPr="007F355E">
        <w:t xml:space="preserve"> CSG operations in the Fairview and Spring Gully fields show a wide range of salinity values and ionic compositions, </w:t>
      </w:r>
      <w:r>
        <w:t xml:space="preserve">which may </w:t>
      </w:r>
      <w:r w:rsidRPr="007F355E">
        <w:t xml:space="preserve">reflect the influx of water to </w:t>
      </w:r>
      <w:r>
        <w:t>the coal seams from shallower depths (i.e. the Precipice Sandstone)</w:t>
      </w:r>
      <w:r w:rsidRPr="007F355E">
        <w:t>.</w:t>
      </w:r>
    </w:p>
    <w:p w:rsidR="00DD07AF" w:rsidRPr="00296DDF" w:rsidRDefault="00DD07AF" w:rsidP="00E87496">
      <w:pPr>
        <w:pStyle w:val="BRNormal"/>
      </w:pPr>
      <w:r>
        <w:t xml:space="preserve">The groundwater flowpaths within and between HSUs in the Bowen Basin </w:t>
      </w:r>
      <w:r w:rsidR="009A1C2B">
        <w:t>are poorly understood</w:t>
      </w:r>
      <w:r>
        <w:t xml:space="preserve"> and </w:t>
      </w:r>
      <w:r w:rsidR="009A1C2B">
        <w:t>are</w:t>
      </w:r>
      <w:r>
        <w:t xml:space="preserve"> based on a very limited spatial and temporal monitoring record. It is generally accepted that the deeper reservoirs beneath the Rewan Group aquitard are considered to have very low </w:t>
      </w:r>
      <w:r w:rsidR="009A1C2B">
        <w:t>permeability, negligible yields</w:t>
      </w:r>
      <w:r>
        <w:t xml:space="preserve"> and are not considered to be at risk of being impacted by depressurisation of overlying coal seams. </w:t>
      </w:r>
    </w:p>
    <w:p w:rsidR="00DD07AF" w:rsidRDefault="00DD07AF" w:rsidP="00E87496">
      <w:pPr>
        <w:pStyle w:val="BRNormal"/>
        <w:rPr>
          <w:rFonts w:asciiTheme="majorHAnsi" w:hAnsiTheme="majorHAnsi"/>
        </w:rPr>
      </w:pPr>
      <w:r>
        <w:t>As summarised in Section 7.1.3, the Bowen Basin has undergone major periods of crustal shortening and basin strain during the Triassic period. These tectonic pressures have led to major folding, faulting and fracturing of HSUs within the Basin, to the point that the</w:t>
      </w:r>
      <w:r w:rsidRPr="00736D24">
        <w:t xml:space="preserve"> Bandanna Formation</w:t>
      </w:r>
      <w:r>
        <w:t xml:space="preserve"> has been fully displaced</w:t>
      </w:r>
      <w:r w:rsidRPr="00736D24">
        <w:t xml:space="preserve"> in the Jellinbah Thrust Belt (QWC 2012a).</w:t>
      </w:r>
      <w:r>
        <w:t xml:space="preserve"> The influence that these major structural changes have on enhancing or reducing connectivity between the Late Permian coal seams and the overlying </w:t>
      </w:r>
      <w:r w:rsidRPr="00E87496">
        <w:t>aquifers (including the Clematis Group sandstones and other overlying GAB aqui</w:t>
      </w:r>
      <w:r w:rsidR="009A1C2B">
        <w:t>fers) is unknown at this stage.</w:t>
      </w:r>
      <w:r w:rsidRPr="00E87496">
        <w:t xml:space="preserve"> As described in Section 7.3.2, the QWC (2012a) have concluded that fault structures in the Bowen Basin may influence regional groundwater flow within the Basin, either as pathways or barriers</w:t>
      </w:r>
      <w:r w:rsidR="009A1C2B">
        <w:t>;</w:t>
      </w:r>
      <w:r w:rsidRPr="00E87496">
        <w:t xml:space="preserve"> however, these influences are not likely to extend to the overlying GAB aquifers in the Surat Basin. Further study and targeted monitoring is required to validate this assumption.</w:t>
      </w:r>
      <w:r>
        <w:rPr>
          <w:rFonts w:asciiTheme="majorHAnsi" w:hAnsiTheme="majorHAnsi"/>
        </w:rPr>
        <w:t xml:space="preserve"> </w:t>
      </w:r>
    </w:p>
    <w:p w:rsidR="00DD07AF" w:rsidRDefault="00DD07AF" w:rsidP="00E87496">
      <w:pPr>
        <w:pStyle w:val="BRNormal"/>
      </w:pPr>
      <w:r>
        <w:t xml:space="preserve">Groundwater modelling </w:t>
      </w:r>
      <w:r w:rsidR="006701A9">
        <w:t xml:space="preserve">(MODFLOW) </w:t>
      </w:r>
      <w:r>
        <w:t>by the QWC (2012c) has indicated that the Clematis Group aquifer will have long-term drawdown impacts in discrete areas as a direct result of depressurisation of the Bandanna Formation. It is unlikely that the groundwater model has captured the influence of the many structural elements across the Basin. QWC (2012c) acknowledge</w:t>
      </w:r>
      <w:r w:rsidR="00714EB5">
        <w:t>d</w:t>
      </w:r>
      <w:r>
        <w:t xml:space="preserve"> that the potential effect of faults and other structural features on the development of impacts from CSG abstraction is poorly understood, and have recommended further work be undertaken to understand the impacts faults may have on groundwater flow within the Surat CMA.     </w:t>
      </w:r>
    </w:p>
    <w:p w:rsidR="00DD07AF" w:rsidRPr="000271DA" w:rsidRDefault="00DD07AF" w:rsidP="00E87496">
      <w:pPr>
        <w:pStyle w:val="BRNormal"/>
      </w:pPr>
      <w:r w:rsidRPr="000271DA">
        <w:t>In the north of the Basin</w:t>
      </w:r>
      <w:r>
        <w:t>, the connectivity between the coal seams (the Moranbah Coal Measures, Fort Cooper Coal Measures and Rangal Coal Measures) and the overlying alluvial and Tertiary basalt aquifers is po</w:t>
      </w:r>
      <w:r w:rsidR="00C76142">
        <w:t>orly understood. No cumulative B</w:t>
      </w:r>
      <w:r>
        <w:t>asin-scale assessment of interc</w:t>
      </w:r>
      <w:r w:rsidR="00C76142">
        <w:t>onnectivity has been conducted.</w:t>
      </w:r>
      <w:r>
        <w:t xml:space="preserve"> Additionally, the role that the Moolayember Formation, Rewan Group and Clematis Group sands</w:t>
      </w:r>
      <w:r w:rsidR="00C76142">
        <w:t>tones play in the north of the B</w:t>
      </w:r>
      <w:r>
        <w:t xml:space="preserve">asin is unknown.  </w:t>
      </w:r>
    </w:p>
    <w:p w:rsidR="00DD07AF" w:rsidRDefault="00823AF5" w:rsidP="005F6513">
      <w:pPr>
        <w:pStyle w:val="Heading2"/>
      </w:pPr>
      <w:bookmarkStart w:id="698" w:name="_Toc334711998"/>
      <w:bookmarkStart w:id="699" w:name="_Toc381961185"/>
      <w:bookmarkStart w:id="700" w:name="_Toc389055261"/>
      <w:r>
        <w:lastRenderedPageBreak/>
        <w:t>Knowledge g</w:t>
      </w:r>
      <w:r w:rsidR="00DD07AF">
        <w:t>aps</w:t>
      </w:r>
      <w:bookmarkEnd w:id="698"/>
      <w:bookmarkEnd w:id="699"/>
      <w:bookmarkEnd w:id="700"/>
    </w:p>
    <w:p w:rsidR="00DD07AF" w:rsidRDefault="00DD07AF" w:rsidP="00E87496">
      <w:pPr>
        <w:pStyle w:val="BRNormal"/>
      </w:pPr>
      <w:r>
        <w:t>The following key knowledge gaps have been identified in this review:</w:t>
      </w:r>
    </w:p>
    <w:p w:rsidR="00DD07AF" w:rsidRPr="001340A3" w:rsidRDefault="00DD07AF" w:rsidP="00E87496">
      <w:pPr>
        <w:pStyle w:val="Bulletpoint"/>
      </w:pPr>
      <w:r w:rsidRPr="001340A3">
        <w:t xml:space="preserve">A significant portion of the southern </w:t>
      </w:r>
      <w:r w:rsidR="00C76142">
        <w:t xml:space="preserve">Bowen </w:t>
      </w:r>
      <w:r w:rsidRPr="001340A3">
        <w:t>Basin is deeply buried by the Surat Basin sediments (particularly in the Taroom Trough and Denison Trough) making these HSUs relatively inaccessible for groundwater monitoring and hydraulic testing purposes. It is widely believed that hydraulic conductivity will reduce with depth in the Basin, as the aquifer/aquitard material is compacted and fracture and fissure apert</w:t>
      </w:r>
      <w:r w:rsidR="00E87496">
        <w:t>ures close up and diminish (QWC</w:t>
      </w:r>
      <w:r w:rsidRPr="001340A3">
        <w:t xml:space="preserve"> 2012c). Further targeted testing in higher risk areas is needed to validate these assumptions.   </w:t>
      </w:r>
    </w:p>
    <w:p w:rsidR="00DD07AF" w:rsidRPr="001340A3" w:rsidRDefault="00DD07AF" w:rsidP="00E87496">
      <w:pPr>
        <w:pStyle w:val="Bulletpoint"/>
      </w:pPr>
      <w:r w:rsidRPr="001340A3">
        <w:t xml:space="preserve">The interconnectivity of coal seams, aquifers and aquitards in the northern Bowen Basin has not been studied or modelled at a regional, cumulative scale. Additionally, the connectivity of the northern Bowen Basin aquifers and water-bearing units and their equivalents in the southern Bowen Basin has only been addressed at a qualitative level. </w:t>
      </w:r>
    </w:p>
    <w:p w:rsidR="00DD07AF" w:rsidRPr="001340A3" w:rsidRDefault="00DD07AF" w:rsidP="00E87496">
      <w:pPr>
        <w:pStyle w:val="Bulletpoint"/>
      </w:pPr>
      <w:r w:rsidRPr="001340A3">
        <w:t>The role that the Moolayember Formation, Rewan Group and Clematis Group sandstones play with regards to interco</w:t>
      </w:r>
      <w:r w:rsidR="00C76142">
        <w:t>nnectivity in the north of the B</w:t>
      </w:r>
      <w:r w:rsidRPr="001340A3">
        <w:t>asin is unknown. The Clematis Group sandstones are believed to be under artesian pressures. No information was found regarding recharge rates into the northern intake beds of these HSUs.</w:t>
      </w:r>
    </w:p>
    <w:p w:rsidR="00DD07AF" w:rsidRPr="001340A3" w:rsidRDefault="00DD07AF" w:rsidP="00E87496">
      <w:pPr>
        <w:pStyle w:val="Bulletpoint"/>
      </w:pPr>
      <w:r w:rsidRPr="001340A3">
        <w:t>The mechanisms and timescales for the interactions between the Rewan Group, Clematis Sandstone and the Moolayember Formation and the overlying aquifers of the GAB are poorly understood. Groundwater geochemistry signatures suggest some degree of interconnection between the HSUs.</w:t>
      </w:r>
    </w:p>
    <w:p w:rsidR="00DD07AF" w:rsidRPr="001340A3" w:rsidRDefault="00DD07AF" w:rsidP="00E87496">
      <w:pPr>
        <w:pStyle w:val="Bulletpoint"/>
      </w:pPr>
      <w:r w:rsidRPr="001340A3">
        <w:t xml:space="preserve">It is widely accepted that the two major aquitards in the Bowen Basin (the Rewan Group and the Moolayember Formation) will provide an adequate regional hydraulic seal between the deeper Late Permian coal seams and overlying aquifers. Given that </w:t>
      </w:r>
      <w:r w:rsidR="00E87496">
        <w:t>these aquitards are up to 1</w:t>
      </w:r>
      <w:r w:rsidRPr="001340A3">
        <w:t>500 m thick suggests that they should provide significant resistance to vertical flow. Uncertainty remains with regards to:</w:t>
      </w:r>
    </w:p>
    <w:p w:rsidR="00DD07AF" w:rsidRPr="001340A3" w:rsidRDefault="00DD07AF" w:rsidP="00C76142">
      <w:pPr>
        <w:pStyle w:val="2ndbullet"/>
      </w:pPr>
      <w:r w:rsidRPr="001340A3">
        <w:t>Have these units have been compromised by structural deformation to enh</w:t>
      </w:r>
      <w:r w:rsidR="00C76142">
        <w:t>ance vertical hydraulic conductivity</w:t>
      </w:r>
      <w:r w:rsidRPr="001340A3">
        <w:t xml:space="preserve">? </w:t>
      </w:r>
    </w:p>
    <w:p w:rsidR="00DD07AF" w:rsidRPr="001340A3" w:rsidRDefault="00DD07AF" w:rsidP="00C76142">
      <w:pPr>
        <w:pStyle w:val="2ndbullet"/>
      </w:pPr>
      <w:r w:rsidRPr="001340A3">
        <w:t>Are there are any other major erosion features or pinch outs, as observed east of Injune, to enhance interconnectivity with overlying aquifers?</w:t>
      </w:r>
    </w:p>
    <w:p w:rsidR="00DD07AF" w:rsidRPr="001340A3" w:rsidRDefault="00DD07AF" w:rsidP="00E87496">
      <w:pPr>
        <w:pStyle w:val="Bulletpoint"/>
      </w:pPr>
      <w:r w:rsidRPr="001340A3">
        <w:t>Given the significant thicknesses of the actual HSUs in the Bowen Basin (e.g. thousands of metres in the Taroom Trough) it is likely that most of these units will be buried at far greater depths than the depths of the test bores, which are typically dril</w:t>
      </w:r>
      <w:r w:rsidR="00C76142">
        <w:t>led in accessible parts of the B</w:t>
      </w:r>
      <w:r w:rsidRPr="001340A3">
        <w:t xml:space="preserve">asin. It is expected that the hydraulic conductivity will reduce with depth, as the aquifer/aquitard material is compacted and fracture and fissure apertures close up. This could result in a reduction of bulk </w:t>
      </w:r>
      <w:r w:rsidR="00C76142">
        <w:t>horizontal hydraulic conductivity</w:t>
      </w:r>
      <w:r w:rsidR="00C76142" w:rsidRPr="001340A3">
        <w:t xml:space="preserve"> </w:t>
      </w:r>
      <w:r w:rsidRPr="001340A3">
        <w:t>values for HSUs, as compared to the current catalogue of expected values.</w:t>
      </w:r>
    </w:p>
    <w:p w:rsidR="00DD07AF" w:rsidRPr="001340A3" w:rsidRDefault="00DD07AF" w:rsidP="00E87496">
      <w:pPr>
        <w:pStyle w:val="Bulletpoint"/>
      </w:pPr>
      <w:r w:rsidRPr="001340A3">
        <w:t>The majority of the testing methods used t</w:t>
      </w:r>
      <w:r w:rsidR="0064790D">
        <w:t>o obtain</w:t>
      </w:r>
      <w:r w:rsidRPr="001340A3">
        <w:t xml:space="preserve"> the </w:t>
      </w:r>
      <w:r w:rsidR="0064790D">
        <w:t>horizontal hydraulic conductivity</w:t>
      </w:r>
      <w:r w:rsidR="0064790D" w:rsidRPr="001340A3">
        <w:t xml:space="preserve"> </w:t>
      </w:r>
      <w:r w:rsidRPr="001340A3">
        <w:t xml:space="preserve">and </w:t>
      </w:r>
      <w:r w:rsidR="0064790D">
        <w:t>vertical hydraulic conductivity</w:t>
      </w:r>
      <w:r w:rsidR="0064790D" w:rsidRPr="001340A3">
        <w:t xml:space="preserve"> </w:t>
      </w:r>
      <w:r w:rsidRPr="001340A3">
        <w:t xml:space="preserve">parameters </w:t>
      </w:r>
      <w:r w:rsidR="0064790D" w:rsidRPr="001340A3">
        <w:t>(</w:t>
      </w:r>
      <w:r w:rsidR="0064790D">
        <w:t xml:space="preserve">i.e. </w:t>
      </w:r>
      <w:r w:rsidR="0064790D" w:rsidRPr="001340A3">
        <w:t>pumping tests, core tests, drill stem tests)</w:t>
      </w:r>
      <w:r w:rsidR="0064790D">
        <w:t xml:space="preserve"> </w:t>
      </w:r>
      <w:r w:rsidRPr="001340A3">
        <w:t>only provide a very localised indication of aquifer properties (with the exception of larger pumping tests). They are not likely to be representative of the bulk aquifer proper</w:t>
      </w:r>
      <w:r w:rsidR="0064790D">
        <w:t>ties of the HSUs</w:t>
      </w:r>
      <w:r w:rsidRPr="001340A3">
        <w:t xml:space="preserve"> and should not be considered as such. The </w:t>
      </w:r>
      <w:r w:rsidR="0064790D">
        <w:t xml:space="preserve">vertical hydraulic </w:t>
      </w:r>
      <w:r w:rsidR="0064790D">
        <w:lastRenderedPageBreak/>
        <w:t>conductivity</w:t>
      </w:r>
      <w:r w:rsidR="0064790D" w:rsidRPr="001340A3">
        <w:t xml:space="preserve"> </w:t>
      </w:r>
      <w:r w:rsidRPr="001340A3">
        <w:t xml:space="preserve">estimates in particular are unlikely to reflect the regional properties of the aquitards, as the tests would not have been completed for a sufficient period of time to generate vertical flow at the scale of the HSU, and as such the regional bulk </w:t>
      </w:r>
      <w:r w:rsidR="0064790D">
        <w:t>vertical hydraulic conductivity</w:t>
      </w:r>
      <w:r w:rsidR="0064790D" w:rsidRPr="001340A3">
        <w:t xml:space="preserve"> </w:t>
      </w:r>
      <w:r w:rsidRPr="001340A3">
        <w:t xml:space="preserve">values may be greater than what </w:t>
      </w:r>
      <w:r w:rsidR="0064790D">
        <w:t>the local-scale tests indicate.</w:t>
      </w:r>
    </w:p>
    <w:p w:rsidR="00DD07AF" w:rsidRPr="001340A3" w:rsidRDefault="00DD07AF" w:rsidP="00E87496">
      <w:pPr>
        <w:pStyle w:val="Bulletpoint"/>
      </w:pPr>
      <w:r w:rsidRPr="001340A3">
        <w:t>Field hydraulic testing at the local scale also ignores the influence of regional-scale faults, fractures, facies changes and leaky bores, all of which can greatly</w:t>
      </w:r>
      <w:r w:rsidR="0064790D">
        <w:t xml:space="preserve"> influence regional vertical hydraulic conductivity</w:t>
      </w:r>
      <w:r w:rsidR="0064790D" w:rsidRPr="001340A3">
        <w:t xml:space="preserve"> </w:t>
      </w:r>
      <w:r w:rsidR="0064790D">
        <w:t>values.</w:t>
      </w:r>
    </w:p>
    <w:p w:rsidR="00DD07AF" w:rsidRPr="001340A3" w:rsidRDefault="00DD07AF" w:rsidP="00E87496">
      <w:pPr>
        <w:pStyle w:val="Bulletpoint"/>
      </w:pPr>
      <w:r w:rsidRPr="001340A3">
        <w:t>The hydraulic behaviour of faults is poorly understood in the Basin. Further targeted research is required to assess the influence of major regional structures on groundwater flow and interconnectivity. Given the size and depth of the Basin, research may need to be retrospective once groundwate</w:t>
      </w:r>
      <w:r w:rsidR="0064790D">
        <w:t>r level anomalies are detected.</w:t>
      </w:r>
    </w:p>
    <w:p w:rsidR="00DD07AF" w:rsidRPr="001340A3" w:rsidRDefault="00DD07AF" w:rsidP="00E87496">
      <w:pPr>
        <w:pStyle w:val="Bulletpoint"/>
      </w:pPr>
      <w:r w:rsidRPr="001340A3">
        <w:t>Currently, the geomechanical properties of the individual HSUs within the Bowen Basin are not described within the hydrogeology and geology literature.</w:t>
      </w:r>
    </w:p>
    <w:p w:rsidR="00DD07AF" w:rsidRPr="001340A3" w:rsidRDefault="00DD07AF" w:rsidP="00E87496">
      <w:pPr>
        <w:pStyle w:val="Bulletpoint"/>
      </w:pPr>
      <w:r w:rsidRPr="001340A3">
        <w:t>There is some disagreement regarding which aquifers comprise recharge intake beds. Habermehl (2002) listed the main intake beds as the Hooray, Hutton, Precipice and Clematis sandstone aquifers and their equivalent formations. Kellet et al. (2003) only describe the Hooray and Hutton Sandstones and suggest that recharge through other outcropping units is minimal. Groundwater modelling</w:t>
      </w:r>
      <w:r w:rsidR="006701A9" w:rsidRPr="001340A3">
        <w:t xml:space="preserve"> (MODFLOW)</w:t>
      </w:r>
      <w:r w:rsidRPr="001340A3">
        <w:t xml:space="preserve"> by QWC (2012c) has </w:t>
      </w:r>
      <w:r w:rsidR="00E617F3">
        <w:t>followed</w:t>
      </w:r>
      <w:r w:rsidRPr="001340A3">
        <w:t xml:space="preserve"> the Kellet et al. (2003) approach.  </w:t>
      </w:r>
    </w:p>
    <w:p w:rsidR="00DD07AF" w:rsidRPr="001340A3" w:rsidRDefault="00DD07AF" w:rsidP="00E87496">
      <w:pPr>
        <w:pStyle w:val="Bulletpoint"/>
      </w:pPr>
      <w:r w:rsidRPr="001340A3">
        <w:t xml:space="preserve">There is not enough spatial and temporal groundwater monitoring data for HSUs across the Bowen Basin to confidently interpret regional groundwater flow patterns. Conceptually, groundwater flow should flow from the outcropping recharge zones to the south and south-west along the direction of </w:t>
      </w:r>
      <w:r w:rsidR="00BF01BE">
        <w:t>dip in the Basin (WorleyParsons</w:t>
      </w:r>
      <w:r w:rsidRPr="001340A3">
        <w:t xml:space="preserve"> 2010</w:t>
      </w:r>
      <w:r w:rsidR="00BF01BE">
        <w:t>;</w:t>
      </w:r>
      <w:r w:rsidR="00BF01BE" w:rsidRPr="00BF01BE">
        <w:t xml:space="preserve"> </w:t>
      </w:r>
      <w:r w:rsidR="00BF01BE">
        <w:t>GABCC</w:t>
      </w:r>
      <w:r w:rsidR="00BF01BE" w:rsidRPr="001340A3">
        <w:t xml:space="preserve"> 1998</w:t>
      </w:r>
      <w:r w:rsidRPr="001340A3">
        <w:t xml:space="preserve">). </w:t>
      </w:r>
    </w:p>
    <w:p w:rsidR="00DD07AF" w:rsidRPr="001340A3" w:rsidRDefault="00DD07AF" w:rsidP="00E87496">
      <w:pPr>
        <w:pStyle w:val="Bulletpoint"/>
      </w:pPr>
      <w:r w:rsidRPr="001340A3">
        <w:t xml:space="preserve">There are only 33 groundwater level and quality monitoring sites for the five major Bowen Basin HSUs in the Surat CMA. The Clematis Group sandstones comprise approximately half of the current network. The significant depth of the HSUs within the Taroom and Denison Troughs precludes the practicality of installing more monitoring sites in the buried, down-gradient extents of the Bowen Basin. Most of the current sites are situated along the outcropping areas in the exposed parts of the </w:t>
      </w:r>
      <w:r w:rsidR="00A6039A">
        <w:t xml:space="preserve">Bowen </w:t>
      </w:r>
      <w:r w:rsidRPr="001340A3">
        <w:t>Basin.</w:t>
      </w:r>
    </w:p>
    <w:p w:rsidR="00DD07AF" w:rsidRPr="001340A3" w:rsidRDefault="00DD07AF" w:rsidP="00E87496">
      <w:pPr>
        <w:pStyle w:val="Bulletpoint"/>
      </w:pPr>
      <w:r w:rsidRPr="001340A3">
        <w:t xml:space="preserve">There is very little understanding of the vertical hydraulic gradients across the major HSUs in the southern and northern parts of the </w:t>
      </w:r>
      <w:r w:rsidR="00A6039A">
        <w:t xml:space="preserve">Bowen </w:t>
      </w:r>
      <w:r w:rsidRPr="001340A3">
        <w:t>Basin.</w:t>
      </w:r>
    </w:p>
    <w:p w:rsidR="00DD07AF" w:rsidRDefault="00DD07AF" w:rsidP="001C3374">
      <w:pPr>
        <w:pStyle w:val="Body"/>
      </w:pPr>
    </w:p>
    <w:p w:rsidR="00DD07AF" w:rsidRDefault="00DD07AF" w:rsidP="001C3374">
      <w:pPr>
        <w:pStyle w:val="Body"/>
      </w:pPr>
    </w:p>
    <w:p w:rsidR="00DD07AF" w:rsidRDefault="00DD07AF" w:rsidP="001C3374">
      <w:pPr>
        <w:pStyle w:val="Body"/>
      </w:pPr>
    </w:p>
    <w:p w:rsidR="00DD07AF" w:rsidRDefault="00DD07AF" w:rsidP="001C3374">
      <w:pPr>
        <w:rPr>
          <w:rFonts w:ascii="Calibri-Bold" w:hAnsi="Calibri-Bold" w:cs="Calibri-Bold"/>
          <w:color w:val="00AEEF"/>
          <w:sz w:val="48"/>
          <w:szCs w:val="48"/>
          <w:lang w:val="en-AU"/>
        </w:rPr>
      </w:pPr>
      <w:r>
        <w:rPr>
          <w:lang w:val="en-AU"/>
        </w:rPr>
        <w:br w:type="page"/>
      </w:r>
    </w:p>
    <w:p w:rsidR="00DD07AF" w:rsidRDefault="00BF01BE" w:rsidP="005F6513">
      <w:pPr>
        <w:pStyle w:val="Heading1"/>
      </w:pPr>
      <w:bookmarkStart w:id="701" w:name="_Toc334718185"/>
      <w:bookmarkStart w:id="702" w:name="_Toc381961186"/>
      <w:bookmarkStart w:id="703" w:name="_Toc389055262"/>
      <w:r>
        <w:lastRenderedPageBreak/>
        <w:t>Aquifer c</w:t>
      </w:r>
      <w:r w:rsidR="001857FC">
        <w:t xml:space="preserve">onnectivity in the </w:t>
      </w:r>
      <w:r w:rsidR="00DD07AF">
        <w:t>Galilee Basin</w:t>
      </w:r>
      <w:bookmarkEnd w:id="701"/>
      <w:bookmarkEnd w:id="702"/>
      <w:bookmarkEnd w:id="703"/>
    </w:p>
    <w:p w:rsidR="00DD07AF" w:rsidRDefault="00DD07AF" w:rsidP="00823AF5">
      <w:pPr>
        <w:pStyle w:val="BRNormal"/>
      </w:pPr>
      <w:r>
        <w:t xml:space="preserve">The Galilee Basin is </w:t>
      </w:r>
      <w:r w:rsidR="00511559">
        <w:t xml:space="preserve">a geological basin </w:t>
      </w:r>
      <w:r>
        <w:t>located in central-western Queens</w:t>
      </w:r>
      <w:r w:rsidR="001F21BF">
        <w:t>land covering approximately 247 </w:t>
      </w:r>
      <w:r w:rsidR="00823AF5">
        <w:t xml:space="preserve">000 </w:t>
      </w:r>
      <w:r w:rsidR="001F21BF">
        <w:t>km</w:t>
      </w:r>
      <w:r w:rsidR="001F21BF">
        <w:rPr>
          <w:vertAlign w:val="superscript"/>
        </w:rPr>
        <w:t>2</w:t>
      </w:r>
      <w:r w:rsidR="00823AF5">
        <w:t xml:space="preserve"> </w:t>
      </w:r>
      <w:r w:rsidR="001F21BF">
        <w:t xml:space="preserve">(Figure 1). </w:t>
      </w:r>
      <w:r>
        <w:t>It extends around 700</w:t>
      </w:r>
      <w:r w:rsidR="001F21BF">
        <w:t> km</w:t>
      </w:r>
      <w:r>
        <w:t xml:space="preserve"> from Charleville in the </w:t>
      </w:r>
      <w:r w:rsidR="00C74CF3">
        <w:t xml:space="preserve">south </w:t>
      </w:r>
      <w:r>
        <w:t>to near Charters Towers in the north, and from east to west around 550</w:t>
      </w:r>
      <w:r w:rsidR="001F21BF">
        <w:t> km</w:t>
      </w:r>
      <w:r>
        <w:t>, from east of Emerald to</w:t>
      </w:r>
      <w:r w:rsidR="00823AF5">
        <w:t xml:space="preserve"> Julia Creek in the northwest. </w:t>
      </w:r>
      <w:r>
        <w:t>The Galilee Basin is a geologically and hydrogeological diverse sedimentary basin, most of which is buried and outcropping only along the</w:t>
      </w:r>
      <w:r w:rsidR="009078BE">
        <w:t xml:space="preserve"> eastern boundary of the B</w:t>
      </w:r>
      <w:r w:rsidR="00823AF5">
        <w:t>asin.</w:t>
      </w:r>
      <w:r>
        <w:t xml:space="preserve"> </w:t>
      </w:r>
      <w:r w:rsidR="006D2D54">
        <w:t xml:space="preserve">The buried portion is overlain by strata of the Eromanga Basin, a geological basin that forms part of the GAB. </w:t>
      </w:r>
      <w:r>
        <w:t xml:space="preserve">Details of the geology and hydrogeology of the </w:t>
      </w:r>
      <w:r w:rsidR="001F21BF">
        <w:t>Galil</w:t>
      </w:r>
      <w:r w:rsidR="006D2D54">
        <w:t>e</w:t>
      </w:r>
      <w:r w:rsidR="001F21BF">
        <w:t>e</w:t>
      </w:r>
      <w:r w:rsidR="006D2D54">
        <w:t xml:space="preserve"> </w:t>
      </w:r>
      <w:r>
        <w:t xml:space="preserve">Basin are </w:t>
      </w:r>
      <w:r w:rsidR="00511559">
        <w:t xml:space="preserve">further </w:t>
      </w:r>
      <w:r>
        <w:t xml:space="preserve">described in </w:t>
      </w:r>
      <w:r w:rsidR="00511559">
        <w:t>Section 8.1.1</w:t>
      </w:r>
      <w:r>
        <w:t xml:space="preserve">.  </w:t>
      </w:r>
    </w:p>
    <w:p w:rsidR="00DD07AF" w:rsidRDefault="00DD07AF" w:rsidP="001F21BF">
      <w:pPr>
        <w:pStyle w:val="BRNormal"/>
      </w:pPr>
      <w:r>
        <w:t xml:space="preserve">Compared to the other sedimentary basins described in this report, the Galilee Basin remains relatively unexplored with respect to conventional petroleum, </w:t>
      </w:r>
      <w:r w:rsidR="001F21BF">
        <w:t>CSG</w:t>
      </w:r>
      <w:r>
        <w:t xml:space="preserve"> main previ</w:t>
      </w:r>
      <w:r w:rsidR="00BF01BE">
        <w:t>ous constraints (Holland et al. 2008).</w:t>
      </w:r>
      <w:r>
        <w:t xml:space="preserve"> However, successful exploration and production of CSG in the nearby Bowen and Surat Basins, along with plans for major transport links, have renewed interest in the </w:t>
      </w:r>
      <w:r w:rsidRPr="001F21BF">
        <w:t>Galilee</w:t>
      </w:r>
      <w:r>
        <w:t xml:space="preserve"> Basin and exploration activity has increased</w:t>
      </w:r>
      <w:r w:rsidR="001F21BF">
        <w:t xml:space="preserve"> significantly in recent years.</w:t>
      </w:r>
      <w:r>
        <w:t xml:space="preserve"> The following history of exploration in the Basin is summarised from </w:t>
      </w:r>
      <w:r w:rsidRPr="00F12313">
        <w:t>RLMS (2009):</w:t>
      </w:r>
      <w:r>
        <w:t xml:space="preserve"> </w:t>
      </w:r>
    </w:p>
    <w:p w:rsidR="00DD07AF" w:rsidRDefault="00DD07AF" w:rsidP="001F21BF">
      <w:pPr>
        <w:pStyle w:val="BRdotpoints"/>
      </w:pPr>
      <w:r w:rsidRPr="00D87F79">
        <w:t xml:space="preserve">Petroleum exploration in the Galilee Basin began </w:t>
      </w:r>
      <w:r>
        <w:t xml:space="preserve">around </w:t>
      </w:r>
      <w:r w:rsidRPr="00D87F79">
        <w:t>1959 and continued to the mid</w:t>
      </w:r>
      <w:r w:rsidR="001F21BF">
        <w:noBreakHyphen/>
      </w:r>
      <w:r w:rsidRPr="00D87F79">
        <w:t>1970s. This phase of exploration was focus</w:t>
      </w:r>
      <w:r w:rsidR="001F21BF">
        <w:t>s</w:t>
      </w:r>
      <w:r w:rsidRPr="00D87F79">
        <w:t>ed on the deep sandstone reservoirs of the Galilee Basin</w:t>
      </w:r>
      <w:r>
        <w:t xml:space="preserve"> with </w:t>
      </w:r>
      <w:r w:rsidRPr="00D87F79">
        <w:t>wells up to 2000</w:t>
      </w:r>
      <w:r>
        <w:t xml:space="preserve"> </w:t>
      </w:r>
      <w:r w:rsidRPr="00D87F79">
        <w:t xml:space="preserve">m </w:t>
      </w:r>
      <w:r>
        <w:t>deep</w:t>
      </w:r>
      <w:r w:rsidRPr="00D87F79">
        <w:t>.</w:t>
      </w:r>
    </w:p>
    <w:p w:rsidR="00DD07AF" w:rsidRDefault="00DD07AF" w:rsidP="001F21BF">
      <w:pPr>
        <w:pStyle w:val="BRdotpoints"/>
      </w:pPr>
      <w:r w:rsidRPr="00D87F79">
        <w:t>Early seismic exploration</w:t>
      </w:r>
      <w:r>
        <w:t xml:space="preserve"> occurred in the 1960s and 1970s, mainly by various exploration companies and some by </w:t>
      </w:r>
      <w:r w:rsidRPr="00D87F79">
        <w:t>the Bureau of Mineral Resources.</w:t>
      </w:r>
    </w:p>
    <w:p w:rsidR="00DD07AF" w:rsidRDefault="00DD07AF" w:rsidP="001F21BF">
      <w:pPr>
        <w:pStyle w:val="BRdotpoints"/>
      </w:pPr>
      <w:r>
        <w:t>There was a lull in exploration in the mid to late 1970s, followed by a second p</w:t>
      </w:r>
      <w:r w:rsidR="00BF01BE">
        <w:t>hase of exploration in the 1980</w:t>
      </w:r>
      <w:r>
        <w:t>s inclu</w:t>
      </w:r>
      <w:r w:rsidR="00BF01BE">
        <w:t>ding seismic and well drilling.</w:t>
      </w:r>
      <w:r>
        <w:t xml:space="preserve"> This phase was generally focu</w:t>
      </w:r>
      <w:r w:rsidR="001F21BF">
        <w:t>s</w:t>
      </w:r>
      <w:r>
        <w:t xml:space="preserve">ed on shallower targets with wells penetrating around 500 m. Thirty-one wells, and a further five stratigraphic bores were installed by the Queensland government in this phase, however no economic hydrocarbon discoveries were made.  </w:t>
      </w:r>
    </w:p>
    <w:p w:rsidR="00DD07AF" w:rsidRDefault="00DD07AF" w:rsidP="001F21BF">
      <w:pPr>
        <w:pStyle w:val="BRdotpoints"/>
      </w:pPr>
      <w:r>
        <w:t>Stratigraphic drilling by the Department of Mines/Geological Survey of Que</w:t>
      </w:r>
      <w:r w:rsidR="00BF01BE">
        <w:t xml:space="preserve">ensland occurred during 1970s. </w:t>
      </w:r>
      <w:r>
        <w:t xml:space="preserve">Two deep stratigraphic tests east of </w:t>
      </w:r>
      <w:r w:rsidR="00BF01BE">
        <w:t xml:space="preserve">Aramac were completed in 1974. </w:t>
      </w:r>
      <w:r>
        <w:t>Further drilling occurred in 1989 and 1990 to examine the stratigraphic relationship between the Aramac Coal Measures and the Jochmus Formation.</w:t>
      </w:r>
    </w:p>
    <w:p w:rsidR="00DD07AF" w:rsidRDefault="00DD07AF" w:rsidP="001F21BF">
      <w:pPr>
        <w:pStyle w:val="BRdotpoints"/>
      </w:pPr>
      <w:r>
        <w:t>There was high interest in 18 areas made available for Authority to Prospect (ATP) by the Department of Mines and Energy in 2008</w:t>
      </w:r>
      <w:r w:rsidR="007C1690">
        <w:t>.</w:t>
      </w:r>
      <w:r>
        <w:t xml:space="preserve"> Altogether a total of 67 applications by 11 companies for the 18</w:t>
      </w:r>
      <w:r w:rsidR="007C1690">
        <w:t xml:space="preserve"> areas available were received.</w:t>
      </w:r>
      <w:r>
        <w:t xml:space="preserve"> Petroleum exploration leas</w:t>
      </w:r>
      <w:r w:rsidR="007C1690">
        <w:t>es now almost cover the entire B</w:t>
      </w:r>
      <w:r>
        <w:t>asin, but the most active exploration is occ</w:t>
      </w:r>
      <w:r w:rsidR="00BF01BE">
        <w:t xml:space="preserve">urring in the northern region. </w:t>
      </w:r>
      <w:r>
        <w:t>Much of the eastern hal</w:t>
      </w:r>
      <w:r w:rsidR="007C1690">
        <w:t>f of the B</w:t>
      </w:r>
      <w:r>
        <w:t>asin i</w:t>
      </w:r>
      <w:r w:rsidR="00BF01BE">
        <w:t xml:space="preserve">s also covered by coal leases. </w:t>
      </w:r>
      <w:r>
        <w:t xml:space="preserve">There is significant overlap between coal and petroleum tenures.  </w:t>
      </w:r>
    </w:p>
    <w:p w:rsidR="00DD07AF" w:rsidRDefault="00DD07AF" w:rsidP="001F21BF">
      <w:pPr>
        <w:pStyle w:val="BRdotpoints"/>
      </w:pPr>
      <w:r>
        <w:t xml:space="preserve">On the margins of the </w:t>
      </w:r>
      <w:r w:rsidR="007C1690">
        <w:t>Galilee B</w:t>
      </w:r>
      <w:r>
        <w:t>asin there are some areas under applicati</w:t>
      </w:r>
      <w:r w:rsidR="00BF01BE">
        <w:t xml:space="preserve">on for geothermal exploration. </w:t>
      </w:r>
      <w:r>
        <w:t xml:space="preserve">These tenures are located where hot granites are inferred to lie close to the surface.  </w:t>
      </w:r>
    </w:p>
    <w:p w:rsidR="00DD07AF" w:rsidRDefault="00DD07AF" w:rsidP="00BF01BE">
      <w:pPr>
        <w:pStyle w:val="Bulletpoint"/>
      </w:pPr>
      <w:r>
        <w:lastRenderedPageBreak/>
        <w:t>The area is also of interest for potential geosequestration</w:t>
      </w:r>
      <w:r w:rsidR="00C74CF3">
        <w:t>:</w:t>
      </w:r>
      <w:r>
        <w:t xml:space="preserve"> in 2008 the </w:t>
      </w:r>
      <w:r w:rsidR="007C1690">
        <w:t>Cooperative Centre for Greenhouse Gas Technologies (</w:t>
      </w:r>
      <w:r>
        <w:t>CO2CRC</w:t>
      </w:r>
      <w:r w:rsidR="007C1690">
        <w:t>)</w:t>
      </w:r>
      <w:r>
        <w:t xml:space="preserve"> completed a regional study in the Galilee Basin looking for suitable areas for long-term </w:t>
      </w:r>
      <w:r w:rsidR="00E52014">
        <w:t>CO</w:t>
      </w:r>
      <w:r w:rsidR="00E52014" w:rsidRPr="007C1690">
        <w:rPr>
          <w:vertAlign w:val="subscript"/>
        </w:rPr>
        <w:t>2</w:t>
      </w:r>
      <w:r w:rsidR="00E52014">
        <w:t xml:space="preserve"> </w:t>
      </w:r>
      <w:r>
        <w:t xml:space="preserve">storage </w:t>
      </w:r>
      <w:r w:rsidR="00BF01BE">
        <w:t>(</w:t>
      </w:r>
      <w:r w:rsidR="00BF01BE" w:rsidRPr="00E52014">
        <w:t>Rawsthorn et al. 2009</w:t>
      </w:r>
      <w:r w:rsidR="00BF01BE">
        <w:t xml:space="preserve"> and Marsh et al. 2008</w:t>
      </w:r>
      <w:r w:rsidR="00E52014">
        <w:t>)</w:t>
      </w:r>
      <w:r>
        <w:t>.</w:t>
      </w:r>
    </w:p>
    <w:p w:rsidR="00E52014" w:rsidRPr="001340A3" w:rsidRDefault="007C1690" w:rsidP="00BF01BE">
      <w:pPr>
        <w:pStyle w:val="Bulletpoint"/>
      </w:pPr>
      <w:r>
        <w:t>At the time of writing (early 2013),</w:t>
      </w:r>
      <w:r w:rsidR="00DD07AF">
        <w:t xml:space="preserve"> there ha</w:t>
      </w:r>
      <w:r>
        <w:t>d</w:t>
      </w:r>
      <w:r w:rsidR="00DD07AF">
        <w:t xml:space="preserve"> been no commercial extraction of petroleum or coal from the Galilee Basin.</w:t>
      </w:r>
      <w:r w:rsidR="00DD07AF" w:rsidRPr="001340A3">
        <w:t xml:space="preserve"> </w:t>
      </w:r>
    </w:p>
    <w:p w:rsidR="00E52014" w:rsidRDefault="00E52014" w:rsidP="00BF01BE">
      <w:pPr>
        <w:pStyle w:val="BRNormal"/>
      </w:pPr>
      <w:r>
        <w:t>For this review, data from the early petroleum exploration phases has been sourced from the various Hawkins papers (</w:t>
      </w:r>
      <w:r w:rsidR="007C1690">
        <w:t>e.g. Hawkins &amp; Green</w:t>
      </w:r>
      <w:r w:rsidR="007C1690" w:rsidRPr="006E1435">
        <w:t xml:space="preserve"> 1993</w:t>
      </w:r>
      <w:r w:rsidR="007C1690">
        <w:t>; Jackson et al. 1981; Hawkins 1978</w:t>
      </w:r>
      <w:r>
        <w:t xml:space="preserve">), Marsh et al. (2008) and </w:t>
      </w:r>
      <w:r w:rsidRPr="00E52014">
        <w:t xml:space="preserve">Rawsthorn et al. </w:t>
      </w:r>
      <w:r>
        <w:t>(</w:t>
      </w:r>
      <w:r w:rsidRPr="00E52014">
        <w:t>2009</w:t>
      </w:r>
      <w:r>
        <w:t>).</w:t>
      </w:r>
    </w:p>
    <w:p w:rsidR="00DD07AF" w:rsidRPr="0010123B" w:rsidRDefault="00DD07AF" w:rsidP="005F6513">
      <w:pPr>
        <w:pStyle w:val="Heading2"/>
      </w:pPr>
      <w:bookmarkStart w:id="704" w:name="_Toc334718186"/>
      <w:bookmarkStart w:id="705" w:name="_Toc381961187"/>
      <w:bookmarkStart w:id="706" w:name="_Toc389055263"/>
      <w:r w:rsidRPr="00547FA1">
        <w:t xml:space="preserve">Major aquifer </w:t>
      </w:r>
      <w:r w:rsidRPr="00A62253">
        <w:t>and</w:t>
      </w:r>
      <w:r w:rsidRPr="00547FA1">
        <w:t xml:space="preserve"> aquitard stratigraphy</w:t>
      </w:r>
      <w:bookmarkEnd w:id="704"/>
      <w:bookmarkEnd w:id="705"/>
      <w:bookmarkEnd w:id="706"/>
    </w:p>
    <w:p w:rsidR="00DD07AF" w:rsidRPr="0010123B" w:rsidRDefault="00DD07AF" w:rsidP="005F6513">
      <w:pPr>
        <w:pStyle w:val="Heading3"/>
      </w:pPr>
      <w:bookmarkStart w:id="707" w:name="_Toc334718187"/>
      <w:bookmarkStart w:id="708" w:name="_Toc381961188"/>
      <w:r>
        <w:t>Geological summary</w:t>
      </w:r>
      <w:bookmarkEnd w:id="707"/>
      <w:bookmarkEnd w:id="708"/>
      <w:r>
        <w:t xml:space="preserve"> </w:t>
      </w:r>
    </w:p>
    <w:p w:rsidR="00DD07AF" w:rsidRDefault="00DD07AF" w:rsidP="000E4541">
      <w:pPr>
        <w:pStyle w:val="BRNormal"/>
      </w:pPr>
      <w:r>
        <w:t>The Galilee Basin is a sedimentary basin deposited during the Late Carboniferous to Middle Trias</w:t>
      </w:r>
      <w:r w:rsidR="000E4541">
        <w:t>sic period.</w:t>
      </w:r>
      <w:r>
        <w:t xml:space="preserve"> The architecture o</w:t>
      </w:r>
      <w:r w:rsidR="00C537C4">
        <w:t>f the B</w:t>
      </w:r>
      <w:r>
        <w:t>asin is largely controlled by overlying/underlying basins and basement topo</w:t>
      </w:r>
      <w:r w:rsidR="000E4541">
        <w:t>graphy, as shown in</w:t>
      </w:r>
      <w:r w:rsidR="00A62253">
        <w:t xml:space="preserve"> Figure 35</w:t>
      </w:r>
      <w:r w:rsidR="000E4541">
        <w:t>.</w:t>
      </w:r>
      <w:r w:rsidR="00C537C4">
        <w:t xml:space="preserve"> The eastern third of the B</w:t>
      </w:r>
      <w:r>
        <w:t>asin is underlain by the Drummond Basin (late Devonian to early Carboniferous age) and in the south by the Adava</w:t>
      </w:r>
      <w:r w:rsidR="00C537C4">
        <w:t>le B</w:t>
      </w:r>
      <w:r w:rsidR="000E4541">
        <w:t>asin (mainly Devonian age).</w:t>
      </w:r>
      <w:r>
        <w:t xml:space="preserve"> Figure </w:t>
      </w:r>
      <w:r w:rsidR="00A62253">
        <w:t>35</w:t>
      </w:r>
      <w:r>
        <w:t xml:space="preserve"> also shows the key basement features, including</w:t>
      </w:r>
      <w:r w:rsidR="00C537C4">
        <w:t xml:space="preserve"> the Mt Isa Inlier in the north-</w:t>
      </w:r>
      <w:r>
        <w:t>west, the Lolworth-Ravenswood Block in the north and the M</w:t>
      </w:r>
      <w:r w:rsidR="00C537C4">
        <w:t>aneroo Platform in the south. T</w:t>
      </w:r>
      <w:r>
        <w:t>hese basement rocks are predomin</w:t>
      </w:r>
      <w:r w:rsidR="000E4541">
        <w:t xml:space="preserve">antly early Palaeozoic in age. </w:t>
      </w:r>
      <w:r>
        <w:t>The Maneroo Platform formed a barrier between the eastern and western parts of the Basin during muc</w:t>
      </w:r>
      <w:r w:rsidR="000E4541">
        <w:t xml:space="preserve">h of its depositional history. </w:t>
      </w:r>
      <w:r>
        <w:t>The Galilee Basin is overlain by the Eromanga Basin (Jurassic-Cretaceous age), whic</w:t>
      </w:r>
      <w:r w:rsidR="000E4541">
        <w:t xml:space="preserve">h is formally part of the GAB. </w:t>
      </w:r>
      <w:r>
        <w:t>Note that the GAB is a h</w:t>
      </w:r>
      <w:r w:rsidR="00C537C4">
        <w:t>ydrogeologically based grouping</w:t>
      </w:r>
      <w:r>
        <w:t xml:space="preserve"> and is not based on stratigraphy or </w:t>
      </w:r>
      <w:r w:rsidR="00511559">
        <w:t xml:space="preserve">geological </w:t>
      </w:r>
      <w:r w:rsidR="00C537C4">
        <w:t>evolution</w:t>
      </w:r>
      <w:r>
        <w:t>. Down-warping of the Eromonga Basin (up to 1200 m thick over the Galilee Basin) imposed a regional south-westerly tilt on the sedim</w:t>
      </w:r>
      <w:r w:rsidR="000E4541">
        <w:t xml:space="preserve">entary sequence (Jackson et al. 1981). </w:t>
      </w:r>
      <w:r>
        <w:t>The relationship between the Galilee and Eromanga Basin</w:t>
      </w:r>
      <w:r w:rsidR="00C537C4">
        <w:t>s</w:t>
      </w:r>
      <w:r>
        <w:t xml:space="preserve"> is important, as the Eromanga Basin comprises significant regional aquifers.</w:t>
      </w:r>
    </w:p>
    <w:p w:rsidR="00DD07AF" w:rsidRDefault="00DD07AF" w:rsidP="000E4541">
      <w:pPr>
        <w:pStyle w:val="BRNormal"/>
      </w:pPr>
      <w:r>
        <w:t xml:space="preserve">The </w:t>
      </w:r>
      <w:r w:rsidR="00C537C4">
        <w:t>Galilee Basin is roughly ‘kidney-shaped’</w:t>
      </w:r>
      <w:r>
        <w:t xml:space="preserve"> and description</w:t>
      </w:r>
      <w:r w:rsidR="00E1557C">
        <w:t>s of the B</w:t>
      </w:r>
      <w:r>
        <w:t xml:space="preserve">asin commonly subdivides these </w:t>
      </w:r>
      <w:r w:rsidR="00E1557C">
        <w:t>two ‘lobes’, with the N</w:t>
      </w:r>
      <w:r>
        <w:t>orthern Galilee Basin approximately divided from the South by the 24°S line o</w:t>
      </w:r>
      <w:r w:rsidR="000E4541">
        <w:t xml:space="preserve">f latitude (refer Figure </w:t>
      </w:r>
      <w:r w:rsidR="00A62253">
        <w:t>35</w:t>
      </w:r>
      <w:r w:rsidR="000E4541">
        <w:t xml:space="preserve">). </w:t>
      </w:r>
      <w:r>
        <w:t>There are three main centres of de</w:t>
      </w:r>
      <w:r w:rsidR="000E4541">
        <w:t xml:space="preserve">position in the Galilee Basin. </w:t>
      </w:r>
      <w:r>
        <w:t xml:space="preserve">In the northern Basin there is the </w:t>
      </w:r>
      <w:r w:rsidRPr="00E1557C">
        <w:t>Koburra Trough</w:t>
      </w:r>
      <w:r>
        <w:t xml:space="preserve"> in the east (which contains the oldest formations) and the </w:t>
      </w:r>
      <w:r w:rsidRPr="00E1557C">
        <w:t>Lovelle Depression</w:t>
      </w:r>
      <w:r>
        <w:t xml:space="preserve"> in the west (which is the more distal part of the basin where deposition began much later and se</w:t>
      </w:r>
      <w:r w:rsidR="000E4541">
        <w:t xml:space="preserve">veral formations are missing). </w:t>
      </w:r>
      <w:r>
        <w:t>The Kob</w:t>
      </w:r>
      <w:r w:rsidR="00E1557C">
        <w:t>urra Trough contains up to 3000 </w:t>
      </w:r>
      <w:r>
        <w:t>m of sediments, whereas the Lovelle Depression around 730</w:t>
      </w:r>
      <w:r w:rsidR="00E1557C">
        <w:t> </w:t>
      </w:r>
      <w:r w:rsidR="000E4541">
        <w:t>m of sediments (Jackson et al. 1981).</w:t>
      </w:r>
      <w:r w:rsidR="00E1557C">
        <w:t xml:space="preserve"> Note that t</w:t>
      </w:r>
      <w:r>
        <w:t>he Ara</w:t>
      </w:r>
      <w:r w:rsidR="00A62253">
        <w:t>mac Depression, shown in Figure 35</w:t>
      </w:r>
      <w:r>
        <w:t>, is a smaller depositional cent</w:t>
      </w:r>
      <w:r w:rsidR="000E4541">
        <w:t xml:space="preserve">re within the Koburra Trough. </w:t>
      </w:r>
      <w:r>
        <w:t>The Koburra Trough and Lovelle Depression are sep</w:t>
      </w:r>
      <w:r w:rsidR="000E4541">
        <w:t>arated by the Maneroo Platform.</w:t>
      </w:r>
      <w:r>
        <w:t xml:space="preserve"> The </w:t>
      </w:r>
      <w:r w:rsidRPr="00E1557C">
        <w:t>Powell Depression</w:t>
      </w:r>
      <w:r>
        <w:t xml:space="preserve"> is the main depositional feature in the southern half of the Basin, with a</w:t>
      </w:r>
      <w:r w:rsidR="000E4541">
        <w:t xml:space="preserve"> thickness of up to 1400</w:t>
      </w:r>
      <w:r w:rsidR="00E1557C">
        <w:t> </w:t>
      </w:r>
      <w:r w:rsidR="000E4541">
        <w:t>m (RPS 2012 in AGL</w:t>
      </w:r>
      <w:r>
        <w:t xml:space="preserve"> 2012).  </w:t>
      </w:r>
    </w:p>
    <w:p w:rsidR="00DD07AF" w:rsidRDefault="00DD07AF" w:rsidP="001C3374">
      <w:pPr>
        <w:pStyle w:val="Body"/>
      </w:pPr>
      <w:r w:rsidRPr="00817212">
        <w:rPr>
          <w:noProof/>
          <w:lang w:val="en-AU" w:eastAsia="en-AU"/>
        </w:rPr>
        <w:lastRenderedPageBreak/>
        <w:drawing>
          <wp:inline distT="0" distB="0" distL="0" distR="0">
            <wp:extent cx="5267325" cy="5075143"/>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9" cstate="email"/>
                    <a:srcRect/>
                    <a:stretch>
                      <a:fillRect/>
                    </a:stretch>
                  </pic:blipFill>
                  <pic:spPr bwMode="auto">
                    <a:xfrm>
                      <a:off x="0" y="0"/>
                      <a:ext cx="5270723" cy="5078417"/>
                    </a:xfrm>
                    <a:prstGeom prst="rect">
                      <a:avLst/>
                    </a:prstGeom>
                    <a:noFill/>
                    <a:ln w="9525">
                      <a:noFill/>
                      <a:miter lim="800000"/>
                      <a:headEnd/>
                      <a:tailEnd/>
                    </a:ln>
                  </pic:spPr>
                </pic:pic>
              </a:graphicData>
            </a:graphic>
          </wp:inline>
        </w:drawing>
      </w:r>
    </w:p>
    <w:p w:rsidR="00DD07AF" w:rsidRPr="00AD07A3" w:rsidRDefault="000E4541" w:rsidP="000E4541">
      <w:pPr>
        <w:pStyle w:val="Caption"/>
      </w:pPr>
      <w:r w:rsidRPr="00EA5A48">
        <w:t xml:space="preserve">Figure </w:t>
      </w:r>
      <w:r w:rsidR="00E23933" w:rsidRPr="00EA5A48">
        <w:rPr>
          <w:b/>
        </w:rPr>
        <w:fldChar w:fldCharType="begin"/>
      </w:r>
      <w:r w:rsidRPr="00EA5A48">
        <w:instrText xml:space="preserve"> SEQ Figure \* ARABIC </w:instrText>
      </w:r>
      <w:r w:rsidR="00E23933" w:rsidRPr="00EA5A48">
        <w:rPr>
          <w:b/>
        </w:rPr>
        <w:fldChar w:fldCharType="separate"/>
      </w:r>
      <w:r w:rsidR="00A62253">
        <w:t>35</w:t>
      </w:r>
      <w:r w:rsidR="00E23933" w:rsidRPr="00EA5A48">
        <w:rPr>
          <w:b/>
        </w:rPr>
        <w:fldChar w:fldCharType="end"/>
      </w:r>
      <w:r>
        <w:rPr>
          <w:b/>
        </w:rPr>
        <w:t xml:space="preserve"> </w:t>
      </w:r>
      <w:r w:rsidR="00DD07AF">
        <w:t>The Galilee Basin and its subdivisions (brown and green</w:t>
      </w:r>
      <w:r w:rsidR="00C74CF3">
        <w:t xml:space="preserve"> labels</w:t>
      </w:r>
      <w:r w:rsidR="00DD07AF">
        <w:t>), provenances/basement (black</w:t>
      </w:r>
      <w:r w:rsidR="00C74CF3">
        <w:t xml:space="preserve"> labels</w:t>
      </w:r>
      <w:r w:rsidR="00DD07AF">
        <w:t>), contemporaneous basins (hatched areas) and underlying basins (blue and green areas) (</w:t>
      </w:r>
      <w:r w:rsidR="00F976E1">
        <w:t>© Copyright</w:t>
      </w:r>
      <w:r w:rsidR="00E1557C">
        <w:t xml:space="preserve">, </w:t>
      </w:r>
      <w:r w:rsidR="00DD07AF">
        <w:t>Marsh et al. 2008)</w:t>
      </w:r>
      <w:r w:rsidR="00E1557C">
        <w:t>.</w:t>
      </w:r>
    </w:p>
    <w:p w:rsidR="000E4541" w:rsidRDefault="000E4541" w:rsidP="000E4541">
      <w:pPr>
        <w:pStyle w:val="BRNormal"/>
      </w:pPr>
    </w:p>
    <w:p w:rsidR="00DD07AF" w:rsidRDefault="00DD07AF" w:rsidP="000E4541">
      <w:pPr>
        <w:pStyle w:val="BRNormal"/>
      </w:pPr>
      <w:r>
        <w:t>A simplified stratigraphy of the Northern Galilee Basin is presented in F</w:t>
      </w:r>
      <w:r w:rsidR="000E4541">
        <w:t xml:space="preserve">igure </w:t>
      </w:r>
      <w:r w:rsidR="00A62253">
        <w:t>36</w:t>
      </w:r>
      <w:r w:rsidR="000E4541">
        <w:t xml:space="preserve">. </w:t>
      </w:r>
      <w:r>
        <w:t>This figure shows that the formation of the Galilee Basin commenced in the Late Carboniferous and in its early depositional stages was confined to the Koburra Trough in the east. By the Early Permian, sedimentation was continuous to the west, from the Koburra Trough across the northern end of the Maneroo Platform an</w:t>
      </w:r>
      <w:r w:rsidR="000E4541">
        <w:t xml:space="preserve">d into the Lovelle Depression. </w:t>
      </w:r>
      <w:r>
        <w:t xml:space="preserve">There are two major unconformities in the Galilee Basin (shown as ‘wavy’ lines in Figure </w:t>
      </w:r>
      <w:r w:rsidR="00A62253">
        <w:t>36</w:t>
      </w:r>
      <w:r>
        <w:t>):</w:t>
      </w:r>
    </w:p>
    <w:p w:rsidR="00DD07AF" w:rsidRDefault="00DD07AF" w:rsidP="000E4541">
      <w:pPr>
        <w:pStyle w:val="Bulletpoint"/>
      </w:pPr>
      <w:r>
        <w:t xml:space="preserve">Permian unconformity </w:t>
      </w:r>
      <w:r w:rsidR="00E1557C">
        <w:t>–</w:t>
      </w:r>
      <w:r>
        <w:t xml:space="preserve"> </w:t>
      </w:r>
      <w:r w:rsidR="000E4541">
        <w:t>a</w:t>
      </w:r>
      <w:r w:rsidRPr="006E1435">
        <w:t>n</w:t>
      </w:r>
      <w:r w:rsidR="00E1557C">
        <w:t xml:space="preserve"> </w:t>
      </w:r>
      <w:r w:rsidRPr="006E1435">
        <w:t>erosional event occurred at the end of the Early Permian after which sedimentation continued until the Mid</w:t>
      </w:r>
      <w:r w:rsidR="000E4541">
        <w:t>dle Triassic (Hawkins &amp; Green</w:t>
      </w:r>
      <w:r w:rsidRPr="006E1435">
        <w:t xml:space="preserve"> 1993). This erosional event was interpreted as a period of non-deposition and/or gentle uplift before the accumulation of widespread fluvial and coal deposits of the Betts Creek Bed</w:t>
      </w:r>
      <w:r>
        <w:t>s</w:t>
      </w:r>
      <w:r w:rsidRPr="006E1435">
        <w:t xml:space="preserve"> and related deposits started (</w:t>
      </w:r>
      <w:r w:rsidR="000E4541" w:rsidRPr="006E1435">
        <w:t xml:space="preserve">Allen </w:t>
      </w:r>
      <w:r w:rsidR="000E4541">
        <w:t>&amp;</w:t>
      </w:r>
      <w:r w:rsidR="000E4541" w:rsidRPr="006E1435">
        <w:t xml:space="preserve"> Fielding 2007a</w:t>
      </w:r>
      <w:r w:rsidR="000E4541">
        <w:t>;</w:t>
      </w:r>
      <w:r w:rsidR="000E4541" w:rsidRPr="006E1435">
        <w:t xml:space="preserve"> </w:t>
      </w:r>
      <w:r w:rsidR="00E1557C">
        <w:t>Evans 1980)</w:t>
      </w:r>
      <w:r w:rsidR="004A5BF7">
        <w:t>.</w:t>
      </w:r>
    </w:p>
    <w:p w:rsidR="00DD07AF" w:rsidRDefault="004A5BF7" w:rsidP="000E4541">
      <w:pPr>
        <w:pStyle w:val="Bulletpoint"/>
      </w:pPr>
      <w:r>
        <w:t>B</w:t>
      </w:r>
      <w:r w:rsidR="000E4541">
        <w:t>asal Jurassic unconformity –</w:t>
      </w:r>
      <w:r w:rsidR="00E1557C">
        <w:t xml:space="preserve"> </w:t>
      </w:r>
      <w:r w:rsidR="00DD07AF">
        <w:t>marks the transition from the Galilee Basin sediments to the Eromanga Basin se</w:t>
      </w:r>
      <w:r w:rsidR="000E4541">
        <w:t xml:space="preserve">diments. </w:t>
      </w:r>
      <w:r w:rsidR="00DD07AF">
        <w:t xml:space="preserve">This period </w:t>
      </w:r>
      <w:r w:rsidR="00DD07AF" w:rsidRPr="008A04A5">
        <w:t xml:space="preserve">corresponds to a period of non-deposition </w:t>
      </w:r>
      <w:r w:rsidR="00DD07AF" w:rsidRPr="008A04A5">
        <w:lastRenderedPageBreak/>
        <w:t>and erosion</w:t>
      </w:r>
      <w:r w:rsidR="00DD07AF">
        <w:t xml:space="preserve"> (of the </w:t>
      </w:r>
      <w:r w:rsidR="00DD07AF" w:rsidRPr="008A04A5">
        <w:t>Moolayember Formation</w:t>
      </w:r>
      <w:r w:rsidR="000E4541">
        <w:t xml:space="preserve">). </w:t>
      </w:r>
      <w:r w:rsidR="00DD07AF">
        <w:t>This unconformity is of importance when considering potential connectivity between Galilee Basin coal seams and the major artesian aquifers in the lower Eromanga Basin.</w:t>
      </w:r>
    </w:p>
    <w:p w:rsidR="00DD07AF" w:rsidRDefault="00DD07AF" w:rsidP="001C3374">
      <w:pPr>
        <w:pStyle w:val="Body"/>
      </w:pPr>
    </w:p>
    <w:p w:rsidR="00DD07AF" w:rsidRDefault="00DD07AF" w:rsidP="001C3374">
      <w:pPr>
        <w:pStyle w:val="Body"/>
      </w:pPr>
      <w:r w:rsidRPr="006E1435">
        <w:rPr>
          <w:noProof/>
          <w:lang w:val="en-AU" w:eastAsia="en-AU"/>
        </w:rPr>
        <w:drawing>
          <wp:inline distT="0" distB="0" distL="0" distR="0">
            <wp:extent cx="5724525" cy="4433016"/>
            <wp:effectExtent l="0" t="0" r="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0" cstate="email"/>
                    <a:srcRect/>
                    <a:stretch>
                      <a:fillRect/>
                    </a:stretch>
                  </pic:blipFill>
                  <pic:spPr bwMode="auto">
                    <a:xfrm>
                      <a:off x="0" y="0"/>
                      <a:ext cx="5729408" cy="4436797"/>
                    </a:xfrm>
                    <a:prstGeom prst="rect">
                      <a:avLst/>
                    </a:prstGeom>
                    <a:noFill/>
                    <a:ln w="9525">
                      <a:noFill/>
                      <a:miter lim="800000"/>
                      <a:headEnd/>
                      <a:tailEnd/>
                    </a:ln>
                  </pic:spPr>
                </pic:pic>
              </a:graphicData>
            </a:graphic>
          </wp:inline>
        </w:drawing>
      </w:r>
    </w:p>
    <w:p w:rsidR="00DD07AF" w:rsidRPr="00AD07A3" w:rsidRDefault="000E4541" w:rsidP="000E4541">
      <w:pPr>
        <w:pStyle w:val="Caption"/>
      </w:pPr>
      <w:r w:rsidRPr="00EA5A48">
        <w:t xml:space="preserve">Figure </w:t>
      </w:r>
      <w:r w:rsidR="00E23933" w:rsidRPr="00EA5A48">
        <w:rPr>
          <w:b/>
        </w:rPr>
        <w:fldChar w:fldCharType="begin"/>
      </w:r>
      <w:r w:rsidRPr="00EA5A48">
        <w:instrText xml:space="preserve"> SEQ Figure \* ARABIC </w:instrText>
      </w:r>
      <w:r w:rsidR="00E23933" w:rsidRPr="00EA5A48">
        <w:rPr>
          <w:b/>
        </w:rPr>
        <w:fldChar w:fldCharType="separate"/>
      </w:r>
      <w:r w:rsidR="00A62253">
        <w:t>36</w:t>
      </w:r>
      <w:r w:rsidR="00E23933" w:rsidRPr="00EA5A48">
        <w:rPr>
          <w:b/>
        </w:rPr>
        <w:fldChar w:fldCharType="end"/>
      </w:r>
      <w:r w:rsidR="00B12C11">
        <w:rPr>
          <w:b/>
        </w:rPr>
        <w:t xml:space="preserve"> </w:t>
      </w:r>
      <w:r w:rsidR="00DD07AF">
        <w:t>Simplified stratigraphic relationships in the Northern Galilee Basin (</w:t>
      </w:r>
      <w:r w:rsidR="00F976E1">
        <w:t>© Copyright</w:t>
      </w:r>
      <w:r w:rsidR="00E1557C">
        <w:t>,</w:t>
      </w:r>
      <w:r w:rsidR="00DD07AF">
        <w:t xml:space="preserve"> Marsh et al. 2008)</w:t>
      </w:r>
      <w:r>
        <w:t>.</w:t>
      </w:r>
    </w:p>
    <w:p w:rsidR="00DD07AF" w:rsidRDefault="00DD07AF" w:rsidP="001C3374">
      <w:pPr>
        <w:pStyle w:val="Body"/>
      </w:pPr>
    </w:p>
    <w:p w:rsidR="00DD07AF" w:rsidRDefault="00DD07AF" w:rsidP="000E4541">
      <w:pPr>
        <w:pStyle w:val="BRNormal"/>
      </w:pPr>
      <w:r>
        <w:t>Marsh et al. (2008) suggests that the Southern Galilee Basin appears to have been largely</w:t>
      </w:r>
      <w:r w:rsidR="00E1557C">
        <w:t xml:space="preserve"> ignored in the literature and </w:t>
      </w:r>
      <w:r>
        <w:t>requ</w:t>
      </w:r>
      <w:r w:rsidR="00E1557C">
        <w:t>ires considerably more study</w:t>
      </w:r>
      <w:r w:rsidR="000E4541">
        <w:t xml:space="preserve">. </w:t>
      </w:r>
      <w:r>
        <w:t>Unlike the Koburra Trough, they note that it has no apparent Late Carboniferous sediments, a condensed or absent Permian section and sporadic Triassic section.</w:t>
      </w:r>
    </w:p>
    <w:p w:rsidR="00DD07AF" w:rsidRDefault="00DD07AF" w:rsidP="000E4541">
      <w:pPr>
        <w:pStyle w:val="BRNormal"/>
      </w:pPr>
      <w:r>
        <w:t>The Galilee Basin sediments were mainly deposited in a fluvio-lacustrine environment (i.e. by rivers and lakes), resulting in channel sands, floodplain siltstones and coals, lacustrin</w:t>
      </w:r>
      <w:r w:rsidR="00E1557C">
        <w:t xml:space="preserve">e shales, alluvial fan deposits and some glacial deposits. </w:t>
      </w:r>
      <w:r>
        <w:t>The two major unconform</w:t>
      </w:r>
      <w:r w:rsidR="00E1557C">
        <w:t>ities in the Galilee Basin</w:t>
      </w:r>
      <w:r>
        <w:t xml:space="preserve"> divide the infilling of the Basin into two depositional episodes:</w:t>
      </w:r>
    </w:p>
    <w:p w:rsidR="00DD07AF" w:rsidRPr="00823AF5" w:rsidRDefault="00DD07AF" w:rsidP="00823AF5">
      <w:pPr>
        <w:pStyle w:val="Bulletpoint"/>
      </w:pPr>
      <w:r w:rsidRPr="00823AF5">
        <w:t>Late</w:t>
      </w:r>
      <w:r w:rsidR="000E4541" w:rsidRPr="00823AF5">
        <w:t xml:space="preserve"> Carboniferous-Early Permian - d</w:t>
      </w:r>
      <w:r w:rsidRPr="00823AF5">
        <w:t>uring this period the climate varied from glacial in the Late Carboniferous and early ‘Early Pemian’ to warm and h</w:t>
      </w:r>
      <w:r w:rsidR="000E4541" w:rsidRPr="00823AF5">
        <w:t>umid in the late Early Permian.</w:t>
      </w:r>
      <w:r w:rsidRPr="00823AF5">
        <w:t xml:space="preserve"> This episode is characterised by the sediments of the Joe Joe Group, which consists of the Lake Galilee Sandstone at its base, the Jericho Formation, the Jochmus </w:t>
      </w:r>
      <w:r w:rsidR="00E1557C">
        <w:t>Formation</w:t>
      </w:r>
      <w:r w:rsidRPr="00823AF5">
        <w:t xml:space="preserve"> and the Aramac Coal Measures in the Koburra Trough; there are also the </w:t>
      </w:r>
      <w:r w:rsidRPr="00823AF5">
        <w:lastRenderedPageBreak/>
        <w:t xml:space="preserve">Jochmus Formation and Aramac Coal Measures correlatives in </w:t>
      </w:r>
      <w:r w:rsidR="000E4541" w:rsidRPr="00823AF5">
        <w:t>the Lovelle Depression (Hawkins</w:t>
      </w:r>
      <w:r w:rsidRPr="00823AF5">
        <w:t xml:space="preserve"> 1978).</w:t>
      </w:r>
    </w:p>
    <w:p w:rsidR="00DD07AF" w:rsidRPr="00823AF5" w:rsidRDefault="000E4541" w:rsidP="00823AF5">
      <w:pPr>
        <w:pStyle w:val="Bulletpoint"/>
      </w:pPr>
      <w:r w:rsidRPr="00823AF5">
        <w:t>Late Permian-Middle Triassic – t</w:t>
      </w:r>
      <w:r w:rsidR="00DD07AF" w:rsidRPr="00823AF5">
        <w:t>he climate varied during this period from warm and humid in the Late Permian to more temp</w:t>
      </w:r>
      <w:r w:rsidRPr="00823AF5">
        <w:t xml:space="preserve">erate in the Triassic. </w:t>
      </w:r>
      <w:r w:rsidR="00DD07AF" w:rsidRPr="00823AF5">
        <w:t>This episode started during the Upper Permian when the Betts Creek Beds we</w:t>
      </w:r>
      <w:r w:rsidR="00E1557C">
        <w:t>re deposited across the entire B</w:t>
      </w:r>
      <w:r w:rsidR="00DD07AF" w:rsidRPr="00823AF5">
        <w:t xml:space="preserve">asin (Allen </w:t>
      </w:r>
      <w:r w:rsidRPr="00823AF5">
        <w:t>&amp;</w:t>
      </w:r>
      <w:r w:rsidR="00DD07AF" w:rsidRPr="00823AF5">
        <w:t xml:space="preserve"> Fielding 2007b) and during the Triassic when there was deposition of the Rewan Group, the Clematis Group and the Moolayember Fo</w:t>
      </w:r>
      <w:r w:rsidR="00E34885" w:rsidRPr="00823AF5">
        <w:t xml:space="preserve">rmation in the Koburra Trough. </w:t>
      </w:r>
      <w:r w:rsidR="00DD07AF" w:rsidRPr="00823AF5">
        <w:t>The Warang Sandstone is an Early to Middle Triassic unit found mainly in the northern half of the Basin, including pa</w:t>
      </w:r>
      <w:r w:rsidR="00E34885" w:rsidRPr="00823AF5">
        <w:t xml:space="preserve">rts of the Lovelle Depression. </w:t>
      </w:r>
      <w:r w:rsidR="00DD07AF" w:rsidRPr="00823AF5">
        <w:t xml:space="preserve">It is contemporaneous with the Moolayember Formation, Clematis Sandstone, Dundas Beds and Rewan Formation but is </w:t>
      </w:r>
      <w:r w:rsidR="00E34885" w:rsidRPr="00823AF5">
        <w:t xml:space="preserve">comprised mainly of sandstone. </w:t>
      </w:r>
      <w:r w:rsidR="00DD07AF" w:rsidRPr="00823AF5">
        <w:t>Due to its lithology and interfingering with the entire Jurassic sequence, Marsh et al. (2008) recognised the potential liability this unit posed to storing CO</w:t>
      </w:r>
      <w:r w:rsidR="00DD07AF" w:rsidRPr="00E1557C">
        <w:rPr>
          <w:vertAlign w:val="subscript"/>
        </w:rPr>
        <w:t>2</w:t>
      </w:r>
      <w:r w:rsidR="00DD07AF" w:rsidRPr="00823AF5">
        <w:t xml:space="preserve"> in the </w:t>
      </w:r>
      <w:r w:rsidR="00E34885" w:rsidRPr="00823AF5">
        <w:t xml:space="preserve">Clematis Sandstone. </w:t>
      </w:r>
      <w:r w:rsidR="00DD07AF" w:rsidRPr="00823AF5">
        <w:t>There are similar implications for this unit to ‘connect’ Permian units and the overlying Eromanga basin under CSG depres</w:t>
      </w:r>
      <w:r w:rsidR="00E34885" w:rsidRPr="00823AF5">
        <w:t xml:space="preserve">surisation or coal dewatering. </w:t>
      </w:r>
      <w:r w:rsidR="00E1557C" w:rsidRPr="00823AF5">
        <w:t xml:space="preserve">Marsh et al. (2008) </w:t>
      </w:r>
      <w:r w:rsidR="00E1557C">
        <w:t xml:space="preserve">also </w:t>
      </w:r>
      <w:r w:rsidR="00DD07AF" w:rsidRPr="00823AF5">
        <w:t xml:space="preserve">recommended </w:t>
      </w:r>
      <w:r w:rsidR="00E1557C">
        <w:t xml:space="preserve">that </w:t>
      </w:r>
      <w:r w:rsidR="00DD07AF" w:rsidRPr="00823AF5">
        <w:t>the relationship of the Warang Sandstone and the remaining Triassic sequence was an area requiring further investigation.</w:t>
      </w:r>
    </w:p>
    <w:p w:rsidR="00DD07AF" w:rsidRDefault="00DD07AF" w:rsidP="00823AF5">
      <w:pPr>
        <w:pStyle w:val="BRNormal"/>
      </w:pPr>
      <w:r>
        <w:t xml:space="preserve">Figure </w:t>
      </w:r>
      <w:r w:rsidR="00540795">
        <w:t>37</w:t>
      </w:r>
      <w:r w:rsidR="00E1557C">
        <w:t xml:space="preserve"> and Figure </w:t>
      </w:r>
      <w:r w:rsidR="00540795">
        <w:t>38</w:t>
      </w:r>
      <w:r>
        <w:t xml:space="preserve"> present stratigraphic cross secti</w:t>
      </w:r>
      <w:r w:rsidR="00E34885">
        <w:t xml:space="preserve">ons through the Galilee Basin. </w:t>
      </w:r>
      <w:r>
        <w:t>These sections help in understanding the relationship between the Gal</w:t>
      </w:r>
      <w:r w:rsidR="00823AF5">
        <w:t xml:space="preserve">ilee, GAB and Eromanga Basins. </w:t>
      </w:r>
      <w:r>
        <w:t>The blue units are the late Permian coal measur</w:t>
      </w:r>
      <w:r w:rsidR="00540795">
        <w:t xml:space="preserve">es, </w:t>
      </w:r>
      <w:r>
        <w:t>which contain the coal/carbonaceous material which are the target</w:t>
      </w:r>
      <w:r w:rsidR="00540795">
        <w:t xml:space="preserve"> for CSG or coal development</w:t>
      </w:r>
      <w:r w:rsidR="00E34885">
        <w:t xml:space="preserve">. </w:t>
      </w:r>
      <w:r>
        <w:t>The east to west cross section (</w:t>
      </w:r>
      <w:r w:rsidR="00540795">
        <w:t>Figure 38 B</w:t>
      </w:r>
      <w:r w:rsidR="00540795">
        <w:noBreakHyphen/>
        <w:t>B’</w:t>
      </w:r>
      <w:r>
        <w:t>) illustrates how these units rise steeply and outcrop</w:t>
      </w:r>
      <w:r w:rsidR="00540795">
        <w:t xml:space="preserve"> on the eastern margins of the B</w:t>
      </w:r>
      <w:r>
        <w:t xml:space="preserve">asin. </w:t>
      </w:r>
    </w:p>
    <w:p w:rsidR="00DD07AF" w:rsidRDefault="00DD07AF" w:rsidP="00E34885">
      <w:pPr>
        <w:pStyle w:val="BRNormal"/>
      </w:pPr>
      <w:r>
        <w:t>The underlying grey coloured units are t</w:t>
      </w:r>
      <w:r w:rsidR="00E34885">
        <w:t>he early Permian age sediments.</w:t>
      </w:r>
      <w:r>
        <w:t xml:space="preserve"> The green layers mark the beginni</w:t>
      </w:r>
      <w:r w:rsidR="00E34885">
        <w:t xml:space="preserve">ng of the Triassic formations. </w:t>
      </w:r>
      <w:r>
        <w:t>The red dashed line indicates the boundary between the Galilee Basin and the Eromanga Basin, which as described above re</w:t>
      </w:r>
      <w:r w:rsidR="00E34885">
        <w:t xml:space="preserve">presents a major unconformity. </w:t>
      </w:r>
      <w:r w:rsidR="00540795">
        <w:t xml:space="preserve">The cross </w:t>
      </w:r>
      <w:r>
        <w:t xml:space="preserve">sections show that a thick sequence of the Moolayember Formation </w:t>
      </w:r>
      <w:r w:rsidR="00823BCA">
        <w:t xml:space="preserve">commonly </w:t>
      </w:r>
      <w:r>
        <w:t>separat</w:t>
      </w:r>
      <w:r w:rsidR="00823BCA">
        <w:t>es</w:t>
      </w:r>
      <w:r>
        <w:t xml:space="preserve"> the formations targeted by extractive industries (Betts Creek Beds and Aramac Coal Measures) from th</w:t>
      </w:r>
      <w:r w:rsidR="00540795">
        <w:t xml:space="preserve">e overlying aquifers of the </w:t>
      </w:r>
      <w:r>
        <w:t>Eromanga Basin.  However</w:t>
      </w:r>
      <w:r w:rsidR="00540795">
        <w:t>,</w:t>
      </w:r>
      <w:r>
        <w:t xml:space="preserve"> there are locations where the Moolayember Formation thins significantly or is absent, such that in some areas there is (effective) contact between the Permian Coal measures and the Hutton Sandstone (via the Clematis Sandstone).</w:t>
      </w:r>
    </w:p>
    <w:p w:rsidR="00DD07AF" w:rsidRDefault="00DD07AF" w:rsidP="00E34885">
      <w:pPr>
        <w:pStyle w:val="BRNormal"/>
      </w:pPr>
      <w:r>
        <w:t>Marsh et al. (2008) note difficulty in correlating Galilee Basin stratigraphy from the well studied outcrop are</w:t>
      </w:r>
      <w:r w:rsidR="002560B7">
        <w:t xml:space="preserve">as to the central areas of the Basin. </w:t>
      </w:r>
      <w:r>
        <w:t>In particular they note nomenclature problems in attempts to correlate the units of the Clematis and Colinlea Sandstone in the centre</w:t>
      </w:r>
      <w:r w:rsidR="002560B7">
        <w:t xml:space="preserve"> of the B</w:t>
      </w:r>
      <w:r>
        <w:t>asin with formations named in outcrop areas</w:t>
      </w:r>
      <w:r w:rsidR="002560B7">
        <w:t xml:space="preserve"> in the northern margin of the B</w:t>
      </w:r>
      <w:r>
        <w:t>asin and the Springsure Shelf.</w:t>
      </w:r>
    </w:p>
    <w:p w:rsidR="00540795" w:rsidRDefault="00540795" w:rsidP="00540795">
      <w:pPr>
        <w:pStyle w:val="BRNormal"/>
      </w:pPr>
    </w:p>
    <w:p w:rsidR="00DD07AF" w:rsidRDefault="00DD07AF" w:rsidP="006759EB">
      <w:pPr>
        <w:pStyle w:val="Caption"/>
        <w:sectPr w:rsidR="00DD07AF" w:rsidSect="001053A1">
          <w:headerReference w:type="even" r:id="rId81"/>
          <w:headerReference w:type="default" r:id="rId82"/>
          <w:pgSz w:w="11900" w:h="16840" w:code="9"/>
          <w:pgMar w:top="1952" w:right="1418" w:bottom="1418" w:left="1418" w:header="0" w:footer="818" w:gutter="0"/>
          <w:cols w:space="284"/>
          <w:noEndnote/>
          <w:docGrid w:linePitch="326"/>
        </w:sectPr>
      </w:pPr>
    </w:p>
    <w:p w:rsidR="00BB3591" w:rsidRDefault="00914D0A" w:rsidP="006759EB">
      <w:pPr>
        <w:pStyle w:val="Imagecaption"/>
        <w:pBdr>
          <w:top w:val="none" w:sz="0" w:space="0" w:color="auto"/>
        </w:pBdr>
      </w:pPr>
      <w:r>
        <w:rPr>
          <w:noProof/>
          <w:lang w:val="en-AU" w:eastAsia="en-AU"/>
        </w:rPr>
        <w:lastRenderedPageBreak/>
        <w:drawing>
          <wp:anchor distT="0" distB="0" distL="114300" distR="114300" simplePos="0" relativeHeight="251659264" behindDoc="0" locked="0" layoutInCell="1" allowOverlap="1">
            <wp:simplePos x="0" y="0"/>
            <wp:positionH relativeFrom="column">
              <wp:posOffset>1117600</wp:posOffset>
            </wp:positionH>
            <wp:positionV relativeFrom="paragraph">
              <wp:posOffset>66040</wp:posOffset>
            </wp:positionV>
            <wp:extent cx="6571615" cy="4820285"/>
            <wp:effectExtent l="0" t="0" r="0" b="0"/>
            <wp:wrapNone/>
            <wp:docPr id="10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3" cstate="email"/>
                    <a:srcRect/>
                    <a:stretch>
                      <a:fillRect/>
                    </a:stretch>
                  </pic:blipFill>
                  <pic:spPr bwMode="auto">
                    <a:xfrm>
                      <a:off x="0" y="0"/>
                      <a:ext cx="6571615" cy="4820285"/>
                    </a:xfrm>
                    <a:prstGeom prst="rect">
                      <a:avLst/>
                    </a:prstGeom>
                    <a:noFill/>
                    <a:ln w="9525">
                      <a:noFill/>
                      <a:miter lim="800000"/>
                      <a:headEnd/>
                      <a:tailEnd/>
                    </a:ln>
                  </pic:spPr>
                </pic:pic>
              </a:graphicData>
            </a:graphic>
          </wp:anchor>
        </w:drawing>
      </w:r>
    </w:p>
    <w:p w:rsidR="00BB3591" w:rsidRDefault="00BB3591" w:rsidP="006759EB">
      <w:pPr>
        <w:pStyle w:val="Imagecaption"/>
        <w:pBdr>
          <w:top w:val="none" w:sz="0" w:space="0" w:color="auto"/>
        </w:pBdr>
      </w:pPr>
    </w:p>
    <w:p w:rsidR="00BB3591" w:rsidRDefault="00BB3591" w:rsidP="006759EB">
      <w:pPr>
        <w:pStyle w:val="Imagecaption"/>
        <w:pBdr>
          <w:top w:val="none" w:sz="0" w:space="0" w:color="auto"/>
        </w:pBdr>
      </w:pPr>
    </w:p>
    <w:p w:rsidR="00BB3591" w:rsidRDefault="00BB3591" w:rsidP="006759EB">
      <w:pPr>
        <w:pStyle w:val="Imagecaption"/>
        <w:pBdr>
          <w:top w:val="none" w:sz="0" w:space="0" w:color="auto"/>
        </w:pBdr>
      </w:pPr>
    </w:p>
    <w:p w:rsidR="00BB3591" w:rsidRDefault="00BB3591" w:rsidP="006759EB">
      <w:pPr>
        <w:pStyle w:val="Imagecaption"/>
        <w:pBdr>
          <w:top w:val="none" w:sz="0" w:space="0" w:color="auto"/>
        </w:pBdr>
      </w:pPr>
    </w:p>
    <w:p w:rsidR="00BB3591" w:rsidRDefault="00BB3591" w:rsidP="006759EB">
      <w:pPr>
        <w:pStyle w:val="Imagecaption"/>
        <w:pBdr>
          <w:top w:val="none" w:sz="0" w:space="0" w:color="auto"/>
        </w:pBdr>
      </w:pPr>
    </w:p>
    <w:p w:rsidR="00BB3591" w:rsidRDefault="00BB3591" w:rsidP="006759EB">
      <w:pPr>
        <w:pStyle w:val="Imagecaption"/>
        <w:pBdr>
          <w:top w:val="none" w:sz="0" w:space="0" w:color="auto"/>
        </w:pBdr>
      </w:pPr>
    </w:p>
    <w:p w:rsidR="00DD07AF" w:rsidRDefault="00DD07AF" w:rsidP="006759EB">
      <w:pPr>
        <w:pStyle w:val="Imagecaption"/>
        <w:pBdr>
          <w:top w:val="none" w:sz="0" w:space="0" w:color="auto"/>
        </w:pBdr>
      </w:pPr>
    </w:p>
    <w:p w:rsidR="00BB3591" w:rsidRDefault="00BB3591" w:rsidP="006759EB">
      <w:pPr>
        <w:pStyle w:val="Imagecaption"/>
        <w:pBdr>
          <w:top w:val="none" w:sz="0" w:space="0" w:color="auto"/>
        </w:pBdr>
      </w:pPr>
    </w:p>
    <w:p w:rsidR="00BB3591" w:rsidRDefault="00BB3591" w:rsidP="006759EB">
      <w:pPr>
        <w:pStyle w:val="Imagecaption"/>
        <w:pBdr>
          <w:top w:val="none" w:sz="0" w:space="0" w:color="auto"/>
        </w:pBdr>
      </w:pPr>
    </w:p>
    <w:p w:rsidR="00BB3591" w:rsidRDefault="00BB3591" w:rsidP="006759EB">
      <w:pPr>
        <w:pStyle w:val="Imagecaption"/>
        <w:pBdr>
          <w:top w:val="none" w:sz="0" w:space="0" w:color="auto"/>
        </w:pBdr>
      </w:pPr>
    </w:p>
    <w:p w:rsidR="00BB3591" w:rsidRDefault="00BB3591" w:rsidP="006759EB">
      <w:pPr>
        <w:pStyle w:val="Imagecaption"/>
        <w:pBdr>
          <w:top w:val="none" w:sz="0" w:space="0" w:color="auto"/>
        </w:pBdr>
      </w:pPr>
    </w:p>
    <w:p w:rsidR="00BB3591" w:rsidRDefault="00BB3591" w:rsidP="006759EB">
      <w:pPr>
        <w:pStyle w:val="Imagecaption"/>
        <w:pBdr>
          <w:top w:val="none" w:sz="0" w:space="0" w:color="auto"/>
        </w:pBdr>
      </w:pPr>
    </w:p>
    <w:p w:rsidR="00BB3591" w:rsidRDefault="00BB3591" w:rsidP="006759EB">
      <w:pPr>
        <w:pStyle w:val="Imagecaption"/>
        <w:pBdr>
          <w:top w:val="none" w:sz="0" w:space="0" w:color="auto"/>
        </w:pBdr>
      </w:pPr>
    </w:p>
    <w:p w:rsidR="00BB3591" w:rsidRDefault="00BB3591" w:rsidP="006759EB">
      <w:pPr>
        <w:pStyle w:val="Imagecaption"/>
        <w:pBdr>
          <w:top w:val="none" w:sz="0" w:space="0" w:color="auto"/>
        </w:pBdr>
      </w:pPr>
    </w:p>
    <w:p w:rsidR="00BB3591" w:rsidRDefault="00BB3591" w:rsidP="006759EB">
      <w:pPr>
        <w:pStyle w:val="Imagecaption"/>
        <w:pBdr>
          <w:top w:val="none" w:sz="0" w:space="0" w:color="auto"/>
        </w:pBdr>
      </w:pPr>
    </w:p>
    <w:p w:rsidR="00BB3591" w:rsidRDefault="00BB3591" w:rsidP="006759EB">
      <w:pPr>
        <w:pStyle w:val="Imagecaption"/>
        <w:pBdr>
          <w:top w:val="none" w:sz="0" w:space="0" w:color="auto"/>
        </w:pBdr>
      </w:pPr>
    </w:p>
    <w:p w:rsidR="00BB3591" w:rsidRDefault="00BB3591" w:rsidP="006759EB">
      <w:pPr>
        <w:pStyle w:val="Imagecaption"/>
        <w:pBdr>
          <w:top w:val="none" w:sz="0" w:space="0" w:color="auto"/>
        </w:pBdr>
      </w:pPr>
    </w:p>
    <w:p w:rsidR="00BB3591" w:rsidRDefault="00BB3591" w:rsidP="006759EB">
      <w:pPr>
        <w:pStyle w:val="Imagecaption"/>
        <w:pBdr>
          <w:top w:val="none" w:sz="0" w:space="0" w:color="auto"/>
        </w:pBdr>
      </w:pPr>
    </w:p>
    <w:p w:rsidR="00BB3591" w:rsidRDefault="00BB3591" w:rsidP="006759EB">
      <w:pPr>
        <w:pStyle w:val="Imagecaption"/>
        <w:pBdr>
          <w:top w:val="none" w:sz="0" w:space="0" w:color="auto"/>
        </w:pBdr>
      </w:pPr>
    </w:p>
    <w:p w:rsidR="00914D0A" w:rsidRDefault="006759EB" w:rsidP="006759EB">
      <w:pPr>
        <w:pStyle w:val="Caption"/>
      </w:pPr>
      <w:r w:rsidRPr="00EA5A48">
        <w:t xml:space="preserve">Figure </w:t>
      </w:r>
      <w:r w:rsidR="00E23933" w:rsidRPr="00EA5A48">
        <w:rPr>
          <w:b/>
        </w:rPr>
        <w:fldChar w:fldCharType="begin"/>
      </w:r>
      <w:r w:rsidRPr="00EA5A48">
        <w:instrText xml:space="preserve"> SEQ Figure \* ARABIC </w:instrText>
      </w:r>
      <w:r w:rsidR="00E23933" w:rsidRPr="00EA5A48">
        <w:rPr>
          <w:b/>
        </w:rPr>
        <w:fldChar w:fldCharType="separate"/>
      </w:r>
      <w:r w:rsidR="00540795">
        <w:t>37</w:t>
      </w:r>
      <w:r w:rsidR="00E23933" w:rsidRPr="00EA5A48">
        <w:rPr>
          <w:b/>
        </w:rPr>
        <w:fldChar w:fldCharType="end"/>
      </w:r>
      <w:r>
        <w:rPr>
          <w:b/>
        </w:rPr>
        <w:t xml:space="preserve"> </w:t>
      </w:r>
      <w:r w:rsidR="00DD07AF">
        <w:t xml:space="preserve">North to south </w:t>
      </w:r>
      <w:r w:rsidR="00DD07AF" w:rsidRPr="008B695C">
        <w:t>stratigraph</w:t>
      </w:r>
      <w:r w:rsidR="00DD07AF">
        <w:t xml:space="preserve">ic cross section of </w:t>
      </w:r>
      <w:r w:rsidR="00DD07AF" w:rsidRPr="008B695C">
        <w:t>the Galilee Basin (</w:t>
      </w:r>
      <w:r w:rsidR="00F976E1">
        <w:t>© Copyright</w:t>
      </w:r>
      <w:r w:rsidR="0054698A">
        <w:t>,</w:t>
      </w:r>
      <w:r>
        <w:t xml:space="preserve"> RPS</w:t>
      </w:r>
      <w:r w:rsidR="00DD07AF" w:rsidRPr="008B695C">
        <w:t xml:space="preserve"> 2012)</w:t>
      </w:r>
      <w:r>
        <w:t>.</w:t>
      </w:r>
      <w:r w:rsidR="009D1AF7">
        <w:t xml:space="preserve"> </w:t>
      </w:r>
      <w:r w:rsidR="009D1AF7" w:rsidRPr="009D1AF7">
        <w:t>Note</w:t>
      </w:r>
      <w:r>
        <w:t>.</w:t>
      </w:r>
      <w:r w:rsidR="009D1AF7" w:rsidRPr="009D1AF7">
        <w:t xml:space="preserve"> Moolayember and Clematis group are no longer formally part of the GAB</w:t>
      </w:r>
      <w:r>
        <w:t>.</w:t>
      </w:r>
    </w:p>
    <w:p w:rsidR="00914D0A" w:rsidRDefault="006759EB" w:rsidP="006759EB">
      <w:pPr>
        <w:pStyle w:val="Imagecaption"/>
        <w:pBdr>
          <w:top w:val="none" w:sz="0" w:space="0" w:color="auto"/>
        </w:pBdr>
        <w:jc w:val="center"/>
      </w:pPr>
      <w:r w:rsidRPr="008B695C">
        <w:rPr>
          <w:noProof/>
          <w:lang w:val="en-AU" w:eastAsia="en-AU"/>
        </w:rPr>
        <w:lastRenderedPageBreak/>
        <w:drawing>
          <wp:inline distT="0" distB="0" distL="0" distR="0">
            <wp:extent cx="6987171" cy="4990697"/>
            <wp:effectExtent l="19050" t="0" r="4179" b="0"/>
            <wp:docPr id="10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4" cstate="email"/>
                    <a:srcRect/>
                    <a:stretch>
                      <a:fillRect/>
                    </a:stretch>
                  </pic:blipFill>
                  <pic:spPr bwMode="auto">
                    <a:xfrm>
                      <a:off x="0" y="0"/>
                      <a:ext cx="6989975" cy="4992700"/>
                    </a:xfrm>
                    <a:prstGeom prst="rect">
                      <a:avLst/>
                    </a:prstGeom>
                    <a:noFill/>
                    <a:ln w="9525">
                      <a:noFill/>
                      <a:miter lim="800000"/>
                      <a:headEnd/>
                      <a:tailEnd/>
                    </a:ln>
                  </pic:spPr>
                </pic:pic>
              </a:graphicData>
            </a:graphic>
          </wp:inline>
        </w:drawing>
      </w:r>
    </w:p>
    <w:p w:rsidR="00DD07AF" w:rsidRDefault="006759EB" w:rsidP="006759EB">
      <w:pPr>
        <w:pStyle w:val="Caption"/>
        <w:sectPr w:rsidR="00DD07AF" w:rsidSect="001053A1">
          <w:headerReference w:type="even" r:id="rId85"/>
          <w:headerReference w:type="default" r:id="rId86"/>
          <w:pgSz w:w="16840" w:h="11900" w:orient="landscape" w:code="9"/>
          <w:pgMar w:top="1831" w:right="1418" w:bottom="1418" w:left="1418" w:header="0" w:footer="708" w:gutter="0"/>
          <w:cols w:space="284"/>
          <w:noEndnote/>
          <w:docGrid w:linePitch="326"/>
        </w:sectPr>
      </w:pPr>
      <w:r w:rsidRPr="00EA5A48">
        <w:t xml:space="preserve">Figure </w:t>
      </w:r>
      <w:r w:rsidR="00E23933" w:rsidRPr="00EA5A48">
        <w:rPr>
          <w:b/>
        </w:rPr>
        <w:fldChar w:fldCharType="begin"/>
      </w:r>
      <w:r w:rsidRPr="00EA5A48">
        <w:instrText xml:space="preserve"> SEQ Figure \* ARABIC </w:instrText>
      </w:r>
      <w:r w:rsidR="00E23933" w:rsidRPr="00EA5A48">
        <w:rPr>
          <w:b/>
        </w:rPr>
        <w:fldChar w:fldCharType="separate"/>
      </w:r>
      <w:r w:rsidR="00540795">
        <w:t>38</w:t>
      </w:r>
      <w:r w:rsidR="00E23933" w:rsidRPr="00EA5A48">
        <w:rPr>
          <w:b/>
        </w:rPr>
        <w:fldChar w:fldCharType="end"/>
      </w:r>
      <w:r>
        <w:rPr>
          <w:b/>
        </w:rPr>
        <w:t xml:space="preserve"> </w:t>
      </w:r>
      <w:r w:rsidR="00DD07AF">
        <w:t xml:space="preserve">East to west </w:t>
      </w:r>
      <w:r w:rsidR="00DD07AF" w:rsidRPr="008B695C">
        <w:t>stratigraph</w:t>
      </w:r>
      <w:r w:rsidR="00DD07AF">
        <w:t xml:space="preserve">ic cross section of </w:t>
      </w:r>
      <w:r w:rsidR="00DD07AF" w:rsidRPr="008B695C">
        <w:t>the Galilee Basin (</w:t>
      </w:r>
      <w:r w:rsidR="00F976E1">
        <w:t>© Copyright</w:t>
      </w:r>
      <w:r w:rsidR="0054698A">
        <w:t>,</w:t>
      </w:r>
      <w:r>
        <w:t xml:space="preserve"> RPS</w:t>
      </w:r>
      <w:r w:rsidR="00DD07AF" w:rsidRPr="008B695C">
        <w:t xml:space="preserve"> 2012</w:t>
      </w:r>
      <w:r w:rsidR="00DD07AF">
        <w:t>)</w:t>
      </w:r>
      <w:r w:rsidR="009D1AF7">
        <w:t>. Note that Moolayember and Clematis group are no longer formally part of the GAB</w:t>
      </w:r>
      <w:r>
        <w:t>.</w:t>
      </w:r>
    </w:p>
    <w:p w:rsidR="0054698A" w:rsidRPr="0010123B" w:rsidRDefault="0054698A" w:rsidP="005F6513">
      <w:pPr>
        <w:pStyle w:val="Heading3"/>
      </w:pPr>
      <w:bookmarkStart w:id="709" w:name="_Toc334718188"/>
      <w:bookmarkStart w:id="710" w:name="_Toc381961189"/>
      <w:bookmarkStart w:id="711" w:name="_Toc334718189"/>
      <w:bookmarkStart w:id="712" w:name="_Toc381961190"/>
      <w:r>
        <w:lastRenderedPageBreak/>
        <w:t>Hydrostratigraphy</w:t>
      </w:r>
      <w:bookmarkEnd w:id="709"/>
      <w:bookmarkEnd w:id="710"/>
    </w:p>
    <w:p w:rsidR="0054698A" w:rsidRDefault="0054698A" w:rsidP="0054698A">
      <w:pPr>
        <w:pStyle w:val="BRNormal"/>
      </w:pPr>
      <w:r>
        <w:t xml:space="preserve">A simplified hydrostratigraphy of the Galilee Basin is presented in Figure 39 (after </w:t>
      </w:r>
      <w:r w:rsidRPr="007C2A51">
        <w:t>Moya 2011)</w:t>
      </w:r>
      <w:r>
        <w:t xml:space="preserve">. Essentially, the hydrostratigraphy indicates the tendency of stratigraphic units to act as aquifers or aquitards. This is based mainly on the lithology of the unit, with formations predominantly comprised of sandstones assigned as aquifers and formations comprised of fine grain sediments (siltstones and shales) assigned as aquitards. </w:t>
      </w:r>
    </w:p>
    <w:p w:rsidR="0054698A" w:rsidRDefault="0054698A" w:rsidP="0054698A">
      <w:pPr>
        <w:pStyle w:val="Body"/>
      </w:pPr>
      <w:r w:rsidRPr="008B695C">
        <w:rPr>
          <w:noProof/>
          <w:lang w:val="en-AU" w:eastAsia="en-AU"/>
        </w:rPr>
        <w:drawing>
          <wp:inline distT="0" distB="0" distL="0" distR="0">
            <wp:extent cx="4081561" cy="3641697"/>
            <wp:effectExtent l="19050"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7" cstate="email"/>
                    <a:srcRect/>
                    <a:stretch>
                      <a:fillRect/>
                    </a:stretch>
                  </pic:blipFill>
                  <pic:spPr bwMode="auto">
                    <a:xfrm>
                      <a:off x="0" y="0"/>
                      <a:ext cx="4087725" cy="3647197"/>
                    </a:xfrm>
                    <a:prstGeom prst="rect">
                      <a:avLst/>
                    </a:prstGeom>
                    <a:noFill/>
                    <a:ln w="9525">
                      <a:noFill/>
                      <a:miter lim="800000"/>
                      <a:headEnd/>
                      <a:tailEnd/>
                    </a:ln>
                  </pic:spPr>
                </pic:pic>
              </a:graphicData>
            </a:graphic>
          </wp:inline>
        </w:drawing>
      </w:r>
    </w:p>
    <w:p w:rsidR="0054698A" w:rsidRPr="00540795" w:rsidRDefault="0054698A" w:rsidP="0054698A">
      <w:pPr>
        <w:pStyle w:val="Caption"/>
      </w:pPr>
      <w:r w:rsidRPr="00EA5A48">
        <w:t xml:space="preserve">Figure </w:t>
      </w:r>
      <w:r w:rsidR="00E23933" w:rsidRPr="00EA5A48">
        <w:rPr>
          <w:b/>
        </w:rPr>
        <w:fldChar w:fldCharType="begin"/>
      </w:r>
      <w:r w:rsidRPr="00EA5A48">
        <w:instrText xml:space="preserve"> SEQ Figure \* ARABIC </w:instrText>
      </w:r>
      <w:r w:rsidR="00E23933" w:rsidRPr="00EA5A48">
        <w:rPr>
          <w:b/>
        </w:rPr>
        <w:fldChar w:fldCharType="separate"/>
      </w:r>
      <w:r>
        <w:t>39</w:t>
      </w:r>
      <w:r w:rsidR="00E23933" w:rsidRPr="00EA5A48">
        <w:rPr>
          <w:b/>
        </w:rPr>
        <w:fldChar w:fldCharType="end"/>
      </w:r>
      <w:r>
        <w:rPr>
          <w:b/>
        </w:rPr>
        <w:t xml:space="preserve"> </w:t>
      </w:r>
      <w:r w:rsidRPr="008B695C">
        <w:t xml:space="preserve">Simplified hydrostratigraphy in the Galilee and Eromanga Basin </w:t>
      </w:r>
      <w:r>
        <w:t>(</w:t>
      </w:r>
      <w:r w:rsidR="00F976E1">
        <w:t>© Copyright</w:t>
      </w:r>
      <w:r>
        <w:t>, Moya</w:t>
      </w:r>
      <w:r w:rsidRPr="006577F9">
        <w:t xml:space="preserve"> 2011)</w:t>
      </w:r>
    </w:p>
    <w:p w:rsidR="0054698A" w:rsidRDefault="0054698A" w:rsidP="0054698A">
      <w:pPr>
        <w:pStyle w:val="BRNormal"/>
      </w:pPr>
    </w:p>
    <w:p w:rsidR="0054698A" w:rsidRDefault="0054698A" w:rsidP="0054698A">
      <w:pPr>
        <w:pStyle w:val="BRNormal"/>
      </w:pPr>
      <w:r>
        <w:t>Figure 39 does not indicate the hydrostratigraphy of the lower units of the Galilee Basin (the Lake Galilee Sandstone and the Joe Joe Group Formations). Marsh et al. (2008) provide some indication of the hydrostratigraphic nature of these formations:</w:t>
      </w:r>
    </w:p>
    <w:p w:rsidR="0054698A" w:rsidRDefault="0054698A" w:rsidP="002560B7">
      <w:pPr>
        <w:pStyle w:val="BRdotpoints"/>
      </w:pPr>
      <w:r w:rsidRPr="002D01E0">
        <w:t>Lake Galilee Sandstone</w:t>
      </w:r>
      <w:r>
        <w:t xml:space="preserve"> – even though this formation has </w:t>
      </w:r>
      <w:proofErr w:type="gramStart"/>
      <w:r>
        <w:t>a sandstone</w:t>
      </w:r>
      <w:proofErr w:type="gramEnd"/>
      <w:r>
        <w:t xml:space="preserve"> lithology, quartz cementation has reduced the porosity and permeability to </w:t>
      </w:r>
      <w:r w:rsidR="002560B7">
        <w:t xml:space="preserve">virtually </w:t>
      </w:r>
      <w:r>
        <w:t>zero, hence this unit can be considered an aquitard. Marsh et al. (20</w:t>
      </w:r>
      <w:r w:rsidR="002560B7">
        <w:t xml:space="preserve">08) cites porosities of </w:t>
      </w:r>
      <w:r w:rsidR="00F97C72">
        <w:t>2</w:t>
      </w:r>
      <w:r>
        <w:t xml:space="preserve"> to 10 per cent</w:t>
      </w:r>
      <w:r w:rsidR="002560B7">
        <w:t xml:space="preserve"> and permeability from </w:t>
      </w:r>
      <w:r w:rsidR="00F97C72">
        <w:t>0</w:t>
      </w:r>
      <w:r w:rsidR="002560B7">
        <w:t xml:space="preserve"> to </w:t>
      </w:r>
      <w:r w:rsidR="00F97C72">
        <w:t>7</w:t>
      </w:r>
      <w:r>
        <w:t xml:space="preserve"> mD (average of 0.9 m</w:t>
      </w:r>
      <w:r w:rsidR="002560B7">
        <w:t>D, which is approximately 0.001 </w:t>
      </w:r>
      <w:r>
        <w:t>m/day).</w:t>
      </w:r>
    </w:p>
    <w:p w:rsidR="0054698A" w:rsidRDefault="0054698A" w:rsidP="002560B7">
      <w:pPr>
        <w:pStyle w:val="BRdotpoints"/>
      </w:pPr>
      <w:r>
        <w:t>Jericho Formation – this formation is predominantly comp</w:t>
      </w:r>
      <w:r w:rsidR="002560B7">
        <w:t>rised of siltstone and mudstone</w:t>
      </w:r>
      <w:r>
        <w:t xml:space="preserve"> and is considered to act as an aquitard.</w:t>
      </w:r>
    </w:p>
    <w:p w:rsidR="0054698A" w:rsidRDefault="0054698A" w:rsidP="002560B7">
      <w:pPr>
        <w:pStyle w:val="BRdotpoints"/>
      </w:pPr>
      <w:r>
        <w:t xml:space="preserve">Jochmus Formation – this formation is comprised of sandstone in the upper and lower parts, with a middle part composed of tuff with minor mudstones and siltstone. </w:t>
      </w:r>
      <w:r w:rsidR="002560B7">
        <w:t>Marsh et al. (2008) considered</w:t>
      </w:r>
      <w:r>
        <w:t xml:space="preserve"> that the sandstones within the Jochmus Form</w:t>
      </w:r>
      <w:r w:rsidR="002560B7">
        <w:t xml:space="preserve">ation </w:t>
      </w:r>
      <w:r>
        <w:t>appear to be more porous and perme</w:t>
      </w:r>
      <w:r w:rsidR="002560B7">
        <w:t>able than the formations below,</w:t>
      </w:r>
      <w:r>
        <w:t xml:space="preserve"> but suggests there may be a high proportion of clay present (related to volcanic activity during deposition) but likely to </w:t>
      </w:r>
      <w:r>
        <w:lastRenderedPageBreak/>
        <w:t>be less in the Lovelle Depression. Permeabilities for this unit c</w:t>
      </w:r>
      <w:r w:rsidR="002560B7">
        <w:t xml:space="preserve">ited in Marsh et al. (2008) of </w:t>
      </w:r>
      <w:r w:rsidR="00F97C72">
        <w:t>0</w:t>
      </w:r>
      <w:r w:rsidR="002560B7">
        <w:t xml:space="preserve"> to 1634 mD (approximately zero to 1.6 </w:t>
      </w:r>
      <w:r>
        <w:t>m/day) are not indicative of an aquifer from a typical water resource perspective, but indicate higher permeability than in underlying aquitards.</w:t>
      </w:r>
    </w:p>
    <w:p w:rsidR="00C42C5C" w:rsidRDefault="0054698A" w:rsidP="0054698A">
      <w:pPr>
        <w:pStyle w:val="BRNormal"/>
      </w:pPr>
      <w:r>
        <w:t xml:space="preserve">The Permian coal measures (Betts Creek Beds and Aramac Coal Measures) represent aquifers of poor to moderate permeability based on the sandstone layers within these units. </w:t>
      </w:r>
    </w:p>
    <w:p w:rsidR="0054698A" w:rsidRDefault="0054698A" w:rsidP="0054698A">
      <w:pPr>
        <w:pStyle w:val="BRNormal"/>
      </w:pPr>
      <w:r>
        <w:t xml:space="preserve">The Rewan Formation </w:t>
      </w:r>
      <w:r w:rsidR="00D440D7">
        <w:t>is considered to be</w:t>
      </w:r>
      <w:r>
        <w:t xml:space="preserve"> an aquitard – it is comprised of interbedded sandstone, mudstone and siltstone, however the sandstone is predominantly labile and has an abundance of clay and silt, and hence poor permeability (Moya 2011). Marsh et al. (2008) cite</w:t>
      </w:r>
      <w:r w:rsidR="00210E3A">
        <w:t>d</w:t>
      </w:r>
      <w:r>
        <w:t xml:space="preserve"> a range of permeabilit</w:t>
      </w:r>
      <w:r w:rsidR="006E1924">
        <w:t xml:space="preserve">ies for </w:t>
      </w:r>
      <w:r w:rsidR="00210E3A">
        <w:t>the Rewan Formation,</w:t>
      </w:r>
      <w:r w:rsidR="006E1924">
        <w:t xml:space="preserve"> from </w:t>
      </w:r>
      <w:r w:rsidR="00F97C72">
        <w:t>0</w:t>
      </w:r>
      <w:r w:rsidR="006E1924">
        <w:t xml:space="preserve"> to 472 mD and an average of 143 </w:t>
      </w:r>
      <w:r>
        <w:t>mD (whic</w:t>
      </w:r>
      <w:r w:rsidR="006E1924">
        <w:t>h is approximately 0.1 </w:t>
      </w:r>
      <w:r>
        <w:t>m/day)</w:t>
      </w:r>
      <w:r w:rsidR="00210E3A">
        <w:t xml:space="preserve">, which </w:t>
      </w:r>
      <w:r w:rsidRPr="00221D79">
        <w:t>is not indicative of an aquitard</w:t>
      </w:r>
      <w:r w:rsidR="00210E3A" w:rsidRPr="00221D79">
        <w:t xml:space="preserve"> (i.</w:t>
      </w:r>
      <w:r w:rsidR="00210E3A">
        <w:t>e. hydraulic conductivity is too high);</w:t>
      </w:r>
      <w:r>
        <w:t xml:space="preserve"> however</w:t>
      </w:r>
      <w:r w:rsidR="00210E3A">
        <w:t>,</w:t>
      </w:r>
      <w:r>
        <w:t xml:space="preserve"> as discussed </w:t>
      </w:r>
      <w:r w:rsidR="00E95C37">
        <w:t xml:space="preserve">later in this chapter, the </w:t>
      </w:r>
      <w:r w:rsidR="00210E3A">
        <w:t xml:space="preserve">Marsh et al. (2008) </w:t>
      </w:r>
      <w:r w:rsidR="00E95C37">
        <w:t>data</w:t>
      </w:r>
      <w:r>
        <w:t xml:space="preserve">set </w:t>
      </w:r>
      <w:r w:rsidR="00210E3A">
        <w:t>was</w:t>
      </w:r>
      <w:r>
        <w:t xml:space="preserve"> very small.</w:t>
      </w:r>
    </w:p>
    <w:p w:rsidR="00C42C5C" w:rsidRDefault="0054698A" w:rsidP="0054698A">
      <w:pPr>
        <w:pStyle w:val="BRNormal"/>
      </w:pPr>
      <w:r>
        <w:t xml:space="preserve">The overlying Clematis Sandstone is the most significant aquifer within the Galilee Basin (Figure 37, Figure 38). It consists of quartzose sandstone with minor siltstone and mudstone. The Clematis Sandstone is a useful aquifer and is present below much of the Eromanga Basin in the central GAB. There are some users tapping this aquifer in the Galilee Basin, predominantly in the east, where the aquifer is shallower. </w:t>
      </w:r>
    </w:p>
    <w:p w:rsidR="0054698A" w:rsidRDefault="0054698A" w:rsidP="0054698A">
      <w:pPr>
        <w:pStyle w:val="BRNormal"/>
      </w:pPr>
      <w:r>
        <w:t>The contemporaneous Warang Sandstone (which as noted earl</w:t>
      </w:r>
      <w:r w:rsidR="004A5BF7">
        <w:t>ier spans the whole Tri</w:t>
      </w:r>
      <w:r>
        <w:t>assic sequence) has a wide range of permeabilities, but as shown in data in Section 8.2, it has a me</w:t>
      </w:r>
      <w:r w:rsidR="006E1924">
        <w:t>dian permeability of around 100 </w:t>
      </w:r>
      <w:r>
        <w:t xml:space="preserve">mD (approximately 0.1 m/day) but 10 per </w:t>
      </w:r>
      <w:r w:rsidR="006E1924">
        <w:t xml:space="preserve">cent of values </w:t>
      </w:r>
      <w:r w:rsidR="005C7B83">
        <w:t xml:space="preserve">were </w:t>
      </w:r>
      <w:r w:rsidR="006E1924">
        <w:t>over 1000 mD (approximately 1</w:t>
      </w:r>
      <w:r w:rsidR="00210E3A">
        <w:t>.0</w:t>
      </w:r>
      <w:r w:rsidR="006E1924">
        <w:t> </w:t>
      </w:r>
      <w:r>
        <w:t>m/day), indicating the significant aquifer potential of this unit.</w:t>
      </w:r>
    </w:p>
    <w:p w:rsidR="004A5BF7" w:rsidRDefault="004A5BF7" w:rsidP="004A5BF7">
      <w:pPr>
        <w:pStyle w:val="BRNormal"/>
      </w:pPr>
      <w:r>
        <w:t>The</w:t>
      </w:r>
      <w:r w:rsidR="0054698A">
        <w:t xml:space="preserve"> Moolayember Formation is </w:t>
      </w:r>
      <w:r>
        <w:t xml:space="preserve">considered to be </w:t>
      </w:r>
      <w:r w:rsidR="0054698A">
        <w:t>an aquitard</w:t>
      </w:r>
      <w:r>
        <w:t xml:space="preserve">, and </w:t>
      </w:r>
      <w:r w:rsidR="0054698A">
        <w:t>is considered highly prospective as a sealing unit for potential carbon dioxide storage in the Galilee Basin (Marsh et al. 2008). It consists of mudstone with minor siltstone and sandstone (Scott et al. 1995). Marsh et al. (20</w:t>
      </w:r>
      <w:r w:rsidR="006E1924">
        <w:t>08) cite</w:t>
      </w:r>
      <w:r>
        <w:t>d</w:t>
      </w:r>
      <w:r w:rsidR="006E1924">
        <w:t xml:space="preserve"> a range of permeabilities</w:t>
      </w:r>
      <w:r w:rsidR="0054698A">
        <w:t xml:space="preserve"> for </w:t>
      </w:r>
      <w:r>
        <w:t>the Moolayember Formation,</w:t>
      </w:r>
      <w:r w:rsidR="0054698A">
        <w:t xml:space="preserve"> </w:t>
      </w:r>
      <w:r w:rsidR="006E1924">
        <w:t xml:space="preserve">from </w:t>
      </w:r>
      <w:r w:rsidR="00F97C72">
        <w:t>0</w:t>
      </w:r>
      <w:r>
        <w:t> </w:t>
      </w:r>
      <w:r w:rsidR="006E1924">
        <w:t>to</w:t>
      </w:r>
      <w:r>
        <w:t> </w:t>
      </w:r>
      <w:r w:rsidR="006E1924">
        <w:t>503 </w:t>
      </w:r>
      <w:r w:rsidR="0054698A">
        <w:t>mD and an average of 81</w:t>
      </w:r>
      <w:r w:rsidR="006E1924">
        <w:t> </w:t>
      </w:r>
      <w:r w:rsidR="0054698A">
        <w:t xml:space="preserve">mD </w:t>
      </w:r>
      <w:r w:rsidR="006E1924">
        <w:t>(approximately 0.1 </w:t>
      </w:r>
      <w:r>
        <w:t xml:space="preserve">m/day), which </w:t>
      </w:r>
      <w:r w:rsidRPr="004A5BF7">
        <w:t>is not indicative of an aquitard</w:t>
      </w:r>
      <w:r>
        <w:t xml:space="preserve"> (i.e. hydraulic conductivity is too high); however (again), as discussed later in this chapter, the Marsh et al. (2008) dataset was very small.</w:t>
      </w:r>
    </w:p>
    <w:p w:rsidR="00540795" w:rsidRDefault="0054698A" w:rsidP="0054698A">
      <w:pPr>
        <w:pStyle w:val="BRNormal"/>
      </w:pPr>
      <w:r>
        <w:t>The Galilee Basin sequence ends</w:t>
      </w:r>
      <w:r w:rsidR="0008061F">
        <w:t xml:space="preserve"> with the Moolayember Formation</w:t>
      </w:r>
      <w:r>
        <w:t xml:space="preserve"> and after a period of compression and erosion, deposition started again in the Early Jurassic with the basal units of the Eromanga Basin. As shown in Figure </w:t>
      </w:r>
      <w:r w:rsidR="0008061F">
        <w:t>39</w:t>
      </w:r>
      <w:r>
        <w:t xml:space="preserve">, the Eromanga Basin comprises some significant aquifers. These can be divided into the deeper Jurassic units and the shallower Cretaceous units. The main Jurassic aquifers include the Hutton Sandstone, </w:t>
      </w:r>
      <w:r w:rsidRPr="00B4569F">
        <w:t>Cadna-owie Formation</w:t>
      </w:r>
      <w:r>
        <w:t xml:space="preserve"> and </w:t>
      </w:r>
      <w:r w:rsidRPr="00B4569F">
        <w:t>Hooray Sandstone</w:t>
      </w:r>
      <w:r>
        <w:t xml:space="preserve">. The main Cretaceous aquifers are the </w:t>
      </w:r>
      <w:r w:rsidRPr="00B4569F">
        <w:t>Winton</w:t>
      </w:r>
      <w:r>
        <w:t xml:space="preserve"> and </w:t>
      </w:r>
      <w:r w:rsidRPr="00B4569F">
        <w:t>Mackunda Formation</w:t>
      </w:r>
      <w:r>
        <w:t>s</w:t>
      </w:r>
      <w:r w:rsidR="0008061F">
        <w:t>,</w:t>
      </w:r>
      <w:r>
        <w:t xml:space="preserve"> which include </w:t>
      </w:r>
      <w:r w:rsidRPr="00B4569F">
        <w:t>unconfined to confined aquifers</w:t>
      </w:r>
      <w:r>
        <w:t>.</w:t>
      </w:r>
    </w:p>
    <w:p w:rsidR="00DD07AF" w:rsidRPr="0010123B" w:rsidRDefault="00DD07AF" w:rsidP="005F6513">
      <w:pPr>
        <w:pStyle w:val="Heading2"/>
      </w:pPr>
      <w:bookmarkStart w:id="713" w:name="_Toc389055264"/>
      <w:r w:rsidRPr="00547FA1">
        <w:t>Hydraulic properties</w:t>
      </w:r>
      <w:bookmarkEnd w:id="711"/>
      <w:bookmarkEnd w:id="712"/>
      <w:bookmarkEnd w:id="713"/>
      <w:r>
        <w:t xml:space="preserve"> </w:t>
      </w:r>
    </w:p>
    <w:p w:rsidR="00DD07AF" w:rsidRDefault="00DD07AF" w:rsidP="006759EB">
      <w:pPr>
        <w:pStyle w:val="BRNormal"/>
      </w:pPr>
      <w:r>
        <w:t xml:space="preserve">There has been some determination of hydraulic properties of formations in the Galilee Basin, but given the size of </w:t>
      </w:r>
      <w:r w:rsidR="00E95C37">
        <w:t>the Basin</w:t>
      </w:r>
      <w:r>
        <w:t xml:space="preserve"> compared to other more studied and developed basins (e.g. the </w:t>
      </w:r>
      <w:r w:rsidR="00E95C37">
        <w:t>Surat), the data</w:t>
      </w:r>
      <w:r w:rsidR="00EF4658">
        <w:t xml:space="preserve">set is small. </w:t>
      </w:r>
      <w:r>
        <w:t>The following sections describe various sourc</w:t>
      </w:r>
      <w:r w:rsidR="00EF4658">
        <w:t xml:space="preserve">es of hydraulic property data. </w:t>
      </w:r>
      <w:r>
        <w:t>The l</w:t>
      </w:r>
      <w:r w:rsidR="00E95C37">
        <w:t>argest and most important datas</w:t>
      </w:r>
      <w:r>
        <w:t xml:space="preserve">et is that presented in Section 8.2.1, which is a compilation of data (collected over a number of decades) from petroleum </w:t>
      </w:r>
      <w:r w:rsidR="00EF4658">
        <w:t xml:space="preserve">and coal exploration drilling. </w:t>
      </w:r>
      <w:r>
        <w:t>The remaining sections present results from individual investigations related to a specific part of the Basin.</w:t>
      </w:r>
    </w:p>
    <w:p w:rsidR="00DD07AF" w:rsidRPr="0010123B" w:rsidRDefault="00DD07AF" w:rsidP="005F6513">
      <w:pPr>
        <w:pStyle w:val="Heading3"/>
      </w:pPr>
      <w:bookmarkStart w:id="714" w:name="_Toc334718190"/>
      <w:bookmarkStart w:id="715" w:name="_Toc381961191"/>
      <w:r>
        <w:lastRenderedPageBreak/>
        <w:t>Regional datasets</w:t>
      </w:r>
      <w:bookmarkEnd w:id="714"/>
      <w:bookmarkEnd w:id="715"/>
      <w:r>
        <w:t xml:space="preserve"> </w:t>
      </w:r>
    </w:p>
    <w:p w:rsidR="00DD07AF" w:rsidRDefault="00DD07AF" w:rsidP="00EF4658">
      <w:pPr>
        <w:pStyle w:val="BRNormal"/>
      </w:pPr>
      <w:r>
        <w:t xml:space="preserve">Marsh et al. (2008) presents a compilation of permeability and porosity data for </w:t>
      </w:r>
      <w:r w:rsidR="0042792F">
        <w:t xml:space="preserve">part of </w:t>
      </w:r>
      <w:r w:rsidR="00EF4658">
        <w:t xml:space="preserve">the Galilee Basin. </w:t>
      </w:r>
      <w:r>
        <w:t>This is compr</w:t>
      </w:r>
      <w:r w:rsidR="00E95C37">
        <w:t>ised of a Northern Galilee data</w:t>
      </w:r>
      <w:r>
        <w:t>se</w:t>
      </w:r>
      <w:r w:rsidR="00F87DE2">
        <w:t>t compiled by Peter Hawkins (</w:t>
      </w:r>
      <w:r w:rsidR="00F87DE2" w:rsidRPr="003614FB">
        <w:t>Geological Survey of Queensland</w:t>
      </w:r>
      <w:r>
        <w:t xml:space="preserve">) and supplemented by Marsh et al. </w:t>
      </w:r>
      <w:r w:rsidR="00EF4658">
        <w:t xml:space="preserve">(2008) </w:t>
      </w:r>
      <w:r>
        <w:t>with some data f</w:t>
      </w:r>
      <w:r w:rsidR="00E95C37">
        <w:t xml:space="preserve">rom the Southern Galilee Basin. </w:t>
      </w:r>
      <w:r>
        <w:t xml:space="preserve">Marsh et al. </w:t>
      </w:r>
      <w:r w:rsidR="00EF4658">
        <w:t xml:space="preserve">2008 </w:t>
      </w:r>
      <w:r>
        <w:t>note</w:t>
      </w:r>
      <w:r w:rsidR="00E95C37">
        <w:t xml:space="preserve">d that </w:t>
      </w:r>
      <w:r>
        <w:t>the dataset has the potential to be extended so that it cove</w:t>
      </w:r>
      <w:r w:rsidR="00E95C37">
        <w:t>rs the entire Galilee Basin</w:t>
      </w:r>
      <w:r w:rsidR="00EF4658">
        <w:t xml:space="preserve">. </w:t>
      </w:r>
      <w:r w:rsidR="00E95C37">
        <w:t>The Hawkins data</w:t>
      </w:r>
      <w:r>
        <w:t xml:space="preserve">set is not </w:t>
      </w:r>
      <w:r w:rsidR="0042792F">
        <w:t xml:space="preserve">specifically </w:t>
      </w:r>
      <w:r>
        <w:t>referenced in Marsh et al. (2008)</w:t>
      </w:r>
      <w:r w:rsidR="00E95C37">
        <w:t xml:space="preserve"> </w:t>
      </w:r>
      <w:r>
        <w:t>and review of the Hawkins references provided in Marsh</w:t>
      </w:r>
      <w:r w:rsidR="00654198">
        <w:t> </w:t>
      </w:r>
      <w:r>
        <w:t>et</w:t>
      </w:r>
      <w:r w:rsidR="00654198">
        <w:t> </w:t>
      </w:r>
      <w:r>
        <w:t>al.</w:t>
      </w:r>
      <w:r w:rsidR="00654198">
        <w:t> </w:t>
      </w:r>
      <w:r>
        <w:t>(2008) did not identif</w:t>
      </w:r>
      <w:r w:rsidR="00823BCA">
        <w:t>y</w:t>
      </w:r>
      <w:r>
        <w:t xml:space="preserve"> the origi</w:t>
      </w:r>
      <w:r w:rsidR="001C2C37">
        <w:t>nal Northern Galilee data</w:t>
      </w:r>
      <w:r w:rsidR="00E95C37">
        <w:t xml:space="preserve">set. </w:t>
      </w:r>
      <w:r w:rsidR="0042677E">
        <w:t>Hence, the orig</w:t>
      </w:r>
      <w:r w:rsidR="00E95C37">
        <w:t>inal source of the Hawkins data</w:t>
      </w:r>
      <w:r w:rsidR="0042677E">
        <w:t>set is not certain</w:t>
      </w:r>
      <w:r>
        <w:t>.</w:t>
      </w:r>
    </w:p>
    <w:p w:rsidR="00654198" w:rsidRDefault="00E95C37" w:rsidP="00EF4658">
      <w:pPr>
        <w:pStyle w:val="BRNormal"/>
      </w:pPr>
      <w:r>
        <w:t>The data</w:t>
      </w:r>
      <w:r w:rsidR="00DD07AF">
        <w:t xml:space="preserve">set from Marsh et al. (2008) is presented in Figure </w:t>
      </w:r>
      <w:r w:rsidR="0082757D">
        <w:t>40</w:t>
      </w:r>
      <w:r w:rsidR="00DD07AF">
        <w:t xml:space="preserve"> (</w:t>
      </w:r>
      <w:r w:rsidR="00295469">
        <w:t xml:space="preserve">porosity versus horizontal </w:t>
      </w:r>
      <w:r w:rsidR="00DD07AF">
        <w:t xml:space="preserve">permeability) and Figure </w:t>
      </w:r>
      <w:r w:rsidR="0082757D">
        <w:t>41</w:t>
      </w:r>
      <w:r w:rsidR="00DD07AF">
        <w:t xml:space="preserve"> (porosity versus depth a</w:t>
      </w:r>
      <w:r w:rsidR="00EF4658">
        <w:t xml:space="preserve">nd permeability versus depth). </w:t>
      </w:r>
      <w:r w:rsidR="00DD07AF">
        <w:t xml:space="preserve">The data exhibits a wide spread of values </w:t>
      </w:r>
      <w:r w:rsidR="00EF4658">
        <w:t xml:space="preserve">within and between formations. </w:t>
      </w:r>
      <w:r w:rsidR="00DD07AF">
        <w:t xml:space="preserve">There is some trend apparent between porosity and depth, albeit with large uncertainty, and even larger uncertainty in the permeability versus depth relationship. </w:t>
      </w:r>
    </w:p>
    <w:p w:rsidR="00654198" w:rsidRDefault="00654198" w:rsidP="00654198">
      <w:pPr>
        <w:pStyle w:val="Body"/>
      </w:pPr>
      <w:r w:rsidRPr="00390BB8">
        <w:rPr>
          <w:noProof/>
          <w:lang w:val="en-AU" w:eastAsia="en-AU"/>
        </w:rPr>
        <w:drawing>
          <wp:inline distT="0" distB="0" distL="0" distR="0">
            <wp:extent cx="5076825" cy="4068902"/>
            <wp:effectExtent l="0" t="0" r="0" b="0"/>
            <wp:docPr id="1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8" cstate="email"/>
                    <a:srcRect/>
                    <a:stretch>
                      <a:fillRect/>
                    </a:stretch>
                  </pic:blipFill>
                  <pic:spPr bwMode="auto">
                    <a:xfrm>
                      <a:off x="0" y="0"/>
                      <a:ext cx="5082161" cy="4073179"/>
                    </a:xfrm>
                    <a:prstGeom prst="rect">
                      <a:avLst/>
                    </a:prstGeom>
                    <a:noFill/>
                    <a:ln w="9525">
                      <a:noFill/>
                      <a:miter lim="800000"/>
                      <a:headEnd/>
                      <a:tailEnd/>
                    </a:ln>
                  </pic:spPr>
                </pic:pic>
              </a:graphicData>
            </a:graphic>
          </wp:inline>
        </w:drawing>
      </w:r>
    </w:p>
    <w:p w:rsidR="00654198" w:rsidRDefault="00654198" w:rsidP="00654198">
      <w:pPr>
        <w:pStyle w:val="Caption"/>
      </w:pPr>
      <w:r w:rsidRPr="00EA5A48">
        <w:t xml:space="preserve">Figure </w:t>
      </w:r>
      <w:r w:rsidR="00E23933" w:rsidRPr="00EA5A48">
        <w:rPr>
          <w:b/>
        </w:rPr>
        <w:fldChar w:fldCharType="begin"/>
      </w:r>
      <w:r w:rsidRPr="00EA5A48">
        <w:instrText xml:space="preserve"> SEQ Figure \* ARABIC </w:instrText>
      </w:r>
      <w:r w:rsidR="00E23933" w:rsidRPr="00EA5A48">
        <w:rPr>
          <w:b/>
        </w:rPr>
        <w:fldChar w:fldCharType="separate"/>
      </w:r>
      <w:r>
        <w:t>40</w:t>
      </w:r>
      <w:r w:rsidR="00E23933" w:rsidRPr="00EA5A48">
        <w:rPr>
          <w:b/>
        </w:rPr>
        <w:fldChar w:fldCharType="end"/>
      </w:r>
      <w:r>
        <w:rPr>
          <w:b/>
        </w:rPr>
        <w:t xml:space="preserve"> </w:t>
      </w:r>
      <w:r>
        <w:t>Porosity versus permeability for Galilee Basin sedimentary rocks by formation (</w:t>
      </w:r>
      <w:r w:rsidR="006B0EC2">
        <w:t xml:space="preserve">© Copyright, </w:t>
      </w:r>
      <w:r>
        <w:t>Marsh et al.  2008).</w:t>
      </w:r>
    </w:p>
    <w:p w:rsidR="00DD07AF" w:rsidRDefault="00DD07AF" w:rsidP="00EF4658">
      <w:pPr>
        <w:pStyle w:val="BRNormal"/>
      </w:pPr>
      <w:r>
        <w:t xml:space="preserve"> </w:t>
      </w:r>
    </w:p>
    <w:p w:rsidR="00654198" w:rsidRDefault="00DD07AF" w:rsidP="00654198">
      <w:pPr>
        <w:pStyle w:val="BRNormal"/>
        <w:sectPr w:rsidR="00654198" w:rsidSect="001053A1">
          <w:headerReference w:type="even" r:id="rId89"/>
          <w:headerReference w:type="default" r:id="rId90"/>
          <w:footerReference w:type="default" r:id="rId91"/>
          <w:headerReference w:type="first" r:id="rId92"/>
          <w:footerReference w:type="first" r:id="rId93"/>
          <w:pgSz w:w="11900" w:h="16840" w:code="9"/>
          <w:pgMar w:top="1952" w:right="1418" w:bottom="1418" w:left="1418" w:header="0" w:footer="399" w:gutter="0"/>
          <w:cols w:space="284"/>
          <w:noEndnote/>
          <w:docGrid w:linePitch="326"/>
        </w:sectPr>
      </w:pPr>
      <w:r>
        <w:t>Marsh et al. (2008) also present a summary of porosity and permeability for key formations in the Galilee Basin, along with other key properties</w:t>
      </w:r>
      <w:r w:rsidR="001C2C37">
        <w:t xml:space="preserve">, which </w:t>
      </w:r>
      <w:r w:rsidR="00EF4658">
        <w:t xml:space="preserve">is replicated in Figure </w:t>
      </w:r>
      <w:r w:rsidR="0082757D">
        <w:t>42</w:t>
      </w:r>
      <w:r w:rsidR="00EF4658">
        <w:t>.</w:t>
      </w:r>
      <w:r>
        <w:t xml:space="preserve"> A generali</w:t>
      </w:r>
      <w:r w:rsidR="00E95C37">
        <w:t>sed observation from these data</w:t>
      </w:r>
      <w:r>
        <w:t>sets is that the Triassic and Late Permian formations obtain a ma</w:t>
      </w:r>
      <w:r w:rsidR="001C2C37">
        <w:t>ximum permeability of around 10 000 mD (approximately 10 </w:t>
      </w:r>
      <w:r>
        <w:t>m/day)</w:t>
      </w:r>
      <w:r w:rsidR="001C2C37">
        <w:t>,</w:t>
      </w:r>
      <w:r>
        <w:t xml:space="preserve"> whereas the maximum permeability for the Early Permian rocks is around an order of m</w:t>
      </w:r>
      <w:r w:rsidR="001C2C37">
        <w:t>agnitude lower (approximately 1 </w:t>
      </w:r>
      <w:r w:rsidR="00654198">
        <w:t>m/day).</w:t>
      </w:r>
    </w:p>
    <w:p w:rsidR="0082757D" w:rsidRPr="0082757D" w:rsidRDefault="0082757D" w:rsidP="0082757D">
      <w:pPr>
        <w:rPr>
          <w:lang w:val="en-AU" w:eastAsia="en-AU"/>
        </w:rPr>
      </w:pPr>
    </w:p>
    <w:p w:rsidR="00823AF5" w:rsidRPr="00823AF5" w:rsidRDefault="00823AF5" w:rsidP="00823AF5">
      <w:pPr>
        <w:rPr>
          <w:lang w:val="en-AU" w:eastAsia="en-AU"/>
        </w:rPr>
      </w:pPr>
    </w:p>
    <w:p w:rsidR="00DD07AF" w:rsidRDefault="00DD07AF" w:rsidP="001C3374">
      <w:pPr>
        <w:pStyle w:val="Body"/>
      </w:pPr>
      <w:r w:rsidRPr="00390BB8">
        <w:rPr>
          <w:noProof/>
          <w:lang w:val="en-AU" w:eastAsia="en-AU"/>
        </w:rPr>
        <w:drawing>
          <wp:inline distT="0" distB="0" distL="0" distR="0">
            <wp:extent cx="8557147" cy="3807726"/>
            <wp:effectExtent l="0" t="0" r="0" b="0"/>
            <wp:docPr id="10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94" cstate="email"/>
                    <a:srcRect t="-1" b="-2240"/>
                    <a:stretch/>
                  </pic:blipFill>
                  <pic:spPr bwMode="auto">
                    <a:xfrm>
                      <a:off x="0" y="0"/>
                      <a:ext cx="8570023" cy="3813456"/>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DD07AF" w:rsidRDefault="00823AF5" w:rsidP="00823AF5">
      <w:pPr>
        <w:pStyle w:val="Caption"/>
      </w:pPr>
      <w:r w:rsidRPr="00EA5A48">
        <w:t xml:space="preserve">Figure </w:t>
      </w:r>
      <w:r w:rsidR="00E23933" w:rsidRPr="00EA5A48">
        <w:rPr>
          <w:b/>
        </w:rPr>
        <w:fldChar w:fldCharType="begin"/>
      </w:r>
      <w:r w:rsidRPr="00EA5A48">
        <w:instrText xml:space="preserve"> SEQ Figure \* ARABIC </w:instrText>
      </w:r>
      <w:r w:rsidR="00E23933" w:rsidRPr="00EA5A48">
        <w:rPr>
          <w:b/>
        </w:rPr>
        <w:fldChar w:fldCharType="separate"/>
      </w:r>
      <w:r w:rsidR="0082757D">
        <w:t>41</w:t>
      </w:r>
      <w:r w:rsidR="00E23933" w:rsidRPr="00EA5A48">
        <w:rPr>
          <w:b/>
        </w:rPr>
        <w:fldChar w:fldCharType="end"/>
      </w:r>
      <w:r>
        <w:rPr>
          <w:b/>
        </w:rPr>
        <w:t xml:space="preserve"> </w:t>
      </w:r>
      <w:r w:rsidR="00DD07AF">
        <w:t>Porosity versus depth (LHS) and permeability versus depth (RHS) for sedimentary rocks in the Galilee Ba</w:t>
      </w:r>
      <w:r w:rsidR="004D41F2">
        <w:t>s</w:t>
      </w:r>
      <w:r w:rsidR="00DD07AF">
        <w:t>in</w:t>
      </w:r>
      <w:r w:rsidR="004D41F2">
        <w:t xml:space="preserve"> </w:t>
      </w:r>
      <w:r w:rsidR="00DD07AF">
        <w:t>(</w:t>
      </w:r>
      <w:r w:rsidR="00F976E1">
        <w:t>© Copyright</w:t>
      </w:r>
      <w:r w:rsidR="00654198">
        <w:t>,</w:t>
      </w:r>
      <w:r w:rsidR="00DD07AF">
        <w:t xml:space="preserve"> Marsh et al. 2008)</w:t>
      </w:r>
      <w:r>
        <w:t>.</w:t>
      </w:r>
    </w:p>
    <w:p w:rsidR="00D51933" w:rsidRDefault="00D51933" w:rsidP="001C3374">
      <w:pPr>
        <w:pStyle w:val="Body"/>
      </w:pPr>
    </w:p>
    <w:p w:rsidR="00D51933" w:rsidRDefault="00D51933" w:rsidP="001C3374">
      <w:pPr>
        <w:pStyle w:val="Body"/>
      </w:pPr>
    </w:p>
    <w:p w:rsidR="00654198" w:rsidRDefault="00654198" w:rsidP="00654198">
      <w:pPr>
        <w:pStyle w:val="BRNormal"/>
        <w:sectPr w:rsidR="00654198" w:rsidSect="002919C5">
          <w:headerReference w:type="default" r:id="rId95"/>
          <w:headerReference w:type="first" r:id="rId96"/>
          <w:footerReference w:type="first" r:id="rId97"/>
          <w:pgSz w:w="16840" w:h="11900" w:orient="landscape" w:code="9"/>
          <w:pgMar w:top="1976" w:right="1418" w:bottom="1418" w:left="1952" w:header="0" w:footer="548" w:gutter="0"/>
          <w:cols w:space="284"/>
          <w:noEndnote/>
          <w:docGrid w:linePitch="326"/>
        </w:sectPr>
      </w:pPr>
    </w:p>
    <w:p w:rsidR="00654198" w:rsidRDefault="00654198" w:rsidP="00654198">
      <w:pPr>
        <w:pStyle w:val="BRNormal"/>
      </w:pPr>
      <w:r>
        <w:lastRenderedPageBreak/>
        <w:t>There is no indication of how the Marsh et al. (2008) permeability dataset was collected. It is important to know the method behind the permeability data because the method impacts the result. For example, laboratory determined permeability tests (as the bulk of data for the Galilee Basin appears to be) generally underestimate permeability compared to field tests, as rock defects (</w:t>
      </w:r>
      <w:r w:rsidR="00210E3A">
        <w:t xml:space="preserve">i.e. </w:t>
      </w:r>
      <w:r>
        <w:t>fractures, bedding planes</w:t>
      </w:r>
      <w:r w:rsidR="00210E3A">
        <w:t>,</w:t>
      </w:r>
      <w:r>
        <w:t xml:space="preserve"> etc) are usually not captured in laboratory permeability tests. This difference will tend to be more pronounced in low permeability formations, where low density rock defects (i.e. widely spaced) dominate the contribution to overall rock mass permeability.</w:t>
      </w:r>
    </w:p>
    <w:p w:rsidR="00D51933" w:rsidRDefault="00D51933" w:rsidP="001C3374">
      <w:pPr>
        <w:pStyle w:val="Body"/>
      </w:pPr>
    </w:p>
    <w:p w:rsidR="00DD07AF" w:rsidRDefault="00DD07AF" w:rsidP="001C3374">
      <w:pPr>
        <w:pStyle w:val="Body"/>
      </w:pPr>
      <w:r w:rsidRPr="00E87D8B">
        <w:rPr>
          <w:noProof/>
          <w:lang w:val="en-AU" w:eastAsia="en-AU"/>
        </w:rPr>
        <w:drawing>
          <wp:inline distT="0" distB="0" distL="0" distR="0">
            <wp:extent cx="5734050" cy="4023766"/>
            <wp:effectExtent l="0" t="0" r="0" b="0"/>
            <wp:docPr id="10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8" cstate="email"/>
                    <a:srcRect/>
                    <a:stretch>
                      <a:fillRect/>
                    </a:stretch>
                  </pic:blipFill>
                  <pic:spPr bwMode="auto">
                    <a:xfrm>
                      <a:off x="0" y="0"/>
                      <a:ext cx="5750454" cy="4035277"/>
                    </a:xfrm>
                    <a:prstGeom prst="rect">
                      <a:avLst/>
                    </a:prstGeom>
                    <a:noFill/>
                    <a:ln w="9525">
                      <a:noFill/>
                      <a:miter lim="800000"/>
                      <a:headEnd/>
                      <a:tailEnd/>
                    </a:ln>
                  </pic:spPr>
                </pic:pic>
              </a:graphicData>
            </a:graphic>
          </wp:inline>
        </w:drawing>
      </w:r>
    </w:p>
    <w:p w:rsidR="00DD07AF" w:rsidRDefault="00823AF5" w:rsidP="00823AF5">
      <w:pPr>
        <w:pStyle w:val="Caption"/>
      </w:pPr>
      <w:r w:rsidRPr="00EA5A48">
        <w:t xml:space="preserve">Figure </w:t>
      </w:r>
      <w:r w:rsidR="00E23933" w:rsidRPr="00EA5A48">
        <w:rPr>
          <w:b/>
        </w:rPr>
        <w:fldChar w:fldCharType="begin"/>
      </w:r>
      <w:r w:rsidRPr="00EA5A48">
        <w:instrText xml:space="preserve"> SEQ Figure \* ARABIC </w:instrText>
      </w:r>
      <w:r w:rsidR="00E23933" w:rsidRPr="00EA5A48">
        <w:rPr>
          <w:b/>
        </w:rPr>
        <w:fldChar w:fldCharType="separate"/>
      </w:r>
      <w:r w:rsidR="00654198">
        <w:t>42</w:t>
      </w:r>
      <w:r w:rsidR="00E23933" w:rsidRPr="00EA5A48">
        <w:rPr>
          <w:b/>
        </w:rPr>
        <w:fldChar w:fldCharType="end"/>
      </w:r>
      <w:r>
        <w:rPr>
          <w:b/>
        </w:rPr>
        <w:t xml:space="preserve"> </w:t>
      </w:r>
      <w:r w:rsidR="00DD07AF">
        <w:t xml:space="preserve">Summary of key properties of formations in the Galilee </w:t>
      </w:r>
      <w:r>
        <w:t>Basin (</w:t>
      </w:r>
      <w:r w:rsidR="00F976E1">
        <w:t>© Copyright</w:t>
      </w:r>
      <w:r w:rsidR="00654198">
        <w:t>,</w:t>
      </w:r>
      <w:r>
        <w:t xml:space="preserve"> Marsh et al.</w:t>
      </w:r>
      <w:r w:rsidR="008D59AA">
        <w:t xml:space="preserve"> 2008</w:t>
      </w:r>
      <w:r w:rsidR="00E77F4B">
        <w:t>)</w:t>
      </w:r>
      <w:r>
        <w:t>.</w:t>
      </w:r>
    </w:p>
    <w:p w:rsidR="0082757D" w:rsidRDefault="0082757D" w:rsidP="00823AF5">
      <w:pPr>
        <w:pStyle w:val="BRNormal"/>
      </w:pPr>
    </w:p>
    <w:p w:rsidR="0082757D" w:rsidRDefault="00DD07AF" w:rsidP="00823AF5">
      <w:pPr>
        <w:pStyle w:val="BRNormal"/>
      </w:pPr>
      <w:r>
        <w:t>A further limitation with the amalg</w:t>
      </w:r>
      <w:r w:rsidR="00E95C37">
        <w:t>amated Marsh et al. (2008) data</w:t>
      </w:r>
      <w:r>
        <w:t>set is that the permeability is not differentiated into horizo</w:t>
      </w:r>
      <w:r w:rsidR="00823AF5">
        <w:t xml:space="preserve">ntal or vertical permeability. </w:t>
      </w:r>
      <w:r>
        <w:t>The distinction is very important when it comes to determining connectivity in a particular context, such as using the data in a model or some other form of predictive tool. Knowing the method of testing can sometimes help in determining if vertical or horizontal</w:t>
      </w:r>
      <w:r w:rsidR="00823AF5">
        <w:t xml:space="preserve"> permeability has been tested. </w:t>
      </w:r>
      <w:r>
        <w:t>However, Rawsthorn et al. (2009) u</w:t>
      </w:r>
      <w:r w:rsidR="00E95C37">
        <w:t>se the Marsh et al. (2008) data</w:t>
      </w:r>
      <w:r>
        <w:t>set</w:t>
      </w:r>
      <w:r w:rsidR="009F6F83">
        <w:t xml:space="preserve"> in building a geological model</w:t>
      </w:r>
      <w:r>
        <w:t xml:space="preserve"> and they do provide a breakdown of the Marsh et al. </w:t>
      </w:r>
      <w:r w:rsidR="009F6F83">
        <w:t xml:space="preserve">(2008) </w:t>
      </w:r>
      <w:r>
        <w:t>data, including into vertica</w:t>
      </w:r>
      <w:r w:rsidR="00823AF5">
        <w:t xml:space="preserve">l and horizontal permeability. </w:t>
      </w:r>
      <w:r>
        <w:t xml:space="preserve">Plots of vertical versus horizontal permeability are presented in Rawsthorn et al. </w:t>
      </w:r>
      <w:r w:rsidR="009F6F83">
        <w:t>(2009) based on three divisions:</w:t>
      </w:r>
      <w:r>
        <w:t xml:space="preserve"> Triassic, Late Permian</w:t>
      </w:r>
      <w:r w:rsidR="00823AF5">
        <w:t xml:space="preserve"> and Early Permian formations. </w:t>
      </w:r>
      <w:r>
        <w:t>The Late Pe</w:t>
      </w:r>
      <w:r w:rsidR="00E95C37">
        <w:t>rmian data</w:t>
      </w:r>
      <w:r>
        <w:t>set is provide</w:t>
      </w:r>
      <w:r w:rsidR="00823AF5">
        <w:t xml:space="preserve">d as an example in Figure </w:t>
      </w:r>
      <w:r w:rsidR="0082757D">
        <w:t>43</w:t>
      </w:r>
      <w:r w:rsidR="00823AF5">
        <w:t xml:space="preserve">. </w:t>
      </w:r>
      <w:r>
        <w:t xml:space="preserve">Both the Late and Early Permian formations indicate </w:t>
      </w:r>
      <w:r w:rsidR="00E006EC">
        <w:t xml:space="preserve">a potential positive linear </w:t>
      </w:r>
      <w:r>
        <w:t>relationship between horizon</w:t>
      </w:r>
      <w:r w:rsidR="00823AF5">
        <w:t xml:space="preserve">tal and vertical permeability. </w:t>
      </w:r>
      <w:r w:rsidR="00E95C37">
        <w:t>The Triassic data</w:t>
      </w:r>
      <w:r>
        <w:t xml:space="preserve">set suggests a </w:t>
      </w:r>
      <w:r w:rsidR="009F6F83">
        <w:t>10</w:t>
      </w:r>
      <w:r w:rsidR="00E006EC">
        <w:t xml:space="preserve"> to </w:t>
      </w:r>
      <w:r w:rsidR="009F6F83">
        <w:t>1</w:t>
      </w:r>
      <w:r>
        <w:t xml:space="preserve"> relationship </w:t>
      </w:r>
      <w:r>
        <w:lastRenderedPageBreak/>
        <w:t>between horiz</w:t>
      </w:r>
      <w:r w:rsidR="009F6F83">
        <w:t>ontal and vertical permeability;</w:t>
      </w:r>
      <w:r>
        <w:t xml:space="preserve"> however</w:t>
      </w:r>
      <w:r w:rsidR="009F6F83">
        <w:t>,</w:t>
      </w:r>
      <w:r>
        <w:t xml:space="preserve"> it is based on only four data points and hence is not a statistically significant or reliable relationship.</w:t>
      </w:r>
    </w:p>
    <w:p w:rsidR="00DD07AF" w:rsidRDefault="00DD07AF" w:rsidP="00823AF5">
      <w:pPr>
        <w:pStyle w:val="BRNormal"/>
      </w:pPr>
      <w:r>
        <w:t xml:space="preserve">The final aspect of the </w:t>
      </w:r>
      <w:r w:rsidR="006C3F45">
        <w:t>data presented in the Hawkins papers (e.g. Hawkins &amp; Green</w:t>
      </w:r>
      <w:r w:rsidR="006C3F45" w:rsidRPr="006E1435">
        <w:t xml:space="preserve"> 1993</w:t>
      </w:r>
      <w:r w:rsidR="006C3F45">
        <w:t xml:space="preserve">; Jackson et al. 1981; Hawkins 1978) and </w:t>
      </w:r>
      <w:r>
        <w:t xml:space="preserve">Marsh et al. (2008) data of note is that the </w:t>
      </w:r>
      <w:r w:rsidRPr="008337E6">
        <w:t xml:space="preserve">distribution of testing in various formations is highly skewed with some formations containing very limited </w:t>
      </w:r>
      <w:r>
        <w:t>data</w:t>
      </w:r>
      <w:r w:rsidRPr="008337E6">
        <w:t xml:space="preserve">. </w:t>
      </w:r>
      <w:r>
        <w:t xml:space="preserve"> Based simply on a visual count from Figure </w:t>
      </w:r>
      <w:r w:rsidR="0082757D">
        <w:t>40</w:t>
      </w:r>
      <w:r>
        <w:t xml:space="preserve">, (i.e. not from raw data) the </w:t>
      </w:r>
      <w:proofErr w:type="gramStart"/>
      <w:r>
        <w:t>number of tests in each formation were</w:t>
      </w:r>
      <w:proofErr w:type="gramEnd"/>
      <w:r>
        <w:t xml:space="preserve"> estimated (bracketed figures indicate the number of tests):</w:t>
      </w:r>
    </w:p>
    <w:p w:rsidR="00DD07AF" w:rsidRDefault="00DD07AF" w:rsidP="00823AF5">
      <w:pPr>
        <w:pStyle w:val="Bulletpoint"/>
      </w:pPr>
      <w:r>
        <w:t xml:space="preserve">Middle Triassic </w:t>
      </w:r>
      <w:r w:rsidR="00B22574">
        <w:t xml:space="preserve">– </w:t>
      </w:r>
      <w:r>
        <w:t>Moolayember (6), Clematis Sandstone (1), R</w:t>
      </w:r>
      <w:r w:rsidR="009F6F83">
        <w:t>ewan (3) and</w:t>
      </w:r>
      <w:r w:rsidR="00823AF5">
        <w:t xml:space="preserve"> Warang Sandstone (57)</w:t>
      </w:r>
    </w:p>
    <w:p w:rsidR="00DD07AF" w:rsidRDefault="00DD07AF" w:rsidP="00823AF5">
      <w:pPr>
        <w:pStyle w:val="Bulletpoint"/>
      </w:pPr>
      <w:r>
        <w:t>Late Permian – Bandanna Formation (1), Colinlea Sands</w:t>
      </w:r>
      <w:r w:rsidR="009F6F83">
        <w:t>tone (1) and</w:t>
      </w:r>
      <w:r w:rsidR="00823AF5">
        <w:t xml:space="preserve"> Betts Creek Beds (40)</w:t>
      </w:r>
    </w:p>
    <w:p w:rsidR="00DD07AF" w:rsidRDefault="00DD07AF" w:rsidP="00823AF5">
      <w:pPr>
        <w:pStyle w:val="Bulletpoint"/>
      </w:pPr>
      <w:r>
        <w:t xml:space="preserve">Early Permian </w:t>
      </w:r>
      <w:r w:rsidR="00B22574">
        <w:t xml:space="preserve">– </w:t>
      </w:r>
      <w:r>
        <w:t>Aramac Coal Measures (31) , Jochmus F</w:t>
      </w:r>
      <w:r w:rsidR="009F6F83">
        <w:t>ormation (44) and</w:t>
      </w:r>
      <w:r>
        <w:t xml:space="preserve"> Jericho Formation (36) (note </w:t>
      </w:r>
      <w:r w:rsidR="009F6F83">
        <w:t xml:space="preserve">that </w:t>
      </w:r>
      <w:r>
        <w:t xml:space="preserve">the Jericho </w:t>
      </w:r>
      <w:r w:rsidR="009F6F83">
        <w:t xml:space="preserve">Formation </w:t>
      </w:r>
      <w:r>
        <w:t>also occur</w:t>
      </w:r>
      <w:r w:rsidR="006C3F45">
        <w:t>s</w:t>
      </w:r>
      <w:r>
        <w:t xml:space="preserve"> in the Late Carboniferous)</w:t>
      </w:r>
    </w:p>
    <w:p w:rsidR="00DD07AF" w:rsidRDefault="00DD07AF" w:rsidP="00823AF5">
      <w:pPr>
        <w:pStyle w:val="Bulletpoint"/>
      </w:pPr>
      <w:r>
        <w:t>Late Carboniferous – Lake Galilee Sandstone (9)</w:t>
      </w:r>
      <w:r w:rsidR="00823AF5">
        <w:t>.</w:t>
      </w:r>
    </w:p>
    <w:p w:rsidR="0082757D" w:rsidRDefault="0082757D" w:rsidP="0082757D">
      <w:pPr>
        <w:pStyle w:val="Body"/>
      </w:pPr>
      <w:r>
        <w:t xml:space="preserve"> </w:t>
      </w:r>
    </w:p>
    <w:p w:rsidR="0082757D" w:rsidRDefault="0082757D" w:rsidP="0082757D">
      <w:pPr>
        <w:pStyle w:val="Body"/>
      </w:pPr>
      <w:r w:rsidRPr="005F03DF">
        <w:rPr>
          <w:noProof/>
          <w:lang w:val="en-AU" w:eastAsia="en-AU"/>
        </w:rPr>
        <w:drawing>
          <wp:inline distT="0" distB="0" distL="0" distR="0">
            <wp:extent cx="5663821" cy="3313291"/>
            <wp:effectExtent l="0" t="0" r="0" b="0"/>
            <wp:docPr id="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9" cstate="email"/>
                    <a:srcRect/>
                    <a:stretch>
                      <a:fillRect/>
                    </a:stretch>
                  </pic:blipFill>
                  <pic:spPr bwMode="auto">
                    <a:xfrm>
                      <a:off x="0" y="0"/>
                      <a:ext cx="5668373" cy="3315954"/>
                    </a:xfrm>
                    <a:prstGeom prst="rect">
                      <a:avLst/>
                    </a:prstGeom>
                    <a:noFill/>
                    <a:ln w="9525">
                      <a:noFill/>
                      <a:miter lim="800000"/>
                      <a:headEnd/>
                      <a:tailEnd/>
                    </a:ln>
                  </pic:spPr>
                </pic:pic>
              </a:graphicData>
            </a:graphic>
          </wp:inline>
        </w:drawing>
      </w:r>
    </w:p>
    <w:p w:rsidR="0082757D" w:rsidRDefault="0082757D" w:rsidP="00DA109F">
      <w:pPr>
        <w:pStyle w:val="Caption"/>
      </w:pPr>
      <w:r w:rsidRPr="00EA5A48">
        <w:t xml:space="preserve">Figure </w:t>
      </w:r>
      <w:r w:rsidR="00E23933" w:rsidRPr="00EA5A48">
        <w:rPr>
          <w:b/>
        </w:rPr>
        <w:fldChar w:fldCharType="begin"/>
      </w:r>
      <w:r w:rsidRPr="00EA5A48">
        <w:instrText xml:space="preserve"> SEQ Figure \* ARABIC </w:instrText>
      </w:r>
      <w:r w:rsidR="00E23933" w:rsidRPr="00EA5A48">
        <w:rPr>
          <w:b/>
        </w:rPr>
        <w:fldChar w:fldCharType="separate"/>
      </w:r>
      <w:r w:rsidR="009F6F83">
        <w:t>43</w:t>
      </w:r>
      <w:r w:rsidR="00E23933" w:rsidRPr="00EA5A48">
        <w:rPr>
          <w:b/>
        </w:rPr>
        <w:fldChar w:fldCharType="end"/>
      </w:r>
      <w:r>
        <w:rPr>
          <w:b/>
        </w:rPr>
        <w:t xml:space="preserve"> </w:t>
      </w:r>
      <w:r>
        <w:t>Late Permian horizontal versus vertical permeability (</w:t>
      </w:r>
      <w:r w:rsidR="00F976E1">
        <w:t>© Copyright</w:t>
      </w:r>
      <w:r w:rsidR="009F6F83">
        <w:t>,</w:t>
      </w:r>
      <w:r>
        <w:t xml:space="preserve"> Rawsthorn et al. 2009).</w:t>
      </w:r>
    </w:p>
    <w:p w:rsidR="00DA109F" w:rsidRDefault="00DA109F" w:rsidP="007F4BD0">
      <w:pPr>
        <w:pStyle w:val="BRNormal"/>
      </w:pPr>
    </w:p>
    <w:p w:rsidR="00DD07AF" w:rsidRDefault="00DD07AF" w:rsidP="007F4BD0">
      <w:pPr>
        <w:pStyle w:val="BRNormal"/>
      </w:pPr>
      <w:r>
        <w:t>It can be seen that the vast majority of tests</w:t>
      </w:r>
      <w:r w:rsidR="006C3F45">
        <w:t xml:space="preserve"> have been in the Permian units</w:t>
      </w:r>
      <w:r>
        <w:t xml:space="preserve"> and many of these in the prospective economic formations (</w:t>
      </w:r>
      <w:r w:rsidR="006C3F45">
        <w:t xml:space="preserve">e.g. </w:t>
      </w:r>
      <w:r>
        <w:t>Aramac Co</w:t>
      </w:r>
      <w:r w:rsidR="006C3F45">
        <w:t>al Measures, Betts Creek Beds).</w:t>
      </w:r>
      <w:r>
        <w:t xml:space="preserve"> In contrast</w:t>
      </w:r>
      <w:r w:rsidR="006C3F45">
        <w:t>,</w:t>
      </w:r>
      <w:r>
        <w:t xml:space="preserve"> there are very few tests in the formations that overlie these units (e.g. six tests only in the Moolayember Formation and three in the Rewan Formation) – these formations will exert a major control on connectivity between aquifers if the Permian units are depressurised for CSG development.</w:t>
      </w:r>
    </w:p>
    <w:p w:rsidR="00DD07AF" w:rsidRDefault="00DD07AF" w:rsidP="007F4BD0">
      <w:pPr>
        <w:pStyle w:val="BRNormal"/>
      </w:pPr>
      <w:r>
        <w:lastRenderedPageBreak/>
        <w:t xml:space="preserve">It should also be noted that the test numbers described </w:t>
      </w:r>
      <w:r w:rsidR="00E95C37">
        <w:t>are from a limited spatial data</w:t>
      </w:r>
      <w:r>
        <w:t>set.  Rawsthorn et al. (2009) suggest that the Hawkins</w:t>
      </w:r>
      <w:r w:rsidR="006C3F45">
        <w:t xml:space="preserve"> data </w:t>
      </w:r>
      <w:r>
        <w:t>and Marsh et al. (2008) da</w:t>
      </w:r>
      <w:r w:rsidR="007F4BD0">
        <w:t xml:space="preserve">ta is based on only </w:t>
      </w:r>
      <w:r w:rsidR="006C3F45">
        <w:t>10</w:t>
      </w:r>
      <w:r w:rsidR="007F4BD0">
        <w:t xml:space="preserve"> wells. </w:t>
      </w:r>
      <w:r>
        <w:t>T</w:t>
      </w:r>
      <w:r w:rsidR="007F4BD0">
        <w:t xml:space="preserve">his is a significant data gap. </w:t>
      </w:r>
      <w:r>
        <w:t>In particular</w:t>
      </w:r>
      <w:r w:rsidR="007F4BD0">
        <w:t>,</w:t>
      </w:r>
      <w:r>
        <w:t xml:space="preserve"> there is paucity of data in the southern part of the Basin, although Marsh et al. (2008) suggest that some permeability data is available in this area but was not collated in their assessment.</w:t>
      </w:r>
    </w:p>
    <w:p w:rsidR="00DD07AF" w:rsidRPr="0010123B" w:rsidRDefault="00E95C37" w:rsidP="005F6513">
      <w:pPr>
        <w:pStyle w:val="Heading3"/>
      </w:pPr>
      <w:bookmarkStart w:id="716" w:name="_Toc334718191"/>
      <w:bookmarkStart w:id="717" w:name="_Toc381961192"/>
      <w:r>
        <w:t>Local data</w:t>
      </w:r>
      <w:r w:rsidR="00DD07AF">
        <w:t>sets</w:t>
      </w:r>
      <w:bookmarkEnd w:id="716"/>
      <w:bookmarkEnd w:id="717"/>
    </w:p>
    <w:p w:rsidR="00DD07AF" w:rsidRPr="00776CDD" w:rsidRDefault="007F4BD0" w:rsidP="00BE7A62">
      <w:pPr>
        <w:pStyle w:val="Heading4"/>
      </w:pPr>
      <w:r>
        <w:t>AGL (2012) underground water impact r</w:t>
      </w:r>
      <w:r w:rsidR="00DD07AF" w:rsidRPr="00776CDD">
        <w:t>eport</w:t>
      </w:r>
    </w:p>
    <w:p w:rsidR="008A011C" w:rsidRDefault="008A011C" w:rsidP="007F4BD0">
      <w:pPr>
        <w:pStyle w:val="BRNormal"/>
      </w:pPr>
      <w:r>
        <w:t>Near</w:t>
      </w:r>
      <w:r w:rsidR="00DD07AF">
        <w:t xml:space="preserve"> the middle of the Galilee Basin (approximately 50</w:t>
      </w:r>
      <w:r w:rsidR="007F4BD0">
        <w:t> </w:t>
      </w:r>
      <w:r w:rsidR="00DD07AF">
        <w:t xml:space="preserve">km </w:t>
      </w:r>
      <w:r w:rsidR="007F4BD0">
        <w:t>north-east</w:t>
      </w:r>
      <w:r w:rsidR="00DD07AF">
        <w:t xml:space="preserve"> of Longreach), AGL ha</w:t>
      </w:r>
      <w:r w:rsidR="0042677E">
        <w:t>s</w:t>
      </w:r>
      <w:r w:rsidR="00DD07AF">
        <w:t xml:space="preserve"> operated five pilot </w:t>
      </w:r>
      <w:r w:rsidR="00E52014">
        <w:t xml:space="preserve">CSG </w:t>
      </w:r>
      <w:r w:rsidR="00DD07AF">
        <w:t>production well</w:t>
      </w:r>
      <w:r w:rsidR="007F4BD0">
        <w:t xml:space="preserve">s since December 2009. </w:t>
      </w:r>
      <w:r w:rsidR="00DD07AF">
        <w:t>The wells target the Betts Creek Beds at depths of 950</w:t>
      </w:r>
      <w:r w:rsidR="007F4BD0">
        <w:t xml:space="preserve"> to 1000 m below ground level. </w:t>
      </w:r>
      <w:r w:rsidR="00DD07AF">
        <w:t>As part of their assessment of impacts of these pilot activities AGL have simulated the extractio</w:t>
      </w:r>
      <w:r w:rsidR="007F4BD0">
        <w:t xml:space="preserve">n test with a numerical model. </w:t>
      </w:r>
      <w:r w:rsidR="00DD07AF">
        <w:t xml:space="preserve">The process of calibrating the numerical model provides </w:t>
      </w:r>
      <w:r w:rsidR="00CA3468">
        <w:t xml:space="preserve">predictions </w:t>
      </w:r>
      <w:r w:rsidR="00DD07AF">
        <w:t>on hydrauli</w:t>
      </w:r>
      <w:r w:rsidR="007F4BD0">
        <w:t>c properties of the formations.</w:t>
      </w:r>
      <w:r w:rsidR="00DD07AF">
        <w:t xml:space="preserve"> The calibration process includes use of an observation bore in the Betts Creek Beds (at two vertical locations) and</w:t>
      </w:r>
      <w:r w:rsidR="007F4BD0">
        <w:t xml:space="preserve"> the (lower) Hutton Sandstone. </w:t>
      </w:r>
      <w:r w:rsidR="00DD07AF">
        <w:t>The model calibrated hydraulic paramete</w:t>
      </w:r>
      <w:r w:rsidR="007F4BD0">
        <w:t xml:space="preserve">rs are presented in Table </w:t>
      </w:r>
      <w:r w:rsidR="004C474F">
        <w:t>27</w:t>
      </w:r>
      <w:r w:rsidR="007F4BD0">
        <w:t xml:space="preserve">. </w:t>
      </w:r>
      <w:r w:rsidR="00DD07AF">
        <w:t>Units above the Hutton Sandstone were not monitored during the test and hence the parameters for those formations can be considered estimates rather than calibration determined parameters.</w:t>
      </w:r>
    </w:p>
    <w:p w:rsidR="00DD07AF" w:rsidRDefault="008A011C" w:rsidP="00AF4E7C">
      <w:pPr>
        <w:pStyle w:val="Caption"/>
      </w:pPr>
      <w:r w:rsidRPr="006F2073">
        <w:t xml:space="preserve">Table </w:t>
      </w:r>
      <w:r w:rsidR="00E23933" w:rsidRPr="006F2073">
        <w:rPr>
          <w:b/>
          <w:noProof w:val="0"/>
        </w:rPr>
        <w:fldChar w:fldCharType="begin"/>
      </w:r>
      <w:r w:rsidRPr="006F2073">
        <w:instrText xml:space="preserve"> SEQ Table \* ARABIC </w:instrText>
      </w:r>
      <w:r w:rsidR="00E23933" w:rsidRPr="006F2073">
        <w:rPr>
          <w:b/>
          <w:noProof w:val="0"/>
        </w:rPr>
        <w:fldChar w:fldCharType="separate"/>
      </w:r>
      <w:r>
        <w:t>27</w:t>
      </w:r>
      <w:r w:rsidR="00E23933" w:rsidRPr="006F2073">
        <w:rPr>
          <w:b/>
        </w:rPr>
        <w:fldChar w:fldCharType="end"/>
      </w:r>
      <w:r>
        <w:rPr>
          <w:b/>
        </w:rPr>
        <w:t xml:space="preserve"> </w:t>
      </w:r>
      <w:r w:rsidRPr="00614821">
        <w:t>Model calibrated hydraulic parameters for AGL pilot well testing</w:t>
      </w:r>
      <w:r>
        <w:t>,</w:t>
      </w:r>
      <w:r w:rsidRPr="00614821">
        <w:t xml:space="preserve"> Dec</w:t>
      </w:r>
      <w:r>
        <w:t>ember</w:t>
      </w:r>
      <w:r w:rsidRPr="00614821">
        <w:t xml:space="preserve"> 2009 </w:t>
      </w:r>
      <w:r>
        <w:t>to</w:t>
      </w:r>
      <w:r w:rsidRPr="00614821">
        <w:t xml:space="preserve"> Jan</w:t>
      </w:r>
      <w:r>
        <w:t>uary 2012 (</w:t>
      </w:r>
      <w:r w:rsidR="00F976E1">
        <w:t>© Copyright</w:t>
      </w:r>
      <w:r>
        <w:t>, AGL 2012).</w:t>
      </w:r>
      <w:r w:rsidR="00DD07AF">
        <w:t xml:space="preserve"> </w:t>
      </w:r>
    </w:p>
    <w:tbl>
      <w:tblPr>
        <w:tblStyle w:val="TableGrid"/>
        <w:tblW w:w="0" w:type="auto"/>
        <w:tblInd w:w="108" w:type="dxa"/>
        <w:tblLook w:val="04A0"/>
      </w:tblPr>
      <w:tblGrid>
        <w:gridCol w:w="2268"/>
        <w:gridCol w:w="1701"/>
        <w:gridCol w:w="1394"/>
        <w:gridCol w:w="1701"/>
        <w:gridCol w:w="1843"/>
      </w:tblGrid>
      <w:tr w:rsidR="006B0EC2" w:rsidTr="00AF4E7C">
        <w:trPr>
          <w:tblHeader/>
        </w:trPr>
        <w:tc>
          <w:tcPr>
            <w:tcW w:w="2268" w:type="dxa"/>
            <w:shd w:val="clear" w:color="auto" w:fill="C6D9F1" w:themeFill="text2" w:themeFillTint="33"/>
          </w:tcPr>
          <w:p w:rsidR="006B0EC2" w:rsidRDefault="006B0EC2" w:rsidP="006B0EC2">
            <w:pPr>
              <w:pStyle w:val="Tableheading"/>
            </w:pPr>
            <w:r>
              <w:t>Hydrostatigraphic unit</w:t>
            </w:r>
          </w:p>
        </w:tc>
        <w:tc>
          <w:tcPr>
            <w:tcW w:w="1701" w:type="dxa"/>
            <w:shd w:val="clear" w:color="auto" w:fill="C6D9F1" w:themeFill="text2" w:themeFillTint="33"/>
          </w:tcPr>
          <w:p w:rsidR="006B0EC2" w:rsidRDefault="006B0EC2" w:rsidP="006B0EC2">
            <w:pPr>
              <w:pStyle w:val="Tableheading"/>
            </w:pPr>
            <w:r>
              <w:t>Horizontal hydraulic conductivity (m/d)</w:t>
            </w:r>
          </w:p>
        </w:tc>
        <w:tc>
          <w:tcPr>
            <w:tcW w:w="1276" w:type="dxa"/>
            <w:shd w:val="clear" w:color="auto" w:fill="C6D9F1" w:themeFill="text2" w:themeFillTint="33"/>
          </w:tcPr>
          <w:p w:rsidR="006B0EC2" w:rsidRDefault="006B0EC2" w:rsidP="006B0EC2">
            <w:pPr>
              <w:pStyle w:val="Tableheading"/>
            </w:pPr>
            <w:r>
              <w:t>Vertical hydraulic conductivity (m/d)</w:t>
            </w:r>
          </w:p>
        </w:tc>
        <w:tc>
          <w:tcPr>
            <w:tcW w:w="1701" w:type="dxa"/>
            <w:shd w:val="clear" w:color="auto" w:fill="C6D9F1" w:themeFill="text2" w:themeFillTint="33"/>
          </w:tcPr>
          <w:p w:rsidR="006B0EC2" w:rsidRDefault="006B0EC2" w:rsidP="006B0EC2">
            <w:pPr>
              <w:pStyle w:val="Tableheading"/>
            </w:pPr>
            <w:r>
              <w:t>Specific storage (−/m)</w:t>
            </w:r>
          </w:p>
        </w:tc>
        <w:tc>
          <w:tcPr>
            <w:tcW w:w="1843" w:type="dxa"/>
            <w:shd w:val="clear" w:color="auto" w:fill="C6D9F1" w:themeFill="text2" w:themeFillTint="33"/>
          </w:tcPr>
          <w:p w:rsidR="006B0EC2" w:rsidRDefault="006B0EC2" w:rsidP="006B0EC2">
            <w:pPr>
              <w:pStyle w:val="Tableheading"/>
            </w:pPr>
            <w:r>
              <w:t>Approximate storativity (-)</w:t>
            </w:r>
          </w:p>
        </w:tc>
      </w:tr>
      <w:tr w:rsidR="006B0EC2" w:rsidTr="006B0EC2">
        <w:tc>
          <w:tcPr>
            <w:tcW w:w="2268" w:type="dxa"/>
          </w:tcPr>
          <w:p w:rsidR="006B0EC2" w:rsidRDefault="006B0EC2" w:rsidP="006B0EC2">
            <w:pPr>
              <w:pStyle w:val="Tabletext"/>
            </w:pPr>
            <w:r>
              <w:t>Winton/Mackunda Formation</w:t>
            </w:r>
          </w:p>
        </w:tc>
        <w:tc>
          <w:tcPr>
            <w:tcW w:w="1701" w:type="dxa"/>
          </w:tcPr>
          <w:p w:rsidR="006B0EC2" w:rsidRDefault="00AF4E7C" w:rsidP="00AF4E7C">
            <w:pPr>
              <w:pStyle w:val="Tabletext"/>
              <w:jc w:val="center"/>
            </w:pPr>
            <w:r>
              <w:t>1</w:t>
            </w:r>
          </w:p>
        </w:tc>
        <w:tc>
          <w:tcPr>
            <w:tcW w:w="1276" w:type="dxa"/>
          </w:tcPr>
          <w:p w:rsidR="006B0EC2" w:rsidRDefault="00AF4E7C" w:rsidP="00AF4E7C">
            <w:pPr>
              <w:pStyle w:val="Tabletext"/>
              <w:jc w:val="center"/>
            </w:pPr>
            <w:r>
              <w:t>0.1</w:t>
            </w:r>
          </w:p>
        </w:tc>
        <w:tc>
          <w:tcPr>
            <w:tcW w:w="1701" w:type="dxa"/>
          </w:tcPr>
          <w:p w:rsidR="006B0EC2" w:rsidRDefault="00AF4E7C" w:rsidP="00AF4E7C">
            <w:pPr>
              <w:pStyle w:val="Tabletext"/>
              <w:jc w:val="center"/>
            </w:pPr>
            <w:r>
              <w:t>0.000001</w:t>
            </w:r>
          </w:p>
        </w:tc>
        <w:tc>
          <w:tcPr>
            <w:tcW w:w="1843" w:type="dxa"/>
          </w:tcPr>
          <w:p w:rsidR="006B0EC2" w:rsidRDefault="00AF4E7C" w:rsidP="00AF4E7C">
            <w:pPr>
              <w:pStyle w:val="Tabletext"/>
              <w:jc w:val="center"/>
            </w:pPr>
            <w:r>
              <w:t>Variable</w:t>
            </w:r>
          </w:p>
        </w:tc>
      </w:tr>
      <w:tr w:rsidR="006B0EC2" w:rsidTr="006B0EC2">
        <w:tc>
          <w:tcPr>
            <w:tcW w:w="2268" w:type="dxa"/>
          </w:tcPr>
          <w:p w:rsidR="006B0EC2" w:rsidRDefault="006B0EC2" w:rsidP="006B0EC2">
            <w:pPr>
              <w:pStyle w:val="Tabletext"/>
            </w:pPr>
            <w:r>
              <w:t>Wallumbilla Formation</w:t>
            </w:r>
          </w:p>
        </w:tc>
        <w:tc>
          <w:tcPr>
            <w:tcW w:w="1701" w:type="dxa"/>
          </w:tcPr>
          <w:p w:rsidR="006B0EC2" w:rsidRDefault="00AF4E7C" w:rsidP="00AF4E7C">
            <w:pPr>
              <w:pStyle w:val="Tabletext"/>
              <w:jc w:val="center"/>
            </w:pPr>
            <w:r>
              <w:t>0.00003</w:t>
            </w:r>
          </w:p>
        </w:tc>
        <w:tc>
          <w:tcPr>
            <w:tcW w:w="1276" w:type="dxa"/>
          </w:tcPr>
          <w:p w:rsidR="006B0EC2" w:rsidRDefault="00AF4E7C" w:rsidP="00AF4E7C">
            <w:pPr>
              <w:pStyle w:val="Tabletext"/>
              <w:jc w:val="center"/>
            </w:pPr>
            <w:r>
              <w:t>0.000003</w:t>
            </w:r>
          </w:p>
        </w:tc>
        <w:tc>
          <w:tcPr>
            <w:tcW w:w="1701" w:type="dxa"/>
          </w:tcPr>
          <w:p w:rsidR="006B0EC2" w:rsidRDefault="00AF4E7C" w:rsidP="00AF4E7C">
            <w:pPr>
              <w:pStyle w:val="Tabletext"/>
              <w:jc w:val="center"/>
            </w:pPr>
            <w:r>
              <w:t>0.000001</w:t>
            </w:r>
          </w:p>
        </w:tc>
        <w:tc>
          <w:tcPr>
            <w:tcW w:w="1843" w:type="dxa"/>
          </w:tcPr>
          <w:p w:rsidR="006B0EC2" w:rsidRDefault="00AF4E7C" w:rsidP="00AF4E7C">
            <w:pPr>
              <w:pStyle w:val="Tabletext"/>
              <w:jc w:val="center"/>
            </w:pPr>
            <w:r>
              <w:t>Variable</w:t>
            </w:r>
          </w:p>
        </w:tc>
      </w:tr>
      <w:tr w:rsidR="006B0EC2" w:rsidTr="006B0EC2">
        <w:tc>
          <w:tcPr>
            <w:tcW w:w="2268" w:type="dxa"/>
          </w:tcPr>
          <w:p w:rsidR="006B0EC2" w:rsidRDefault="006B0EC2" w:rsidP="006B0EC2">
            <w:pPr>
              <w:pStyle w:val="Tabletext"/>
            </w:pPr>
            <w:r>
              <w:t>Cadna-owie Formation/Hooray Sandstone</w:t>
            </w:r>
          </w:p>
        </w:tc>
        <w:tc>
          <w:tcPr>
            <w:tcW w:w="1701" w:type="dxa"/>
          </w:tcPr>
          <w:p w:rsidR="006B0EC2" w:rsidRDefault="00AF4E7C" w:rsidP="00AF4E7C">
            <w:pPr>
              <w:pStyle w:val="Tabletext"/>
              <w:jc w:val="center"/>
            </w:pPr>
            <w:r>
              <w:t>0.5</w:t>
            </w:r>
          </w:p>
        </w:tc>
        <w:tc>
          <w:tcPr>
            <w:tcW w:w="1276" w:type="dxa"/>
          </w:tcPr>
          <w:p w:rsidR="006B0EC2" w:rsidRDefault="00AF4E7C" w:rsidP="00AF4E7C">
            <w:pPr>
              <w:pStyle w:val="Tabletext"/>
              <w:jc w:val="center"/>
            </w:pPr>
            <w:r>
              <w:t>0.05</w:t>
            </w:r>
          </w:p>
        </w:tc>
        <w:tc>
          <w:tcPr>
            <w:tcW w:w="1701" w:type="dxa"/>
          </w:tcPr>
          <w:p w:rsidR="006B0EC2" w:rsidRDefault="00AF4E7C" w:rsidP="00AF4E7C">
            <w:pPr>
              <w:pStyle w:val="Tabletext"/>
              <w:jc w:val="center"/>
            </w:pPr>
            <w:r>
              <w:t>0.000001</w:t>
            </w:r>
          </w:p>
        </w:tc>
        <w:tc>
          <w:tcPr>
            <w:tcW w:w="1843" w:type="dxa"/>
          </w:tcPr>
          <w:p w:rsidR="006B0EC2" w:rsidRDefault="00AF4E7C" w:rsidP="00AF4E7C">
            <w:pPr>
              <w:pStyle w:val="Tabletext"/>
              <w:jc w:val="center"/>
            </w:pPr>
            <w:r>
              <w:t>0.0001</w:t>
            </w:r>
          </w:p>
        </w:tc>
      </w:tr>
      <w:tr w:rsidR="006B0EC2" w:rsidTr="006B0EC2">
        <w:tc>
          <w:tcPr>
            <w:tcW w:w="2268" w:type="dxa"/>
          </w:tcPr>
          <w:p w:rsidR="006B0EC2" w:rsidRDefault="006B0EC2" w:rsidP="006B0EC2">
            <w:pPr>
              <w:pStyle w:val="Tabletext"/>
            </w:pPr>
            <w:r>
              <w:t>Westbourne/Birkhead Formation</w:t>
            </w:r>
          </w:p>
        </w:tc>
        <w:tc>
          <w:tcPr>
            <w:tcW w:w="1701" w:type="dxa"/>
          </w:tcPr>
          <w:p w:rsidR="006B0EC2" w:rsidRDefault="00AF4E7C" w:rsidP="00AF4E7C">
            <w:pPr>
              <w:pStyle w:val="Tabletext"/>
              <w:jc w:val="center"/>
            </w:pPr>
            <w:r>
              <w:t>0.00005</w:t>
            </w:r>
          </w:p>
        </w:tc>
        <w:tc>
          <w:tcPr>
            <w:tcW w:w="1276" w:type="dxa"/>
          </w:tcPr>
          <w:p w:rsidR="006B0EC2" w:rsidRDefault="00AF4E7C" w:rsidP="00AF4E7C">
            <w:pPr>
              <w:pStyle w:val="Tabletext"/>
              <w:jc w:val="center"/>
            </w:pPr>
            <w:r>
              <w:t>0.000005</w:t>
            </w:r>
          </w:p>
        </w:tc>
        <w:tc>
          <w:tcPr>
            <w:tcW w:w="1701" w:type="dxa"/>
          </w:tcPr>
          <w:p w:rsidR="006B0EC2" w:rsidRDefault="00AF4E7C" w:rsidP="00AF4E7C">
            <w:pPr>
              <w:pStyle w:val="Tabletext"/>
              <w:jc w:val="center"/>
            </w:pPr>
            <w:r>
              <w:t>0.000001</w:t>
            </w:r>
          </w:p>
        </w:tc>
        <w:tc>
          <w:tcPr>
            <w:tcW w:w="1843" w:type="dxa"/>
          </w:tcPr>
          <w:p w:rsidR="006B0EC2" w:rsidRDefault="00AF4E7C" w:rsidP="00AF4E7C">
            <w:pPr>
              <w:pStyle w:val="Tabletext"/>
              <w:jc w:val="center"/>
            </w:pPr>
            <w:r>
              <w:t>0.0001</w:t>
            </w:r>
          </w:p>
        </w:tc>
      </w:tr>
      <w:tr w:rsidR="006B0EC2" w:rsidTr="006B0EC2">
        <w:tc>
          <w:tcPr>
            <w:tcW w:w="2268" w:type="dxa"/>
          </w:tcPr>
          <w:p w:rsidR="006B0EC2" w:rsidRDefault="006B0EC2" w:rsidP="006B0EC2">
            <w:pPr>
              <w:pStyle w:val="Tabletext"/>
            </w:pPr>
            <w:r>
              <w:t>Hutton Sandstone</w:t>
            </w:r>
          </w:p>
        </w:tc>
        <w:tc>
          <w:tcPr>
            <w:tcW w:w="1701" w:type="dxa"/>
          </w:tcPr>
          <w:p w:rsidR="006B0EC2" w:rsidRDefault="00AF4E7C" w:rsidP="00AF4E7C">
            <w:pPr>
              <w:pStyle w:val="Tabletext"/>
              <w:jc w:val="center"/>
            </w:pPr>
            <w:r>
              <w:t>0.5</w:t>
            </w:r>
          </w:p>
        </w:tc>
        <w:tc>
          <w:tcPr>
            <w:tcW w:w="1276" w:type="dxa"/>
          </w:tcPr>
          <w:p w:rsidR="006B0EC2" w:rsidRDefault="00AF4E7C" w:rsidP="00AF4E7C">
            <w:pPr>
              <w:pStyle w:val="Tabletext"/>
              <w:jc w:val="center"/>
            </w:pPr>
            <w:r>
              <w:t>0.05</w:t>
            </w:r>
          </w:p>
        </w:tc>
        <w:tc>
          <w:tcPr>
            <w:tcW w:w="1701" w:type="dxa"/>
          </w:tcPr>
          <w:p w:rsidR="006B0EC2" w:rsidRDefault="00AF4E7C" w:rsidP="00AF4E7C">
            <w:pPr>
              <w:pStyle w:val="Tabletext"/>
              <w:jc w:val="center"/>
            </w:pPr>
            <w:r>
              <w:t>0.000001</w:t>
            </w:r>
          </w:p>
        </w:tc>
        <w:tc>
          <w:tcPr>
            <w:tcW w:w="1843" w:type="dxa"/>
          </w:tcPr>
          <w:p w:rsidR="006B0EC2" w:rsidRDefault="00AF4E7C" w:rsidP="00AF4E7C">
            <w:pPr>
              <w:pStyle w:val="Tabletext"/>
              <w:jc w:val="center"/>
            </w:pPr>
            <w:r>
              <w:t>0.0001</w:t>
            </w:r>
          </w:p>
        </w:tc>
      </w:tr>
      <w:tr w:rsidR="006B0EC2" w:rsidTr="006B0EC2">
        <w:tc>
          <w:tcPr>
            <w:tcW w:w="2268" w:type="dxa"/>
          </w:tcPr>
          <w:p w:rsidR="006B0EC2" w:rsidRDefault="006B0EC2" w:rsidP="006B0EC2">
            <w:pPr>
              <w:pStyle w:val="Tabletext"/>
            </w:pPr>
            <w:r>
              <w:t>Rewan Formation</w:t>
            </w:r>
          </w:p>
        </w:tc>
        <w:tc>
          <w:tcPr>
            <w:tcW w:w="1701" w:type="dxa"/>
          </w:tcPr>
          <w:p w:rsidR="006B0EC2" w:rsidRDefault="00AF4E7C" w:rsidP="00AF4E7C">
            <w:pPr>
              <w:pStyle w:val="Tabletext"/>
              <w:jc w:val="center"/>
            </w:pPr>
            <w:r>
              <w:t>0.00005</w:t>
            </w:r>
          </w:p>
        </w:tc>
        <w:tc>
          <w:tcPr>
            <w:tcW w:w="1276" w:type="dxa"/>
          </w:tcPr>
          <w:p w:rsidR="006B0EC2" w:rsidRDefault="00AF4E7C" w:rsidP="00AF4E7C">
            <w:pPr>
              <w:pStyle w:val="Tabletext"/>
              <w:jc w:val="center"/>
            </w:pPr>
            <w:r>
              <w:t>0.000005</w:t>
            </w:r>
          </w:p>
        </w:tc>
        <w:tc>
          <w:tcPr>
            <w:tcW w:w="1701" w:type="dxa"/>
          </w:tcPr>
          <w:p w:rsidR="006B0EC2" w:rsidRDefault="00AF4E7C" w:rsidP="00AF4E7C">
            <w:pPr>
              <w:pStyle w:val="Tabletext"/>
              <w:jc w:val="center"/>
            </w:pPr>
            <w:r>
              <w:t>0.000001</w:t>
            </w:r>
          </w:p>
        </w:tc>
        <w:tc>
          <w:tcPr>
            <w:tcW w:w="1843" w:type="dxa"/>
          </w:tcPr>
          <w:p w:rsidR="006B0EC2" w:rsidRDefault="00AF4E7C" w:rsidP="00AF4E7C">
            <w:pPr>
              <w:pStyle w:val="Tabletext"/>
              <w:jc w:val="center"/>
            </w:pPr>
            <w:r>
              <w:t>Variable</w:t>
            </w:r>
          </w:p>
        </w:tc>
      </w:tr>
      <w:tr w:rsidR="006B0EC2" w:rsidTr="006B0EC2">
        <w:tc>
          <w:tcPr>
            <w:tcW w:w="2268" w:type="dxa"/>
          </w:tcPr>
          <w:p w:rsidR="006B0EC2" w:rsidRDefault="006B0EC2" w:rsidP="006B0EC2">
            <w:pPr>
              <w:pStyle w:val="Tabletext"/>
            </w:pPr>
            <w:r>
              <w:t>Permian Coal Measures</w:t>
            </w:r>
          </w:p>
        </w:tc>
        <w:tc>
          <w:tcPr>
            <w:tcW w:w="1701" w:type="dxa"/>
          </w:tcPr>
          <w:p w:rsidR="006B0EC2" w:rsidRDefault="00AF4E7C" w:rsidP="00AF4E7C">
            <w:pPr>
              <w:pStyle w:val="Tabletext"/>
              <w:jc w:val="center"/>
            </w:pPr>
            <w:r>
              <w:t>0.004</w:t>
            </w:r>
          </w:p>
        </w:tc>
        <w:tc>
          <w:tcPr>
            <w:tcW w:w="1276" w:type="dxa"/>
          </w:tcPr>
          <w:p w:rsidR="006B0EC2" w:rsidRDefault="00AF4E7C" w:rsidP="00AF4E7C">
            <w:pPr>
              <w:pStyle w:val="Tabletext"/>
              <w:jc w:val="center"/>
            </w:pPr>
            <w:r>
              <w:t>0.00005</w:t>
            </w:r>
          </w:p>
        </w:tc>
        <w:tc>
          <w:tcPr>
            <w:tcW w:w="1701" w:type="dxa"/>
          </w:tcPr>
          <w:p w:rsidR="006B0EC2" w:rsidRDefault="00AF4E7C" w:rsidP="00AF4E7C">
            <w:pPr>
              <w:pStyle w:val="Tabletext"/>
              <w:jc w:val="center"/>
            </w:pPr>
            <w:r>
              <w:t>0.0000006</w:t>
            </w:r>
          </w:p>
        </w:tc>
        <w:tc>
          <w:tcPr>
            <w:tcW w:w="1843" w:type="dxa"/>
          </w:tcPr>
          <w:p w:rsidR="006B0EC2" w:rsidRDefault="00AF4E7C" w:rsidP="00AF4E7C">
            <w:pPr>
              <w:pStyle w:val="Tabletext"/>
              <w:jc w:val="center"/>
            </w:pPr>
            <w:r>
              <w:t>0.0001</w:t>
            </w:r>
          </w:p>
        </w:tc>
      </w:tr>
    </w:tbl>
    <w:p w:rsidR="006B0EC2" w:rsidRDefault="006B0EC2" w:rsidP="007F4BD0">
      <w:pPr>
        <w:pStyle w:val="BRNormal"/>
      </w:pPr>
    </w:p>
    <w:p w:rsidR="008A011C" w:rsidRDefault="00DD07AF" w:rsidP="007F4BD0">
      <w:pPr>
        <w:pStyle w:val="BRNormal"/>
      </w:pPr>
      <w:r>
        <w:t>Some depressurisation</w:t>
      </w:r>
      <w:r w:rsidR="00211739">
        <w:t>, in the order of 2</w:t>
      </w:r>
      <w:r w:rsidR="007F4BD0">
        <w:t> </w:t>
      </w:r>
      <w:r w:rsidR="00211739">
        <w:t>m,</w:t>
      </w:r>
      <w:r>
        <w:t xml:space="preserve"> was observed in the observation bore in the (lower) Hutton Sandston</w:t>
      </w:r>
      <w:r w:rsidR="007F4BD0">
        <w:t xml:space="preserve">e during the pilot extraction. </w:t>
      </w:r>
      <w:r>
        <w:t>AGL (2012) co</w:t>
      </w:r>
      <w:r w:rsidR="008A011C">
        <w:t>ncluded</w:t>
      </w:r>
      <w:r>
        <w:t xml:space="preserve"> that</w:t>
      </w:r>
      <w:r w:rsidR="008A011C">
        <w:t>:</w:t>
      </w:r>
    </w:p>
    <w:p w:rsidR="008A011C" w:rsidRDefault="00DD07AF" w:rsidP="008A011C">
      <w:pPr>
        <w:pStyle w:val="BRQuote"/>
      </w:pPr>
      <w:r>
        <w:t>‘</w:t>
      </w:r>
      <w:r w:rsidR="008A011C">
        <w:t>…</w:t>
      </w:r>
      <w:r>
        <w:t>no conclusive cause for the observed pressure reduction can be identified at this time; although a slight decline in the pressures in the Hutton Sandstone aquifer due to the ongoing depressurisation of the Permian aquifers cannot be ruled out</w:t>
      </w:r>
      <w:r w:rsidR="007F4BD0">
        <w:t>.</w:t>
      </w:r>
      <w:r>
        <w:t xml:space="preserve"> </w:t>
      </w:r>
      <w:r w:rsidR="007F4BD0">
        <w:t>A</w:t>
      </w:r>
      <w:r>
        <w:t xml:space="preserve"> pressure decline of this level can be replicated using numerical modelling, however it is also possible that the position of the logger altered during deployment and this could account for part or al</w:t>
      </w:r>
      <w:r w:rsidR="007F4BD0">
        <w:t xml:space="preserve">l of the decline in pressure’. </w:t>
      </w:r>
    </w:p>
    <w:p w:rsidR="008A011C" w:rsidRPr="008A011C" w:rsidRDefault="00F976E1" w:rsidP="008A011C">
      <w:pPr>
        <w:pStyle w:val="BRQuote"/>
        <w:rPr>
          <w:i w:val="0"/>
        </w:rPr>
      </w:pPr>
      <w:r>
        <w:rPr>
          <w:i w:val="0"/>
        </w:rPr>
        <w:lastRenderedPageBreak/>
        <w:t>© Copyright</w:t>
      </w:r>
      <w:r w:rsidR="008A011C" w:rsidRPr="008A011C">
        <w:rPr>
          <w:i w:val="0"/>
        </w:rPr>
        <w:t xml:space="preserve">, AGL </w:t>
      </w:r>
      <w:r w:rsidR="00815A55">
        <w:rPr>
          <w:i w:val="0"/>
        </w:rPr>
        <w:t>(</w:t>
      </w:r>
      <w:r w:rsidR="008A011C" w:rsidRPr="008A011C">
        <w:rPr>
          <w:i w:val="0"/>
        </w:rPr>
        <w:t>2012</w:t>
      </w:r>
      <w:r w:rsidR="00815A55">
        <w:rPr>
          <w:i w:val="0"/>
        </w:rPr>
        <w:t>)</w:t>
      </w:r>
    </w:p>
    <w:p w:rsidR="00DD07AF" w:rsidRDefault="00DD07AF" w:rsidP="007F4BD0">
      <w:pPr>
        <w:pStyle w:val="BRNormal"/>
      </w:pPr>
      <w:r>
        <w:t xml:space="preserve">Hence while the report concludes that the </w:t>
      </w:r>
      <w:r w:rsidRPr="00FC59DF">
        <w:t xml:space="preserve">calibration </w:t>
      </w:r>
      <w:r>
        <w:t>against the observed drawdown in the Hutton Sandstone can be achieved (</w:t>
      </w:r>
      <w:r w:rsidRPr="00FC59DF">
        <w:t>within realistic bounds of hydraulic conductivity</w:t>
      </w:r>
      <w:r>
        <w:t>)</w:t>
      </w:r>
      <w:r w:rsidRPr="00FC59DF">
        <w:t xml:space="preserve">, it is </w:t>
      </w:r>
      <w:r>
        <w:t xml:space="preserve">apparent that the final calibrated parameters as presented in Table </w:t>
      </w:r>
      <w:r w:rsidR="004C474F">
        <w:t>27</w:t>
      </w:r>
      <w:r>
        <w:t xml:space="preserve"> are not based on calibration aga</w:t>
      </w:r>
      <w:r w:rsidR="007F4BD0">
        <w:t>inst the Hutton Sandstone bore.</w:t>
      </w:r>
      <w:r w:rsidR="008A011C">
        <w:t xml:space="preserve"> </w:t>
      </w:r>
      <w:r w:rsidR="00951A13">
        <w:t>At the time of writing, AGL noted that an investigation program wa</w:t>
      </w:r>
      <w:r>
        <w:t>s underway to identify the cause of the pressure reductio</w:t>
      </w:r>
      <w:r w:rsidR="008A011C">
        <w:t>n in the Hutton Sandstone bore.</w:t>
      </w:r>
    </w:p>
    <w:p w:rsidR="006851EA" w:rsidRDefault="00DD07AF" w:rsidP="008A011C">
      <w:pPr>
        <w:pStyle w:val="BRNormal"/>
      </w:pPr>
      <w:r>
        <w:t xml:space="preserve">The vertical hydraulic conductivity of the Rewan Formation used in the modelling (i.e. as shown in Table </w:t>
      </w:r>
      <w:r w:rsidR="004C474F">
        <w:t>27</w:t>
      </w:r>
      <w:r>
        <w:t xml:space="preserve">) is approximately four orders of magnitude lower than </w:t>
      </w:r>
      <w:r w:rsidR="00C474A6">
        <w:t xml:space="preserve">that </w:t>
      </w:r>
      <w:r>
        <w:t>indicated by the laboratory test data in Section 8.2 (noting low sample size) and approximately two to three orders of magnitude lower than values identified for the Rewan in other parts of the GAB by Audibert (1976</w:t>
      </w:r>
      <w:r w:rsidR="00A330E9">
        <w:t>).</w:t>
      </w:r>
    </w:p>
    <w:p w:rsidR="00DD07AF" w:rsidRPr="00776CDD" w:rsidRDefault="007F4BD0" w:rsidP="00BE7A62">
      <w:pPr>
        <w:pStyle w:val="Heading4"/>
      </w:pPr>
      <w:r>
        <w:t>Alpha Coal p</w:t>
      </w:r>
      <w:r w:rsidR="00DD07AF" w:rsidRPr="00776CDD">
        <w:t>roject -</w:t>
      </w:r>
      <w:r>
        <w:t xml:space="preserve"> groundwater investigation for environmental a</w:t>
      </w:r>
      <w:r w:rsidR="00317878">
        <w:t>ssessment</w:t>
      </w:r>
      <w:r w:rsidR="00DD07AF" w:rsidRPr="00776CDD">
        <w:t xml:space="preserve"> </w:t>
      </w:r>
    </w:p>
    <w:p w:rsidR="00DD07AF" w:rsidRDefault="007F4BD0" w:rsidP="007F4BD0">
      <w:pPr>
        <w:pStyle w:val="BRNormal"/>
      </w:pPr>
      <w:r>
        <w:t>The Alpha Coal p</w:t>
      </w:r>
      <w:r w:rsidR="00DD07AF">
        <w:t xml:space="preserve">roject is located in the south-east of the </w:t>
      </w:r>
      <w:r w:rsidR="00951A13">
        <w:t>Galilee Basin, approximately 50 </w:t>
      </w:r>
      <w:r>
        <w:t xml:space="preserve">km north of Alpha. </w:t>
      </w:r>
      <w:r w:rsidR="00DD07AF">
        <w:t xml:space="preserve">As part of the </w:t>
      </w:r>
      <w:r w:rsidR="00317878">
        <w:t>environmental assessment</w:t>
      </w:r>
      <w:r w:rsidR="00DD07AF">
        <w:t xml:space="preserve"> process, the project prepared an investigation summarising the hydrogeology of the area and examined potential impacts on groun</w:t>
      </w:r>
      <w:r>
        <w:t xml:space="preserve">dwater from mining operations. </w:t>
      </w:r>
      <w:r w:rsidR="00DD07AF">
        <w:t>The Late Permian, coal-bearing strata sub-crop in the area and di</w:t>
      </w:r>
      <w:r>
        <w:t xml:space="preserve">p gently (&lt;1°) to the west. </w:t>
      </w:r>
      <w:r w:rsidR="00DD07AF">
        <w:t xml:space="preserve">Tertiary sediments are present at the site but groundwater occurrence </w:t>
      </w:r>
      <w:r>
        <w:t>is sporadic in these units (JBT</w:t>
      </w:r>
      <w:r w:rsidR="00DD07AF">
        <w:t xml:space="preserve"> 2010). The Tertiary sediments unconformably overlie the Rewan Fo</w:t>
      </w:r>
      <w:r>
        <w:t xml:space="preserve">rmation and Permian sediments. </w:t>
      </w:r>
      <w:r w:rsidR="00DD07AF">
        <w:t xml:space="preserve">The Rewan Formation occurs only in the far west of the mining lease, where it subcrops under Tertiary cover. Permian units at the site comprise the Bandanna Formation and underlying Colinlea Sandstone (of the Galilee Basin), which contain economic and sub-economic coal seams. </w:t>
      </w:r>
    </w:p>
    <w:p w:rsidR="00DD07AF" w:rsidRDefault="00DD07AF" w:rsidP="007F4BD0">
      <w:pPr>
        <w:pStyle w:val="BRNormal"/>
      </w:pPr>
      <w:r>
        <w:t>JBT (2010) reports on two investigations</w:t>
      </w:r>
      <w:r w:rsidR="00951A13">
        <w:t>,</w:t>
      </w:r>
      <w:r>
        <w:t xml:space="preserve"> which involved collection of hydraulic parameters:</w:t>
      </w:r>
    </w:p>
    <w:p w:rsidR="00DD07AF" w:rsidRDefault="00951A13" w:rsidP="007F4BD0">
      <w:pPr>
        <w:pStyle w:val="Bulletpoint"/>
      </w:pPr>
      <w:r>
        <w:t>Surface water, groundwater</w:t>
      </w:r>
      <w:r w:rsidR="00DD07AF" w:rsidRPr="000F2A35">
        <w:t xml:space="preserve"> and geotechnical investigations by Australian Groundwater Consultants (AGC</w:t>
      </w:r>
      <w:r w:rsidR="00DD07AF">
        <w:t xml:space="preserve"> 1983</w:t>
      </w:r>
      <w:r w:rsidR="00DD07AF" w:rsidRPr="000F2A35">
        <w:t xml:space="preserve">) for Bridge </w:t>
      </w:r>
      <w:r w:rsidR="007F4BD0">
        <w:t xml:space="preserve">Oil Limited, during 1982-1983. </w:t>
      </w:r>
      <w:r w:rsidR="00DD07AF">
        <w:t>H</w:t>
      </w:r>
      <w:r w:rsidR="00DD07AF" w:rsidRPr="000F2A35">
        <w:t>ydraulic properties</w:t>
      </w:r>
      <w:r w:rsidR="00DD07AF">
        <w:t xml:space="preserve"> were calculated </w:t>
      </w:r>
      <w:r w:rsidR="00DD07AF" w:rsidRPr="000F2A35">
        <w:t xml:space="preserve">from pumping tests at four sites </w:t>
      </w:r>
      <w:r w:rsidR="00DD07AF">
        <w:t>ranging from 1 to 4 days in duration</w:t>
      </w:r>
      <w:r w:rsidR="00DD07AF" w:rsidRPr="000F2A35">
        <w:t xml:space="preserve">. </w:t>
      </w:r>
      <w:r w:rsidR="00DD07AF">
        <w:t xml:space="preserve"> The unit tested is referred to as the D-E Sandstone (whi</w:t>
      </w:r>
      <w:r w:rsidR="007F4BD0">
        <w:t xml:space="preserve">ch is the Colinlea Sandstone). </w:t>
      </w:r>
      <w:r w:rsidR="00DD07AF">
        <w:t>The average hydraulic conductivity for the unit across the four sites rang</w:t>
      </w:r>
      <w:r w:rsidR="007F4BD0">
        <w:t xml:space="preserve">ed from 0.25 to 1.6 m/day. </w:t>
      </w:r>
      <w:r w:rsidR="00DD07AF">
        <w:t>Average storage coefficients across the four sites ranged from 0.00001 to 0.001.</w:t>
      </w:r>
    </w:p>
    <w:p w:rsidR="00DD07AF" w:rsidRDefault="00DD07AF" w:rsidP="007F4BD0">
      <w:pPr>
        <w:pStyle w:val="Bulletpoint"/>
      </w:pPr>
      <w:r>
        <w:t xml:space="preserve">Groundwater investigations undertaken by Longworth and McKenzie </w:t>
      </w:r>
      <w:r w:rsidR="007F4BD0">
        <w:t xml:space="preserve">(1984) for Bridge Oil Limited. </w:t>
      </w:r>
      <w:r>
        <w:t xml:space="preserve">A test targeting an interval including the C and D coal seams and interburden yielded an average hydraulic conductivity of 0.14 m/day (S of 0.005) and a test in the Colinlea Sandstone between the D and E coal seams yielded average hydraulic conductivity of 0.26 m/day (S of 0.00003).   </w:t>
      </w:r>
    </w:p>
    <w:p w:rsidR="00DD07AF" w:rsidRPr="007856B9" w:rsidRDefault="00DD07AF" w:rsidP="007F4BD0">
      <w:pPr>
        <w:pStyle w:val="BRNormal"/>
        <w:rPr>
          <w:color w:val="auto"/>
        </w:rPr>
      </w:pPr>
      <w:r>
        <w:t>JBT (2010) also describe pumping bores which have been installed at three sites (in the D-E</w:t>
      </w:r>
      <w:r w:rsidR="007F4BD0">
        <w:t xml:space="preserve"> sandstone and sub-E sandstone)</w:t>
      </w:r>
      <w:r>
        <w:t xml:space="preserve"> </w:t>
      </w:r>
      <w:r w:rsidRPr="007856B9">
        <w:rPr>
          <w:color w:val="auto"/>
        </w:rPr>
        <w:t>and refer to the results being presented in a supplementary report, however this report was not able to be obtained.</w:t>
      </w:r>
    </w:p>
    <w:p w:rsidR="00DD07AF" w:rsidRPr="007856B9" w:rsidRDefault="00DD07AF" w:rsidP="007F4BD0">
      <w:pPr>
        <w:pStyle w:val="BRNormal"/>
      </w:pPr>
      <w:r>
        <w:t>The report refers to the fact that t</w:t>
      </w:r>
      <w:r w:rsidRPr="007856B9">
        <w:t>he lower boundary of the GAB (outcrop of the Rewan For</w:t>
      </w:r>
      <w:r w:rsidR="00951A13">
        <w:t>mation) occurs approximately 10-</w:t>
      </w:r>
      <w:r w:rsidRPr="007856B9">
        <w:t>15 km west o</w:t>
      </w:r>
      <w:r w:rsidR="007F4BD0">
        <w:t xml:space="preserve">f the western limit of mining. </w:t>
      </w:r>
      <w:r w:rsidRPr="007856B9">
        <w:t xml:space="preserve">In order for the </w:t>
      </w:r>
      <w:r>
        <w:t xml:space="preserve">Alpha mine </w:t>
      </w:r>
      <w:r w:rsidRPr="007856B9">
        <w:t xml:space="preserve">to impact on the water resources of the GAB, drawdown from the operation would need to </w:t>
      </w:r>
      <w:r>
        <w:t xml:space="preserve">propagate through </w:t>
      </w:r>
      <w:r w:rsidRPr="007856B9">
        <w:t xml:space="preserve">the Rewan Formation aquitard, which is taken to be approximately 175 m thick in the area to the west of the </w:t>
      </w:r>
      <w:r w:rsidR="00317878">
        <w:t>mining lease application (</w:t>
      </w:r>
      <w:r w:rsidRPr="007856B9">
        <w:t>MLA</w:t>
      </w:r>
      <w:r w:rsidR="00317878">
        <w:t>)</w:t>
      </w:r>
      <w:r>
        <w:t xml:space="preserve"> and possess</w:t>
      </w:r>
      <w:r w:rsidR="00317878">
        <w:t>ing</w:t>
      </w:r>
      <w:r>
        <w:t xml:space="preserve"> a </w:t>
      </w:r>
      <w:r w:rsidRPr="007856B9">
        <w:t>vertical hydraulic conductivity in the order of 1 x 10</w:t>
      </w:r>
      <w:r w:rsidRPr="007856B9">
        <w:rPr>
          <w:vertAlign w:val="superscript"/>
        </w:rPr>
        <w:t>-4</w:t>
      </w:r>
      <w:r w:rsidRPr="007856B9">
        <w:t xml:space="preserve"> to 1 x 10</w:t>
      </w:r>
      <w:r w:rsidRPr="007856B9">
        <w:rPr>
          <w:vertAlign w:val="superscript"/>
        </w:rPr>
        <w:t>-</w:t>
      </w:r>
      <w:r>
        <w:rPr>
          <w:vertAlign w:val="superscript"/>
        </w:rPr>
        <w:t>3</w:t>
      </w:r>
      <w:r w:rsidRPr="007856B9">
        <w:t xml:space="preserve"> m/day, based </w:t>
      </w:r>
      <w:r w:rsidRPr="007856B9">
        <w:lastRenderedPageBreak/>
        <w:t xml:space="preserve">on calibrated values for GAB confining units from an early phase of GAB </w:t>
      </w:r>
      <w:r w:rsidR="007F4BD0">
        <w:t>groundwater modelling (Audibert</w:t>
      </w:r>
      <w:r w:rsidRPr="007856B9">
        <w:t xml:space="preserve"> 1976).  </w:t>
      </w:r>
    </w:p>
    <w:p w:rsidR="00DD07AF" w:rsidRPr="00776CDD" w:rsidRDefault="007F4BD0" w:rsidP="00BE7A62">
      <w:pPr>
        <w:pStyle w:val="Heading4"/>
      </w:pPr>
      <w:r>
        <w:t>South Alpha Coal project a</w:t>
      </w:r>
      <w:r w:rsidR="00DD07AF" w:rsidRPr="00776CDD">
        <w:t>rea</w:t>
      </w:r>
    </w:p>
    <w:p w:rsidR="00DD07AF" w:rsidRDefault="00DD07AF" w:rsidP="007F4BD0">
      <w:pPr>
        <w:pStyle w:val="BRNormal"/>
      </w:pPr>
      <w:r>
        <w:t xml:space="preserve">Waratah Coal Incorporated proposes to establish a new open cut coal mine in the Galilee </w:t>
      </w:r>
      <w:r w:rsidR="007F4BD0">
        <w:t>Basin, in the South Alpha Mine project lease a</w:t>
      </w:r>
      <w:r>
        <w:t xml:space="preserve">rea, which is located west of the Alpha township (and close to but south of the Alpha </w:t>
      </w:r>
      <w:r w:rsidR="007F4BD0">
        <w:t xml:space="preserve">Coal project described above). </w:t>
      </w:r>
      <w:r>
        <w:t>The area is characterised by an unconfined shallow porous aquifer zone in the Tertiary and younger alluvial sediments and a deeper multi-layered semi-confined to confined porous/fractured aquifer system in the Permian sediments, between and below the coal seams. The mine lease area is close to the eastern margin</w:t>
      </w:r>
      <w:r w:rsidR="001A4734">
        <w:t xml:space="preserve"> and recharge zone of the GAB. </w:t>
      </w:r>
      <w:r>
        <w:t>SKM (2009) reported o</w:t>
      </w:r>
      <w:r w:rsidR="001A4734">
        <w:t xml:space="preserve">n a baseline groundwater study, which was </w:t>
      </w:r>
      <w:r>
        <w:t xml:space="preserve">the first phase of </w:t>
      </w:r>
      <w:r w:rsidR="001A4734">
        <w:t>a three phase impact assessment</w:t>
      </w:r>
      <w:r>
        <w:t xml:space="preserve">. </w:t>
      </w:r>
    </w:p>
    <w:p w:rsidR="00DD07AF" w:rsidRDefault="00DD07AF" w:rsidP="007F4BD0">
      <w:pPr>
        <w:pStyle w:val="BRNormal"/>
      </w:pPr>
      <w:r>
        <w:t>Uncon</w:t>
      </w:r>
      <w:r w:rsidR="007F4BD0">
        <w:t>solidated sands, silts and clay</w:t>
      </w:r>
      <w:r>
        <w:t xml:space="preserve"> (Quaternary and Tertiary age) form an extensive blanket over the project area, with thickness of up to 90 m in the eastern and central sections. In the east of the mine project area, these sediments sit directly on the Permian</w:t>
      </w:r>
      <w:r w:rsidR="001A4734">
        <w:t xml:space="preserve"> strata</w:t>
      </w:r>
      <w:r>
        <w:t>. The Alpha coal deposit comprises fi</w:t>
      </w:r>
      <w:r w:rsidR="007F4BD0">
        <w:t>ve Permian seams termed A to E.</w:t>
      </w:r>
      <w:r>
        <w:t xml:space="preserve"> The overlying Quaternary and Tertiary sediments tend to thin to the west. The Triassic age Rewan Formation lies unconformabl</w:t>
      </w:r>
      <w:r w:rsidR="007F4BD0">
        <w:t xml:space="preserve">y over the Permian formations. </w:t>
      </w:r>
      <w:r w:rsidR="001C7D1F">
        <w:t>Where not removed by the Ce</w:t>
      </w:r>
      <w:r>
        <w:t>nozoic sediments, the contact between the Rewan and Permian sit</w:t>
      </w:r>
      <w:r w:rsidR="007F4BD0">
        <w:t xml:space="preserve">s 20 to 40 m above the A seam. </w:t>
      </w:r>
      <w:r>
        <w:t>Stratigraphic information reported by Australian Mining Engineering Consultants (</w:t>
      </w:r>
      <w:r w:rsidRPr="00F05219">
        <w:t>AMEC</w:t>
      </w:r>
      <w:r>
        <w:t xml:space="preserve"> 2007) suggests the lower coal seams (C, D, E) at Alpha occur in the Upper to Lower Permian Colinlea Sandstone and correlative Peawaddy Formations, whereas the shallower (A and B) coal seams occur in the Upp</w:t>
      </w:r>
      <w:r w:rsidR="0023769E">
        <w:t xml:space="preserve">er Permian Bandanna Formation. </w:t>
      </w:r>
      <w:r>
        <w:t>AMEC (2007) reported on aquifer parameters for the C to D and</w:t>
      </w:r>
      <w:r w:rsidR="008E4761">
        <w:t xml:space="preserve"> D to E sandstone units from </w:t>
      </w:r>
      <w:r w:rsidR="008E4761" w:rsidRPr="003614FB">
        <w:t>Geological Survey of Queensland</w:t>
      </w:r>
      <w:r>
        <w:t xml:space="preserve"> 1973 </w:t>
      </w:r>
      <w:r w:rsidR="0023769E">
        <w:t>Explanatory Notes for the 1:250 </w:t>
      </w:r>
      <w:r>
        <w:t xml:space="preserve">000 Jericho </w:t>
      </w:r>
      <w:r w:rsidR="00E07F07">
        <w:t xml:space="preserve">geological </w:t>
      </w:r>
      <w:r>
        <w:t>map</w:t>
      </w:r>
      <w:r w:rsidR="0023769E">
        <w:t xml:space="preserve"> (Senior</w:t>
      </w:r>
      <w:r w:rsidR="00E07F07">
        <w:t xml:space="preserve"> 1972)</w:t>
      </w:r>
      <w:r>
        <w:t>:</w:t>
      </w:r>
    </w:p>
    <w:p w:rsidR="00DD07AF" w:rsidRDefault="00DD07AF" w:rsidP="0023769E">
      <w:pPr>
        <w:pStyle w:val="Bulletpoint"/>
      </w:pPr>
      <w:r>
        <w:t>C-D Sandstone: K = 0.5 m/day, S = 0.001</w:t>
      </w:r>
    </w:p>
    <w:p w:rsidR="00DD07AF" w:rsidRDefault="00DD07AF" w:rsidP="0023769E">
      <w:pPr>
        <w:pStyle w:val="Bulletpoint"/>
      </w:pPr>
      <w:r>
        <w:t>D-E Sandstone: K = 0.7 m/day, S = 0.00004</w:t>
      </w:r>
    </w:p>
    <w:p w:rsidR="00DD07AF" w:rsidRDefault="00DD07AF" w:rsidP="0023769E">
      <w:pPr>
        <w:pStyle w:val="BRNormal"/>
      </w:pPr>
      <w:proofErr w:type="gramStart"/>
      <w:r>
        <w:t>SKM (2009) note</w:t>
      </w:r>
      <w:r w:rsidR="001A4734">
        <w:t>ed</w:t>
      </w:r>
      <w:r>
        <w:t xml:space="preserve"> that these figures are considered to be very preliminary and should be used with caution.</w:t>
      </w:r>
      <w:proofErr w:type="gramEnd"/>
      <w:r>
        <w:t xml:space="preserve"> </w:t>
      </w:r>
    </w:p>
    <w:p w:rsidR="00F75694" w:rsidRDefault="00D25979" w:rsidP="005F6513">
      <w:pPr>
        <w:pStyle w:val="Heading3"/>
      </w:pPr>
      <w:bookmarkStart w:id="718" w:name="_Toc381961193"/>
      <w:r>
        <w:t>Summary</w:t>
      </w:r>
      <w:bookmarkEnd w:id="718"/>
    </w:p>
    <w:p w:rsidR="00DD07AF" w:rsidRDefault="001A4734" w:rsidP="0023769E">
      <w:pPr>
        <w:pStyle w:val="BRNormal"/>
      </w:pPr>
      <w:r>
        <w:t>T</w:t>
      </w:r>
      <w:r w:rsidR="00E95C37">
        <w:t>he largest permeability data</w:t>
      </w:r>
      <w:r w:rsidR="00DD07AF">
        <w:t xml:space="preserve">set in the Galilee Basin consists of </w:t>
      </w:r>
      <w:r w:rsidR="00E95C37">
        <w:t>a Northern Galilee data</w:t>
      </w:r>
      <w:r>
        <w:t>set compiled by Peter Hawkins</w:t>
      </w:r>
      <w:r w:rsidR="00DD07AF" w:rsidRPr="00A75BB3">
        <w:t xml:space="preserve"> and supplemented by Marsh et al. </w:t>
      </w:r>
      <w:r w:rsidR="00DD07AF">
        <w:t xml:space="preserve">(2008), </w:t>
      </w:r>
      <w:r w:rsidR="00DD07AF" w:rsidRPr="00A75BB3">
        <w:t>with some data f</w:t>
      </w:r>
      <w:r w:rsidR="0023769E">
        <w:t>rom the Southern Galilee Basin.</w:t>
      </w:r>
      <w:r w:rsidR="00DD07AF" w:rsidRPr="00A75BB3">
        <w:t xml:space="preserve"> </w:t>
      </w:r>
      <w:r w:rsidR="00E95C37">
        <w:t>The combined data</w:t>
      </w:r>
      <w:r w:rsidR="00DD07AF">
        <w:t xml:space="preserve">set is presented in </w:t>
      </w:r>
      <w:r w:rsidR="00DD07AF" w:rsidRPr="00A75BB3">
        <w:t>Marsh et al. (2008)</w:t>
      </w:r>
      <w:r w:rsidR="00DD07AF">
        <w:t>. It is apparent that most of this data is from laboratory tests (and possib</w:t>
      </w:r>
      <w:r w:rsidR="0023769E">
        <w:t>ly some from drill stem tests).</w:t>
      </w:r>
      <w:r w:rsidR="00DD07AF">
        <w:t xml:space="preserve"> Given the size of the </w:t>
      </w:r>
      <w:r>
        <w:t xml:space="preserve">Gililee </w:t>
      </w:r>
      <w:r w:rsidR="00DD07AF">
        <w:t xml:space="preserve">Basin, </w:t>
      </w:r>
      <w:r w:rsidR="00E95C37">
        <w:t>this is a relatively small data</w:t>
      </w:r>
      <w:r w:rsidR="00DD07AF">
        <w:t xml:space="preserve">set – spatially some areas are very poorly </w:t>
      </w:r>
      <w:r w:rsidR="00D25979">
        <w:t>represented and</w:t>
      </w:r>
      <w:r w:rsidR="00DD07AF">
        <w:t xml:space="preserve"> some key </w:t>
      </w:r>
      <w:r w:rsidR="0023769E">
        <w:t>formations have very few tests.</w:t>
      </w:r>
      <w:r w:rsidR="00DD07AF">
        <w:t xml:space="preserve"> In particular, the two key aquitards (the Moolayember and Rewan Formations) have a total of only nine pe</w:t>
      </w:r>
      <w:r w:rsidR="0023769E">
        <w:t xml:space="preserve">rmeability tests between them. </w:t>
      </w:r>
      <w:r w:rsidR="00DD07AF">
        <w:t xml:space="preserve">Further, there is </w:t>
      </w:r>
      <w:r w:rsidR="00403501">
        <w:t xml:space="preserve">an </w:t>
      </w:r>
      <w:r w:rsidR="00DD07AF">
        <w:t>absence of any regional assessment of vertical hydraulic</w:t>
      </w:r>
      <w:r w:rsidR="0023769E">
        <w:t xml:space="preserve"> conductivity for these units. </w:t>
      </w:r>
      <w:r w:rsidR="00DD07AF">
        <w:t>Marsh et al. (2008) imply that more permeability data in the southern Galilee Basin which exists and could be incorpora</w:t>
      </w:r>
      <w:r w:rsidR="00E95C37">
        <w:t>ted into the regional data</w:t>
      </w:r>
      <w:r w:rsidR="0023769E">
        <w:t xml:space="preserve">set. </w:t>
      </w:r>
      <w:r w:rsidR="00DD07AF">
        <w:t xml:space="preserve">They also present a map showing where core is available throughout the </w:t>
      </w:r>
      <w:r>
        <w:t xml:space="preserve">Gililee </w:t>
      </w:r>
      <w:r w:rsidR="00DD07AF">
        <w:t>Basin, which could potentially be used for additional/new (laboratory) testing (although the core is likely to have dried out, unless it has been stored very carefully).</w:t>
      </w:r>
    </w:p>
    <w:p w:rsidR="00DD07AF" w:rsidRDefault="00DD07AF" w:rsidP="0023769E">
      <w:pPr>
        <w:pStyle w:val="BRNormal"/>
      </w:pPr>
      <w:r>
        <w:t>AGL ha</w:t>
      </w:r>
      <w:r w:rsidR="00403501">
        <w:t>s</w:t>
      </w:r>
      <w:r>
        <w:t xml:space="preserve"> commenced pilot testing in their </w:t>
      </w:r>
      <w:r w:rsidR="00403501">
        <w:rPr>
          <w:color w:val="auto"/>
        </w:rPr>
        <w:t xml:space="preserve">Authority </w:t>
      </w:r>
      <w:proofErr w:type="gramStart"/>
      <w:r w:rsidR="00403501">
        <w:rPr>
          <w:color w:val="auto"/>
        </w:rPr>
        <w:t>To</w:t>
      </w:r>
      <w:proofErr w:type="gramEnd"/>
      <w:r w:rsidR="00403501">
        <w:rPr>
          <w:color w:val="auto"/>
        </w:rPr>
        <w:t xml:space="preserve"> Prospect</w:t>
      </w:r>
      <w:r w:rsidR="00403501">
        <w:t xml:space="preserve"> (</w:t>
      </w:r>
      <w:r>
        <w:t>ATP</w:t>
      </w:r>
      <w:r w:rsidR="001A4734">
        <w:t>)</w:t>
      </w:r>
      <w:r w:rsidR="00403501">
        <w:t xml:space="preserve"> and</w:t>
      </w:r>
      <w:r>
        <w:t xml:space="preserve"> calibration of a numerical model against the testing has yielded hydraulic parameters for associated formati</w:t>
      </w:r>
      <w:r w:rsidR="0023769E">
        <w:t xml:space="preserve">ons in that area. </w:t>
      </w:r>
      <w:r>
        <w:t xml:space="preserve">Investigative reports related to environmental impact assessment </w:t>
      </w:r>
      <w:r>
        <w:lastRenderedPageBreak/>
        <w:t>and/or mine planning at two coal sites (both near Alpha) referenced pumping tests and related hydraulic parame</w:t>
      </w:r>
      <w:r w:rsidR="0023769E">
        <w:t xml:space="preserve">ters from the 1970s and 1980s. </w:t>
      </w:r>
      <w:r>
        <w:t xml:space="preserve">This suggests that these types of reports may be more widespread across the Galilee Basin, but as they are held in private company reports they may not be readily available. </w:t>
      </w:r>
    </w:p>
    <w:p w:rsidR="00DD07AF" w:rsidRPr="0010123B" w:rsidRDefault="00DD07AF" w:rsidP="005F6513">
      <w:pPr>
        <w:pStyle w:val="Heading2"/>
      </w:pPr>
      <w:bookmarkStart w:id="719" w:name="_Toc334718192"/>
      <w:bookmarkStart w:id="720" w:name="_Toc381961194"/>
      <w:bookmarkStart w:id="721" w:name="_Toc389055265"/>
      <w:r w:rsidRPr="00547FA1">
        <w:t>Structural properties</w:t>
      </w:r>
      <w:bookmarkEnd w:id="719"/>
      <w:bookmarkEnd w:id="720"/>
      <w:bookmarkEnd w:id="721"/>
    </w:p>
    <w:p w:rsidR="00DD07AF" w:rsidRDefault="002635AA" w:rsidP="0023769E">
      <w:pPr>
        <w:pStyle w:val="BRNormal"/>
      </w:pPr>
      <w:r>
        <w:t>Figure 44</w:t>
      </w:r>
      <w:r w:rsidR="00DD07AF">
        <w:t xml:space="preserve"> shows two representations of key structural elements of the Galilee Bas</w:t>
      </w:r>
      <w:r w:rsidR="0023769E">
        <w:t xml:space="preserve">in. </w:t>
      </w:r>
      <w:r w:rsidR="00DD07AF">
        <w:t>The figure on the left hand side (Marsh et al. 2008) presents more minor structural features than the right hand side (</w:t>
      </w:r>
      <w:r w:rsidR="0023769E">
        <w:t>v</w:t>
      </w:r>
      <w:r w:rsidR="00DD07AF" w:rsidRPr="003C1939">
        <w:t>an Heeswijck 2006)</w:t>
      </w:r>
      <w:r w:rsidR="0023769E">
        <w:t xml:space="preserve">. </w:t>
      </w:r>
      <w:r w:rsidR="00DD07AF">
        <w:t xml:space="preserve">Structure of the Galilee Basin is dominated by slightly curvilinear, steeply </w:t>
      </w:r>
      <w:r w:rsidR="0023769E">
        <w:t xml:space="preserve">dipping reverse fault systems. </w:t>
      </w:r>
      <w:r w:rsidR="00DD07AF">
        <w:t xml:space="preserve">Three regional scale </w:t>
      </w:r>
      <w:r w:rsidR="001A4734">
        <w:t>north-west to south-west trending thrusts are present:</w:t>
      </w:r>
      <w:r w:rsidR="00DD07AF">
        <w:t xml:space="preserve"> the Hopkins Thrust System, Bingeringo Thrust System and the Mingobar St</w:t>
      </w:r>
      <w:r w:rsidR="0023769E">
        <w:t xml:space="preserve">ructure (van Heeswijck 2006). </w:t>
      </w:r>
      <w:r w:rsidR="00DD07AF">
        <w:t>Current understanding of the Galilee Basin is that it is relatively unstructured, having remained a topographic and structural low over a lo</w:t>
      </w:r>
      <w:r w:rsidR="0023769E">
        <w:t xml:space="preserve">ng period of time (Marsh et al. 2008). </w:t>
      </w:r>
      <w:r w:rsidR="00DD07AF">
        <w:t xml:space="preserve">As shown in Figure </w:t>
      </w:r>
      <w:r>
        <w:t>44</w:t>
      </w:r>
      <w:r w:rsidR="00DD07AF">
        <w:t xml:space="preserve">, most of the structures in the </w:t>
      </w:r>
      <w:r w:rsidR="001A4734">
        <w:t xml:space="preserve">Galilee </w:t>
      </w:r>
      <w:r w:rsidR="00DD07AF">
        <w:t>Basin are concentra</w:t>
      </w:r>
      <w:r w:rsidR="001A4734">
        <w:t>ted around the basin margins</w:t>
      </w:r>
      <w:r w:rsidR="00DD07AF">
        <w:t xml:space="preserve"> and are typically caused by reactivation of older basement structures (Hawkins </w:t>
      </w:r>
      <w:r w:rsidR="0023769E">
        <w:t xml:space="preserve">&amp; Green 1993). </w:t>
      </w:r>
      <w:r w:rsidR="00DD07AF">
        <w:t>Most of these basement structures do not penetrate into the Galilee</w:t>
      </w:r>
      <w:r w:rsidR="001A4734">
        <w:t xml:space="preserve"> Basin sediments, although the S</w:t>
      </w:r>
      <w:r w:rsidR="00DD07AF">
        <w:t xml:space="preserve">outhern </w:t>
      </w:r>
      <w:r w:rsidR="001A4734">
        <w:t xml:space="preserve">Galilee </w:t>
      </w:r>
      <w:r w:rsidR="00DD07AF">
        <w:t xml:space="preserve">Basin is more structured </w:t>
      </w:r>
      <w:r w:rsidR="001A4734">
        <w:t>than the N</w:t>
      </w:r>
      <w:r w:rsidR="00DD07AF">
        <w:t xml:space="preserve">orthern </w:t>
      </w:r>
      <w:r w:rsidR="001A4734">
        <w:t>Galilee Basin (Marsh et al.</w:t>
      </w:r>
      <w:r w:rsidR="00DD07AF">
        <w:t xml:space="preserve"> 2008). </w:t>
      </w:r>
    </w:p>
    <w:p w:rsidR="00DD07AF" w:rsidRDefault="0023769E" w:rsidP="0023769E">
      <w:pPr>
        <w:pStyle w:val="BRNormal"/>
      </w:pPr>
      <w:r>
        <w:t>The v</w:t>
      </w:r>
      <w:r w:rsidR="00DD07AF">
        <w:t>an Heesw</w:t>
      </w:r>
      <w:r w:rsidR="001A4734">
        <w:t xml:space="preserve">ijck doctoral thesis on </w:t>
      </w:r>
      <w:r w:rsidR="00DD07AF" w:rsidRPr="001A4734">
        <w:rPr>
          <w:i/>
        </w:rPr>
        <w:t>The Structure, Sedimentology, Sequence, Stratigraphy and Tectonics of the Northern Drummond and Galilee Basins</w:t>
      </w:r>
      <w:r w:rsidR="001A4734">
        <w:rPr>
          <w:i/>
        </w:rPr>
        <w:t xml:space="preserve">, Central Queensland, Australia </w:t>
      </w:r>
      <w:r w:rsidR="001A4734">
        <w:t>(van Heeswijck 2006) provides</w:t>
      </w:r>
      <w:r w:rsidR="00DD07AF">
        <w:t xml:space="preserve"> probably the most detailed analysis of the structure of the </w:t>
      </w:r>
      <w:r w:rsidR="001A4734">
        <w:t>N</w:t>
      </w:r>
      <w:r w:rsidR="00DD07AF">
        <w:t>o</w:t>
      </w:r>
      <w:r>
        <w:t xml:space="preserve">rthern Galilee Basin to date. </w:t>
      </w:r>
      <w:r w:rsidR="00DD07AF">
        <w:t>This was based on analysis of 750</w:t>
      </w:r>
      <w:r>
        <w:t> </w:t>
      </w:r>
      <w:r w:rsidR="00DD07AF">
        <w:t>km of seismic data, sixteen control boreholes and region</w:t>
      </w:r>
      <w:r>
        <w:t xml:space="preserve">al magnetic and gravity data. </w:t>
      </w:r>
      <w:proofErr w:type="gramStart"/>
      <w:r>
        <w:t>v</w:t>
      </w:r>
      <w:r w:rsidR="00DD07AF">
        <w:t>an</w:t>
      </w:r>
      <w:proofErr w:type="gramEnd"/>
      <w:r w:rsidR="00DD07AF">
        <w:t xml:space="preserve"> Heeswijck (2006) divided the northern Galilee Basin into six seismic facies as related to outcrop and borehole data. It is noted that movement along individual thrust planes is not large, with</w:t>
      </w:r>
      <w:r>
        <w:t xml:space="preserve"> displacement averaging 400 m. </w:t>
      </w:r>
      <w:r w:rsidR="00DD07AF" w:rsidRPr="00620A57">
        <w:t xml:space="preserve">There is an apparent discrepancy here between Marsh et al. (2008) </w:t>
      </w:r>
      <w:r w:rsidR="00DD07AF">
        <w:t xml:space="preserve">and AGL (2012) </w:t>
      </w:r>
      <w:r w:rsidR="00DD07AF" w:rsidRPr="00620A57">
        <w:rPr>
          <w:color w:val="000000" w:themeColor="text1"/>
        </w:rPr>
        <w:t xml:space="preserve">who describe only minor </w:t>
      </w:r>
      <w:r w:rsidR="00DD07AF">
        <w:rPr>
          <w:color w:val="000000" w:themeColor="text1"/>
        </w:rPr>
        <w:t xml:space="preserve">fault related </w:t>
      </w:r>
      <w:r w:rsidR="00DD07AF" w:rsidRPr="00620A57">
        <w:rPr>
          <w:color w:val="000000" w:themeColor="text1"/>
        </w:rPr>
        <w:t xml:space="preserve">displacement </w:t>
      </w:r>
      <w:r w:rsidR="00DD07AF">
        <w:rPr>
          <w:color w:val="000000" w:themeColor="text1"/>
        </w:rPr>
        <w:t xml:space="preserve">in the order of </w:t>
      </w:r>
      <w:r w:rsidR="001A4734">
        <w:rPr>
          <w:color w:val="000000" w:themeColor="text1"/>
        </w:rPr>
        <w:t>tens</w:t>
      </w:r>
      <w:r w:rsidR="00DD07AF">
        <w:rPr>
          <w:color w:val="000000" w:themeColor="text1"/>
        </w:rPr>
        <w:t xml:space="preserve"> of </w:t>
      </w:r>
      <w:r w:rsidR="00DD07AF" w:rsidRPr="00620A57">
        <w:rPr>
          <w:color w:val="000000" w:themeColor="text1"/>
        </w:rPr>
        <w:t>metres</w:t>
      </w:r>
      <w:r w:rsidR="00DD07AF">
        <w:rPr>
          <w:color w:val="000000" w:themeColor="text1"/>
        </w:rPr>
        <w:t xml:space="preserve"> and </w:t>
      </w:r>
      <w:r>
        <w:t>v</w:t>
      </w:r>
      <w:r w:rsidR="00DD07AF" w:rsidRPr="00620A57">
        <w:t>an Hees</w:t>
      </w:r>
      <w:r w:rsidR="00DD07AF">
        <w:t>w</w:t>
      </w:r>
      <w:r w:rsidR="00DD07AF" w:rsidRPr="00620A57">
        <w:t xml:space="preserve">ijck (2006) </w:t>
      </w:r>
      <w:r w:rsidR="00DD07AF">
        <w:t>who describe fault displ</w:t>
      </w:r>
      <w:r>
        <w:t xml:space="preserve">acement of hundreds of metres. </w:t>
      </w:r>
      <w:r w:rsidR="00DD07AF">
        <w:t>The difference is attributed to the fact that the f</w:t>
      </w:r>
      <w:r>
        <w:t>aults of interest described in v</w:t>
      </w:r>
      <w:r w:rsidR="00DD07AF">
        <w:t>an Heeswijck</w:t>
      </w:r>
      <w:r w:rsidR="001A4734">
        <w:t xml:space="preserve"> (2006)</w:t>
      </w:r>
      <w:r w:rsidR="00DD07AF" w:rsidRPr="00620A57">
        <w:rPr>
          <w:color w:val="000000" w:themeColor="text1"/>
        </w:rPr>
        <w:t xml:space="preserve"> </w:t>
      </w:r>
      <w:r w:rsidR="00DD07AF">
        <w:rPr>
          <w:color w:val="000000" w:themeColor="text1"/>
        </w:rPr>
        <w:t>are re</w:t>
      </w:r>
      <w:r w:rsidR="001A4734">
        <w:rPr>
          <w:color w:val="000000" w:themeColor="text1"/>
        </w:rPr>
        <w:t>gional-scale</w:t>
      </w:r>
      <w:r w:rsidR="00DD07AF">
        <w:rPr>
          <w:color w:val="000000" w:themeColor="text1"/>
        </w:rPr>
        <w:t xml:space="preserve"> major structural features</w:t>
      </w:r>
      <w:r w:rsidR="001A4734">
        <w:rPr>
          <w:color w:val="000000" w:themeColor="text1"/>
        </w:rPr>
        <w:t>,</w:t>
      </w:r>
      <w:r w:rsidR="00DD07AF">
        <w:rPr>
          <w:color w:val="000000" w:themeColor="text1"/>
        </w:rPr>
        <w:t xml:space="preserve"> which </w:t>
      </w:r>
      <w:r>
        <w:rPr>
          <w:color w:val="000000" w:themeColor="text1"/>
        </w:rPr>
        <w:t xml:space="preserve">define key basin architecture. </w:t>
      </w:r>
      <w:r w:rsidR="00DD07AF">
        <w:rPr>
          <w:color w:val="000000" w:themeColor="text1"/>
        </w:rPr>
        <w:t>In contrast</w:t>
      </w:r>
      <w:r w:rsidR="001A4734">
        <w:rPr>
          <w:color w:val="000000" w:themeColor="text1"/>
        </w:rPr>
        <w:t>,</w:t>
      </w:r>
      <w:r w:rsidR="00DD07AF">
        <w:rPr>
          <w:color w:val="000000" w:themeColor="text1"/>
        </w:rPr>
        <w:t xml:space="preserve"> the </w:t>
      </w:r>
      <w:r w:rsidR="00DD07AF" w:rsidRPr="00620A57">
        <w:rPr>
          <w:color w:val="000000" w:themeColor="text1"/>
        </w:rPr>
        <w:t>Marsh et al</w:t>
      </w:r>
      <w:r w:rsidR="00DD07AF">
        <w:rPr>
          <w:color w:val="000000" w:themeColor="text1"/>
        </w:rPr>
        <w:t>.</w:t>
      </w:r>
      <w:r w:rsidR="00DD07AF" w:rsidRPr="00620A57">
        <w:rPr>
          <w:color w:val="000000" w:themeColor="text1"/>
        </w:rPr>
        <w:t xml:space="preserve"> </w:t>
      </w:r>
      <w:r w:rsidR="00DD07AF">
        <w:rPr>
          <w:color w:val="000000" w:themeColor="text1"/>
        </w:rPr>
        <w:t>(</w:t>
      </w:r>
      <w:r w:rsidR="00DD07AF" w:rsidRPr="00620A57">
        <w:rPr>
          <w:color w:val="000000" w:themeColor="text1"/>
        </w:rPr>
        <w:t>2008</w:t>
      </w:r>
      <w:r w:rsidR="00DD07AF">
        <w:rPr>
          <w:color w:val="000000" w:themeColor="text1"/>
        </w:rPr>
        <w:t>)</w:t>
      </w:r>
      <w:r w:rsidR="00DD07AF" w:rsidRPr="00620A57">
        <w:rPr>
          <w:color w:val="000000" w:themeColor="text1"/>
        </w:rPr>
        <w:t xml:space="preserve"> and AGL </w:t>
      </w:r>
      <w:r w:rsidR="00DD07AF">
        <w:rPr>
          <w:color w:val="000000" w:themeColor="text1"/>
        </w:rPr>
        <w:t>(2012) focus was on fa</w:t>
      </w:r>
      <w:r>
        <w:rPr>
          <w:color w:val="000000" w:themeColor="text1"/>
        </w:rPr>
        <w:t xml:space="preserve">ulting at a sub-regional scale. </w:t>
      </w:r>
      <w:r w:rsidR="00DD07AF">
        <w:rPr>
          <w:color w:val="000000" w:themeColor="text1"/>
        </w:rPr>
        <w:t>There is m</w:t>
      </w:r>
      <w:r w:rsidR="00DD07AF" w:rsidRPr="00620A57">
        <w:t xml:space="preserve">uch more detail on structural features of the </w:t>
      </w:r>
      <w:r w:rsidR="001A4734">
        <w:t xml:space="preserve">Galilee </w:t>
      </w:r>
      <w:r w:rsidR="00DD07AF" w:rsidRPr="00620A57">
        <w:t xml:space="preserve">Basin documented in the </w:t>
      </w:r>
      <w:r>
        <w:t>v</w:t>
      </w:r>
      <w:r w:rsidR="00DD07AF">
        <w:t xml:space="preserve">an Heeswijck </w:t>
      </w:r>
      <w:r w:rsidR="001A4734">
        <w:t xml:space="preserve">(2006) </w:t>
      </w:r>
      <w:r w:rsidR="00DD07AF">
        <w:t>thesis.</w:t>
      </w:r>
    </w:p>
    <w:p w:rsidR="005749AA" w:rsidRDefault="005749AA" w:rsidP="0023769E">
      <w:pPr>
        <w:pStyle w:val="BRNormal"/>
      </w:pPr>
      <w:r>
        <w:t>The b</w:t>
      </w:r>
      <w:r w:rsidR="00DD07AF">
        <w:t xml:space="preserve">uilding of </w:t>
      </w:r>
      <w:r>
        <w:t>a</w:t>
      </w:r>
      <w:r w:rsidR="00DD07AF">
        <w:t xml:space="preserve"> 3D geological model of the Aramac Trough (</w:t>
      </w:r>
      <w:r w:rsidR="001A4734">
        <w:t xml:space="preserve">the </w:t>
      </w:r>
      <w:r>
        <w:t xml:space="preserve">Galilee Aramac Petrel Project; Rawsthorn et al. </w:t>
      </w:r>
      <w:r w:rsidR="00DD07AF">
        <w:t>2009) i</w:t>
      </w:r>
      <w:r w:rsidR="0023769E">
        <w:t>nvolved mapping fault features.</w:t>
      </w:r>
      <w:r w:rsidR="00DD07AF">
        <w:t xml:space="preserve"> Fault surface</w:t>
      </w:r>
      <w:r>
        <w:t>s</w:t>
      </w:r>
      <w:r w:rsidR="00DD07AF">
        <w:t xml:space="preserve"> were interpreted where significant vertical of</w:t>
      </w:r>
      <w:r w:rsidR="0023769E">
        <w:t xml:space="preserve">fset was observed. </w:t>
      </w:r>
      <w:r w:rsidR="00DD07AF">
        <w:t>The four surfaces modelled were the top of the Triassic, top of Permian (Clematis Sandstone), top of Early Pe</w:t>
      </w:r>
      <w:r>
        <w:t>rmian and top of Late Permian; e</w:t>
      </w:r>
      <w:r w:rsidR="00DD07AF">
        <w:t>ven though the final model was constrained to the Triassic Clematis Sandstone, the early part of the geological mo</w:t>
      </w:r>
      <w:r>
        <w:t>delling included older units</w:t>
      </w:r>
      <w:r w:rsidR="0023769E">
        <w:t xml:space="preserve">. </w:t>
      </w:r>
      <w:r w:rsidR="00DD07AF">
        <w:t xml:space="preserve">The model did not identify </w:t>
      </w:r>
      <w:r w:rsidR="00211739">
        <w:t xml:space="preserve">and thus represent </w:t>
      </w:r>
      <w:r w:rsidR="00DD07AF">
        <w:t>any faulting in the Triassic surface</w:t>
      </w:r>
      <w:r>
        <w:t>:</w:t>
      </w:r>
    </w:p>
    <w:p w:rsidR="005749AA" w:rsidRDefault="00DD07AF" w:rsidP="005749AA">
      <w:pPr>
        <w:pStyle w:val="BRQuote"/>
      </w:pPr>
      <w:r>
        <w:t>‘</w:t>
      </w:r>
      <w:r w:rsidR="00815A55">
        <w:t>…</w:t>
      </w:r>
      <w:r w:rsidR="00E130F1" w:rsidRPr="00E130F1">
        <w:t>as it is an unconformable surface which has since only undergone gentle deformation... any faulting which occurred in association with the uplift and erosion event in the Late Triassic to Early Jurassic cannot be detected using this technique</w:t>
      </w:r>
      <w:r w:rsidR="005749AA">
        <w:t>.</w:t>
      </w:r>
      <w:r w:rsidR="0023769E">
        <w:t xml:space="preserve">’ </w:t>
      </w:r>
    </w:p>
    <w:p w:rsidR="005749AA" w:rsidRPr="005749AA" w:rsidRDefault="00F976E1" w:rsidP="005749AA">
      <w:pPr>
        <w:pStyle w:val="BRQuote"/>
        <w:rPr>
          <w:i w:val="0"/>
        </w:rPr>
      </w:pPr>
      <w:r>
        <w:rPr>
          <w:i w:val="0"/>
        </w:rPr>
        <w:t>© Copyright</w:t>
      </w:r>
      <w:r w:rsidR="005749AA" w:rsidRPr="005749AA">
        <w:rPr>
          <w:i w:val="0"/>
        </w:rPr>
        <w:t xml:space="preserve">, </w:t>
      </w:r>
      <w:r w:rsidR="0023769E" w:rsidRPr="005749AA">
        <w:rPr>
          <w:i w:val="0"/>
        </w:rPr>
        <w:t>Rawsthorn et al.</w:t>
      </w:r>
      <w:r w:rsidR="005749AA" w:rsidRPr="005749AA">
        <w:rPr>
          <w:i w:val="0"/>
        </w:rPr>
        <w:t xml:space="preserve"> </w:t>
      </w:r>
      <w:r w:rsidR="00815A55">
        <w:rPr>
          <w:i w:val="0"/>
        </w:rPr>
        <w:t>(</w:t>
      </w:r>
      <w:r w:rsidR="005749AA" w:rsidRPr="005749AA">
        <w:rPr>
          <w:i w:val="0"/>
        </w:rPr>
        <w:t>2009</w:t>
      </w:r>
      <w:r w:rsidR="00815A55">
        <w:rPr>
          <w:i w:val="0"/>
        </w:rPr>
        <w:t>)</w:t>
      </w:r>
    </w:p>
    <w:p w:rsidR="00DD07AF" w:rsidRDefault="00211739" w:rsidP="005749AA">
      <w:pPr>
        <w:pStyle w:val="BRNormal"/>
      </w:pPr>
      <w:r>
        <w:t>From</w:t>
      </w:r>
      <w:r w:rsidR="00DD07AF">
        <w:t xml:space="preserve"> </w:t>
      </w:r>
      <w:r>
        <w:t>t</w:t>
      </w:r>
      <w:r w:rsidR="00DD07AF">
        <w:t>he mode</w:t>
      </w:r>
      <w:r w:rsidR="00403501">
        <w:t>l</w:t>
      </w:r>
      <w:r w:rsidR="00D069A9">
        <w:t xml:space="preserve"> representations</w:t>
      </w:r>
      <w:r>
        <w:t>,</w:t>
      </w:r>
      <w:r w:rsidR="00DD07AF">
        <w:t xml:space="preserve"> </w:t>
      </w:r>
      <w:r>
        <w:t>a</w:t>
      </w:r>
      <w:r w:rsidR="00DD07AF">
        <w:t xml:space="preserve"> significant offset in the lower surfaces (top of Permian, top of Early Permian and top of Late Permian)</w:t>
      </w:r>
      <w:r>
        <w:t xml:space="preserve"> was deduced</w:t>
      </w:r>
      <w:r w:rsidR="0023769E">
        <w:t xml:space="preserve">, which may be fault related. </w:t>
      </w:r>
      <w:r w:rsidR="00DD07AF">
        <w:lastRenderedPageBreak/>
        <w:t>These were often coincident with the edge of the Aramac Trough, and the degree/extent of fault offset was noted to decline in younger strata.</w:t>
      </w:r>
    </w:p>
    <w:p w:rsidR="001C64D5" w:rsidRDefault="00DD07AF" w:rsidP="001C64D5">
      <w:pPr>
        <w:pStyle w:val="Body"/>
      </w:pPr>
      <w:r w:rsidRPr="003C1939">
        <w:rPr>
          <w:noProof/>
          <w:lang w:val="en-AU" w:eastAsia="en-AU"/>
        </w:rPr>
        <w:drawing>
          <wp:inline distT="0" distB="0" distL="0" distR="0">
            <wp:extent cx="5755640" cy="3056293"/>
            <wp:effectExtent l="19050" t="0" r="0" b="0"/>
            <wp:docPr id="1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0" cstate="email"/>
                    <a:srcRect/>
                    <a:stretch>
                      <a:fillRect/>
                    </a:stretch>
                  </pic:blipFill>
                  <pic:spPr bwMode="auto">
                    <a:xfrm>
                      <a:off x="0" y="0"/>
                      <a:ext cx="5755640" cy="3056293"/>
                    </a:xfrm>
                    <a:prstGeom prst="rect">
                      <a:avLst/>
                    </a:prstGeom>
                    <a:noFill/>
                    <a:ln w="9525">
                      <a:noFill/>
                      <a:miter lim="800000"/>
                      <a:headEnd/>
                      <a:tailEnd/>
                    </a:ln>
                  </pic:spPr>
                </pic:pic>
              </a:graphicData>
            </a:graphic>
          </wp:inline>
        </w:drawing>
      </w:r>
    </w:p>
    <w:p w:rsidR="005749AA" w:rsidRDefault="001C64D5" w:rsidP="0023769E">
      <w:pPr>
        <w:pStyle w:val="Caption"/>
      </w:pPr>
      <w:r w:rsidRPr="00EA5A48">
        <w:t xml:space="preserve">Figure </w:t>
      </w:r>
      <w:r w:rsidR="00E23933" w:rsidRPr="00EA5A48">
        <w:rPr>
          <w:b/>
        </w:rPr>
        <w:fldChar w:fldCharType="begin"/>
      </w:r>
      <w:r w:rsidRPr="00EA5A48">
        <w:instrText xml:space="preserve"> SEQ Figure \* ARABIC </w:instrText>
      </w:r>
      <w:r w:rsidR="00E23933" w:rsidRPr="00EA5A48">
        <w:rPr>
          <w:b/>
        </w:rPr>
        <w:fldChar w:fldCharType="separate"/>
      </w:r>
      <w:r w:rsidR="002635AA">
        <w:t>44</w:t>
      </w:r>
      <w:r w:rsidR="00E23933" w:rsidRPr="00EA5A48">
        <w:rPr>
          <w:b/>
        </w:rPr>
        <w:fldChar w:fldCharType="end"/>
      </w:r>
      <w:r>
        <w:rPr>
          <w:b/>
        </w:rPr>
        <w:t xml:space="preserve"> </w:t>
      </w:r>
      <w:r w:rsidR="00DD07AF">
        <w:t xml:space="preserve">Two representations of key structural </w:t>
      </w:r>
      <w:r>
        <w:t xml:space="preserve">features of the Galilee Basin. </w:t>
      </w:r>
      <w:r w:rsidR="005749AA">
        <w:t>LHS image was</w:t>
      </w:r>
      <w:r w:rsidR="005749AA" w:rsidRPr="005749AA">
        <w:t xml:space="preserve"> </w:t>
      </w:r>
      <w:r w:rsidR="005749AA">
        <w:t>compiled from a number of maps from well completion reports and literature (</w:t>
      </w:r>
      <w:r w:rsidR="00F976E1">
        <w:t>© Copyright</w:t>
      </w:r>
      <w:r w:rsidR="005749AA">
        <w:t xml:space="preserve">, Marsh et al. 2008); </w:t>
      </w:r>
      <w:r>
        <w:t>RHS</w:t>
      </w:r>
      <w:r w:rsidR="005749AA">
        <w:t xml:space="preserve"> image shows the </w:t>
      </w:r>
      <w:r w:rsidR="005749AA" w:rsidRPr="001C64D5">
        <w:t>Mingobar monocline and some structures on the southern margin occur</w:t>
      </w:r>
      <w:r w:rsidR="005749AA">
        <w:t>ring</w:t>
      </w:r>
      <w:r w:rsidR="005749AA" w:rsidRPr="001C64D5">
        <w:t xml:space="preserve"> in outcrop</w:t>
      </w:r>
      <w:r w:rsidR="005749AA">
        <w:t xml:space="preserve"> (</w:t>
      </w:r>
      <w:r w:rsidR="00F976E1">
        <w:t>© Copyright</w:t>
      </w:r>
      <w:r w:rsidR="005749AA">
        <w:t xml:space="preserve">, </w:t>
      </w:r>
      <w:r>
        <w:t>v</w:t>
      </w:r>
      <w:r w:rsidR="005749AA">
        <w:t>an Heeswijck 2006);</w:t>
      </w:r>
      <w:r w:rsidR="00DD07AF">
        <w:t xml:space="preserve"> </w:t>
      </w:r>
      <w:r w:rsidR="005749AA">
        <w:t xml:space="preserve">modified from Evans </w:t>
      </w:r>
      <w:r w:rsidR="00DD07AF" w:rsidRPr="001C64D5">
        <w:t>1980)</w:t>
      </w:r>
      <w:r w:rsidR="005749AA">
        <w:t>.</w:t>
      </w:r>
    </w:p>
    <w:p w:rsidR="00DD07AF" w:rsidRDefault="005749AA" w:rsidP="0023769E">
      <w:pPr>
        <w:pStyle w:val="Caption"/>
      </w:pPr>
      <w:r>
        <w:t xml:space="preserve">Codes: </w:t>
      </w:r>
      <w:r w:rsidR="00DD07AF" w:rsidRPr="001C64D5">
        <w:t>WS – Weatherby Structure, CF – Cork Fault, ER – Elderslie Ridge, HS – Holberton Structure, DF – Dariveen Fault,</w:t>
      </w:r>
      <w:r w:rsidR="001C64D5" w:rsidRPr="001C64D5">
        <w:t xml:space="preserve"> MM – Marathona Monocline, H/RS</w:t>
      </w:r>
      <w:r w:rsidR="00DD07AF" w:rsidRPr="001C64D5">
        <w:t xml:space="preserve"> </w:t>
      </w:r>
      <w:r w:rsidR="001C64D5" w:rsidRPr="001C64D5">
        <w:t>–</w:t>
      </w:r>
      <w:r w:rsidR="00DD07AF" w:rsidRPr="001C64D5">
        <w:t xml:space="preserve"> Hutton</w:t>
      </w:r>
      <w:r w:rsidR="001C64D5" w:rsidRPr="001C64D5">
        <w:t xml:space="preserve"> </w:t>
      </w:r>
      <w:r w:rsidR="00DD07AF" w:rsidRPr="001C64D5">
        <w:t>Rd Structure, BR – Barcaldine Ridge, TS – Tara Structure.</w:t>
      </w:r>
      <w:r w:rsidR="00DD07AF">
        <w:t xml:space="preserve">  </w:t>
      </w:r>
    </w:p>
    <w:p w:rsidR="00DD07AF" w:rsidRDefault="00DD07AF" w:rsidP="001C3374">
      <w:pPr>
        <w:pStyle w:val="Body"/>
      </w:pPr>
    </w:p>
    <w:p w:rsidR="00DD07AF" w:rsidRDefault="00DD07AF" w:rsidP="001C64D5">
      <w:pPr>
        <w:pStyle w:val="BRNormal"/>
      </w:pPr>
      <w:r>
        <w:t>Rawsthorn et al. (2009) suggest the need for further study to investigate faulting within the Late Triassi</w:t>
      </w:r>
      <w:r w:rsidR="001C64D5">
        <w:t xml:space="preserve">c/Early Jurassic formations. </w:t>
      </w:r>
      <w:r>
        <w:t>They note that there is evidence of faults penetrating through to land surface (i.e. within these formations), in the form of rivers and creeks which appear to be following lineaments related to faults which predate the Early Permian/Carboniferous.</w:t>
      </w:r>
    </w:p>
    <w:p w:rsidR="00DD07AF" w:rsidRDefault="00DD07AF" w:rsidP="001C64D5">
      <w:pPr>
        <w:pStyle w:val="BRNormal"/>
      </w:pPr>
      <w:r>
        <w:t>Most of the knowledge regarding structural features is</w:t>
      </w:r>
      <w:r w:rsidR="001C64D5">
        <w:t xml:space="preserve"> derived from seismic surveys. </w:t>
      </w:r>
      <w:r>
        <w:t>Marsh et al. (2008) and Rawsthorn et al. (2009) both note that in spite of a large amount of seismic data collected, there is still an absence of a good regional dataset due to both the quality and variability in spat</w:t>
      </w:r>
      <w:r w:rsidR="001C64D5">
        <w:t xml:space="preserve">ial coverage of existing data. </w:t>
      </w:r>
      <w:r>
        <w:t>Due to the format of data preservation, t</w:t>
      </w:r>
      <w:r w:rsidR="001C64D5">
        <w:t>hey further note that of the 29 </w:t>
      </w:r>
      <w:r>
        <w:t>820 kms of seismic line data theoretically available, only approximate</w:t>
      </w:r>
      <w:r w:rsidR="001C64D5">
        <w:t>ly 12 </w:t>
      </w:r>
      <w:r>
        <w:t>500</w:t>
      </w:r>
      <w:r w:rsidR="007B5C4F">
        <w:t> </w:t>
      </w:r>
      <w:r>
        <w:t>km of data is ac</w:t>
      </w:r>
      <w:r w:rsidR="001C64D5">
        <w:t>tually usable (Rawsthorn et al.</w:t>
      </w:r>
      <w:r>
        <w:t xml:space="preserve"> 2009).  Marsh</w:t>
      </w:r>
      <w:r w:rsidR="007B5C4F">
        <w:t> </w:t>
      </w:r>
      <w:r>
        <w:t>et</w:t>
      </w:r>
      <w:r w:rsidR="007B5C4F">
        <w:t> </w:t>
      </w:r>
      <w:r>
        <w:t>al.</w:t>
      </w:r>
      <w:r w:rsidR="007B5C4F">
        <w:t> </w:t>
      </w:r>
      <w:r>
        <w:t>(2008) recommend</w:t>
      </w:r>
      <w:r w:rsidR="007B5C4F">
        <w:t>ed</w:t>
      </w:r>
      <w:r>
        <w:t xml:space="preserve"> that reprocessing </w:t>
      </w:r>
      <w:r w:rsidR="00FD5714">
        <w:t xml:space="preserve">all available </w:t>
      </w:r>
      <w:r>
        <w:t>data should occur to allow more detailed and accurate interpretation of the subsurface geology of the Galilee Basin.</w:t>
      </w:r>
    </w:p>
    <w:p w:rsidR="007B5C4F" w:rsidRDefault="00DD07AF" w:rsidP="001C64D5">
      <w:pPr>
        <w:pStyle w:val="BRNormal"/>
      </w:pPr>
      <w:r>
        <w:t>As exploration and associated activities in the Basin progress, companies are adding to t</w:t>
      </w:r>
      <w:r w:rsidR="00E95C37">
        <w:t>his regional seismic data</w:t>
      </w:r>
      <w:r w:rsidR="001C64D5">
        <w:t xml:space="preserve">set. </w:t>
      </w:r>
      <w:r>
        <w:t>For example, AGL have conducted seismic su</w:t>
      </w:r>
      <w:r w:rsidR="001C64D5">
        <w:t xml:space="preserve">rveys within their lease area. </w:t>
      </w:r>
      <w:r>
        <w:t>Their assessment of the survey results was that s</w:t>
      </w:r>
      <w:r w:rsidRPr="00532D88">
        <w:t xml:space="preserve">tructure within the project area is minimal with </w:t>
      </w:r>
      <w:r>
        <w:t xml:space="preserve">only minor </w:t>
      </w:r>
      <w:r w:rsidRPr="00532D88">
        <w:t>faulting observed</w:t>
      </w:r>
      <w:r>
        <w:t xml:space="preserve"> (in the order of </w:t>
      </w:r>
      <w:r w:rsidRPr="00532D88">
        <w:t>10</w:t>
      </w:r>
      <w:r>
        <w:t xml:space="preserve"> </w:t>
      </w:r>
      <w:r w:rsidRPr="00532D88">
        <w:t>m to 15</w:t>
      </w:r>
      <w:r>
        <w:t xml:space="preserve"> </w:t>
      </w:r>
      <w:r w:rsidRPr="00532D88">
        <w:t>m of movement</w:t>
      </w:r>
      <w:r w:rsidR="007B5C4F">
        <w:t>)</w:t>
      </w:r>
      <w:r>
        <w:t xml:space="preserve"> and </w:t>
      </w:r>
      <w:r w:rsidRPr="00532D88">
        <w:t>minimal folding, suggest</w:t>
      </w:r>
      <w:r>
        <w:t>ing</w:t>
      </w:r>
      <w:r w:rsidRPr="00532D88">
        <w:t xml:space="preserve"> that no large structures are present</w:t>
      </w:r>
      <w:r w:rsidR="007B5C4F">
        <w:t xml:space="preserve"> (AGL</w:t>
      </w:r>
      <w:r w:rsidR="001C64D5">
        <w:t xml:space="preserve"> 2012).</w:t>
      </w:r>
      <w:r>
        <w:t xml:space="preserve"> They observed </w:t>
      </w:r>
      <w:r>
        <w:lastRenderedPageBreak/>
        <w:t>f</w:t>
      </w:r>
      <w:r w:rsidRPr="00532D88">
        <w:t>requent faulting in the Toolebuc and Wallumbilla Formations; however</w:t>
      </w:r>
      <w:r w:rsidR="001C64D5">
        <w:t>,</w:t>
      </w:r>
      <w:r w:rsidRPr="00532D88">
        <w:t xml:space="preserve"> the faulting dies out at the Cadna-Owie Formation and does not penetrate through to the Jurassic (Hutton Sandstone) aquifers. </w:t>
      </w:r>
      <w:r>
        <w:t>Significantly, they concluded that (</w:t>
      </w:r>
      <w:r w:rsidRPr="00532D88">
        <w:t>within the vicinity of the</w:t>
      </w:r>
      <w:r>
        <w:t>ir</w:t>
      </w:r>
      <w:r w:rsidRPr="00532D88">
        <w:t xml:space="preserve"> current CSG pilot exploration program</w:t>
      </w:r>
      <w:r w:rsidR="007B5C4F">
        <w:t>):</w:t>
      </w:r>
    </w:p>
    <w:p w:rsidR="007B5C4F" w:rsidRDefault="00DD07AF" w:rsidP="007B5C4F">
      <w:pPr>
        <w:pStyle w:val="BRQuote"/>
      </w:pPr>
      <w:r>
        <w:t>‘</w:t>
      </w:r>
      <w:r w:rsidR="007B5C4F">
        <w:t>…</w:t>
      </w:r>
      <w:r>
        <w:t>t</w:t>
      </w:r>
      <w:r w:rsidRPr="00532D88">
        <w:t>here are no observed large scale structures that connect the Permian water bearing zones with the shallow beneficial aquifers</w:t>
      </w:r>
      <w:r w:rsidR="007B5C4F">
        <w:t>.</w:t>
      </w:r>
      <w:r>
        <w:t>’</w:t>
      </w:r>
    </w:p>
    <w:p w:rsidR="007B5C4F" w:rsidRPr="007B5C4F" w:rsidRDefault="00F976E1" w:rsidP="007B5C4F">
      <w:pPr>
        <w:pStyle w:val="BRQuote"/>
        <w:rPr>
          <w:i w:val="0"/>
        </w:rPr>
      </w:pPr>
      <w:r>
        <w:rPr>
          <w:i w:val="0"/>
        </w:rPr>
        <w:t>© Copyright</w:t>
      </w:r>
      <w:r w:rsidR="007B5C4F" w:rsidRPr="007B5C4F">
        <w:rPr>
          <w:i w:val="0"/>
        </w:rPr>
        <w:t xml:space="preserve">, </w:t>
      </w:r>
      <w:r w:rsidR="009308A0">
        <w:rPr>
          <w:i w:val="0"/>
        </w:rPr>
        <w:t>AGL (2012)</w:t>
      </w:r>
    </w:p>
    <w:p w:rsidR="00DD07AF" w:rsidRDefault="00DD07AF" w:rsidP="007B5C4F">
      <w:pPr>
        <w:pStyle w:val="BRNormal"/>
        <w:rPr>
          <w:highlight w:val="yellow"/>
        </w:rPr>
      </w:pPr>
      <w:r>
        <w:t>Other companies are also conducting new seismic programs (e.g. Comet Ridge conducted a 200+</w:t>
      </w:r>
      <w:r w:rsidR="007B5C4F">
        <w:t> </w:t>
      </w:r>
      <w:r>
        <w:t xml:space="preserve">km high resolution 2D seismic survey across the southern part of </w:t>
      </w:r>
      <w:r w:rsidR="007B5C4F">
        <w:t>mining lease area</w:t>
      </w:r>
      <w:r>
        <w:t>, in late 2011)</w:t>
      </w:r>
      <w:r w:rsidR="007B5C4F">
        <w:t>,</w:t>
      </w:r>
      <w:r>
        <w:t xml:space="preserve"> whic</w:t>
      </w:r>
      <w:r w:rsidR="00E95C37">
        <w:t>h will add to the regional data</w:t>
      </w:r>
      <w:r>
        <w:t>set.</w:t>
      </w:r>
    </w:p>
    <w:p w:rsidR="00DD07AF" w:rsidRDefault="00DD07AF" w:rsidP="001C64D5">
      <w:pPr>
        <w:pStyle w:val="BRNormal"/>
      </w:pPr>
      <w:r>
        <w:t xml:space="preserve">As part of a doctoral thesis Moya </w:t>
      </w:r>
      <w:r w:rsidRPr="00A203FF">
        <w:t>(201</w:t>
      </w:r>
      <w:r>
        <w:t>1</w:t>
      </w:r>
      <w:r w:rsidRPr="00A203FF">
        <w:t>)</w:t>
      </w:r>
      <w:r w:rsidR="007B5C4F">
        <w:t xml:space="preserve"> wa</w:t>
      </w:r>
      <w:r>
        <w:t xml:space="preserve">s developing a </w:t>
      </w:r>
      <w:r w:rsidR="007B5C4F">
        <w:t>3D</w:t>
      </w:r>
      <w:r>
        <w:t xml:space="preserve"> geological model in the cent</w:t>
      </w:r>
      <w:r w:rsidR="001C64D5">
        <w:t xml:space="preserve">ral part of the Galilee Basin. </w:t>
      </w:r>
      <w:r>
        <w:t xml:space="preserve">This </w:t>
      </w:r>
      <w:r w:rsidR="007B5C4F">
        <w:t xml:space="preserve">was using </w:t>
      </w:r>
      <w:r>
        <w:t>the geological modelling software Gocad, and based on verified lithological and stratigraphic data from exploration wells and groundwater bores and four seismic surfaces (</w:t>
      </w:r>
      <w:r w:rsidR="007B5C4F">
        <w:t xml:space="preserve">i.e. </w:t>
      </w:r>
      <w:r>
        <w:t>Basement, P Hor</w:t>
      </w:r>
      <w:r w:rsidR="001C64D5">
        <w:t xml:space="preserve">izon, C Horizon and Toolebuc). </w:t>
      </w:r>
      <w:r>
        <w:t xml:space="preserve">Major faults of potential hydrological significance will be interpreted from the seismic surfaces. </w:t>
      </w:r>
    </w:p>
    <w:p w:rsidR="00DD07AF" w:rsidRDefault="00DD07AF" w:rsidP="001C64D5">
      <w:pPr>
        <w:pStyle w:val="BRNormal"/>
      </w:pPr>
      <w:r>
        <w:t xml:space="preserve">RPS (2012) </w:t>
      </w:r>
      <w:r w:rsidR="00CD70D3">
        <w:t>reports</w:t>
      </w:r>
      <w:r>
        <w:t xml:space="preserve"> that </w:t>
      </w:r>
      <w:r w:rsidR="00CD70D3">
        <w:t>the springs in the Galilee Basin study area are thought to be associated with shallow occurrences of the host aquifer sediments and not regional faulting, and that this assessment would need to be confirmed with field investigations.</w:t>
      </w:r>
    </w:p>
    <w:p w:rsidR="00DD07AF" w:rsidRDefault="00DD07AF" w:rsidP="001C64D5">
      <w:pPr>
        <w:pStyle w:val="BRNormal"/>
      </w:pPr>
      <w:r>
        <w:t>The following key conclusions can be drawn from this section:</w:t>
      </w:r>
    </w:p>
    <w:p w:rsidR="00DD07AF" w:rsidRDefault="00DD07AF" w:rsidP="007B5C4F">
      <w:pPr>
        <w:pStyle w:val="BRdotpoints"/>
      </w:pPr>
      <w:r>
        <w:t xml:space="preserve">The Galilee Basin is relatively unstructured </w:t>
      </w:r>
      <w:r w:rsidRPr="007165CC">
        <w:t>having remained a topographic and structural low over a long period of time</w:t>
      </w:r>
      <w:r>
        <w:t>. M</w:t>
      </w:r>
      <w:r w:rsidRPr="007165CC">
        <w:t>ost of the structures are concentrated around the Basin margins, and are typically caused by reactivation of older basement structures</w:t>
      </w:r>
      <w:r>
        <w:t xml:space="preserve">.  </w:t>
      </w:r>
    </w:p>
    <w:p w:rsidR="00DD07AF" w:rsidRDefault="00DD07AF" w:rsidP="007B5C4F">
      <w:pPr>
        <w:pStyle w:val="BRdotpoints"/>
      </w:pPr>
      <w:r>
        <w:t>There is a reasonably lar</w:t>
      </w:r>
      <w:r w:rsidR="00E95C37">
        <w:t>ge seismic data</w:t>
      </w:r>
      <w:r>
        <w:t xml:space="preserve">set across the </w:t>
      </w:r>
      <w:r w:rsidR="00CB0755">
        <w:t xml:space="preserve">Galilee </w:t>
      </w:r>
      <w:r>
        <w:t>Basin, but this suffers from variable spatial coverage and sometime</w:t>
      </w:r>
      <w:r w:rsidR="001C64D5">
        <w:t xml:space="preserve">s poor data quality. </w:t>
      </w:r>
      <w:r>
        <w:t xml:space="preserve">Reprocessing of some data would improve and </w:t>
      </w:r>
      <w:r w:rsidR="00E95C37">
        <w:t>add to the usable regional data</w:t>
      </w:r>
      <w:r>
        <w:t xml:space="preserve">set. </w:t>
      </w:r>
    </w:p>
    <w:p w:rsidR="00DD07AF" w:rsidRDefault="001C64D5" w:rsidP="001C64D5">
      <w:pPr>
        <w:pStyle w:val="Bulletpoint"/>
      </w:pPr>
      <w:r>
        <w:t>The Petrel model (Rawsthorn</w:t>
      </w:r>
      <w:r w:rsidR="00DD07AF">
        <w:t xml:space="preserve"> 2009) and interpretat</w:t>
      </w:r>
      <w:r>
        <w:t>ion of seismic data by AGL (AGL</w:t>
      </w:r>
      <w:r w:rsidR="00DD07AF">
        <w:t xml:space="preserve"> 2012) note relatively small displacement of identified faults (around 10-15m)</w:t>
      </w:r>
      <w:r w:rsidR="00241E93">
        <w:t>; the mapping by v</w:t>
      </w:r>
      <w:r w:rsidR="00DD07AF">
        <w:t>an Heeswijck</w:t>
      </w:r>
      <w:r w:rsidR="00497B72">
        <w:t xml:space="preserve"> (2006)</w:t>
      </w:r>
      <w:r w:rsidR="00DD07AF">
        <w:t xml:space="preserve"> </w:t>
      </w:r>
      <w:r w:rsidR="00241E93">
        <w:t xml:space="preserve">that </w:t>
      </w:r>
      <w:r w:rsidR="00DD07AF">
        <w:t>identif</w:t>
      </w:r>
      <w:r w:rsidR="00241E93">
        <w:t>ied</w:t>
      </w:r>
      <w:r w:rsidR="00DD07AF">
        <w:t xml:space="preserve"> average fault offsets of 400</w:t>
      </w:r>
      <w:r w:rsidR="00CB0755">
        <w:t> </w:t>
      </w:r>
      <w:r w:rsidR="00DD07AF">
        <w:t xml:space="preserve">m </w:t>
      </w:r>
      <w:r w:rsidR="00241E93">
        <w:t xml:space="preserve">is understood to </w:t>
      </w:r>
      <w:r w:rsidR="00DD07AF">
        <w:t xml:space="preserve">refer </w:t>
      </w:r>
      <w:r w:rsidR="00DD07AF" w:rsidRPr="00620A57">
        <w:t>to regional scale faults</w:t>
      </w:r>
      <w:r w:rsidR="00241E93">
        <w:t xml:space="preserve"> and offsets at depth within basement rock.</w:t>
      </w:r>
    </w:p>
    <w:p w:rsidR="00DD07AF" w:rsidRDefault="00DD07AF" w:rsidP="001C64D5">
      <w:pPr>
        <w:pStyle w:val="Bulletpoint"/>
      </w:pPr>
      <w:r>
        <w:t xml:space="preserve">The Petrel model is inconclusive regarding whether </w:t>
      </w:r>
      <w:r w:rsidRPr="00532D88">
        <w:t xml:space="preserve">faulting </w:t>
      </w:r>
      <w:r>
        <w:t xml:space="preserve">in lower formations penetrates through the </w:t>
      </w:r>
      <w:r w:rsidR="00497B72">
        <w:t>Late Triassic/</w:t>
      </w:r>
      <w:r>
        <w:t>E</w:t>
      </w:r>
      <w:r w:rsidR="00497B72">
        <w:t xml:space="preserve">arly Jurassic formations. </w:t>
      </w:r>
      <w:r>
        <w:t xml:space="preserve">This is an important data gap in that faults represent potential preferred pathways for connection across </w:t>
      </w:r>
      <w:r w:rsidRPr="00532D88">
        <w:t xml:space="preserve">Permian zones </w:t>
      </w:r>
      <w:r>
        <w:t xml:space="preserve">(targeted for CSG development) </w:t>
      </w:r>
      <w:r w:rsidRPr="00532D88">
        <w:t>with shallow aquifers</w:t>
      </w:r>
      <w:r>
        <w:t>.</w:t>
      </w:r>
    </w:p>
    <w:p w:rsidR="00DD07AF" w:rsidRDefault="00DD07AF" w:rsidP="00CB0755">
      <w:pPr>
        <w:pStyle w:val="BRdotpoints"/>
      </w:pPr>
      <w:r>
        <w:t xml:space="preserve">The literature review did not identify any studies in the Galilee Basin which have examined the hydraulic behaviour of faults (e.g. examining whether they enhance or reduce permeability). </w:t>
      </w:r>
    </w:p>
    <w:p w:rsidR="00DD07AF" w:rsidRPr="0010123B" w:rsidRDefault="00DD07AF" w:rsidP="005F6513">
      <w:pPr>
        <w:pStyle w:val="Heading2"/>
      </w:pPr>
      <w:bookmarkStart w:id="722" w:name="_Toc334718193"/>
      <w:bookmarkStart w:id="723" w:name="_Toc381961195"/>
      <w:bookmarkStart w:id="724" w:name="_Toc389055266"/>
      <w:r>
        <w:t>Geomechanical properties</w:t>
      </w:r>
      <w:bookmarkEnd w:id="722"/>
      <w:bookmarkEnd w:id="723"/>
      <w:bookmarkEnd w:id="724"/>
    </w:p>
    <w:p w:rsidR="00DD07AF" w:rsidRDefault="00DD07AF" w:rsidP="00497B72">
      <w:pPr>
        <w:pStyle w:val="BRNormal"/>
      </w:pPr>
      <w:r>
        <w:t xml:space="preserve">A review of the literature did not identify any </w:t>
      </w:r>
      <w:r w:rsidR="00F82B28">
        <w:t xml:space="preserve">significant </w:t>
      </w:r>
      <w:r>
        <w:t>references regarding geomechanical properties of for</w:t>
      </w:r>
      <w:r w:rsidR="00497B72">
        <w:t xml:space="preserve">mations in the Galilee Basin. </w:t>
      </w:r>
      <w:proofErr w:type="gramStart"/>
      <w:r w:rsidR="00497B72">
        <w:t>v</w:t>
      </w:r>
      <w:r>
        <w:t>an</w:t>
      </w:r>
      <w:proofErr w:type="gramEnd"/>
      <w:r>
        <w:t xml:space="preserve"> Heeswijck (2006) refers briefly to stresses related to formation of the Basin, but not information </w:t>
      </w:r>
      <w:r w:rsidR="005F56D1">
        <w:t xml:space="preserve">on current in </w:t>
      </w:r>
      <w:r>
        <w:t xml:space="preserve">situ stresses, relative stress magnitudes or stress </w:t>
      </w:r>
      <w:r w:rsidR="00497B72">
        <w:t>contrasts within/between units.</w:t>
      </w:r>
      <w:r w:rsidR="00CB0755">
        <w:t xml:space="preserve"> </w:t>
      </w:r>
      <w:r>
        <w:t xml:space="preserve">This review did not include examination of individual well completion or drilling reports which may have captured this </w:t>
      </w:r>
      <w:r>
        <w:lastRenderedPageBreak/>
        <w:t>inform</w:t>
      </w:r>
      <w:r w:rsidR="00CB0755">
        <w:t>ation on a bore-</w:t>
      </w:r>
      <w:r w:rsidR="00497B72">
        <w:t>b</w:t>
      </w:r>
      <w:r w:rsidR="00CB0755">
        <w:t>y-bore basis</w:t>
      </w:r>
      <w:r w:rsidR="00497B72">
        <w:t>.</w:t>
      </w:r>
      <w:r>
        <w:t xml:space="preserve"> It is apparent</w:t>
      </w:r>
      <w:r w:rsidR="00497B72">
        <w:t xml:space="preserve"> that at least some petroleum/</w:t>
      </w:r>
      <w:r>
        <w:t>coal companies are colle</w:t>
      </w:r>
      <w:r w:rsidR="00CB0755">
        <w:t>cting geomechanical information;</w:t>
      </w:r>
      <w:r>
        <w:t xml:space="preserve"> however</w:t>
      </w:r>
      <w:r w:rsidR="00CB0755">
        <w:t>,</w:t>
      </w:r>
      <w:r>
        <w:t xml:space="preserve"> these programs are either not </w:t>
      </w:r>
      <w:proofErr w:type="gramStart"/>
      <w:r>
        <w:t>complete</w:t>
      </w:r>
      <w:proofErr w:type="gramEnd"/>
      <w:r>
        <w:t xml:space="preserve"> or the results </w:t>
      </w:r>
      <w:r w:rsidR="00DC0F5A">
        <w:t xml:space="preserve">are </w:t>
      </w:r>
      <w:r w:rsidR="00497B72">
        <w:t xml:space="preserve">not yet published. </w:t>
      </w:r>
      <w:r>
        <w:t>For example, Exoma refer</w:t>
      </w:r>
      <w:r w:rsidR="00F82B28">
        <w:t>s</w:t>
      </w:r>
      <w:r>
        <w:t xml:space="preserve"> to commencement of a drilling program (of at least 10 and up to 21 wells) in May 2011</w:t>
      </w:r>
      <w:r w:rsidR="00497B72">
        <w:t>,</w:t>
      </w:r>
      <w:r>
        <w:t xml:space="preserve"> which was to include collecting coal and shale core for a variety of tests, including geomechanical properties</w:t>
      </w:r>
      <w:r w:rsidR="00497B72">
        <w:t xml:space="preserve"> (Exoma 2011).</w:t>
      </w:r>
      <w:r>
        <w:t xml:space="preserve"> Expansion of the 2011 drilling program occurred during 2012. </w:t>
      </w:r>
    </w:p>
    <w:p w:rsidR="00DD07AF" w:rsidRDefault="00F82B28" w:rsidP="00497B72">
      <w:pPr>
        <w:pStyle w:val="BRNormal"/>
      </w:pPr>
      <w:r>
        <w:t>G</w:t>
      </w:r>
      <w:r w:rsidR="00DD07AF">
        <w:t xml:space="preserve">eomechanical properties </w:t>
      </w:r>
      <w:r>
        <w:t>constitute</w:t>
      </w:r>
      <w:r w:rsidR="00DD07AF">
        <w:t xml:space="preserve"> a significant dat</w:t>
      </w:r>
      <w:r w:rsidR="00A2552E">
        <w:t>a gap within the Galilee Basin.</w:t>
      </w:r>
      <w:r w:rsidR="00DD07AF">
        <w:t xml:space="preserve"> In the interim, estimates of geomechanical parameters of some formations could be made where the formation is present in adj</w:t>
      </w:r>
      <w:r w:rsidR="00497B72">
        <w:t>oining Basins (e.g. Bowen</w:t>
      </w:r>
      <w:r w:rsidR="00DD07AF">
        <w:t xml:space="preserve"> </w:t>
      </w:r>
      <w:r>
        <w:t xml:space="preserve">or </w:t>
      </w:r>
      <w:r w:rsidR="00DD07AF">
        <w:t>Surat</w:t>
      </w:r>
      <w:r w:rsidR="00CB0755">
        <w:t xml:space="preserve"> Basins</w:t>
      </w:r>
      <w:r w:rsidR="00DD07AF">
        <w:t>).</w:t>
      </w:r>
    </w:p>
    <w:p w:rsidR="00DD07AF" w:rsidRPr="0010123B" w:rsidRDefault="00DD07AF" w:rsidP="005F6513">
      <w:pPr>
        <w:pStyle w:val="Heading2"/>
      </w:pPr>
      <w:bookmarkStart w:id="725" w:name="_Toc334718194"/>
      <w:bookmarkStart w:id="726" w:name="_Toc381961196"/>
      <w:bookmarkStart w:id="727" w:name="_Toc389055267"/>
      <w:r>
        <w:t>Geochemistry and isotopes</w:t>
      </w:r>
      <w:bookmarkEnd w:id="725"/>
      <w:bookmarkEnd w:id="726"/>
      <w:bookmarkEnd w:id="727"/>
    </w:p>
    <w:p w:rsidR="0072748C" w:rsidRPr="002635AA" w:rsidRDefault="00DD07AF" w:rsidP="002635AA">
      <w:pPr>
        <w:pStyle w:val="BRNormal"/>
      </w:pPr>
      <w:r>
        <w:t>Marsh et al. (2008) present salinity ranges and averages for various formations in the Galilee Basin (</w:t>
      </w:r>
      <w:r w:rsidR="005F1D9C">
        <w:t>see</w:t>
      </w:r>
      <w:r w:rsidR="00E00A9C">
        <w:t xml:space="preserve"> column 6 in Figure </w:t>
      </w:r>
      <w:r w:rsidR="0082757D">
        <w:t>42</w:t>
      </w:r>
      <w:r w:rsidR="00E00A9C">
        <w:t>).</w:t>
      </w:r>
      <w:r>
        <w:t xml:space="preserve"> The </w:t>
      </w:r>
      <w:r w:rsidR="004B1AE9">
        <w:t>data</w:t>
      </w:r>
      <w:r>
        <w:t xml:space="preserve"> is </w:t>
      </w:r>
      <w:r w:rsidR="004B1AE9">
        <w:t xml:space="preserve">reported to be </w:t>
      </w:r>
      <w:r>
        <w:t xml:space="preserve">based </w:t>
      </w:r>
      <w:r w:rsidR="00CB0755">
        <w:t>on a limited number of samples (</w:t>
      </w:r>
      <w:r>
        <w:t xml:space="preserve">e.g. the Moolayember Formation data is from three samples and only the Clematis and Colinlea Formations have more than </w:t>
      </w:r>
      <w:r w:rsidR="00E95C37">
        <w:t>eight samples in the data</w:t>
      </w:r>
      <w:r w:rsidR="00E00A9C">
        <w:t>set</w:t>
      </w:r>
      <w:r w:rsidR="00CB0755">
        <w:t>)</w:t>
      </w:r>
      <w:r w:rsidR="00E00A9C">
        <w:t xml:space="preserve">. </w:t>
      </w:r>
      <w:r>
        <w:t>Given the size of the Galilee Basin, this indicates that data/knowledge regarding geochemistry of the Ba</w:t>
      </w:r>
      <w:r w:rsidR="00E00A9C">
        <w:t xml:space="preserve">sin is a significant data gap. </w:t>
      </w:r>
      <w:r>
        <w:t xml:space="preserve">RPS </w:t>
      </w:r>
      <w:r w:rsidR="00214F80">
        <w:t xml:space="preserve">was </w:t>
      </w:r>
      <w:r w:rsidR="00CB0755">
        <w:t xml:space="preserve">engaged </w:t>
      </w:r>
      <w:r>
        <w:t>by a group of</w:t>
      </w:r>
      <w:r w:rsidR="00CB0755">
        <w:t xml:space="preserve"> operators in the Galilee Basin</w:t>
      </w:r>
      <w:r>
        <w:t xml:space="preserve"> to develop a baseline understanding of groundwater within the Eromanga and Galilee Basin strata, part of which involve</w:t>
      </w:r>
      <w:r w:rsidR="00214F80">
        <w:t>d</w:t>
      </w:r>
      <w:r>
        <w:t xml:space="preserve"> collation of a baseline ground</w:t>
      </w:r>
      <w:r w:rsidR="00E95C37">
        <w:t>water quality data</w:t>
      </w:r>
      <w:r w:rsidR="00E00A9C">
        <w:t>set</w:t>
      </w:r>
      <w:r w:rsidR="00CB0755">
        <w:t xml:space="preserve"> (RPS 2012)</w:t>
      </w:r>
      <w:r w:rsidR="00E00A9C">
        <w:t xml:space="preserve">. </w:t>
      </w:r>
      <w:r w:rsidR="00E95C37">
        <w:t>The data</w:t>
      </w:r>
      <w:r>
        <w:t>set used in the RPS study include</w:t>
      </w:r>
      <w:r w:rsidR="00214F80">
        <w:t>d</w:t>
      </w:r>
      <w:r>
        <w:t xml:space="preserve"> water</w:t>
      </w:r>
      <w:r w:rsidR="00CB0755">
        <w:t xml:space="preserve"> bores from the </w:t>
      </w:r>
      <w:r w:rsidR="00430F44">
        <w:t>Queensland Groundwater</w:t>
      </w:r>
      <w:r w:rsidR="00CB0755">
        <w:t xml:space="preserve"> </w:t>
      </w:r>
      <w:r w:rsidR="00430F44">
        <w:t>D</w:t>
      </w:r>
      <w:r w:rsidR="00CB0755">
        <w:t>ata</w:t>
      </w:r>
      <w:r>
        <w:t>base and exploration bores (</w:t>
      </w:r>
      <w:r w:rsidR="008170B3" w:rsidRPr="003614FB">
        <w:t>Queensland Petroleum Exploration Database</w:t>
      </w:r>
      <w:r w:rsidR="00CB0755">
        <w:rPr>
          <w:rStyle w:val="FootnoteReference"/>
        </w:rPr>
        <w:footnoteReference w:id="4"/>
      </w:r>
      <w:r>
        <w:t>, CSIRO Pressure Plot</w:t>
      </w:r>
      <w:r w:rsidR="00CB0755">
        <w:rPr>
          <w:rStyle w:val="FootnoteReference"/>
        </w:rPr>
        <w:footnoteReference w:id="5"/>
      </w:r>
      <w:r>
        <w:t>, QDEX</w:t>
      </w:r>
      <w:r w:rsidR="00CB0755">
        <w:rPr>
          <w:rStyle w:val="FootnoteReference"/>
        </w:rPr>
        <w:footnoteReference w:id="6"/>
      </w:r>
      <w:r w:rsidR="00CB0755">
        <w:t xml:space="preserve"> and well completion reports). </w:t>
      </w:r>
    </w:p>
    <w:p w:rsidR="00DD07AF" w:rsidRDefault="00DD07AF" w:rsidP="0072748C">
      <w:pPr>
        <w:pStyle w:val="BRNormal"/>
      </w:pPr>
      <w:r>
        <w:t>In contrast to the RPS study</w:t>
      </w:r>
      <w:r w:rsidR="00CB0755">
        <w:t xml:space="preserve"> (RPS 2012)</w:t>
      </w:r>
      <w:r>
        <w:t xml:space="preserve">, </w:t>
      </w:r>
      <w:r w:rsidR="00CB0755">
        <w:t xml:space="preserve">the Moya (2011) study </w:t>
      </w:r>
      <w:r>
        <w:t>involve</w:t>
      </w:r>
      <w:r w:rsidR="005F34EF">
        <w:t>d</w:t>
      </w:r>
      <w:r>
        <w:t xml:space="preserve"> collection of new data (groundwater ch</w:t>
      </w:r>
      <w:r w:rsidR="0072748C">
        <w:t xml:space="preserve">emistry and isotope sampling). </w:t>
      </w:r>
      <w:r>
        <w:t xml:space="preserve">Preliminary results from the Moya thesis are presented in Figure </w:t>
      </w:r>
      <w:r w:rsidR="002635AA">
        <w:t>45</w:t>
      </w:r>
      <w:r>
        <w:t>; these are fro</w:t>
      </w:r>
      <w:r w:rsidR="0072748C">
        <w:t xml:space="preserve">m </w:t>
      </w:r>
      <w:r w:rsidR="00430F44">
        <w:t xml:space="preserve">Queensland Groundwater Database </w:t>
      </w:r>
      <w:r w:rsidR="0072748C">
        <w:t xml:space="preserve">bores across the </w:t>
      </w:r>
      <w:r w:rsidR="00CB0755">
        <w:t xml:space="preserve">Galilee </w:t>
      </w:r>
      <w:r w:rsidR="0072748C">
        <w:t xml:space="preserve">Basin. </w:t>
      </w:r>
      <w:r w:rsidR="00CB0755">
        <w:t>Figure 45</w:t>
      </w:r>
      <w:r>
        <w:t xml:space="preserve"> indicates that</w:t>
      </w:r>
      <w:r w:rsidR="004349B6">
        <w:t xml:space="preserve"> in 2012</w:t>
      </w:r>
      <w:r>
        <w:t xml:space="preserve"> there </w:t>
      </w:r>
      <w:r w:rsidR="004349B6">
        <w:t>were</w:t>
      </w:r>
      <w:r w:rsidRPr="00B17D6C">
        <w:t xml:space="preserve"> few water chemistry samples for the </w:t>
      </w:r>
      <w:r>
        <w:t xml:space="preserve">Permian units of the </w:t>
      </w:r>
      <w:r w:rsidRPr="00B17D6C">
        <w:t xml:space="preserve">Galilee Basin </w:t>
      </w:r>
      <w:r w:rsidR="0072748C">
        <w:t xml:space="preserve">available in the </w:t>
      </w:r>
      <w:r w:rsidR="00430F44">
        <w:t>Queensland Groundwater Database</w:t>
      </w:r>
      <w:r w:rsidR="0072748C">
        <w:t>.</w:t>
      </w:r>
      <w:r>
        <w:t xml:space="preserve"> Most of the Permian formations have less than five samples available and s</w:t>
      </w:r>
      <w:r w:rsidRPr="00B17D6C">
        <w:t xml:space="preserve">ome important units such as the Aramac Coal Measures do not have any </w:t>
      </w:r>
      <w:r>
        <w:t xml:space="preserve">sample </w:t>
      </w:r>
      <w:r w:rsidRPr="00B17D6C">
        <w:t>records in the database.</w:t>
      </w:r>
    </w:p>
    <w:p w:rsidR="00DD07AF" w:rsidRDefault="00DD07AF" w:rsidP="0072748C">
      <w:pPr>
        <w:pStyle w:val="BRNormal"/>
      </w:pPr>
      <w:r>
        <w:t>The Triassic Clematis Sandstone has a Na-HCO</w:t>
      </w:r>
      <w:r w:rsidRPr="00D77AAE">
        <w:rPr>
          <w:vertAlign w:val="subscript"/>
        </w:rPr>
        <w:t>3</w:t>
      </w:r>
      <w:r>
        <w:t xml:space="preserve"> water type</w:t>
      </w:r>
      <w:r w:rsidR="00D25979">
        <w:t>,</w:t>
      </w:r>
      <w:r>
        <w:t xml:space="preserve"> similar to the Jurassic aquifers</w:t>
      </w:r>
      <w:r w:rsidR="00D25979">
        <w:t xml:space="preserve"> of the GAB </w:t>
      </w:r>
      <w:r w:rsidR="00845861">
        <w:t>(Moya et al.</w:t>
      </w:r>
      <w:r w:rsidR="00D25979" w:rsidRPr="00D25979">
        <w:t xml:space="preserve"> 2012)</w:t>
      </w:r>
      <w:r>
        <w:t xml:space="preserve"> and is bounded by two aquitards with Na-Cl water (</w:t>
      </w:r>
      <w:r w:rsidR="00845861">
        <w:t xml:space="preserve">i.e. </w:t>
      </w:r>
      <w:r>
        <w:t xml:space="preserve">Moolayember Formation </w:t>
      </w:r>
      <w:r w:rsidR="00D25979">
        <w:t>and Rewan</w:t>
      </w:r>
      <w:r w:rsidR="0072748C">
        <w:t xml:space="preserve"> Formation). </w:t>
      </w:r>
      <w:r>
        <w:t>The salinity of the Moolayember is notable for being significantly hig</w:t>
      </w:r>
      <w:r w:rsidR="0072748C">
        <w:t xml:space="preserve">her than all other formations. </w:t>
      </w:r>
      <w:r>
        <w:t xml:space="preserve">As described previously in this chapter, the Moolayember Formation is important in that it separates the Clematis Sandstone from the Jurassic aquifers. </w:t>
      </w:r>
    </w:p>
    <w:p w:rsidR="00DD07AF" w:rsidRDefault="00DD07AF" w:rsidP="001C3374">
      <w:pPr>
        <w:pStyle w:val="Body"/>
      </w:pPr>
    </w:p>
    <w:p w:rsidR="00DD07AF" w:rsidRDefault="00DD07AF" w:rsidP="001C3374">
      <w:pPr>
        <w:pStyle w:val="Body"/>
      </w:pPr>
      <w:r w:rsidRPr="00B17D6C">
        <w:rPr>
          <w:noProof/>
          <w:lang w:val="en-AU" w:eastAsia="en-AU"/>
        </w:rPr>
        <w:drawing>
          <wp:inline distT="0" distB="0" distL="0" distR="0">
            <wp:extent cx="5715000" cy="4881988"/>
            <wp:effectExtent l="0" t="0" r="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1" cstate="email"/>
                    <a:srcRect/>
                    <a:stretch>
                      <a:fillRect/>
                    </a:stretch>
                  </pic:blipFill>
                  <pic:spPr bwMode="auto">
                    <a:xfrm>
                      <a:off x="0" y="0"/>
                      <a:ext cx="5722253" cy="4888184"/>
                    </a:xfrm>
                    <a:prstGeom prst="rect">
                      <a:avLst/>
                    </a:prstGeom>
                    <a:noFill/>
                    <a:ln w="9525">
                      <a:noFill/>
                      <a:miter lim="800000"/>
                      <a:headEnd/>
                      <a:tailEnd/>
                    </a:ln>
                  </pic:spPr>
                </pic:pic>
              </a:graphicData>
            </a:graphic>
          </wp:inline>
        </w:drawing>
      </w:r>
    </w:p>
    <w:p w:rsidR="00DD07AF" w:rsidRDefault="00671D1D" w:rsidP="0072748C">
      <w:pPr>
        <w:pStyle w:val="Caption"/>
      </w:pPr>
      <w:r w:rsidRPr="00EA5A48">
        <w:t xml:space="preserve">Figure </w:t>
      </w:r>
      <w:r w:rsidR="00E23933" w:rsidRPr="00EA5A48">
        <w:rPr>
          <w:b/>
        </w:rPr>
        <w:fldChar w:fldCharType="begin"/>
      </w:r>
      <w:r w:rsidRPr="00EA5A48">
        <w:instrText xml:space="preserve"> SEQ Figure \* ARABIC </w:instrText>
      </w:r>
      <w:r w:rsidR="00E23933" w:rsidRPr="00EA5A48">
        <w:rPr>
          <w:b/>
        </w:rPr>
        <w:fldChar w:fldCharType="separate"/>
      </w:r>
      <w:r w:rsidR="002635AA">
        <w:t>45</w:t>
      </w:r>
      <w:r w:rsidR="00E23933" w:rsidRPr="00EA5A48">
        <w:rPr>
          <w:b/>
        </w:rPr>
        <w:fldChar w:fldCharType="end"/>
      </w:r>
      <w:r w:rsidR="00DD07AF">
        <w:t xml:space="preserve"> </w:t>
      </w:r>
      <w:r w:rsidR="00DD07AF" w:rsidRPr="00D77AAE">
        <w:t xml:space="preserve">Average values/concentrations for chemistry parameters for </w:t>
      </w:r>
      <w:r w:rsidR="00DD07AF">
        <w:t xml:space="preserve">formations of </w:t>
      </w:r>
      <w:r w:rsidR="00D25979">
        <w:t xml:space="preserve">the Great Artesian Basin and </w:t>
      </w:r>
      <w:r w:rsidR="00DD07AF">
        <w:t>the Galilee Basin</w:t>
      </w:r>
      <w:r w:rsidR="00DD07AF" w:rsidRPr="00D77AAE">
        <w:t>.</w:t>
      </w:r>
      <w:r w:rsidR="00DD07AF">
        <w:t xml:space="preserve"> </w:t>
      </w:r>
      <w:r w:rsidR="00DD07AF" w:rsidRPr="00D77AAE">
        <w:t>Dominant anions and cations are in bold</w:t>
      </w:r>
      <w:r w:rsidR="00DD07AF">
        <w:t xml:space="preserve"> (</w:t>
      </w:r>
      <w:r w:rsidR="00F976E1">
        <w:t>© Copyright</w:t>
      </w:r>
      <w:r w:rsidR="00845861">
        <w:t>,</w:t>
      </w:r>
      <w:r w:rsidR="00DD07AF">
        <w:t xml:space="preserve"> Moya</w:t>
      </w:r>
      <w:r w:rsidR="009308A0">
        <w:t> </w:t>
      </w:r>
      <w:r>
        <w:t>et</w:t>
      </w:r>
      <w:r w:rsidR="009308A0">
        <w:t> </w:t>
      </w:r>
      <w:r>
        <w:t>al.</w:t>
      </w:r>
      <w:r w:rsidR="0072748C">
        <w:t xml:space="preserve"> 2012).</w:t>
      </w:r>
    </w:p>
    <w:p w:rsidR="00DD07AF" w:rsidRDefault="00DD07AF" w:rsidP="001C3374">
      <w:pPr>
        <w:pStyle w:val="Body"/>
      </w:pPr>
    </w:p>
    <w:p w:rsidR="00DD07AF" w:rsidRDefault="00DD07AF" w:rsidP="00671D1D">
      <w:pPr>
        <w:pStyle w:val="BRNormal"/>
      </w:pPr>
      <w:r>
        <w:t xml:space="preserve">Evans (1996) examined fluoride concentrations across the </w:t>
      </w:r>
      <w:r w:rsidR="00671D1D">
        <w:t xml:space="preserve">Queensland section of the GAB. </w:t>
      </w:r>
      <w:r>
        <w:t xml:space="preserve">Flouride acts as a </w:t>
      </w:r>
      <w:r w:rsidRPr="00A70C95">
        <w:t xml:space="preserve">tracer </w:t>
      </w:r>
      <w:r>
        <w:t xml:space="preserve">which can </w:t>
      </w:r>
      <w:r w:rsidRPr="00A70C95">
        <w:t xml:space="preserve">provide insight into </w:t>
      </w:r>
      <w:r>
        <w:t xml:space="preserve">groundwater </w:t>
      </w:r>
      <w:r w:rsidRPr="00A70C95">
        <w:t xml:space="preserve">flow and aquifer interactions. </w:t>
      </w:r>
      <w:r>
        <w:t>T</w:t>
      </w:r>
      <w:r w:rsidRPr="00A70C95">
        <w:t xml:space="preserve">he Permian aquifers </w:t>
      </w:r>
      <w:r>
        <w:t>contain t</w:t>
      </w:r>
      <w:r w:rsidRPr="00A70C95">
        <w:t xml:space="preserve">he </w:t>
      </w:r>
      <w:r>
        <w:t xml:space="preserve">highest </w:t>
      </w:r>
      <w:r w:rsidRPr="00A70C95">
        <w:t>concentrations of fluoride (around 7</w:t>
      </w:r>
      <w:r w:rsidR="000F4123">
        <w:noBreakHyphen/>
      </w:r>
      <w:r w:rsidRPr="00A70C95">
        <w:t>9</w:t>
      </w:r>
      <w:r w:rsidR="000F4123">
        <w:t> </w:t>
      </w:r>
      <w:r w:rsidRPr="00A70C95">
        <w:t xml:space="preserve">mg/L) while </w:t>
      </w:r>
      <w:r>
        <w:t xml:space="preserve">lower </w:t>
      </w:r>
      <w:r w:rsidRPr="00A70C95">
        <w:t xml:space="preserve">concentrations </w:t>
      </w:r>
      <w:r>
        <w:t>(</w:t>
      </w:r>
      <w:r w:rsidRPr="00A70C95">
        <w:t>2</w:t>
      </w:r>
      <w:r w:rsidR="000F4123">
        <w:noBreakHyphen/>
      </w:r>
      <w:r w:rsidRPr="00A70C95">
        <w:t>4</w:t>
      </w:r>
      <w:r w:rsidR="000F4123">
        <w:t> </w:t>
      </w:r>
      <w:r w:rsidRPr="00A70C95">
        <w:t>mg/L</w:t>
      </w:r>
      <w:r>
        <w:t>)</w:t>
      </w:r>
      <w:r w:rsidRPr="00A70C95">
        <w:t xml:space="preserve"> </w:t>
      </w:r>
      <w:r>
        <w:t xml:space="preserve">are present in </w:t>
      </w:r>
      <w:r w:rsidRPr="00A70C95">
        <w:t>the Jurassic aquifers. Evans</w:t>
      </w:r>
      <w:r w:rsidR="000F4123">
        <w:t> </w:t>
      </w:r>
      <w:r>
        <w:t>(</w:t>
      </w:r>
      <w:r w:rsidRPr="00A70C95">
        <w:t>1996)</w:t>
      </w:r>
      <w:r>
        <w:t xml:space="preserve"> postulates that the </w:t>
      </w:r>
      <w:r w:rsidRPr="00A70C95">
        <w:t>origin of the fluoride is the granitic basement rocks and hence</w:t>
      </w:r>
      <w:r>
        <w:t xml:space="preserve"> </w:t>
      </w:r>
      <w:r w:rsidRPr="00A70C95">
        <w:t xml:space="preserve">there is suspected upwards flow from the basal Permian aquifers to the intermediate depth Jurassic aquifers. The </w:t>
      </w:r>
      <w:r>
        <w:t xml:space="preserve">Maneroo Platform is the primary </w:t>
      </w:r>
      <w:r w:rsidRPr="00A70C95">
        <w:t>basement structure that trunca</w:t>
      </w:r>
      <w:r w:rsidR="000F4123">
        <w:t>tes the Galilee Basin sediments</w:t>
      </w:r>
      <w:r>
        <w:t xml:space="preserve"> and is considered to be </w:t>
      </w:r>
      <w:r w:rsidRPr="00A70C95">
        <w:t>responsible for the upward flow character</w:t>
      </w:r>
      <w:r w:rsidR="000F4123">
        <w:t>istics in this area (Evans</w:t>
      </w:r>
      <w:r w:rsidRPr="00A70C95">
        <w:t xml:space="preserve"> 1996).</w:t>
      </w:r>
      <w:r w:rsidR="00671D1D">
        <w:t xml:space="preserve"> </w:t>
      </w:r>
      <w:r w:rsidR="00D51933">
        <w:t xml:space="preserve">Assuming this conceptual model is </w:t>
      </w:r>
      <w:proofErr w:type="gramStart"/>
      <w:r w:rsidR="00D51933">
        <w:t>correct,</w:t>
      </w:r>
      <w:proofErr w:type="gramEnd"/>
      <w:r w:rsidR="00D51933">
        <w:t xml:space="preserve"> water extraction associated with CSG would reduce the upward flow from the Permian aquifers to the </w:t>
      </w:r>
      <w:r w:rsidR="00D51933" w:rsidRPr="00A70C95">
        <w:t>intermediate depth Jurassic aquifers</w:t>
      </w:r>
      <w:r w:rsidR="00D51933">
        <w:t xml:space="preserve"> – whether this reduction is significant in the context of the overall water balance of the </w:t>
      </w:r>
      <w:r w:rsidR="00D51933" w:rsidRPr="00A70C95">
        <w:t>Jurassic aquifers</w:t>
      </w:r>
      <w:r w:rsidR="00D51933">
        <w:t xml:space="preserve"> needs to be assessed.</w:t>
      </w:r>
    </w:p>
    <w:p w:rsidR="00DD07AF" w:rsidRPr="00A70C95" w:rsidRDefault="00DD07AF" w:rsidP="00671D1D">
      <w:pPr>
        <w:pStyle w:val="BRNormal"/>
      </w:pPr>
      <w:r>
        <w:t>In addition to the more regional studies described above, there are local studies associated with individual A</w:t>
      </w:r>
      <w:r w:rsidR="00211739">
        <w:t xml:space="preserve">uthority </w:t>
      </w:r>
      <w:r>
        <w:t>T</w:t>
      </w:r>
      <w:r w:rsidR="00211739">
        <w:t xml:space="preserve">o </w:t>
      </w:r>
      <w:r>
        <w:t>P</w:t>
      </w:r>
      <w:r w:rsidR="00211739">
        <w:t xml:space="preserve">rospect and </w:t>
      </w:r>
      <w:r>
        <w:t>M</w:t>
      </w:r>
      <w:r w:rsidR="00211739">
        <w:t xml:space="preserve">ining </w:t>
      </w:r>
      <w:r>
        <w:t>L</w:t>
      </w:r>
      <w:r w:rsidR="00211739">
        <w:t xml:space="preserve">ease Applications </w:t>
      </w:r>
      <w:r>
        <w:t xml:space="preserve">that have (or will) </w:t>
      </w:r>
      <w:r w:rsidR="00671D1D">
        <w:t xml:space="preserve">yield </w:t>
      </w:r>
      <w:r w:rsidR="00671D1D">
        <w:lastRenderedPageBreak/>
        <w:t xml:space="preserve">geochemical data. </w:t>
      </w:r>
      <w:r>
        <w:t>The two which have published some preliminary results are briefly described below:</w:t>
      </w:r>
    </w:p>
    <w:p w:rsidR="00DD07AF" w:rsidRPr="00E95660" w:rsidRDefault="00671D1D" w:rsidP="00671D1D">
      <w:pPr>
        <w:pStyle w:val="Bulletpoint"/>
      </w:pPr>
      <w:r>
        <w:t>AGL (2012) – a</w:t>
      </w:r>
      <w:r w:rsidR="00DD07AF" w:rsidRPr="00E95660">
        <w:t>s part of the program of works associated with the Underground Water Impact Report (related to five pilot production wells near the middle of the Galilee Basin), AGL conducted some preliminary geoch</w:t>
      </w:r>
      <w:r>
        <w:t xml:space="preserve">emistry sampling and analysis. </w:t>
      </w:r>
      <w:r w:rsidR="00DD07AF" w:rsidRPr="00E95660">
        <w:t xml:space="preserve">Based on results </w:t>
      </w:r>
      <w:r w:rsidR="000F4123">
        <w:t>from stable isotope samples it wa</w:t>
      </w:r>
      <w:r w:rsidR="00DD07AF" w:rsidRPr="00E95660">
        <w:t>s concluded that the water within the Permian Coal Mea</w:t>
      </w:r>
      <w:r>
        <w:t xml:space="preserve">sures is of meteoric origin (PB 2012b). </w:t>
      </w:r>
      <w:r w:rsidR="00DD07AF" w:rsidRPr="00E95660">
        <w:t>They note that the isotopic signature of groundwater from the Hutton Sandstone is more enriched than the deeper formations (Betts Creek Beds and Aramac Coal Measures), but still plots on the global meteoric water line, indicating groundwater in this aquifer is also of meteoric origin and younger than the deeper water held i</w:t>
      </w:r>
      <w:r>
        <w:t xml:space="preserve">n the Permian Coal Measures (PB 2012b). </w:t>
      </w:r>
      <w:r w:rsidR="00DD07AF" w:rsidRPr="00E95660">
        <w:t>As part of the water monitoring program, water from each well has been sampled and analysed on a q</w:t>
      </w:r>
      <w:r w:rsidR="000F4123">
        <w:t xml:space="preserve">uarterly basis since mid </w:t>
      </w:r>
      <w:r>
        <w:t xml:space="preserve">2010. </w:t>
      </w:r>
      <w:r w:rsidR="00DD07AF" w:rsidRPr="00E95660">
        <w:t>Based on a tri-linear plot of the data</w:t>
      </w:r>
      <w:r w:rsidR="000F4123">
        <w:t>,</w:t>
      </w:r>
      <w:r w:rsidR="00DD07AF" w:rsidRPr="00E95660">
        <w:t xml:space="preserve"> AGL (2012) conclude that there is not a high variation between the Permian coal seam water and that sampled from the Hutton and Hooray Sandstones (i.e. in terms of water type</w:t>
      </w:r>
      <w:r w:rsidR="000F4123">
        <w:t>,</w:t>
      </w:r>
      <w:r w:rsidR="00DD07AF" w:rsidRPr="00E95660">
        <w:t xml:space="preserve"> there are differences in concentrations of dissolved s</w:t>
      </w:r>
      <w:r>
        <w:t xml:space="preserve">olids). </w:t>
      </w:r>
      <w:r w:rsidR="00DD07AF" w:rsidRPr="00E95660">
        <w:t xml:space="preserve">All sampled waters indicate </w:t>
      </w:r>
      <w:proofErr w:type="gramStart"/>
      <w:r w:rsidR="00DD07AF" w:rsidRPr="00E95660">
        <w:t>Na(</w:t>
      </w:r>
      <w:proofErr w:type="gramEnd"/>
      <w:r w:rsidR="00DD07AF" w:rsidRPr="00E95660">
        <w:t>+K)-HCO3, with the Permian aquifers slightly more Na(+K)-HCO3-Cl than the Hutton Sandstone.</w:t>
      </w:r>
    </w:p>
    <w:p w:rsidR="00DD07AF" w:rsidRPr="00E95660" w:rsidRDefault="00DD07AF" w:rsidP="00671D1D">
      <w:pPr>
        <w:pStyle w:val="Bulletpoint"/>
      </w:pPr>
      <w:r w:rsidRPr="00E95660">
        <w:t xml:space="preserve">Alpha coal – JBT (2010) conducted groundwater sampling as part of the EIS process for the Alpha Coal project (on the eastern margin of the Galilee Basin), as well as collating </w:t>
      </w:r>
      <w:r w:rsidR="00671D1D">
        <w:t>groundwater quality data</w:t>
      </w:r>
      <w:r w:rsidR="00430F44">
        <w:t xml:space="preserve"> from the Queensland Groundwater Database</w:t>
      </w:r>
      <w:r w:rsidR="00671D1D">
        <w:t xml:space="preserve">. </w:t>
      </w:r>
      <w:r w:rsidRPr="00E95660">
        <w:t>There was little analysis of this data beyond comparison with beneficial use guidelines.</w:t>
      </w:r>
    </w:p>
    <w:p w:rsidR="00DD07AF" w:rsidRDefault="00DD07AF" w:rsidP="00671D1D">
      <w:pPr>
        <w:pStyle w:val="BRNormal"/>
      </w:pPr>
      <w:r>
        <w:t>T</w:t>
      </w:r>
      <w:r w:rsidRPr="00A70C95">
        <w:t>he Carbon Storage Initiative (</w:t>
      </w:r>
      <w:r>
        <w:t xml:space="preserve">under </w:t>
      </w:r>
      <w:r w:rsidRPr="00A70C95">
        <w:t xml:space="preserve">Queensland Geological Survey) </w:t>
      </w:r>
      <w:r>
        <w:t>complete</w:t>
      </w:r>
      <w:r w:rsidR="00CC7392">
        <w:t>d</w:t>
      </w:r>
      <w:r>
        <w:t xml:space="preserve"> a study </w:t>
      </w:r>
      <w:r w:rsidR="00671D1D">
        <w:t>(Grigorescu</w:t>
      </w:r>
      <w:r w:rsidR="00CC7392">
        <w:t xml:space="preserve"> 2012) </w:t>
      </w:r>
      <w:r>
        <w:t>on t</w:t>
      </w:r>
      <w:r w:rsidRPr="00A70C95">
        <w:t>he mineralogy and petrograph</w:t>
      </w:r>
      <w:r>
        <w:t xml:space="preserve">y of </w:t>
      </w:r>
      <w:r w:rsidRPr="00A70C95">
        <w:t xml:space="preserve">the </w:t>
      </w:r>
      <w:r w:rsidR="000F4123">
        <w:t>S</w:t>
      </w:r>
      <w:r w:rsidR="00CC7392" w:rsidRPr="00A70C95">
        <w:t>outh</w:t>
      </w:r>
      <w:r w:rsidR="00CC7392">
        <w:t>ern Galilee Basin,</w:t>
      </w:r>
      <w:r w:rsidR="00CC7392" w:rsidRPr="00A70C95">
        <w:t xml:space="preserve"> </w:t>
      </w:r>
      <w:r w:rsidR="00CC7392">
        <w:t xml:space="preserve">with a focus on the </w:t>
      </w:r>
      <w:r w:rsidRPr="00A70C95">
        <w:t>Moolayember F</w:t>
      </w:r>
      <w:r>
        <w:t xml:space="preserve">ormation </w:t>
      </w:r>
      <w:r w:rsidR="00671D1D">
        <w:t xml:space="preserve">and the Clematis Sandstone. </w:t>
      </w:r>
      <w:r w:rsidRPr="00A70C95">
        <w:t xml:space="preserve">While not a hydrogeological investigation, the study </w:t>
      </w:r>
      <w:r w:rsidR="00CC7392">
        <w:t xml:space="preserve">further contributes to </w:t>
      </w:r>
      <w:r w:rsidRPr="00A70C95">
        <w:t>understand</w:t>
      </w:r>
      <w:r>
        <w:t>ing</w:t>
      </w:r>
      <w:r w:rsidRPr="00A70C95">
        <w:t xml:space="preserve"> </w:t>
      </w:r>
      <w:r>
        <w:t>th</w:t>
      </w:r>
      <w:r w:rsidR="007723E4">
        <w:t>e properties of these formations</w:t>
      </w:r>
      <w:r w:rsidRPr="00A70C95">
        <w:t>.</w:t>
      </w:r>
    </w:p>
    <w:p w:rsidR="00DD07AF" w:rsidRDefault="00DD07AF" w:rsidP="00671D1D">
      <w:pPr>
        <w:pStyle w:val="BRNormal"/>
      </w:pPr>
      <w:r>
        <w:t>The following key conclusions can be drawn from this section:</w:t>
      </w:r>
    </w:p>
    <w:p w:rsidR="00DD07AF" w:rsidRPr="00E95660" w:rsidRDefault="00DD07AF" w:rsidP="00671D1D">
      <w:pPr>
        <w:pStyle w:val="Bulletpoint"/>
      </w:pPr>
      <w:r>
        <w:t>There is a paucity of hydrochemical data for f</w:t>
      </w:r>
      <w:r w:rsidR="00671D1D">
        <w:t>ormations in the Galilee Basin.</w:t>
      </w:r>
      <w:r>
        <w:t xml:space="preserve"> In particular, there are </w:t>
      </w:r>
      <w:r w:rsidRPr="008D7CA5">
        <w:t>few water chemistry samples for the Permian units</w:t>
      </w:r>
      <w:r>
        <w:t xml:space="preserve">, which generally </w:t>
      </w:r>
      <w:r w:rsidRPr="008D7CA5">
        <w:t xml:space="preserve">have less than five samples available and some </w:t>
      </w:r>
      <w:r w:rsidRPr="00E95660">
        <w:t xml:space="preserve">important units such as the Aramac Coal Measures have no sample records in the </w:t>
      </w:r>
      <w:r w:rsidR="00430F44">
        <w:t>Queensland Groundwater Database</w:t>
      </w:r>
      <w:r w:rsidRPr="00E95660">
        <w:t xml:space="preserve">.  </w:t>
      </w:r>
    </w:p>
    <w:p w:rsidR="00DD07AF" w:rsidRPr="00E95660" w:rsidRDefault="00DD07AF" w:rsidP="00671D1D">
      <w:pPr>
        <w:pStyle w:val="Bulletpoint"/>
      </w:pPr>
      <w:r w:rsidRPr="00E95660">
        <w:t xml:space="preserve">Hydrochemistry data has not been examined to </w:t>
      </w:r>
      <w:r w:rsidR="003A40F4" w:rsidRPr="00E95660">
        <w:t>evaluate</w:t>
      </w:r>
      <w:r w:rsidRPr="00E95660">
        <w:t xml:space="preserve"> connectivity between Permian coal seams and the o</w:t>
      </w:r>
      <w:r w:rsidR="000F4123">
        <w:t>verlying GAB aquifer formations</w:t>
      </w:r>
      <w:r w:rsidRPr="00E95660">
        <w:t xml:space="preserve"> or hydraulic connection between the Clematis Sandstone (Triassic) and the Jurassic aquifer sequence (</w:t>
      </w:r>
      <w:r w:rsidR="005E3519" w:rsidRPr="00E95660">
        <w:t>the Moya PhD thesis, in progress</w:t>
      </w:r>
      <w:r w:rsidR="000F4123">
        <w:t xml:space="preserve"> at time of writing</w:t>
      </w:r>
      <w:r w:rsidR="005E3519" w:rsidRPr="00E95660">
        <w:t>, is the first such study</w:t>
      </w:r>
      <w:r w:rsidRPr="00E95660">
        <w:t>).</w:t>
      </w:r>
    </w:p>
    <w:p w:rsidR="00DD07AF" w:rsidRPr="00E95660" w:rsidRDefault="00DD07AF" w:rsidP="00671D1D">
      <w:pPr>
        <w:pStyle w:val="Bulletpoint"/>
      </w:pPr>
      <w:r w:rsidRPr="00E95660">
        <w:t xml:space="preserve">There are local studies starting to be published with new hydrochemical data (including </w:t>
      </w:r>
      <w:r w:rsidR="003A40F4" w:rsidRPr="00E95660">
        <w:t>data from</w:t>
      </w:r>
      <w:r w:rsidRPr="00E95660">
        <w:t xml:space="preserve"> the data scarce Permian units)</w:t>
      </w:r>
      <w:r w:rsidR="007723E4" w:rsidRPr="00E95660">
        <w:t>.</w:t>
      </w:r>
    </w:p>
    <w:p w:rsidR="00DD07AF" w:rsidRDefault="00671D1D" w:rsidP="005F6513">
      <w:pPr>
        <w:pStyle w:val="Heading2"/>
      </w:pPr>
      <w:bookmarkStart w:id="728" w:name="_Toc334718195"/>
      <w:bookmarkStart w:id="729" w:name="_Toc381961197"/>
      <w:bookmarkStart w:id="730" w:name="_Toc389055268"/>
      <w:r>
        <w:t>Recharge and d</w:t>
      </w:r>
      <w:r w:rsidR="00DD07AF">
        <w:t>ischarge</w:t>
      </w:r>
      <w:bookmarkEnd w:id="728"/>
      <w:bookmarkEnd w:id="729"/>
      <w:bookmarkEnd w:id="730"/>
    </w:p>
    <w:p w:rsidR="00DD07AF" w:rsidRPr="0010123B" w:rsidRDefault="00DD07AF" w:rsidP="005F6513">
      <w:pPr>
        <w:pStyle w:val="Heading3"/>
      </w:pPr>
      <w:bookmarkStart w:id="731" w:name="_Toc334718196"/>
      <w:bookmarkStart w:id="732" w:name="_Toc381961198"/>
      <w:r>
        <w:t>Recharge</w:t>
      </w:r>
      <w:bookmarkEnd w:id="731"/>
      <w:bookmarkEnd w:id="732"/>
    </w:p>
    <w:p w:rsidR="00DD07AF" w:rsidRDefault="00DD07AF" w:rsidP="00671D1D">
      <w:pPr>
        <w:pStyle w:val="BRNormal"/>
      </w:pPr>
      <w:r>
        <w:t>Marsh et al. (2008) states that groundwater recharge into the Eromanga Basin and Triassic part of the Galilee sequence occurs in the north</w:t>
      </w:r>
      <w:r w:rsidR="00C92D49">
        <w:t>-</w:t>
      </w:r>
      <w:r>
        <w:t xml:space="preserve">east with generally south westerly flow.  </w:t>
      </w:r>
      <w:r>
        <w:lastRenderedPageBreak/>
        <w:t>Apart from this fleeting reference to recharge, the literature on recharge processes in the Galilee Bas</w:t>
      </w:r>
      <w:r w:rsidR="00671D1D">
        <w:t xml:space="preserve">in appears to be very limited. </w:t>
      </w:r>
      <w:r>
        <w:t>Groundwater investigations as part of the Alpha Coal project (on the eastern edge of the Galilee Basin) was the only field study identified in the literature review assessing recharge processes at a loc</w:t>
      </w:r>
      <w:r w:rsidR="00671D1D">
        <w:t xml:space="preserve">al scale in the Galilee Basin. </w:t>
      </w:r>
      <w:r>
        <w:t>The investigation included installation of eight vibrating wire piezometer sites and two automated rain gauges (in December 2009). A review of hydrographs did not indicate an increase in groundwater levels that could be interpreted as aquifer recharge in response to the (high) wet season rainfall ove</w:t>
      </w:r>
      <w:r w:rsidR="00C92D49">
        <w:t>r the 2009/2010 wet season (JBT</w:t>
      </w:r>
      <w:r>
        <w:t xml:space="preserve"> 2010). The report concluded that groundwater occurs under confined conditions in the western area of the Alpha Coal MLA, potentially becoming unconfined to the east of Lagoon Creek in the outcrop area of the Colinlea Sandstone. Geotechnical drilling and permeability testing in the Colinlea Sandstone at shallow depths (1 and 5 m) were cited as further support of the conclusion that even under above average rainfall conditions infiltration is limited in this area of Colinlea Sandstone outcrop, unless rainfall is sufficient to saturate the rock</w:t>
      </w:r>
      <w:r w:rsidR="00671D1D">
        <w:t xml:space="preserve"> profile. </w:t>
      </w:r>
      <w:r>
        <w:t>JBT (2010) discuss a number of recharge mechanisms at the site, including direct recharge to outcrop areas, diffuse recharge along the Great Dividing Range, flood recharge from Lagoon Creek and diffuse recharge through surface Tertiary sediments.</w:t>
      </w:r>
      <w:r w:rsidR="00C92D49">
        <w:t xml:space="preserve"> </w:t>
      </w:r>
      <w:r>
        <w:t>In the west of the MLA, the potentiometric surf</w:t>
      </w:r>
      <w:r w:rsidR="00C92D49">
        <w:t>ace of the upper Colinlea (C-D</w:t>
      </w:r>
      <w:r>
        <w:t xml:space="preserve"> sandstone) is higher than the potentiometric surface</w:t>
      </w:r>
      <w:r w:rsidR="00C92D49">
        <w:t xml:space="preserve"> deeper in the formation, (D-E</w:t>
      </w:r>
      <w:r>
        <w:t xml:space="preserve"> sandstone) indicating downward flow potential within this formation).</w:t>
      </w:r>
    </w:p>
    <w:p w:rsidR="00DD07AF" w:rsidRDefault="00DD07AF" w:rsidP="00671D1D">
      <w:pPr>
        <w:pStyle w:val="BRNormal"/>
      </w:pPr>
      <w:r>
        <w:t>For shallow aquifers at the site</w:t>
      </w:r>
      <w:r w:rsidR="00C92D49">
        <w:t>,</w:t>
      </w:r>
      <w:r>
        <w:t xml:space="preserve"> evidence is presented in support of Great Dividing Range diffuse recharge being the mo</w:t>
      </w:r>
      <w:r w:rsidR="00C92D49">
        <w:t>st important recharge mechanism</w:t>
      </w:r>
      <w:r>
        <w:t xml:space="preserve"> and recharge from the area</w:t>
      </w:r>
      <w:r w:rsidR="00C92D49">
        <w:t xml:space="preserve"> of the Colinlea Sandstone outcrop/</w:t>
      </w:r>
      <w:r>
        <w:t>subcrop being relatively less regionally significant. However, it is acknowledged that this recharge process may be important for deeper units within t</w:t>
      </w:r>
      <w:r w:rsidR="00671D1D">
        <w:t xml:space="preserve">he Colinlea Sandstone aquifer. </w:t>
      </w:r>
      <w:r>
        <w:t>It is apparent from the report that a number of potential recharge mechanisms have been identified but that the relative importance of these requires further data gathering, including additional monitoring sites, but a</w:t>
      </w:r>
      <w:r w:rsidR="00671D1D">
        <w:t xml:space="preserve">lso longer monitoring periods. </w:t>
      </w:r>
      <w:r>
        <w:t xml:space="preserve">The Coordinator General review of the Alpha Coal project EIS also put conditions on mining approval related to better characterising recharge at </w:t>
      </w:r>
      <w:r w:rsidR="00671D1D">
        <w:t>the site (Queensland Government</w:t>
      </w:r>
      <w:r>
        <w:t xml:space="preserve"> 2012).</w:t>
      </w:r>
    </w:p>
    <w:p w:rsidR="00DD07AF" w:rsidRDefault="00DD07AF" w:rsidP="00671D1D">
      <w:pPr>
        <w:pStyle w:val="BRNormal"/>
      </w:pPr>
      <w:r>
        <w:t xml:space="preserve">Recharge processes are also discussed in relation to EIS studies for the proposed mining operations </w:t>
      </w:r>
      <w:r w:rsidR="00262AB7">
        <w:t xml:space="preserve">within </w:t>
      </w:r>
      <w:r>
        <w:t>the South Alpha MLA, including whether the proposed mining area could physically affect recharge to the GAB</w:t>
      </w:r>
      <w:r w:rsidR="002D5C91">
        <w:t xml:space="preserve">. </w:t>
      </w:r>
      <w:r>
        <w:t>Based on the regi</w:t>
      </w:r>
      <w:r w:rsidR="00C92D49">
        <w:t xml:space="preserve">onal data, the South Alpha MLA </w:t>
      </w:r>
      <w:r>
        <w:t>is located east of the conventionally considered outermost GAB intake beds (the Jurassic age, GAB intake beds</w:t>
      </w:r>
      <w:r w:rsidR="00A406C5">
        <w:t xml:space="preserve"> of the Lower Hutton Sandstone, </w:t>
      </w:r>
      <w:r>
        <w:t>which outcrop west of Jericho) and the Triassic age Clematis Sandstone outcropping alon</w:t>
      </w:r>
      <w:r w:rsidR="002D5C91">
        <w:t xml:space="preserve">g the Great Dividing Range (SKM 2009). </w:t>
      </w:r>
      <w:r>
        <w:t>Regional terrain suggests that recharge to the MLA entering the Tertiary age aquifers (from wet season precipitation and infiltration from along losing streams) overlying the Permian sandstone aquif</w:t>
      </w:r>
      <w:r w:rsidR="00A406C5">
        <w:t>ers</w:t>
      </w:r>
      <w:r>
        <w:t xml:space="preserve"> would drain in a northerly direction towards the Belyando River system. However, the underlying Permian stratigraphy and associated aquifers dip conformably towards the west, underlying the younger GAB aquifers.</w:t>
      </w:r>
    </w:p>
    <w:p w:rsidR="00A406C5" w:rsidRDefault="00DD07AF" w:rsidP="002D5C91">
      <w:pPr>
        <w:pStyle w:val="BRNormal"/>
      </w:pPr>
      <w:r>
        <w:t>Piezometric levels in the individual Permia</w:t>
      </w:r>
      <w:r w:rsidR="002D5C91">
        <w:t xml:space="preserve">n aquifer zones are not known. </w:t>
      </w:r>
      <w:r>
        <w:t xml:space="preserve">It is expected, however that </w:t>
      </w:r>
      <w:r w:rsidR="007723E4">
        <w:t>within</w:t>
      </w:r>
      <w:r>
        <w:t xml:space="preserve"> the South Alpha MLA these </w:t>
      </w:r>
      <w:r w:rsidR="007723E4">
        <w:t xml:space="preserve">aquifers </w:t>
      </w:r>
      <w:r>
        <w:t>are recharged predominantly by vertical leakage from the overlying T</w:t>
      </w:r>
      <w:r w:rsidR="002D5C91">
        <w:t xml:space="preserve">ertiary and younger sediments. </w:t>
      </w:r>
      <w:r>
        <w:t>SKM (2009) postulate</w:t>
      </w:r>
      <w:r w:rsidR="00A406C5">
        <w:t>d</w:t>
      </w:r>
      <w:r>
        <w:t xml:space="preserve"> that it is unlikely that a pressure gradient exists towards the west in the confined sections of the Permian aquifers. Instead, it is proposed that a gradient in the Permian aquifers to the north, following a similar direction to the groundwater flow in the overlying Tertiar</w:t>
      </w:r>
      <w:r w:rsidR="002D5C91">
        <w:t xml:space="preserve">y Sediments, is more likely. </w:t>
      </w:r>
      <w:r>
        <w:t>The assessment conclude</w:t>
      </w:r>
      <w:r w:rsidR="00A406C5">
        <w:t>d</w:t>
      </w:r>
      <w:r>
        <w:t xml:space="preserve"> that</w:t>
      </w:r>
      <w:r w:rsidR="00A406C5">
        <w:t>:</w:t>
      </w:r>
    </w:p>
    <w:p w:rsidR="00A406C5" w:rsidRDefault="00DD07AF" w:rsidP="00A406C5">
      <w:pPr>
        <w:pStyle w:val="BRQuote"/>
      </w:pPr>
      <w:r>
        <w:lastRenderedPageBreak/>
        <w:t>‘</w:t>
      </w:r>
      <w:r w:rsidR="00A406C5">
        <w:t>…</w:t>
      </w:r>
      <w:r>
        <w:t>as the mine lease area is located to the east of the recognised GAB recharge zone, a confirmed pressure gradient in the Permian aquifer zones to the west would be required to suggest that the Galilee Basin forms part of the greater recharge zone of the GAB</w:t>
      </w:r>
      <w:r w:rsidR="00A406C5">
        <w:t>.</w:t>
      </w:r>
      <w:r>
        <w:t xml:space="preserve">’ </w:t>
      </w:r>
    </w:p>
    <w:p w:rsidR="00DD07AF" w:rsidRPr="00A406C5" w:rsidRDefault="00F976E1" w:rsidP="00A406C5">
      <w:pPr>
        <w:pStyle w:val="BRQuote"/>
        <w:rPr>
          <w:i w:val="0"/>
        </w:rPr>
      </w:pPr>
      <w:r>
        <w:rPr>
          <w:i w:val="0"/>
        </w:rPr>
        <w:t>© Copyright</w:t>
      </w:r>
      <w:r w:rsidR="00A406C5" w:rsidRPr="00A406C5">
        <w:rPr>
          <w:i w:val="0"/>
        </w:rPr>
        <w:t xml:space="preserve">, SKM </w:t>
      </w:r>
      <w:r w:rsidR="009308A0">
        <w:rPr>
          <w:i w:val="0"/>
        </w:rPr>
        <w:t>(</w:t>
      </w:r>
      <w:r w:rsidR="00A406C5" w:rsidRPr="00A406C5">
        <w:rPr>
          <w:i w:val="0"/>
        </w:rPr>
        <w:t>2009</w:t>
      </w:r>
      <w:r w:rsidR="009308A0">
        <w:rPr>
          <w:i w:val="0"/>
        </w:rPr>
        <w:t>)</w:t>
      </w:r>
    </w:p>
    <w:p w:rsidR="00DD07AF" w:rsidRPr="0010123B" w:rsidRDefault="00DD07AF" w:rsidP="005F6513">
      <w:pPr>
        <w:pStyle w:val="Heading3"/>
      </w:pPr>
      <w:bookmarkStart w:id="733" w:name="_Toc334718197"/>
      <w:bookmarkStart w:id="734" w:name="_Toc381961199"/>
      <w:r>
        <w:t>Discharge</w:t>
      </w:r>
      <w:bookmarkEnd w:id="733"/>
      <w:bookmarkEnd w:id="734"/>
    </w:p>
    <w:p w:rsidR="00A406C5" w:rsidRDefault="00DD07AF" w:rsidP="002D5C91">
      <w:pPr>
        <w:pStyle w:val="BRNormal"/>
      </w:pPr>
      <w:r>
        <w:t>There is very limited information in the literature on discharge p</w:t>
      </w:r>
      <w:r w:rsidR="002D5C91">
        <w:t xml:space="preserve">rocesses in the Galilee Basin. </w:t>
      </w:r>
      <w:r>
        <w:t>RPS (2011) note</w:t>
      </w:r>
      <w:r w:rsidR="00A406C5">
        <w:t>d</w:t>
      </w:r>
      <w:r>
        <w:t xml:space="preserve"> that the</w:t>
      </w:r>
      <w:r w:rsidR="00A406C5">
        <w:t>:</w:t>
      </w:r>
    </w:p>
    <w:p w:rsidR="00A406C5" w:rsidRDefault="00DD07AF" w:rsidP="00A406C5">
      <w:pPr>
        <w:pStyle w:val="BRQuote"/>
      </w:pPr>
      <w:r>
        <w:t xml:space="preserve"> ‘</w:t>
      </w:r>
      <w:r w:rsidR="00A406C5">
        <w:t>…</w:t>
      </w:r>
      <w:r>
        <w:t>GAB r</w:t>
      </w:r>
      <w:r w:rsidR="00A406C5">
        <w:t>echarge springs in the Galilee B</w:t>
      </w:r>
      <w:r>
        <w:t>asin occur in association with the intake bed</w:t>
      </w:r>
      <w:r w:rsidR="00A406C5">
        <w:t xml:space="preserve"> outcrops and sub-crop areas.’</w:t>
      </w:r>
    </w:p>
    <w:p w:rsidR="00A406C5" w:rsidRPr="00A406C5" w:rsidRDefault="00F976E1" w:rsidP="00A406C5">
      <w:pPr>
        <w:pStyle w:val="BRQuote"/>
        <w:rPr>
          <w:i w:val="0"/>
        </w:rPr>
      </w:pPr>
      <w:r>
        <w:rPr>
          <w:i w:val="0"/>
        </w:rPr>
        <w:t>© Copyright</w:t>
      </w:r>
      <w:r w:rsidR="00A406C5">
        <w:rPr>
          <w:i w:val="0"/>
        </w:rPr>
        <w:t xml:space="preserve">, RPS </w:t>
      </w:r>
      <w:r w:rsidR="009308A0">
        <w:rPr>
          <w:i w:val="0"/>
        </w:rPr>
        <w:t>(</w:t>
      </w:r>
      <w:r w:rsidR="00A406C5">
        <w:rPr>
          <w:i w:val="0"/>
        </w:rPr>
        <w:t>2011</w:t>
      </w:r>
      <w:r w:rsidR="009308A0">
        <w:rPr>
          <w:i w:val="0"/>
        </w:rPr>
        <w:t>)</w:t>
      </w:r>
    </w:p>
    <w:p w:rsidR="00A406C5" w:rsidRDefault="00DD07AF" w:rsidP="002D5C91">
      <w:pPr>
        <w:pStyle w:val="BRNormal"/>
      </w:pPr>
      <w:r>
        <w:t xml:space="preserve">Recharge springs refer to springs </w:t>
      </w:r>
      <w:r w:rsidR="00A406C5">
        <w:t>that</w:t>
      </w:r>
      <w:r>
        <w:t xml:space="preserve"> occur in the same outcropping uni</w:t>
      </w:r>
      <w:r w:rsidR="00A406C5">
        <w:t>t that the recharge occurred</w:t>
      </w:r>
      <w:r w:rsidR="002D5C91">
        <w:t xml:space="preserve">. </w:t>
      </w:r>
    </w:p>
    <w:p w:rsidR="00DD07AF" w:rsidRDefault="00DD07AF" w:rsidP="002D5C91">
      <w:pPr>
        <w:pStyle w:val="BRNormal"/>
      </w:pPr>
      <w:r>
        <w:t>RPS (2011) present</w:t>
      </w:r>
      <w:r w:rsidR="00A406C5">
        <w:t>ed</w:t>
      </w:r>
      <w:r>
        <w:t xml:space="preserve"> a plot of mapped springs in the Galilee Basin (no source </w:t>
      </w:r>
      <w:r w:rsidR="002D5C91">
        <w:t>is indicated however).</w:t>
      </w:r>
      <w:r>
        <w:t xml:space="preserve"> </w:t>
      </w:r>
      <w:r w:rsidRPr="0024185C">
        <w:t>Outflow from springs is commonly associated with geo-structural features</w:t>
      </w:r>
      <w:r w:rsidR="00A406C5">
        <w:t>,</w:t>
      </w:r>
      <w:r w:rsidRPr="0024185C">
        <w:t xml:space="preserve"> such as faults and shear zones, which allow upward flow of groundwater.</w:t>
      </w:r>
      <w:r w:rsidR="002D5C91">
        <w:t xml:space="preserve"> The Alpha Coal project (JBT</w:t>
      </w:r>
      <w:r w:rsidR="00A406C5">
        <w:t xml:space="preserve"> 2010) also reported</w:t>
      </w:r>
      <w:r>
        <w:t xml:space="preserve"> the presence of (recharge) springs wit</w:t>
      </w:r>
      <w:r w:rsidR="002D5C91">
        <w:t xml:space="preserve">hin the wider study area. </w:t>
      </w:r>
      <w:r>
        <w:t>The dominant groundwater discharge process in the MLA however w</w:t>
      </w:r>
      <w:r w:rsidR="00E95660">
        <w:t>as</w:t>
      </w:r>
      <w:r>
        <w:t xml:space="preserve"> considered to be towards Lagoon Creek (and either to wetlands associated with the creek or to the all</w:t>
      </w:r>
      <w:r w:rsidR="002D5C91">
        <w:t xml:space="preserve">uvial sediments of the creek). </w:t>
      </w:r>
      <w:r w:rsidR="00A406C5">
        <w:t>This wa</w:t>
      </w:r>
      <w:r>
        <w:t>s similar to the conclusions reached in SKM (2009) for the South Alpha coal MLA (discussed in previous section) where discharge was considered likely to be north towa</w:t>
      </w:r>
      <w:r w:rsidR="002D5C91">
        <w:t xml:space="preserve">rds the Belyando River system. </w:t>
      </w:r>
      <w:r>
        <w:t>The common theme from these two studies r</w:t>
      </w:r>
      <w:r w:rsidR="00A406C5">
        <w:t>egarding groundwater discharge wa</w:t>
      </w:r>
      <w:r>
        <w:t>s that in the far eastern part of the Galilee Basin (where units of the Galilee Basin outcrop/subcrop)</w:t>
      </w:r>
      <w:proofErr w:type="gramStart"/>
      <w:r>
        <w:t>,</w:t>
      </w:r>
      <w:proofErr w:type="gramEnd"/>
      <w:r>
        <w:t xml:space="preserve"> relatively local discharge </w:t>
      </w:r>
      <w:r w:rsidR="002D5C91">
        <w:t>process</w:t>
      </w:r>
      <w:r w:rsidR="00A406C5">
        <w:t>es</w:t>
      </w:r>
      <w:r w:rsidR="002D5C91">
        <w:t xml:space="preserve"> appear</w:t>
      </w:r>
      <w:r w:rsidR="00A406C5">
        <w:t>ed</w:t>
      </w:r>
      <w:r w:rsidR="002D5C91">
        <w:t xml:space="preserve"> to be dominant. </w:t>
      </w:r>
      <w:r w:rsidR="00A406C5">
        <w:t>This implied</w:t>
      </w:r>
      <w:r>
        <w:t xml:space="preserve"> a groundwater divide</w:t>
      </w:r>
      <w:r w:rsidR="00A406C5">
        <w:t>,</w:t>
      </w:r>
      <w:r>
        <w:t xml:space="preserve"> where some recharge is directed west towards the deeper units in the</w:t>
      </w:r>
      <w:r w:rsidR="002D5C91">
        <w:t xml:space="preserve"> central parts of the </w:t>
      </w:r>
      <w:r w:rsidR="00A406C5">
        <w:t xml:space="preserve">Galilee </w:t>
      </w:r>
      <w:r w:rsidR="002D5C91">
        <w:t>Basin.</w:t>
      </w:r>
      <w:r>
        <w:t xml:space="preserve"> Investigations or even discussions of these process</w:t>
      </w:r>
      <w:r w:rsidR="00E95660">
        <w:t>es</w:t>
      </w:r>
      <w:r>
        <w:t xml:space="preserve"> were not identified in the literature.</w:t>
      </w:r>
    </w:p>
    <w:p w:rsidR="00DD07AF" w:rsidRDefault="00DD07AF" w:rsidP="002D5C91">
      <w:pPr>
        <w:pStyle w:val="BRNormal"/>
      </w:pPr>
      <w:r>
        <w:t>While there is limited discussion on discharge in the outcrop/subcrop areas, there was no information identified on discharge processes in the main parts of</w:t>
      </w:r>
      <w:r w:rsidR="002D5C91">
        <w:t xml:space="preserve"> the </w:t>
      </w:r>
      <w:r w:rsidR="00A406C5">
        <w:t xml:space="preserve">Galilee </w:t>
      </w:r>
      <w:r w:rsidR="002D5C91">
        <w:t xml:space="preserve">Basin (i.e. to the west). </w:t>
      </w:r>
      <w:r>
        <w:t xml:space="preserve">Given the submerged nature and geometry of the </w:t>
      </w:r>
      <w:r w:rsidR="00A406C5">
        <w:t xml:space="preserve">Galilee </w:t>
      </w:r>
      <w:r>
        <w:t xml:space="preserve">Basin, discharge must be some combination of </w:t>
      </w:r>
      <w:r w:rsidRPr="0024185C">
        <w:t xml:space="preserve">diffuse vertical discharge through confining beds to </w:t>
      </w:r>
      <w:r>
        <w:t xml:space="preserve">overlying formations (ultimately to the GAB) and </w:t>
      </w:r>
      <w:r w:rsidRPr="0024185C">
        <w:t>sub-surface discharge to n</w:t>
      </w:r>
      <w:r>
        <w:t>eighbouring sedimentary basins</w:t>
      </w:r>
      <w:r w:rsidR="002D5C91">
        <w:t xml:space="preserve"> or adjoining basements units. </w:t>
      </w:r>
      <w:r>
        <w:t>The relative importance and spatial distribution of these processes is unknown.</w:t>
      </w:r>
    </w:p>
    <w:p w:rsidR="00DD07AF" w:rsidRDefault="00DD07AF" w:rsidP="002D5C91">
      <w:pPr>
        <w:pStyle w:val="BRNormal"/>
      </w:pPr>
      <w:r>
        <w:t>The key conclusions from this section are:</w:t>
      </w:r>
    </w:p>
    <w:p w:rsidR="00DD07AF" w:rsidRDefault="00DD07AF" w:rsidP="002D5C91">
      <w:pPr>
        <w:pStyle w:val="Bulletpoint"/>
      </w:pPr>
      <w:r>
        <w:t>Beyond regional studies examining recharge to the GA</w:t>
      </w:r>
      <w:r w:rsidR="002D5C91">
        <w:t>B (e.g. Kellett et al.</w:t>
      </w:r>
      <w:r>
        <w:t xml:space="preserve"> 2003) there is very limited information in the literature on recharge processes/are</w:t>
      </w:r>
      <w:r w:rsidR="002D5C91">
        <w:t xml:space="preserve">as/rates in the Galilee Basin. </w:t>
      </w:r>
      <w:r>
        <w:t>The Kellett study focused on the Hoor</w:t>
      </w:r>
      <w:r w:rsidR="002D5C91">
        <w:t>ay Sandstone (and equivalents)</w:t>
      </w:r>
      <w:r>
        <w:t xml:space="preserve"> and to a lesser degree the Hutton and Adori</w:t>
      </w:r>
      <w:r w:rsidR="002D5C91">
        <w:t xml:space="preserve"> Sandstones.</w:t>
      </w:r>
      <w:r>
        <w:t xml:space="preserve"> Hence</w:t>
      </w:r>
      <w:r w:rsidR="00A406C5">
        <w:t>,</w:t>
      </w:r>
      <w:r>
        <w:t xml:space="preserve"> there is a data gap in terms of recharge (in the outcrop/subcrop areas) to the Triassic (Clematis Sandstone) and Permian age formations (Colinlea Sandstone, Aramac Coal Measures and Betts Cre</w:t>
      </w:r>
      <w:r w:rsidR="002D5C91">
        <w:t xml:space="preserve">ek Beds) of the Galilee Basin. </w:t>
      </w:r>
      <w:r>
        <w:t>One field study was identified in the eastern edge of the Galilee Basin (associated with the Alpha Coal project)</w:t>
      </w:r>
      <w:proofErr w:type="gramStart"/>
      <w:r>
        <w:t>,</w:t>
      </w:r>
      <w:proofErr w:type="gramEnd"/>
      <w:r>
        <w:t xml:space="preserve"> however it is apparent </w:t>
      </w:r>
      <w:r w:rsidR="00A406C5">
        <w:t xml:space="preserve">that </w:t>
      </w:r>
      <w:r>
        <w:t xml:space="preserve">further data collection and analysis is required to fully understand recharge processes in the </w:t>
      </w:r>
      <w:r>
        <w:lastRenderedPageBreak/>
        <w:t xml:space="preserve">area.  </w:t>
      </w:r>
    </w:p>
    <w:p w:rsidR="00DD07AF" w:rsidRDefault="00DD07AF" w:rsidP="002D5C91">
      <w:pPr>
        <w:pStyle w:val="Bulletpoint"/>
      </w:pPr>
      <w:r>
        <w:t>The Alpha Coal and South Alpha coal assessments both indicated a knowledge gap regarding understanding recharge process</w:t>
      </w:r>
      <w:r w:rsidR="00A406C5">
        <w:t>es</w:t>
      </w:r>
      <w:r>
        <w:t xml:space="preserve"> in the outcrop areas in the east</w:t>
      </w:r>
      <w:r w:rsidR="002D5C91">
        <w:t xml:space="preserve">ern edge of the Galilee Basin. </w:t>
      </w:r>
      <w:r>
        <w:t>The studies indicated uncertainty as to whether recharge to the Triassic and Permian aquifer outcrops/subcrops would follow local topographic gradients or if recharge would follow the regional stratigraphic westerly dip of these formations.</w:t>
      </w:r>
    </w:p>
    <w:p w:rsidR="00DD07AF" w:rsidRDefault="00DD07AF" w:rsidP="002D5C91">
      <w:pPr>
        <w:pStyle w:val="Bulletpoint"/>
      </w:pPr>
      <w:r>
        <w:t xml:space="preserve">In addition to a lack of understanding recharge in the outcrop areas, there was no information identified in the literature on the significance of vertical leakage as a recharge process to the formations of the Galilee Basin.        </w:t>
      </w:r>
    </w:p>
    <w:p w:rsidR="00DD07AF" w:rsidRDefault="00DD07AF" w:rsidP="002D5C91">
      <w:pPr>
        <w:pStyle w:val="Bulletpoint"/>
      </w:pPr>
      <w:r>
        <w:t>There is some information on discharge mechanisms in the outcrop/subcrop areas of the Basin (e.g. mapping of recharge springs)</w:t>
      </w:r>
      <w:proofErr w:type="gramStart"/>
      <w:r>
        <w:t>,</w:t>
      </w:r>
      <w:proofErr w:type="gramEnd"/>
      <w:r>
        <w:t xml:space="preserve"> although it is apparent that processes </w:t>
      </w:r>
      <w:r w:rsidR="002D5C91">
        <w:t xml:space="preserve">are still not well understood. </w:t>
      </w:r>
      <w:r>
        <w:t>There was no information identified on discharge processes in the main part of the Basin (i.e. to the west where</w:t>
      </w:r>
      <w:r w:rsidR="002D5C91">
        <w:t xml:space="preserve"> the Basin underlies the GAB). </w:t>
      </w:r>
      <w:r>
        <w:t xml:space="preserve">Discharge is likely to be a combination of </w:t>
      </w:r>
      <w:r w:rsidRPr="0024185C">
        <w:t xml:space="preserve">diffuse vertical discharge through confining beds to </w:t>
      </w:r>
      <w:r>
        <w:t xml:space="preserve">overlying formations and </w:t>
      </w:r>
      <w:r w:rsidRPr="0024185C">
        <w:t>sub-surface discharge to n</w:t>
      </w:r>
      <w:r w:rsidR="002D5C91">
        <w:t>eighbouring sedimentary basins/</w:t>
      </w:r>
      <w:r>
        <w:t>adjoining basements units - the relative importance and spatial distribution of these processes is unknown.</w:t>
      </w:r>
    </w:p>
    <w:p w:rsidR="00DD07AF" w:rsidRDefault="00DD07AF" w:rsidP="005F6513">
      <w:pPr>
        <w:pStyle w:val="Heading2"/>
      </w:pPr>
      <w:bookmarkStart w:id="735" w:name="_Toc334718198"/>
      <w:bookmarkStart w:id="736" w:name="_Toc381961200"/>
      <w:bookmarkStart w:id="737" w:name="_Toc389055269"/>
      <w:r>
        <w:t>Groundwater level data</w:t>
      </w:r>
      <w:bookmarkEnd w:id="735"/>
      <w:bookmarkEnd w:id="736"/>
      <w:bookmarkEnd w:id="737"/>
    </w:p>
    <w:p w:rsidR="00DD07AF" w:rsidRPr="00104710" w:rsidRDefault="00DD07AF" w:rsidP="002D5C91">
      <w:pPr>
        <w:pStyle w:val="BRNormal"/>
      </w:pPr>
      <w:r>
        <w:t>As described earlier in this chapter</w:t>
      </w:r>
      <w:r w:rsidRPr="00C669EF">
        <w:t xml:space="preserve"> a </w:t>
      </w:r>
      <w:r>
        <w:t xml:space="preserve">regional </w:t>
      </w:r>
      <w:r w:rsidRPr="00C669EF">
        <w:t xml:space="preserve">baseline </w:t>
      </w:r>
      <w:r>
        <w:t>study</w:t>
      </w:r>
      <w:r w:rsidR="002D5C91">
        <w:t xml:space="preserve"> (RPS </w:t>
      </w:r>
      <w:r w:rsidR="00463C90">
        <w:t>2011)</w:t>
      </w:r>
      <w:r>
        <w:t xml:space="preserve"> to characterise </w:t>
      </w:r>
      <w:r w:rsidRPr="00C669EF">
        <w:t>groundwater within the Eromanga and Galilee Basin strata</w:t>
      </w:r>
      <w:r>
        <w:t xml:space="preserve"> </w:t>
      </w:r>
      <w:r w:rsidR="00262AB7">
        <w:t>has recently been completed</w:t>
      </w:r>
      <w:r w:rsidR="002D5C91">
        <w:t xml:space="preserve">. </w:t>
      </w:r>
      <w:r>
        <w:t>P</w:t>
      </w:r>
      <w:r w:rsidRPr="00C669EF">
        <w:t xml:space="preserve">art of </w:t>
      </w:r>
      <w:r>
        <w:t xml:space="preserve">this </w:t>
      </w:r>
      <w:r w:rsidRPr="00C669EF">
        <w:t>involve</w:t>
      </w:r>
      <w:r w:rsidR="00262AB7">
        <w:t>d</w:t>
      </w:r>
      <w:r w:rsidRPr="00C669EF">
        <w:t xml:space="preserve"> collation of a baseline groundwater </w:t>
      </w:r>
      <w:r>
        <w:t xml:space="preserve">level </w:t>
      </w:r>
      <w:r w:rsidRPr="00C669EF">
        <w:t>da</w:t>
      </w:r>
      <w:r w:rsidR="00E95C37">
        <w:t>ta</w:t>
      </w:r>
      <w:r w:rsidR="002D5C91">
        <w:t xml:space="preserve">set. </w:t>
      </w:r>
      <w:r w:rsidRPr="00C669EF">
        <w:t xml:space="preserve">The </w:t>
      </w:r>
      <w:r>
        <w:t>information</w:t>
      </w:r>
      <w:r w:rsidRPr="00C669EF">
        <w:t xml:space="preserve"> </w:t>
      </w:r>
      <w:r>
        <w:t>used</w:t>
      </w:r>
      <w:r w:rsidR="00E95C37">
        <w:t xml:space="preserve"> to compile the data</w:t>
      </w:r>
      <w:r>
        <w:t>set include</w:t>
      </w:r>
      <w:r w:rsidR="00262AB7">
        <w:t>d</w:t>
      </w:r>
      <w:r>
        <w:t xml:space="preserve"> </w:t>
      </w:r>
      <w:r w:rsidRPr="00C669EF">
        <w:t xml:space="preserve">water bores from the </w:t>
      </w:r>
      <w:r w:rsidR="00280D4D">
        <w:t>Queensland Groundwater D</w:t>
      </w:r>
      <w:r w:rsidRPr="00C669EF">
        <w:t>atabase</w:t>
      </w:r>
      <w:r w:rsidR="00262AB7">
        <w:t>,</w:t>
      </w:r>
      <w:r w:rsidRPr="00C669EF">
        <w:t xml:space="preserve"> and exploration bores (</w:t>
      </w:r>
      <w:r w:rsidR="008170B3" w:rsidRPr="003614FB">
        <w:t>Queensland Petroleum Exploration Database</w:t>
      </w:r>
      <w:r w:rsidRPr="00C669EF">
        <w:t>, CSIRO Pressure Pl</w:t>
      </w:r>
      <w:r w:rsidR="00211A1B">
        <w:t xml:space="preserve">ot, </w:t>
      </w:r>
      <w:proofErr w:type="gramStart"/>
      <w:r w:rsidR="00211A1B">
        <w:t>QDEX</w:t>
      </w:r>
      <w:proofErr w:type="gramEnd"/>
      <w:r w:rsidR="00211A1B">
        <w:t xml:space="preserve"> well completion reports). </w:t>
      </w:r>
      <w:r>
        <w:t xml:space="preserve">RPS (2011) note that the </w:t>
      </w:r>
      <w:r w:rsidR="00280D4D">
        <w:t>Queensland Groundwater D</w:t>
      </w:r>
      <w:r>
        <w:t xml:space="preserve">atabase yields data for ‘shallow’ water bores, which include Lower Eromanga and upper Galilee aquifers tapped in the east, and Eromanga and surficial aquifers in the west, while the </w:t>
      </w:r>
      <w:r w:rsidR="008170B3" w:rsidRPr="003614FB">
        <w:t>Queensland Petroleum Exploration Database</w:t>
      </w:r>
      <w:r>
        <w:t xml:space="preserve">, CSIRO Pressure Plot and QDEX well completion reports yield data for the Permian age aquifers and basement aquifers.  </w:t>
      </w:r>
    </w:p>
    <w:p w:rsidR="00DD07AF" w:rsidRDefault="00E1602F" w:rsidP="00211A1B">
      <w:pPr>
        <w:pStyle w:val="BRNormal"/>
      </w:pPr>
      <w:r>
        <w:t xml:space="preserve">The </w:t>
      </w:r>
      <w:r w:rsidR="00DD07AF">
        <w:t>RPS study include</w:t>
      </w:r>
      <w:r>
        <w:t xml:space="preserve">s </w:t>
      </w:r>
      <w:r w:rsidR="00DD07AF">
        <w:t xml:space="preserve">contoured piezometric surfaces for the </w:t>
      </w:r>
      <w:r>
        <w:t>Rolling Downs Group,</w:t>
      </w:r>
      <w:r w:rsidR="00211A1B">
        <w:t xml:space="preserve"> Cadna-owie Formation/</w:t>
      </w:r>
      <w:r>
        <w:t>Hooray Sandstone Aquifers, and the Hutton Sandstone aquifer.</w:t>
      </w:r>
    </w:p>
    <w:p w:rsidR="00DD07AF" w:rsidRDefault="00E054D6" w:rsidP="00211A1B">
      <w:pPr>
        <w:pStyle w:val="BRNormal"/>
      </w:pPr>
      <w:r>
        <w:t>Key points</w:t>
      </w:r>
      <w:r w:rsidR="00DD07AF">
        <w:t xml:space="preserve"> from the study are listed below</w:t>
      </w:r>
      <w:r w:rsidR="00211A1B">
        <w:t xml:space="preserve"> (RPS 2012;</w:t>
      </w:r>
      <w:r w:rsidR="003B1AEC">
        <w:t xml:space="preserve"> RPS 201</w:t>
      </w:r>
      <w:r w:rsidR="00211A1B">
        <w:t>1</w:t>
      </w:r>
      <w:r w:rsidR="003B1AEC">
        <w:t>)</w:t>
      </w:r>
      <w:r w:rsidR="00DD07AF">
        <w:t>:</w:t>
      </w:r>
    </w:p>
    <w:p w:rsidR="00515854" w:rsidRDefault="00515854" w:rsidP="00211A1B">
      <w:pPr>
        <w:pStyle w:val="Bulletpoint"/>
      </w:pPr>
      <w:r>
        <w:t>Groundwater-leve</w:t>
      </w:r>
      <w:r w:rsidR="00211A1B">
        <w:t>l data are available for over 4400 Galilee Basin water bores.</w:t>
      </w:r>
      <w:r w:rsidR="00E054D6">
        <w:t xml:space="preserve"> </w:t>
      </w:r>
      <w:r>
        <w:t>Groundwater levels were found to be con</w:t>
      </w:r>
      <w:r w:rsidR="00E054D6">
        <w:t>sistent with the GAB in general</w:t>
      </w:r>
      <w:r>
        <w:t xml:space="preserve"> and ranged from deeper than 300</w:t>
      </w:r>
      <w:r w:rsidR="00211A1B">
        <w:t> </w:t>
      </w:r>
      <w:r>
        <w:t>m bGL to artesian conditions.</w:t>
      </w:r>
    </w:p>
    <w:p w:rsidR="00515854" w:rsidRDefault="00515854" w:rsidP="00211A1B">
      <w:pPr>
        <w:pStyle w:val="Bulletpoint"/>
      </w:pPr>
      <w:r>
        <w:t xml:space="preserve">Groundwater level data from the Rolling Downs Group aquifers, Cadna-owie/Hooray Sandstone aquifers and the Hutton Sandstone aquifer was contoured to identify and evaluate changes in the groundwater potentiometric surface. </w:t>
      </w:r>
      <w:r w:rsidR="00097D4D">
        <w:t>These formations are all within the Eromanga Basin sequence. Groundwater levels for the Galilee Basin aquifers could not be contoured because of the lack of data for any given formation.</w:t>
      </w:r>
    </w:p>
    <w:p w:rsidR="00515854" w:rsidRDefault="00515854" w:rsidP="00211A1B">
      <w:pPr>
        <w:pStyle w:val="Bulletpoint"/>
      </w:pPr>
      <w:r>
        <w:t>Time-series plots of groundwater level data were produced to identify long-term water level trends.</w:t>
      </w:r>
      <w:r w:rsidR="003B1AEC">
        <w:t xml:space="preserve"> </w:t>
      </w:r>
      <w:r>
        <w:t xml:space="preserve">However, the </w:t>
      </w:r>
      <w:r w:rsidR="00E054D6">
        <w:t>Queensland Groundwater Database</w:t>
      </w:r>
      <w:r>
        <w:t xml:space="preserve"> contained only 14 water bores with more than 10 measurements.</w:t>
      </w:r>
    </w:p>
    <w:p w:rsidR="002562E6" w:rsidRDefault="00211A1B" w:rsidP="00211A1B">
      <w:pPr>
        <w:pStyle w:val="Bulletpoint"/>
      </w:pPr>
      <w:r>
        <w:t>Nearly 1</w:t>
      </w:r>
      <w:r w:rsidR="002562E6">
        <w:t xml:space="preserve">100 water bores were compiled with groundwater flow data, including </w:t>
      </w:r>
      <w:r w:rsidR="002562E6">
        <w:lastRenderedPageBreak/>
        <w:t>groundwater discharge, static groundwater level and calculated static groundwater level. The water bore discharge peaked in the early 1900s at over 100</w:t>
      </w:r>
      <w:r>
        <w:t> </w:t>
      </w:r>
      <w:r w:rsidR="002562E6">
        <w:t>L/s per bore for a small number of bores</w:t>
      </w:r>
      <w:r w:rsidR="00097D4D">
        <w:t xml:space="preserve"> and</w:t>
      </w:r>
      <w:r w:rsidR="002562E6">
        <w:t xml:space="preserve"> declined to about 40</w:t>
      </w:r>
      <w:r>
        <w:t> </w:t>
      </w:r>
      <w:r w:rsidR="002562E6">
        <w:t>L/s per bore around 1975. Groundwater flow continue</w:t>
      </w:r>
      <w:r w:rsidR="00097D4D">
        <w:t>d</w:t>
      </w:r>
      <w:r w:rsidR="002562E6">
        <w:t xml:space="preserve"> to slowly decline to approximately 30</w:t>
      </w:r>
      <w:r>
        <w:t> </w:t>
      </w:r>
      <w:r w:rsidR="002562E6">
        <w:t>L/s</w:t>
      </w:r>
      <w:r>
        <w:t xml:space="preserve"> per bore around the year 2000.</w:t>
      </w:r>
      <w:r w:rsidR="003B1AEC">
        <w:t xml:space="preserve"> </w:t>
      </w:r>
      <w:r w:rsidR="002562E6">
        <w:t>This decrease in groundwater flow predates any lowering of the water pressure in Permian coals by CSG exploration.</w:t>
      </w:r>
    </w:p>
    <w:p w:rsidR="00DD07AF" w:rsidRDefault="00DD07AF" w:rsidP="00211A1B">
      <w:pPr>
        <w:pStyle w:val="Bulletpoint"/>
      </w:pPr>
      <w:r>
        <w:t>Most historical deep water bor</w:t>
      </w:r>
      <w:r w:rsidR="00E054D6">
        <w:t xml:space="preserve">es tap more than one formation, which </w:t>
      </w:r>
      <w:r>
        <w:t xml:space="preserve">makes </w:t>
      </w:r>
      <w:r w:rsidR="00E054D6">
        <w:t xml:space="preserve">the </w:t>
      </w:r>
      <w:r>
        <w:t>use of these bores in development of water level surfaces for different formations difficult</w:t>
      </w:r>
      <w:r w:rsidR="00CF45E7">
        <w:t>.</w:t>
      </w:r>
    </w:p>
    <w:p w:rsidR="00DD07AF" w:rsidRDefault="00FD5714" w:rsidP="00211A1B">
      <w:pPr>
        <w:pStyle w:val="Bulletpoint"/>
      </w:pPr>
      <w:r>
        <w:t xml:space="preserve">When detailed bore logs are not available, the interval screened needs to be estimated from the depth of the bore and the interpolation of surface from nearby bores with known lithology/stratigraphy. </w:t>
      </w:r>
      <w:r w:rsidR="00DD07AF">
        <w:t>It is</w:t>
      </w:r>
      <w:r>
        <w:t xml:space="preserve"> there</w:t>
      </w:r>
      <w:r w:rsidR="00DD07AF">
        <w:t xml:space="preserve"> often difficult to assign an aquifer or group of aquifers to a </w:t>
      </w:r>
      <w:r w:rsidR="003B1AEC">
        <w:t xml:space="preserve">particular </w:t>
      </w:r>
      <w:r w:rsidR="00DD07AF">
        <w:t>water bore</w:t>
      </w:r>
      <w:r w:rsidR="00CF45E7">
        <w:t>.</w:t>
      </w:r>
    </w:p>
    <w:p w:rsidR="00DD07AF" w:rsidRDefault="00BB3D1B" w:rsidP="00211A1B">
      <w:pPr>
        <w:pStyle w:val="Bulletpoint"/>
      </w:pPr>
      <w:r>
        <w:t>‘Spot’</w:t>
      </w:r>
      <w:r w:rsidR="00DD07AF">
        <w:t xml:space="preserve"> bore dip readings can be meaningless or misinterpreted (e.g. there is low quality control on this data, which is often collected near the time of drilling and hence may not represent a fully stabilised water level).</w:t>
      </w:r>
    </w:p>
    <w:p w:rsidR="006466F8" w:rsidRDefault="00DD07AF" w:rsidP="00211A1B">
      <w:pPr>
        <w:pStyle w:val="Bulletpoint"/>
      </w:pPr>
      <w:r>
        <w:t>There are too few data points for the Permian formations to allow preparation of a piezometric surface</w:t>
      </w:r>
      <w:r w:rsidR="006466F8">
        <w:t>.</w:t>
      </w:r>
    </w:p>
    <w:p w:rsidR="00D51933" w:rsidRDefault="00DD07AF" w:rsidP="00211A1B">
      <w:pPr>
        <w:pStyle w:val="BRNormal"/>
      </w:pPr>
      <w:r w:rsidRPr="00E90B34">
        <w:t xml:space="preserve">Given the paucity of time series water level data, RPS (2011) considered </w:t>
      </w:r>
      <w:r w:rsidR="003B1AEC">
        <w:t>options for</w:t>
      </w:r>
      <w:r w:rsidRPr="00E90B34">
        <w:t xml:space="preserve"> developing</w:t>
      </w:r>
      <w:r w:rsidR="00E95C37">
        <w:t xml:space="preserve"> a groundwater level data</w:t>
      </w:r>
      <w:r w:rsidR="00211A1B">
        <w:t xml:space="preserve">set. </w:t>
      </w:r>
      <w:r w:rsidRPr="00E90B34">
        <w:t>While there are a large number of existing water bores, the disadvantage of using these is that th</w:t>
      </w:r>
      <w:r>
        <w:t xml:space="preserve">is </w:t>
      </w:r>
      <w:r w:rsidRPr="00E90B34">
        <w:t xml:space="preserve">will </w:t>
      </w:r>
      <w:r>
        <w:t xml:space="preserve">cause </w:t>
      </w:r>
      <w:r w:rsidRPr="00E90B34">
        <w:t>a significant bias towards the shallow, domina</w:t>
      </w:r>
      <w:r w:rsidR="00BB3D1B">
        <w:t>nt Eromanga Basin aquifer (exc</w:t>
      </w:r>
      <w:r w:rsidRPr="00E90B34">
        <w:t>e</w:t>
      </w:r>
      <w:r w:rsidR="00BB3D1B">
        <w:t>pt in the east). Futhermore,</w:t>
      </w:r>
      <w:r w:rsidRPr="00E90B34">
        <w:t xml:space="preserve"> data on bore construction and water use history are incomplete, </w:t>
      </w:r>
      <w:r w:rsidR="00BB3D1B">
        <w:t xml:space="preserve">and </w:t>
      </w:r>
      <w:r w:rsidRPr="00E90B34">
        <w:t>these bores often tap multiple aquifers and d</w:t>
      </w:r>
      <w:r w:rsidR="00211A1B">
        <w:t xml:space="preserve">eeper aquifers will be missed. </w:t>
      </w:r>
      <w:r w:rsidRPr="00E90B34">
        <w:t xml:space="preserve">Monitoring groundwater levels and aquifer </w:t>
      </w:r>
      <w:r w:rsidR="00BB3D1B">
        <w:t xml:space="preserve">pressures in exploration wells </w:t>
      </w:r>
      <w:r w:rsidRPr="00E90B34">
        <w:t>that have bee</w:t>
      </w:r>
      <w:r w:rsidR="00BB3D1B">
        <w:t>n converted to monitoring wells</w:t>
      </w:r>
      <w:r w:rsidRPr="00E90B34">
        <w:t xml:space="preserve"> will provide access to the deeper aquifers, including those closer</w:t>
      </w:r>
      <w:r w:rsidR="00211A1B">
        <w:t xml:space="preserve"> to the Permian Coal Measures. </w:t>
      </w:r>
      <w:r w:rsidRPr="00E90B34">
        <w:t>However, RPS consider</w:t>
      </w:r>
      <w:r w:rsidR="003B1AEC">
        <w:t>s</w:t>
      </w:r>
      <w:r w:rsidRPr="00E90B34">
        <w:t xml:space="preserve"> that this will be logistically more difficult </w:t>
      </w:r>
      <w:r w:rsidR="00BB3D1B">
        <w:t xml:space="preserve">to do this </w:t>
      </w:r>
      <w:r w:rsidRPr="00E90B34">
        <w:t>due to likely artesi</w:t>
      </w:r>
      <w:r w:rsidR="00211A1B">
        <w:t xml:space="preserve">an pressures. </w:t>
      </w:r>
      <w:r w:rsidRPr="00E90B34">
        <w:t>RPS (2011) conclude</w:t>
      </w:r>
      <w:r w:rsidR="003B1AEC">
        <w:t>d</w:t>
      </w:r>
      <w:r w:rsidRPr="00E90B34">
        <w:t xml:space="preserve"> that monitoring groundwater levels at dedicated wells (i.e. newly installed monitoring wells) will be required in the future where existing water bores or converted exploration wells are absent (or inadequate).</w:t>
      </w:r>
    </w:p>
    <w:p w:rsidR="00DD07AF" w:rsidRPr="0010123B" w:rsidRDefault="00DD07AF" w:rsidP="005F6513">
      <w:pPr>
        <w:pStyle w:val="Heading2"/>
      </w:pPr>
      <w:bookmarkStart w:id="738" w:name="_Toc334718199"/>
      <w:bookmarkStart w:id="739" w:name="_Toc381961201"/>
      <w:bookmarkStart w:id="740" w:name="_Toc389055270"/>
      <w:r>
        <w:t>Groundwater modelling</w:t>
      </w:r>
      <w:bookmarkEnd w:id="738"/>
      <w:bookmarkEnd w:id="739"/>
      <w:bookmarkEnd w:id="740"/>
    </w:p>
    <w:p w:rsidR="00DD07AF" w:rsidRDefault="00DD07AF" w:rsidP="00211A1B">
      <w:pPr>
        <w:pStyle w:val="BRNormal"/>
      </w:pPr>
      <w:r>
        <w:t xml:space="preserve">This review has not identified any regional </w:t>
      </w:r>
      <w:r w:rsidR="00D51933">
        <w:t xml:space="preserve">numerical </w:t>
      </w:r>
      <w:r>
        <w:t>groundwater modelling work un</w:t>
      </w:r>
      <w:r w:rsidR="00211A1B">
        <w:t xml:space="preserve">dertaken in the Galilee Basin. </w:t>
      </w:r>
      <w:r>
        <w:t>The following model</w:t>
      </w:r>
      <w:r w:rsidR="00E24408">
        <w:t>ling wa</w:t>
      </w:r>
      <w:r>
        <w:t xml:space="preserve">s </w:t>
      </w:r>
      <w:r w:rsidR="00E24408">
        <w:t>undertaken for specific development proposals</w:t>
      </w:r>
      <w:r>
        <w:t>:</w:t>
      </w:r>
    </w:p>
    <w:p w:rsidR="00DD07AF" w:rsidRDefault="00DD07AF" w:rsidP="00211A1B">
      <w:pPr>
        <w:pStyle w:val="Bulletpoint"/>
      </w:pPr>
      <w:r w:rsidRPr="00BB3D1B">
        <w:t>AGL well field simulation model –</w:t>
      </w:r>
      <w:r>
        <w:t xml:space="preserve"> </w:t>
      </w:r>
      <w:r w:rsidR="00211A1B">
        <w:t>a</w:t>
      </w:r>
      <w:r w:rsidRPr="004873FE">
        <w:t xml:space="preserve">s part of assessment of impacts of </w:t>
      </w:r>
      <w:r>
        <w:t xml:space="preserve">five </w:t>
      </w:r>
      <w:r w:rsidRPr="004873FE">
        <w:t xml:space="preserve">pilot </w:t>
      </w:r>
      <w:r>
        <w:t xml:space="preserve">wells, </w:t>
      </w:r>
      <w:r w:rsidRPr="004873FE">
        <w:t>AGL simulated the extraction test</w:t>
      </w:r>
      <w:r>
        <w:t>ing</w:t>
      </w:r>
      <w:r w:rsidRPr="004873FE">
        <w:t xml:space="preserve"> with a numerical model</w:t>
      </w:r>
      <w:r w:rsidR="00211A1B">
        <w:t xml:space="preserve">. </w:t>
      </w:r>
      <w:r>
        <w:t xml:space="preserve">The </w:t>
      </w:r>
      <w:r w:rsidR="00BB3D1B">
        <w:t>10-</w:t>
      </w:r>
      <w:r>
        <w:t xml:space="preserve">layer model was developed using the </w:t>
      </w:r>
      <w:r w:rsidR="00BB3D1B">
        <w:t>United States Geological Survey (</w:t>
      </w:r>
      <w:r>
        <w:t>USGS</w:t>
      </w:r>
      <w:r w:rsidR="00BB3D1B">
        <w:t>) MODFLOW code</w:t>
      </w:r>
      <w:r>
        <w:t xml:space="preserve"> and covers </w:t>
      </w:r>
      <w:r w:rsidRPr="004873FE">
        <w:t xml:space="preserve">the whole of </w:t>
      </w:r>
      <w:r w:rsidR="00BB3D1B">
        <w:t xml:space="preserve">the </w:t>
      </w:r>
      <w:r w:rsidRPr="004873FE">
        <w:t>tenement</w:t>
      </w:r>
      <w:r w:rsidR="00BB3D1B">
        <w:t>. The model</w:t>
      </w:r>
      <w:r>
        <w:t xml:space="preserve"> was </w:t>
      </w:r>
      <w:r w:rsidRPr="004873FE">
        <w:t xml:space="preserve">completed in March 2012 </w:t>
      </w:r>
      <w:r>
        <w:t xml:space="preserve">and is documented in </w:t>
      </w:r>
      <w:r w:rsidRPr="004873FE">
        <w:t>PB</w:t>
      </w:r>
      <w:r>
        <w:t xml:space="preserve"> (</w:t>
      </w:r>
      <w:r w:rsidRPr="004873FE">
        <w:t xml:space="preserve">2012a). The objective of the modelling was to support the UWIR in the area of </w:t>
      </w:r>
      <w:r w:rsidRPr="00BB3D1B">
        <w:rPr>
          <w:i/>
        </w:rPr>
        <w:t>Part C: Predicted Water Level Declines for Affected Aquifers</w:t>
      </w:r>
      <w:r w:rsidRPr="004873FE">
        <w:t>.</w:t>
      </w:r>
      <w:r w:rsidR="00211A1B">
        <w:t xml:space="preserve"> </w:t>
      </w:r>
      <w:r>
        <w:t>Each of the layers represent</w:t>
      </w:r>
      <w:r w:rsidR="00BB3D1B">
        <w:t>ed</w:t>
      </w:r>
      <w:r>
        <w:t xml:space="preserve"> key hydrostratigraphic units identified in t</w:t>
      </w:r>
      <w:r w:rsidR="00211A1B">
        <w:t xml:space="preserve">he Galilee and Eromanga Basins. </w:t>
      </w:r>
      <w:r>
        <w:t xml:space="preserve">The model was constructed using available lithological and seismic reflection data. Model calibration was against steady state and transient conditions (including flow rates from the wells and against water levels in </w:t>
      </w:r>
      <w:r w:rsidRPr="004873FE">
        <w:t>observation bore</w:t>
      </w:r>
      <w:r w:rsidR="00BB3D1B">
        <w:t>s</w:t>
      </w:r>
      <w:r w:rsidRPr="004873FE">
        <w:t xml:space="preserve"> in the Betts Creek </w:t>
      </w:r>
      <w:r>
        <w:t>Beds</w:t>
      </w:r>
      <w:r w:rsidRPr="004873FE">
        <w:t xml:space="preserve"> and the Hutton Sandstone</w:t>
      </w:r>
      <w:r>
        <w:t>; AGL 2012)</w:t>
      </w:r>
      <w:r w:rsidRPr="004873FE">
        <w:t>.</w:t>
      </w:r>
    </w:p>
    <w:p w:rsidR="00BB3D1B" w:rsidRDefault="00211A1B" w:rsidP="00211A1B">
      <w:pPr>
        <w:pStyle w:val="Bulletpoint"/>
      </w:pPr>
      <w:r w:rsidRPr="00BB3D1B">
        <w:lastRenderedPageBreak/>
        <w:t>Alpha Coal p</w:t>
      </w:r>
      <w:r w:rsidR="00DD07AF" w:rsidRPr="00BB3D1B">
        <w:t>roject</w:t>
      </w:r>
      <w:r w:rsidR="00DD07AF" w:rsidRPr="00983E8E">
        <w:rPr>
          <w:i/>
        </w:rPr>
        <w:t xml:space="preserve"> </w:t>
      </w:r>
      <w:r w:rsidR="00DD07AF" w:rsidRPr="00983E8E">
        <w:t>-</w:t>
      </w:r>
      <w:r w:rsidR="00DD07AF">
        <w:t xml:space="preserve"> JBT (2010) refers to r</w:t>
      </w:r>
      <w:r w:rsidR="00DD07AF" w:rsidRPr="00623B81">
        <w:t xml:space="preserve">egional </w:t>
      </w:r>
      <w:r w:rsidR="00BB3D1B">
        <w:t>3D</w:t>
      </w:r>
      <w:r w:rsidR="00DD07AF" w:rsidRPr="00623B81">
        <w:t xml:space="preserve"> groundwater modelling </w:t>
      </w:r>
      <w:r w:rsidR="00DD07AF">
        <w:t xml:space="preserve">that </w:t>
      </w:r>
      <w:r w:rsidR="00DD07AF" w:rsidRPr="00623B81">
        <w:t>is being undertaken to provide prediction of</w:t>
      </w:r>
      <w:r w:rsidR="00DD07AF">
        <w:t xml:space="preserve"> </w:t>
      </w:r>
      <w:r w:rsidR="00DD07AF" w:rsidRPr="00623B81">
        <w:t>the magnitude and extent of groundwater level impacts from</w:t>
      </w:r>
      <w:r w:rsidR="00BB3D1B">
        <w:t xml:space="preserve"> the</w:t>
      </w:r>
      <w:r w:rsidR="00DD07AF" w:rsidRPr="00623B81">
        <w:t xml:space="preserve"> Alpha and Kevin’s Corner </w:t>
      </w:r>
      <w:r w:rsidR="00DD07AF">
        <w:t>mine</w:t>
      </w:r>
      <w:r w:rsidR="00BB3D1B">
        <w:t>s</w:t>
      </w:r>
      <w:r w:rsidR="00DD07AF">
        <w:t xml:space="preserve"> </w:t>
      </w:r>
      <w:r w:rsidR="00DD07AF" w:rsidRPr="00623B81">
        <w:t>(cumulative impacts).</w:t>
      </w:r>
      <w:r w:rsidR="00BB3D1B">
        <w:t xml:space="preserve"> </w:t>
      </w:r>
      <w:r w:rsidR="00DD07AF">
        <w:t>The groundwater numerical modelling report was submitted to the Coordinator General in Mar</w:t>
      </w:r>
      <w:r>
        <w:t xml:space="preserve">ch 2012 (Queensland Government </w:t>
      </w:r>
      <w:r w:rsidR="00DD07AF">
        <w:t>2012), which was a more advanced modelling effort, based on prior revi</w:t>
      </w:r>
      <w:r w:rsidR="00BB3D1B">
        <w:t>ew of the model by DERM and RPS</w:t>
      </w:r>
      <w:r w:rsidR="00DD07AF">
        <w:t xml:space="preserve"> (</w:t>
      </w:r>
      <w:r w:rsidR="00BB3D1B">
        <w:t>t</w:t>
      </w:r>
      <w:r w:rsidR="00DD07AF">
        <w:t>his report does not appea</w:t>
      </w:r>
      <w:r>
        <w:t xml:space="preserve">r to be publically available). </w:t>
      </w:r>
      <w:r w:rsidR="00DD07AF">
        <w:t>The modelling concluded that</w:t>
      </w:r>
      <w:r w:rsidR="00BB3D1B">
        <w:t>:</w:t>
      </w:r>
    </w:p>
    <w:p w:rsidR="00BB3D1B" w:rsidRDefault="00DD07AF" w:rsidP="00BB3D1B">
      <w:pPr>
        <w:pStyle w:val="BRQuote"/>
      </w:pPr>
      <w:r>
        <w:t>‘</w:t>
      </w:r>
      <w:r w:rsidR="00BB3D1B">
        <w:t>…</w:t>
      </w:r>
      <w:r>
        <w:t>no connection has been identified between the aquifers affected by the mine and t</w:t>
      </w:r>
      <w:r w:rsidR="00211A1B">
        <w:t>he GAB</w:t>
      </w:r>
      <w:r w:rsidR="00BB3D1B">
        <w:t>.</w:t>
      </w:r>
      <w:r w:rsidR="00211A1B">
        <w:t xml:space="preserve">’ </w:t>
      </w:r>
    </w:p>
    <w:p w:rsidR="00BB3D1B" w:rsidRPr="00BB3D1B" w:rsidRDefault="00F976E1" w:rsidP="00BB3D1B">
      <w:pPr>
        <w:pStyle w:val="BRQuote"/>
        <w:rPr>
          <w:i w:val="0"/>
        </w:rPr>
      </w:pPr>
      <w:r>
        <w:rPr>
          <w:i w:val="0"/>
        </w:rPr>
        <w:t>© Copyright</w:t>
      </w:r>
      <w:r w:rsidR="00BB3D1B">
        <w:rPr>
          <w:i w:val="0"/>
        </w:rPr>
        <w:t xml:space="preserve">, Queensland Government </w:t>
      </w:r>
      <w:r w:rsidR="009308A0">
        <w:rPr>
          <w:i w:val="0"/>
        </w:rPr>
        <w:t>(</w:t>
      </w:r>
      <w:r w:rsidR="00BB3D1B">
        <w:rPr>
          <w:i w:val="0"/>
        </w:rPr>
        <w:t>2012</w:t>
      </w:r>
      <w:r w:rsidR="009308A0">
        <w:rPr>
          <w:i w:val="0"/>
        </w:rPr>
        <w:t>)</w:t>
      </w:r>
    </w:p>
    <w:p w:rsidR="00DD07AF" w:rsidRDefault="00DD07AF" w:rsidP="00BB3D1B">
      <w:pPr>
        <w:pStyle w:val="Bulletpoint"/>
        <w:numPr>
          <w:ilvl w:val="0"/>
          <w:numId w:val="0"/>
        </w:numPr>
        <w:ind w:left="426"/>
      </w:pPr>
      <w:r>
        <w:t>However</w:t>
      </w:r>
      <w:r w:rsidR="00BB3D1B">
        <w:t>,</w:t>
      </w:r>
      <w:r>
        <w:t xml:space="preserve"> the Coordinator General</w:t>
      </w:r>
      <w:r w:rsidR="00BB3D1B">
        <w:t>’s</w:t>
      </w:r>
      <w:r>
        <w:t xml:space="preserve"> review recommended more detailed work be unde</w:t>
      </w:r>
      <w:r w:rsidR="00BB3D1B">
        <w:t>rtaken on groundwater modelling</w:t>
      </w:r>
      <w:r>
        <w:t xml:space="preserve"> and in particular, on the cumulative impacts of the</w:t>
      </w:r>
      <w:r w:rsidR="00BB3D1B">
        <w:t xml:space="preserve"> Galilee m</w:t>
      </w:r>
      <w:r w:rsidR="00211A1B">
        <w:t xml:space="preserve">ines on groundwater. </w:t>
      </w:r>
      <w:r>
        <w:t>The evaluation also describe conditions that would accompany approval of the project</w:t>
      </w:r>
      <w:r w:rsidR="00BB3D1B">
        <w:t>,</w:t>
      </w:r>
      <w:r>
        <w:t xml:space="preserve"> including the need for updating the model during mining operations, identifying the source of recharge to groundwater in the area and identifying any impacts on the GAB.</w:t>
      </w:r>
    </w:p>
    <w:p w:rsidR="00DD07AF" w:rsidRDefault="004926C6" w:rsidP="00211A1B">
      <w:pPr>
        <w:pStyle w:val="BRNormal"/>
      </w:pPr>
      <w:r w:rsidRPr="00D156FC">
        <w:t>Zhenjiao Jiang</w:t>
      </w:r>
      <w:r>
        <w:t xml:space="preserve"> commenced w</w:t>
      </w:r>
      <w:r w:rsidR="00E24408">
        <w:t xml:space="preserve">ork </w:t>
      </w:r>
      <w:r>
        <w:t xml:space="preserve">in 2012 </w:t>
      </w:r>
      <w:r w:rsidR="00E24408">
        <w:t>on a</w:t>
      </w:r>
      <w:r w:rsidR="00DD07AF">
        <w:t xml:space="preserve"> PhD </w:t>
      </w:r>
      <w:r w:rsidR="00E24408">
        <w:t xml:space="preserve">thesis </w:t>
      </w:r>
      <w:r>
        <w:t xml:space="preserve">at </w:t>
      </w:r>
      <w:r w:rsidRPr="00D156FC">
        <w:t>Q</w:t>
      </w:r>
      <w:r>
        <w:t xml:space="preserve">ueensland University Technology </w:t>
      </w:r>
      <w:r w:rsidR="00DD07AF">
        <w:t>involving numerical modelling of hydraulic impacts of CSG extraction in the c</w:t>
      </w:r>
      <w:r w:rsidR="00211A1B">
        <w:t xml:space="preserve">entral northern Galilee Basin. </w:t>
      </w:r>
      <w:r w:rsidR="00DD07AF">
        <w:t xml:space="preserve">The </w:t>
      </w:r>
      <w:r w:rsidR="00E24408">
        <w:t>thesis</w:t>
      </w:r>
      <w:r w:rsidR="00DD07AF">
        <w:t xml:space="preserve"> involves determining the hydraulic properties of two key aquitards using geophysical logging data, laboratory testing and cores using synchro</w:t>
      </w:r>
      <w:r w:rsidR="00211A1B">
        <w:t xml:space="preserve">tron tomography. </w:t>
      </w:r>
      <w:r w:rsidR="00DD07AF">
        <w:t xml:space="preserve">These aquitard properties will be used in the model, which will be undertaken using FEFLOW software. </w:t>
      </w:r>
    </w:p>
    <w:p w:rsidR="00DD07AF" w:rsidRDefault="00DD07AF" w:rsidP="00211A1B">
      <w:pPr>
        <w:pStyle w:val="BRNormal"/>
      </w:pPr>
      <w:r>
        <w:t>In addition to these groundwater numerical models, two regional geological models were identified:</w:t>
      </w:r>
    </w:p>
    <w:p w:rsidR="00DD07AF" w:rsidRDefault="00DD07AF" w:rsidP="00211A1B">
      <w:pPr>
        <w:pStyle w:val="Bulletpoint"/>
      </w:pPr>
      <w:r w:rsidRPr="00E67F49">
        <w:rPr>
          <w:i/>
        </w:rPr>
        <w:t>Aramac Trough Petrel model</w:t>
      </w:r>
      <w:r w:rsidR="00211A1B">
        <w:t xml:space="preserve"> - t</w:t>
      </w:r>
      <w:r>
        <w:t>he CO2CRC has developed the Aramac Trough Pe</w:t>
      </w:r>
      <w:r w:rsidR="00C71F86">
        <w:t>trel model in the Galilee Basin</w:t>
      </w:r>
      <w:r>
        <w:t xml:space="preserve"> and is describ</w:t>
      </w:r>
      <w:r w:rsidR="00C71F86">
        <w:t>ed in Rawsthorn et al. (2009)</w:t>
      </w:r>
      <w:r w:rsidR="00211A1B">
        <w:t xml:space="preserve"> </w:t>
      </w:r>
      <w:r>
        <w:t>(</w:t>
      </w:r>
      <w:r w:rsidR="00C71F86">
        <w:t xml:space="preserve">note that </w:t>
      </w:r>
      <w:r>
        <w:t>Petre</w:t>
      </w:r>
      <w:r w:rsidR="00211A1B">
        <w:t xml:space="preserve">l is the brand of model used). </w:t>
      </w:r>
      <w:r>
        <w:t xml:space="preserve">This is a </w:t>
      </w:r>
      <w:r w:rsidR="00C71F86">
        <w:t>3D</w:t>
      </w:r>
      <w:r>
        <w:t xml:space="preserve"> geological model which encapsulates the geological and structural features</w:t>
      </w:r>
      <w:r w:rsidR="00211A1B">
        <w:t xml:space="preserve"> of the entire Aramac Trough. </w:t>
      </w:r>
      <w:r w:rsidR="00C71F86">
        <w:t>The model is focused on the Triassic-</w:t>
      </w:r>
      <w:r>
        <w:t>age</w:t>
      </w:r>
      <w:r w:rsidR="00C71F86">
        <w:t>d Clematis Sandstone;</w:t>
      </w:r>
      <w:r>
        <w:t xml:space="preserve"> however</w:t>
      </w:r>
      <w:r w:rsidR="00C71F86">
        <w:t>,</w:t>
      </w:r>
      <w:r>
        <w:t xml:space="preserve"> Permian and Triassic format</w:t>
      </w:r>
      <w:r w:rsidR="00C71F86">
        <w:t xml:space="preserve">ions are included in the model, with </w:t>
      </w:r>
      <w:r>
        <w:t>the underlying Carboniferous and ov</w:t>
      </w:r>
      <w:r w:rsidR="00211A1B">
        <w:t xml:space="preserve">erlying Jurassic </w:t>
      </w:r>
      <w:r w:rsidR="00C71F86">
        <w:t>excluded</w:t>
      </w:r>
      <w:r w:rsidR="00211A1B">
        <w:t>.</w:t>
      </w:r>
      <w:r>
        <w:t xml:space="preserve"> In addition to constructing surfaces of various formations (based on well data, seismic data, gravity data, magnetic data and down hole geophysics), the facies model was populated with porosity and permeability data from core measurements,  repeat formation tester (which is essentially a form of downhole packer testing) and downhole geophysics </w:t>
      </w:r>
      <w:r w:rsidR="00211A1B">
        <w:t xml:space="preserve">data used to predict porosity. </w:t>
      </w:r>
      <w:r w:rsidR="00C71F86">
        <w:t>The ultimate aim of the model wa</w:t>
      </w:r>
      <w:r>
        <w:t>s to use it as the basis for construction of a dynamic model to simulate fluid flow (in this case carbon dioxide into the Clemati</w:t>
      </w:r>
      <w:r w:rsidR="00211A1B">
        <w:t xml:space="preserve">s Sandstone). </w:t>
      </w:r>
      <w:r>
        <w:t>Rawsthorn et al. (2009) indicate</w:t>
      </w:r>
      <w:r w:rsidR="00C71F86">
        <w:t>d</w:t>
      </w:r>
      <w:r>
        <w:t xml:space="preserve"> that </w:t>
      </w:r>
      <w:r w:rsidR="00F04E04">
        <w:t xml:space="preserve">simulations will be carred out by other researchers at the </w:t>
      </w:r>
      <w:r>
        <w:t xml:space="preserve">CO2CRC by linking the </w:t>
      </w:r>
      <w:r w:rsidR="00F04E04">
        <w:t xml:space="preserve">Aramac Trough Petrel model </w:t>
      </w:r>
      <w:r w:rsidR="00211A1B">
        <w:t xml:space="preserve">with </w:t>
      </w:r>
      <w:r w:rsidR="00F04E04">
        <w:t xml:space="preserve">other </w:t>
      </w:r>
      <w:r w:rsidR="00211A1B">
        <w:t xml:space="preserve">programs such as </w:t>
      </w:r>
      <w:r w:rsidR="00F04E04">
        <w:t>Eclipse Black Oil or the CGM simulation package</w:t>
      </w:r>
      <w:r w:rsidR="00211A1B">
        <w:t xml:space="preserve">. </w:t>
      </w:r>
      <w:r>
        <w:t>Whether this was conducted is not known.</w:t>
      </w:r>
    </w:p>
    <w:p w:rsidR="00DD07AF" w:rsidRDefault="00DD07AF" w:rsidP="00211A1B">
      <w:pPr>
        <w:pStyle w:val="Bulletpoint"/>
      </w:pPr>
      <w:r>
        <w:t xml:space="preserve">Claudio Moya (as part of a PhD thesis) </w:t>
      </w:r>
      <w:r w:rsidR="00F04E04">
        <w:t xml:space="preserve">at the time of writing was </w:t>
      </w:r>
      <w:r>
        <w:t>developing a sub-regional basin geological model for the Galilee Basin and the overlying Eromanga Basin, including th</w:t>
      </w:r>
      <w:r w:rsidR="00211A1B">
        <w:t>e GAB Artesian aquifers (Moya</w:t>
      </w:r>
      <w:r>
        <w:t xml:space="preserve"> 2011)</w:t>
      </w:r>
      <w:r w:rsidR="00211A1B">
        <w:t xml:space="preserve">. </w:t>
      </w:r>
      <w:r>
        <w:t xml:space="preserve">The model domain is </w:t>
      </w:r>
      <w:r w:rsidR="00F04E04">
        <w:t xml:space="preserve">to be </w:t>
      </w:r>
      <w:r>
        <w:t xml:space="preserve">centred </w:t>
      </w:r>
      <w:r w:rsidR="00F04E04">
        <w:t>near</w:t>
      </w:r>
      <w:r>
        <w:t xml:space="preserve"> Longreach and is 300 km</w:t>
      </w:r>
      <w:r w:rsidR="00F04E04">
        <w:t xml:space="preserve"> by 275 km</w:t>
      </w:r>
      <w:r>
        <w:t xml:space="preserve"> </w:t>
      </w:r>
      <w:r w:rsidR="00F04E04">
        <w:t>(</w:t>
      </w:r>
      <w:r w:rsidR="00211A1B">
        <w:t>west-east</w:t>
      </w:r>
      <w:r>
        <w:t xml:space="preserve"> and </w:t>
      </w:r>
      <w:r w:rsidR="00211A1B">
        <w:t>north-south</w:t>
      </w:r>
      <w:r w:rsidR="00F04E04">
        <w:t>, respectively)</w:t>
      </w:r>
      <w:r>
        <w:t xml:space="preserve">. The </w:t>
      </w:r>
      <w:r>
        <w:lastRenderedPageBreak/>
        <w:t>3D visualisation model (GVS) will incorporate all available data as well as new company generated infor</w:t>
      </w:r>
      <w:r w:rsidR="00211A1B">
        <w:t xml:space="preserve">mation. </w:t>
      </w:r>
      <w:r>
        <w:t>The model is being produced in collab</w:t>
      </w:r>
      <w:r w:rsidR="00211A1B">
        <w:t xml:space="preserve">oration with Exoma Energy Ltd. </w:t>
      </w:r>
      <w:r>
        <w:t xml:space="preserve">This is not a model for simulating groundwater flow or transport, but could potentially be used to provide the structural information for such </w:t>
      </w:r>
      <w:r w:rsidR="00E24408">
        <w:t xml:space="preserve">groundwater </w:t>
      </w:r>
      <w:r>
        <w:t>model</w:t>
      </w:r>
      <w:r w:rsidR="008A34F5">
        <w:t>s</w:t>
      </w:r>
      <w:r>
        <w:t>.</w:t>
      </w:r>
    </w:p>
    <w:p w:rsidR="00DD07AF" w:rsidRDefault="00DD07AF" w:rsidP="005F6513">
      <w:pPr>
        <w:pStyle w:val="Heading2"/>
      </w:pPr>
      <w:bookmarkStart w:id="741" w:name="_Toc334718200"/>
      <w:bookmarkStart w:id="742" w:name="_Toc381961202"/>
      <w:bookmarkStart w:id="743" w:name="_Toc389055271"/>
      <w:r w:rsidRPr="00547FA1">
        <w:t>Aquifer connectivity</w:t>
      </w:r>
      <w:bookmarkEnd w:id="741"/>
      <w:bookmarkEnd w:id="742"/>
      <w:bookmarkEnd w:id="743"/>
    </w:p>
    <w:p w:rsidR="00DD07AF" w:rsidRDefault="00DD07AF" w:rsidP="00211A1B">
      <w:pPr>
        <w:pStyle w:val="BRNormal"/>
      </w:pPr>
      <w:r>
        <w:t>There has been relatively little assessment on aquifer connectivity across the Galilee Basin, either in the natur</w:t>
      </w:r>
      <w:r w:rsidR="00211A1B">
        <w:t xml:space="preserve">al or the developed condition. </w:t>
      </w:r>
      <w:r>
        <w:t>The focus of investigations in the Galilee Basin to date ha</w:t>
      </w:r>
      <w:r w:rsidR="008A34F5">
        <w:t>s</w:t>
      </w:r>
      <w:r w:rsidR="00F04E04">
        <w:t xml:space="preserve"> been on the geology of the B</w:t>
      </w:r>
      <w:r>
        <w:t>asin and reservoir characteristics of the Permian units</w:t>
      </w:r>
      <w:r w:rsidR="008A34F5">
        <w:t>. T</w:t>
      </w:r>
      <w:r>
        <w:t>he hydraulic connectivity of the Permian coal seams and the overlying GAB units has n</w:t>
      </w:r>
      <w:r w:rsidR="00211A1B">
        <w:t xml:space="preserve">ot been studied in any detail. </w:t>
      </w:r>
      <w:r>
        <w:t>Based on the hydrostratigraphy of the Basin, there are large parts of the Basin where significant thicknesses of (apparently) low permeability formations (</w:t>
      </w:r>
      <w:r w:rsidR="008A34F5">
        <w:t xml:space="preserve">the </w:t>
      </w:r>
      <w:r>
        <w:t>Rewan and Moolayember</w:t>
      </w:r>
      <w:r w:rsidR="008A34F5">
        <w:t xml:space="preserve"> Formations</w:t>
      </w:r>
      <w:r>
        <w:t>) separate the Permia</w:t>
      </w:r>
      <w:r w:rsidR="00211A1B">
        <w:t>n Formations targeted for CSG/</w:t>
      </w:r>
      <w:r>
        <w:t xml:space="preserve">coal development from overlying aquifers </w:t>
      </w:r>
      <w:r w:rsidR="008A34F5">
        <w:t>that have</w:t>
      </w:r>
      <w:r>
        <w:t xml:space="preserve"> high value beneficial uses. Indeed the ‘sealing’ properties of these formations was one of the reasons why the Galilee Basin was selected as a priority geosequestration target; associated investigations indicated that parts of the Basin were favour</w:t>
      </w:r>
      <w:r w:rsidR="00F04E04">
        <w:t>able for CO</w:t>
      </w:r>
      <w:r w:rsidR="00F04E04">
        <w:rPr>
          <w:vertAlign w:val="subscript"/>
        </w:rPr>
        <w:t>2</w:t>
      </w:r>
      <w:r>
        <w:t xml:space="preserve"> storage and further investigation was recommended (</w:t>
      </w:r>
      <w:r w:rsidR="00211A1B">
        <w:t>Rawsthorn et al.</w:t>
      </w:r>
      <w:r>
        <w:t xml:space="preserve"> 2009</w:t>
      </w:r>
      <w:r w:rsidR="00F04E04">
        <w:t>;</w:t>
      </w:r>
      <w:r w:rsidR="00211A1B">
        <w:t xml:space="preserve"> Marsh et al. 2008</w:t>
      </w:r>
      <w:r>
        <w:t xml:space="preserve">). </w:t>
      </w:r>
    </w:p>
    <w:p w:rsidR="00DD07AF" w:rsidRDefault="00DD07AF" w:rsidP="00211A1B">
      <w:pPr>
        <w:pStyle w:val="BRNormal"/>
      </w:pPr>
      <w:r>
        <w:t xml:space="preserve">The Galilee Basin is understood to be relatively unstructured and the limited </w:t>
      </w:r>
      <w:proofErr w:type="gramStart"/>
      <w:r>
        <w:t>number of local assessments to date (e.g. seismic surveys on ATPs) appear</w:t>
      </w:r>
      <w:proofErr w:type="gramEnd"/>
      <w:r>
        <w:t xml:space="preserve"> to indicate that faults are not continuous across the Permian units and into the Jur</w:t>
      </w:r>
      <w:r w:rsidR="00211A1B">
        <w:t>assic</w:t>
      </w:r>
      <w:r w:rsidR="00F04E04">
        <w:noBreakHyphen/>
      </w:r>
      <w:r w:rsidR="00211A1B">
        <w:t xml:space="preserve">Cretaceous formations. </w:t>
      </w:r>
      <w:r>
        <w:t>Preliminary geochemistry assessment supports the fact that the Permian units (in their natural state) are relatively hydraulically separate from overlying</w:t>
      </w:r>
      <w:r w:rsidR="00211A1B">
        <w:t xml:space="preserve"> aquifers currently developed. </w:t>
      </w:r>
      <w:r>
        <w:t>Limited local groundwater modelling to date</w:t>
      </w:r>
      <w:r w:rsidR="00F04E04">
        <w:t xml:space="preserve"> (</w:t>
      </w:r>
      <w:r>
        <w:t>one on the eastern edge of the Basin wher</w:t>
      </w:r>
      <w:r w:rsidR="00F04E04">
        <w:t>e the Permian units sub/outcrop</w:t>
      </w:r>
      <w:r>
        <w:t xml:space="preserve"> and one near the centre of the Basin in the Koburra Trough</w:t>
      </w:r>
      <w:r w:rsidR="00F04E04">
        <w:t>)</w:t>
      </w:r>
      <w:r>
        <w:t xml:space="preserve"> suggest</w:t>
      </w:r>
      <w:r w:rsidR="00F04E04">
        <w:t>s</w:t>
      </w:r>
      <w:r>
        <w:t xml:space="preserve"> that the overlying aquitard will </w:t>
      </w:r>
      <w:r w:rsidR="00F04E04">
        <w:t xml:space="preserve">limit significant connectivity, </w:t>
      </w:r>
      <w:r>
        <w:t xml:space="preserve">although the </w:t>
      </w:r>
      <w:r w:rsidR="00F04E04">
        <w:t>latter</w:t>
      </w:r>
      <w:r>
        <w:t xml:space="preserve"> model only examines impacts from pilot production an</w:t>
      </w:r>
      <w:r w:rsidR="00F04E04">
        <w:t>d not full scale CSG production</w:t>
      </w:r>
      <w:r>
        <w:t>.</w:t>
      </w:r>
    </w:p>
    <w:p w:rsidR="00DD07AF" w:rsidRDefault="00DD07AF" w:rsidP="00211A1B">
      <w:pPr>
        <w:pStyle w:val="BRNormal"/>
      </w:pPr>
      <w:r>
        <w:t xml:space="preserve">However, the above conclusions suggesting limited connectivity between targeted Permian units and overlying aquifers with high value beneficial use need qualification: </w:t>
      </w:r>
    </w:p>
    <w:p w:rsidR="00DD07AF" w:rsidRDefault="00DD07AF" w:rsidP="00211A1B">
      <w:pPr>
        <w:pStyle w:val="Bulletpoint"/>
      </w:pPr>
      <w:r>
        <w:t xml:space="preserve">Key confining units are </w:t>
      </w:r>
      <w:r w:rsidRPr="00217B6F">
        <w:t xml:space="preserve">not continuous </w:t>
      </w:r>
      <w:r w:rsidR="00211A1B">
        <w:t>across the Basin.</w:t>
      </w:r>
      <w:r>
        <w:t xml:space="preserve"> In particular, the top of the </w:t>
      </w:r>
      <w:r w:rsidRPr="00217B6F">
        <w:t xml:space="preserve">Moolayember </w:t>
      </w:r>
      <w:r>
        <w:t>Formation is an unconformable surface which was subje</w:t>
      </w:r>
      <w:r w:rsidR="00211A1B">
        <w:t>ct to a long period of erosion.</w:t>
      </w:r>
      <w:r>
        <w:t xml:space="preserve"> Consequently, in parts of the Basin the formation is thin or absent, leaving potential for connection between the Permian coal units and overlying fresh aqu</w:t>
      </w:r>
      <w:r w:rsidR="00211A1B">
        <w:t xml:space="preserve">ifers (e.g. Hutton Sandstone). </w:t>
      </w:r>
      <w:r>
        <w:t>The potential for this is greatest to the northwest of the Aramac Trough and along the western margin of the southern Galilee Ba</w:t>
      </w:r>
      <w:r w:rsidR="00211A1B">
        <w:t xml:space="preserve">sin (Marsh et al. 2008). </w:t>
      </w:r>
      <w:r>
        <w:t xml:space="preserve">Further, Marsh et al. </w:t>
      </w:r>
      <w:r w:rsidR="00211A1B">
        <w:t xml:space="preserve">(2008) </w:t>
      </w:r>
      <w:r>
        <w:t>note that this locally occurs within the Aramac Trough along fault control ridges which may have been exp</w:t>
      </w:r>
      <w:r w:rsidR="00211A1B">
        <w:t xml:space="preserve">osed during periods of uplift. </w:t>
      </w:r>
      <w:r>
        <w:t>The Bandanna Formation also becomes very thin at the southern margin of the Aramac Trough, but is still considered likely to be present when underlain by the C</w:t>
      </w:r>
      <w:r w:rsidR="00211A1B">
        <w:t>olinlea Sandstone (Marsh et al.</w:t>
      </w:r>
      <w:r>
        <w:t xml:space="preserve"> 2008).  </w:t>
      </w:r>
    </w:p>
    <w:p w:rsidR="00DD07AF" w:rsidRDefault="00DD07AF" w:rsidP="00211A1B">
      <w:pPr>
        <w:pStyle w:val="Bulletpoint"/>
      </w:pPr>
      <w:r>
        <w:t>The Warang Formation (found mainly in the north of the Basin) is comprised mainly of sandstone and interfingers with the enti</w:t>
      </w:r>
      <w:r w:rsidR="00211A1B">
        <w:t xml:space="preserve">re Triassic sequence. </w:t>
      </w:r>
      <w:r>
        <w:t xml:space="preserve">As it is in contact with the Eromanga Basin, this makes the Warang Formation a potential </w:t>
      </w:r>
      <w:r w:rsidR="00F04E04">
        <w:t>connecting</w:t>
      </w:r>
      <w:r>
        <w:t xml:space="preserve"> unit between the Permian units and low salinity aquifers.  </w:t>
      </w:r>
    </w:p>
    <w:p w:rsidR="00DD07AF" w:rsidRDefault="00DD07AF" w:rsidP="00211A1B">
      <w:pPr>
        <w:pStyle w:val="BRNormal"/>
      </w:pPr>
      <w:r>
        <w:lastRenderedPageBreak/>
        <w:t xml:space="preserve">In summary, there will be areas where the likelihood of significant connectivity is relatively low, but other areas where the risks of connectivity </w:t>
      </w:r>
      <w:r w:rsidR="00F04E04">
        <w:t xml:space="preserve">between the Galilee </w:t>
      </w:r>
      <w:r w:rsidR="00A963B1">
        <w:t xml:space="preserve">and overlying strata </w:t>
      </w:r>
      <w:r>
        <w:t>are much higher.</w:t>
      </w:r>
    </w:p>
    <w:p w:rsidR="00DD07AF" w:rsidRDefault="00DD07AF" w:rsidP="00211A1B">
      <w:pPr>
        <w:pStyle w:val="Bulletpoint"/>
      </w:pPr>
      <w:r>
        <w:t xml:space="preserve">There is potential for depressurisation in Permian units deeper in the Basin to propagate laterally to eastern parts of the </w:t>
      </w:r>
      <w:r w:rsidR="00A963B1">
        <w:t xml:space="preserve">Galilee </w:t>
      </w:r>
      <w:r>
        <w:t>Basin, where these units outcrop/su</w:t>
      </w:r>
      <w:r w:rsidR="00211A1B">
        <w:t xml:space="preserve">bcrop. </w:t>
      </w:r>
      <w:r>
        <w:t xml:space="preserve">This creates the potential for impact on surface </w:t>
      </w:r>
      <w:r w:rsidR="00211A1B">
        <w:t xml:space="preserve">water features in these areas. </w:t>
      </w:r>
      <w:r w:rsidR="00FD5714">
        <w:t>This process</w:t>
      </w:r>
      <w:r>
        <w:t xml:space="preserve"> (including assessment of how likely this risk is) does not appear to have been examined in the literature. </w:t>
      </w:r>
    </w:p>
    <w:p w:rsidR="00DD07AF" w:rsidRDefault="00A963B1" w:rsidP="00211A1B">
      <w:pPr>
        <w:pStyle w:val="Bulletpoint"/>
      </w:pPr>
      <w:r>
        <w:t>The S</w:t>
      </w:r>
      <w:r w:rsidR="00DD07AF">
        <w:t xml:space="preserve">outhern Galilee Basin has been poorly studied compared with the northern half of the </w:t>
      </w:r>
      <w:r>
        <w:t xml:space="preserve">Galilee </w:t>
      </w:r>
      <w:r w:rsidR="00DD07AF">
        <w:t xml:space="preserve">Basin. </w:t>
      </w:r>
    </w:p>
    <w:p w:rsidR="00DD07AF" w:rsidRDefault="00DD07AF" w:rsidP="00211A1B">
      <w:pPr>
        <w:pStyle w:val="Bulletpoint"/>
      </w:pPr>
      <w:r>
        <w:t xml:space="preserve">The </w:t>
      </w:r>
      <w:r w:rsidRPr="00217B6F">
        <w:t>permeability</w:t>
      </w:r>
      <w:r>
        <w:t xml:space="preserve"> of key aquitards in the Galilee Basin is bas</w:t>
      </w:r>
      <w:r w:rsidR="00E95C37">
        <w:t>ed on a very limited data</w:t>
      </w:r>
      <w:r w:rsidR="00211A1B">
        <w:t xml:space="preserve">set. </w:t>
      </w:r>
      <w:r>
        <w:t>Information may be available from equivalent units in other parts of the GAB, but this cannot replace local data for mode</w:t>
      </w:r>
      <w:r w:rsidR="00A963B1">
        <w:t>lling and predictive purposes</w:t>
      </w:r>
      <w:r w:rsidR="00211A1B">
        <w:t>.</w:t>
      </w:r>
      <w:r>
        <w:t xml:space="preserve"> Examples are noted of local numerical models in the Galilee Basin where there is a significant discrepancy between the </w:t>
      </w:r>
      <w:r w:rsidR="00A963B1">
        <w:t xml:space="preserve">vertical hydraulic conductivity </w:t>
      </w:r>
      <w:r>
        <w:t xml:space="preserve">values used for key aquitards in the model and </w:t>
      </w:r>
      <w:r w:rsidR="00A963B1">
        <w:t xml:space="preserve">vertical hydraulic conductivity </w:t>
      </w:r>
      <w:r>
        <w:t xml:space="preserve">values for the same formations </w:t>
      </w:r>
      <w:r w:rsidR="00E95C37">
        <w:t>from the current available data</w:t>
      </w:r>
      <w:r>
        <w:t>set (i.e. the model</w:t>
      </w:r>
      <w:r w:rsidR="00211A1B">
        <w:t>s are using much lower values).</w:t>
      </w:r>
      <w:r>
        <w:t xml:space="preserve"> It is possible that the model estimates are more realistic than i</w:t>
      </w:r>
      <w:r w:rsidR="00E95C37">
        <w:t>ndicated by the very small data</w:t>
      </w:r>
      <w:r>
        <w:t xml:space="preserve">set, but in the </w:t>
      </w:r>
      <w:r w:rsidR="00E95C37">
        <w:t>absence of such a suitable data</w:t>
      </w:r>
      <w:r>
        <w:t xml:space="preserve">set there remains uncertainty regarding appropriate hydraulic conductivity values </w:t>
      </w:r>
      <w:r w:rsidR="00C773C2">
        <w:t xml:space="preserve">to use in these key formations </w:t>
      </w:r>
      <w:r>
        <w:t>and hence</w:t>
      </w:r>
      <w:r w:rsidR="00C773C2">
        <w:t>,</w:t>
      </w:r>
      <w:r>
        <w:t xml:space="preserve"> uncertainty regarding aquifer connectivity. </w:t>
      </w:r>
    </w:p>
    <w:p w:rsidR="00DD07AF" w:rsidRDefault="00E95C37" w:rsidP="00211A1B">
      <w:pPr>
        <w:pStyle w:val="Bulletpoint"/>
      </w:pPr>
      <w:r>
        <w:t>Existing permeability data</w:t>
      </w:r>
      <w:r w:rsidR="00DD07AF">
        <w:t>sets in the Galilee Basin to date are virtually all based on small</w:t>
      </w:r>
      <w:r w:rsidR="00C773C2">
        <w:noBreakHyphen/>
      </w:r>
      <w:r w:rsidR="00DD07AF">
        <w:t xml:space="preserve">scale testing (predominantly </w:t>
      </w:r>
      <w:r w:rsidR="00DD07AF" w:rsidRPr="00217B6F">
        <w:t>lab</w:t>
      </w:r>
      <w:r w:rsidR="00DD07AF">
        <w:t>oratory</w:t>
      </w:r>
      <w:r w:rsidR="00DD07AF" w:rsidRPr="00217B6F">
        <w:t xml:space="preserve"> tests</w:t>
      </w:r>
      <w:r w:rsidR="00211A1B">
        <w:t xml:space="preserve"> and some drill stem tests). </w:t>
      </w:r>
      <w:r w:rsidR="00DD07AF">
        <w:t>This is a significant limitation as there is a wide body of literature indicating that permeability increases with increasing scale of me</w:t>
      </w:r>
      <w:r w:rsidR="00211A1B">
        <w:t xml:space="preserve">asurement (e.g. refer </w:t>
      </w:r>
      <w:r w:rsidR="00211A1B" w:rsidRPr="00C773C2">
        <w:t>CSIRO-SKM</w:t>
      </w:r>
      <w:r w:rsidR="00DD07AF" w:rsidRPr="00C773C2">
        <w:t xml:space="preserve"> 2012,</w:t>
      </w:r>
      <w:r w:rsidR="00DD07AF">
        <w:t xml:space="preserve"> for a literature review on this topic). </w:t>
      </w:r>
    </w:p>
    <w:p w:rsidR="00DD07AF" w:rsidRDefault="00DD07AF" w:rsidP="00211A1B">
      <w:pPr>
        <w:pStyle w:val="Bulletpoint"/>
      </w:pPr>
      <w:r>
        <w:t>While local seismic assessments to date indicate that faults are not continuous across the Permian units and into the Jurassic</w:t>
      </w:r>
      <w:r w:rsidR="00C773C2">
        <w:noBreakHyphen/>
      </w:r>
      <w:r>
        <w:t>Cretaceous formations, the Rawsthorn</w:t>
      </w:r>
      <w:r w:rsidR="00C773C2">
        <w:t> </w:t>
      </w:r>
      <w:r>
        <w:t>et</w:t>
      </w:r>
      <w:r w:rsidR="00C773C2">
        <w:t> </w:t>
      </w:r>
      <w:r>
        <w:t>al.</w:t>
      </w:r>
      <w:r w:rsidR="00C773C2">
        <w:t> </w:t>
      </w:r>
      <w:r>
        <w:t>(</w:t>
      </w:r>
      <w:r w:rsidR="00C773C2">
        <w:t xml:space="preserve">2009) Aramac Trough geological </w:t>
      </w:r>
      <w:r>
        <w:t>model investigating a larger area indicated that this aspect was in</w:t>
      </w:r>
      <w:r w:rsidR="00FD5714">
        <w:t>con</w:t>
      </w:r>
      <w:r>
        <w:t>clusive in their assessment and was an area re</w:t>
      </w:r>
      <w:r w:rsidR="00211A1B">
        <w:t xml:space="preserve">quiring further investigation. </w:t>
      </w:r>
      <w:r>
        <w:t xml:space="preserve">Further, it is apparent that the hydraulic behaviour of faults has not been studied in the </w:t>
      </w:r>
      <w:r w:rsidR="00C773C2">
        <w:t xml:space="preserve">Galilee </w:t>
      </w:r>
      <w:r>
        <w:t xml:space="preserve">Basin. </w:t>
      </w:r>
    </w:p>
    <w:p w:rsidR="00DD07AF" w:rsidRDefault="00DD07AF" w:rsidP="00211A1B">
      <w:pPr>
        <w:pStyle w:val="Bulletpoint"/>
      </w:pPr>
      <w:r>
        <w:t>While two local numerical models identified to date have suggested there is essentially no aquifer connectivity, these are both only focused on individu</w:t>
      </w:r>
      <w:r w:rsidR="00211A1B">
        <w:t xml:space="preserve">al impacts from one operation. </w:t>
      </w:r>
      <w:r>
        <w:t>Cumulative impacts across the Galilee Basin may alter potential connectivity compared to deve</w:t>
      </w:r>
      <w:r w:rsidR="00C773C2">
        <w:t>lopments assessed in isolation.</w:t>
      </w:r>
    </w:p>
    <w:p w:rsidR="00DD07AF" w:rsidRDefault="00DD07AF" w:rsidP="00211A1B">
      <w:pPr>
        <w:pStyle w:val="BRNormal"/>
      </w:pPr>
      <w:r>
        <w:t>In summary, it seems that significant parts of the Galilee Basin represent areas of relatively low inter-aquifer (and surface) connectivity, but there are areas where the geology s</w:t>
      </w:r>
      <w:r w:rsidR="00211A1B">
        <w:t xml:space="preserve">uggests risks are much higher. </w:t>
      </w:r>
      <w:r>
        <w:t>Further</w:t>
      </w:r>
      <w:r w:rsidR="0066135A">
        <w:t>,</w:t>
      </w:r>
      <w:r>
        <w:t xml:space="preserve"> even in areas where connectivity risks appear low, there are significant data gaps that require filling in order to confirm this conclusion.</w:t>
      </w:r>
    </w:p>
    <w:p w:rsidR="00DD07AF" w:rsidRPr="0010123B" w:rsidRDefault="00DD07AF" w:rsidP="005F6513">
      <w:pPr>
        <w:pStyle w:val="Heading2"/>
      </w:pPr>
      <w:bookmarkStart w:id="744" w:name="_Toc334718201"/>
      <w:bookmarkStart w:id="745" w:name="_Toc381961203"/>
      <w:bookmarkStart w:id="746" w:name="_Toc389055272"/>
      <w:r w:rsidRPr="00211A1B">
        <w:t>Knowledge</w:t>
      </w:r>
      <w:r>
        <w:t xml:space="preserve"> gaps</w:t>
      </w:r>
      <w:bookmarkEnd w:id="744"/>
      <w:bookmarkEnd w:id="745"/>
      <w:bookmarkEnd w:id="746"/>
    </w:p>
    <w:p w:rsidR="00DD07AF" w:rsidRDefault="00DD07AF" w:rsidP="00C26C02">
      <w:pPr>
        <w:pStyle w:val="BRNormal"/>
      </w:pPr>
      <w:r>
        <w:t>The following key knowledge gaps have been identified in this review:</w:t>
      </w:r>
    </w:p>
    <w:p w:rsidR="00DD07AF" w:rsidRDefault="00DD07AF" w:rsidP="00C26C02">
      <w:pPr>
        <w:pStyle w:val="Bulletpoint"/>
      </w:pPr>
      <w:r>
        <w:t xml:space="preserve">The Southern Galilee Basin is relatively less studied compared to the Northern </w:t>
      </w:r>
      <w:r w:rsidR="00C773C2">
        <w:t xml:space="preserve">Galilee </w:t>
      </w:r>
      <w:r w:rsidR="00C773C2">
        <w:lastRenderedPageBreak/>
        <w:t xml:space="preserve">Basin </w:t>
      </w:r>
      <w:r>
        <w:t>in the literature in terms of litho-stratigraphic interpretation and structural analysis.</w:t>
      </w:r>
    </w:p>
    <w:p w:rsidR="00DD07AF" w:rsidRDefault="00DD07AF" w:rsidP="00C26C02">
      <w:pPr>
        <w:pStyle w:val="Bulletpoint"/>
      </w:pPr>
      <w:r>
        <w:t xml:space="preserve">There is </w:t>
      </w:r>
      <w:r w:rsidRPr="003D312B">
        <w:t xml:space="preserve">difficulty correlating </w:t>
      </w:r>
      <w:r>
        <w:t xml:space="preserve">parts of the </w:t>
      </w:r>
      <w:r w:rsidRPr="003D312B">
        <w:t xml:space="preserve">Galilee Basin stratigraphy from the </w:t>
      </w:r>
      <w:r>
        <w:t xml:space="preserve">better </w:t>
      </w:r>
      <w:r w:rsidRPr="003D312B">
        <w:t>studied outcrop areas to the central areas of t</w:t>
      </w:r>
      <w:r w:rsidR="00C773C2">
        <w:t>he B</w:t>
      </w:r>
      <w:r w:rsidR="00FB1A11">
        <w:t xml:space="preserve">asin. </w:t>
      </w:r>
      <w:r w:rsidRPr="003D312B">
        <w:t>In particular</w:t>
      </w:r>
      <w:r w:rsidR="00C773C2">
        <w:t>,</w:t>
      </w:r>
      <w:r w:rsidRPr="003D312B">
        <w:t xml:space="preserve"> nomenclature problems correlat</w:t>
      </w:r>
      <w:r>
        <w:t>ing</w:t>
      </w:r>
      <w:r w:rsidRPr="003D312B">
        <w:t xml:space="preserve"> units of the Clematis and Colinlea </w:t>
      </w:r>
      <w:r w:rsidR="00C773C2">
        <w:t>Sandstone in the centre of the B</w:t>
      </w:r>
      <w:r w:rsidRPr="003D312B">
        <w:t xml:space="preserve">asin with formations named in outcrop areas </w:t>
      </w:r>
      <w:r>
        <w:t>are noted.</w:t>
      </w:r>
    </w:p>
    <w:p w:rsidR="00DD07AF" w:rsidRDefault="00DD07AF" w:rsidP="00C26C02">
      <w:pPr>
        <w:pStyle w:val="Bulletpoint"/>
      </w:pPr>
      <w:r w:rsidRPr="003D312B">
        <w:t xml:space="preserve">The relationship of the Warang Sandstone and the remaining Triassic sequence </w:t>
      </w:r>
      <w:r>
        <w:t xml:space="preserve">is an area poorly understood. Its relatively permeable </w:t>
      </w:r>
      <w:r w:rsidRPr="003D312B">
        <w:t>lithology and inter</w:t>
      </w:r>
      <w:r>
        <w:t>-</w:t>
      </w:r>
      <w:r w:rsidRPr="003D312B">
        <w:t xml:space="preserve">fingering with the entire Jurassic sequence </w:t>
      </w:r>
      <w:r>
        <w:t xml:space="preserve">creates potential for </w:t>
      </w:r>
      <w:r w:rsidRPr="003D312B">
        <w:t xml:space="preserve">this unit to ‘connect’ Permian units and the overlying Eromanga basin under CSG depressurisation or coal dewatering.  </w:t>
      </w:r>
    </w:p>
    <w:p w:rsidR="00DD07AF" w:rsidRDefault="00DD07AF" w:rsidP="00C26C02">
      <w:pPr>
        <w:pStyle w:val="Bulletpoint"/>
      </w:pPr>
      <w:r>
        <w:t>The permeabil</w:t>
      </w:r>
      <w:r w:rsidR="00E95C37">
        <w:t>ity/hydraulic conductivity data</w:t>
      </w:r>
      <w:r>
        <w:t>set (particularly given the size of the Galilee Basin) is small. Spatially some areas are very poorly represented and some key f</w:t>
      </w:r>
      <w:r w:rsidR="00FB1A11">
        <w:t xml:space="preserve">ormations have very few tests. </w:t>
      </w:r>
      <w:r>
        <w:t xml:space="preserve">In particular, </w:t>
      </w:r>
      <w:r w:rsidR="00C773C2">
        <w:t xml:space="preserve">at the time of writing, </w:t>
      </w:r>
      <w:r>
        <w:t>the two key aquitards (the Moolayember and Rewan Formations) ha</w:t>
      </w:r>
      <w:r w:rsidR="00C773C2">
        <w:t>d</w:t>
      </w:r>
      <w:r>
        <w:t xml:space="preserve"> a combined total of only nine permeability tests.  </w:t>
      </w:r>
    </w:p>
    <w:p w:rsidR="00DD07AF" w:rsidRDefault="00DD07AF" w:rsidP="00C26C02">
      <w:pPr>
        <w:pStyle w:val="Bulletpoint"/>
      </w:pPr>
      <w:r>
        <w:t xml:space="preserve">There is an absence of any regional scale assessment of vertical hydraulic conductivity for key confining units (the Moolayember and Rewan Formations).  </w:t>
      </w:r>
    </w:p>
    <w:p w:rsidR="00DD07AF" w:rsidRDefault="00DD07AF" w:rsidP="00C26C02">
      <w:pPr>
        <w:pStyle w:val="Bulletpoint"/>
      </w:pPr>
      <w:r>
        <w:t xml:space="preserve">There is </w:t>
      </w:r>
      <w:r w:rsidR="00E95C37">
        <w:t>a reasonably large seismic data</w:t>
      </w:r>
      <w:r>
        <w:t>set across the Basin, but this suffers from variable spatial coverage an</w:t>
      </w:r>
      <w:r w:rsidR="00FB1A11">
        <w:t xml:space="preserve">d sometimes poor data quality. </w:t>
      </w:r>
      <w:r>
        <w:t>Reprocessing of some data would improve and add to the usabl</w:t>
      </w:r>
      <w:r w:rsidR="00E95C37">
        <w:t>e regional data</w:t>
      </w:r>
      <w:r>
        <w:t xml:space="preserve">set. </w:t>
      </w:r>
    </w:p>
    <w:p w:rsidR="00DD07AF" w:rsidRDefault="00DD07AF" w:rsidP="00C26C02">
      <w:pPr>
        <w:pStyle w:val="Bulletpoint"/>
      </w:pPr>
      <w:r>
        <w:t xml:space="preserve">The </w:t>
      </w:r>
      <w:r w:rsidR="00C773C2">
        <w:t xml:space="preserve">Aramac Trough geological </w:t>
      </w:r>
      <w:r>
        <w:t>model is inconclusive regarding whether faulting in lower formations penetra</w:t>
      </w:r>
      <w:r w:rsidR="00FB1A11">
        <w:t>tes through the Late Triassic/Early Jurassic formations.</w:t>
      </w:r>
      <w:r>
        <w:t xml:space="preserve"> This is a data gap in that faults represent potential preferred pathways for connection across Permian zones (targeted for CSG development) with shallow and low salinity aquifers.</w:t>
      </w:r>
    </w:p>
    <w:p w:rsidR="00DD07AF" w:rsidRDefault="00DD07AF" w:rsidP="00C26C02">
      <w:pPr>
        <w:pStyle w:val="Bulletpoint"/>
      </w:pPr>
      <w:r>
        <w:t>No studies in the Galilee Basin were identified which have examined the hydraulic behaviour of faults (e.g. examining whether they enhance or reduce permeability).</w:t>
      </w:r>
    </w:p>
    <w:p w:rsidR="00DD07AF" w:rsidRDefault="00DD07AF" w:rsidP="00C26C02">
      <w:pPr>
        <w:pStyle w:val="Bulletpoint"/>
      </w:pPr>
      <w:r>
        <w:t xml:space="preserve">The review did not identify any references (of significance) regarding geomechanical properties of formations in the Galilee Basin.  </w:t>
      </w:r>
    </w:p>
    <w:p w:rsidR="00DD07AF" w:rsidRDefault="00DD07AF" w:rsidP="00C26C02">
      <w:pPr>
        <w:pStyle w:val="Bulletpoint"/>
      </w:pPr>
      <w:r>
        <w:t>There is a paucity of hydrochemical data for f</w:t>
      </w:r>
      <w:r w:rsidR="00FB1A11">
        <w:t>ormations in the Galilee Basin.</w:t>
      </w:r>
      <w:r>
        <w:t xml:space="preserve"> In particular, there are few water chemistry samples for the Permian units, which generally have less than five samples available and some important units such as the Aramac Coal Measures have no sample records in the </w:t>
      </w:r>
      <w:r w:rsidR="00C773C2">
        <w:t>Queensland Groundwater Database</w:t>
      </w:r>
      <w:r>
        <w:t xml:space="preserve">.  </w:t>
      </w:r>
    </w:p>
    <w:p w:rsidR="00DD07AF" w:rsidRDefault="00DD07AF" w:rsidP="00C26C02">
      <w:pPr>
        <w:pStyle w:val="Bulletpoint"/>
      </w:pPr>
      <w:r>
        <w:t>Hydrochemistry data has not been examined to look at the issue of connectivity between Permian coal seams and the overlying GAB aquifer formations, or hydraulic connection between the Clematis Sandstone (Triassic)  and the Jurassic aquifer sequence (although there is PhD in pr</w:t>
      </w:r>
      <w:r w:rsidR="00FB1A11">
        <w:t>ogress examining these aspects).</w:t>
      </w:r>
    </w:p>
    <w:p w:rsidR="00DD07AF" w:rsidRDefault="00DD07AF" w:rsidP="00C26C02">
      <w:pPr>
        <w:pStyle w:val="Bulletpoint"/>
      </w:pPr>
      <w:r>
        <w:t>Beyond regional studies examining recharge to the GAB there is very limited information in the literature on recharge processes/are</w:t>
      </w:r>
      <w:r w:rsidR="00FB1A11">
        <w:t xml:space="preserve">as/rates in the Galilee Basin. </w:t>
      </w:r>
      <w:r>
        <w:t>There is a data gap in terms of recharge (in the outcrop/subcrop areas) to the Triassic (Clematis Sandstone) and Permian age formations (Colinlea Sandstone, Aramac Coal Measures and Betts Cre</w:t>
      </w:r>
      <w:r w:rsidR="00FB1A11">
        <w:t xml:space="preserve">ek Beds) of the Galilee Basin. </w:t>
      </w:r>
      <w:r>
        <w:t xml:space="preserve">There is also uncertainty as to assess whether recharge to the Triassic and Permian aquifer outcrops/subcrops would follow local topographic gradients and discharge to local streams, or whether recharge would follow the regional stratigraphic westerly dip of these formations and provide recharge to </w:t>
      </w:r>
      <w:r>
        <w:lastRenderedPageBreak/>
        <w:t>the central areas of the Basin.</w:t>
      </w:r>
    </w:p>
    <w:p w:rsidR="00DD07AF" w:rsidRDefault="00DD07AF" w:rsidP="00C26C02">
      <w:pPr>
        <w:pStyle w:val="Bulletpoint"/>
      </w:pPr>
      <w:r>
        <w:t>There was no information identified in the literature on the significance of vertical leakage as a recharge process to the format</w:t>
      </w:r>
      <w:r w:rsidR="00FB1A11">
        <w:t>ions of the Galilee Basin.</w:t>
      </w:r>
      <w:r w:rsidR="0089678B">
        <w:t xml:space="preserve"> </w:t>
      </w:r>
      <w:r>
        <w:t>There is also an absence of assessment of v</w:t>
      </w:r>
      <w:r w:rsidR="0089678B">
        <w:t>ertical gradients between units</w:t>
      </w:r>
      <w:r>
        <w:t>.</w:t>
      </w:r>
    </w:p>
    <w:p w:rsidR="00DD07AF" w:rsidRDefault="00DD07AF" w:rsidP="00C26C02">
      <w:pPr>
        <w:pStyle w:val="Bulletpoint"/>
      </w:pPr>
      <w:r>
        <w:t>There is some information on discharge mechanisms in the outcrop/subcrop areas of the Basin (e.g. mapping of recharge springs)</w:t>
      </w:r>
      <w:proofErr w:type="gramStart"/>
      <w:r>
        <w:t>,</w:t>
      </w:r>
      <w:proofErr w:type="gramEnd"/>
      <w:r>
        <w:t xml:space="preserve"> although it is apparent that processes </w:t>
      </w:r>
      <w:r w:rsidR="00FB1A11">
        <w:t xml:space="preserve">are still not well understood. </w:t>
      </w:r>
      <w:r>
        <w:t xml:space="preserve">There was no information identified on discharge processes in the main part of the </w:t>
      </w:r>
      <w:r w:rsidR="0089678B">
        <w:t xml:space="preserve">Galilee </w:t>
      </w:r>
      <w:r>
        <w:t>Basin (i.e. to the west wher</w:t>
      </w:r>
      <w:r w:rsidR="00FB1A11">
        <w:t>e the Basin underlies the GAB).</w:t>
      </w:r>
      <w:r>
        <w:t xml:space="preserve"> Discharge is likely to be a combination of </w:t>
      </w:r>
      <w:r w:rsidRPr="0024185C">
        <w:t xml:space="preserve">diffuse vertical discharge through confining beds to </w:t>
      </w:r>
      <w:r>
        <w:t xml:space="preserve">overlying formations and </w:t>
      </w:r>
      <w:r w:rsidRPr="0024185C">
        <w:t>sub-surface discharge to n</w:t>
      </w:r>
      <w:r w:rsidR="00FB1A11">
        <w:t>eighbouring sedimentary basins/</w:t>
      </w:r>
      <w:r>
        <w:t>adjoining basements units - the relatively importance and spatial distribution of these processes is unknown.</w:t>
      </w:r>
    </w:p>
    <w:p w:rsidR="00DD07AF" w:rsidRDefault="00DD07AF" w:rsidP="00C26C02">
      <w:pPr>
        <w:pStyle w:val="Bulletpoint"/>
      </w:pPr>
      <w:r>
        <w:t>There is a paucity of time series groundwater level data</w:t>
      </w:r>
      <w:r w:rsidR="0089678B">
        <w:t xml:space="preserve">, which </w:t>
      </w:r>
      <w:r>
        <w:t>makes it difficult to evaluate groundwater levels pri</w:t>
      </w:r>
      <w:r w:rsidR="00FB1A11">
        <w:t xml:space="preserve">or to groundwater development. </w:t>
      </w:r>
      <w:r w:rsidRPr="00750FE6">
        <w:t xml:space="preserve">With the exception of the GAB monitoring bores comparatively few groundwater level observations have been </w:t>
      </w:r>
      <w:r>
        <w:t>collected</w:t>
      </w:r>
      <w:r w:rsidR="0089678B">
        <w:t xml:space="preserve"> (at the time of writing, an</w:t>
      </w:r>
      <w:r w:rsidRPr="00750FE6">
        <w:t xml:space="preserve"> average </w:t>
      </w:r>
      <w:r w:rsidR="0089678B">
        <w:t xml:space="preserve">of </w:t>
      </w:r>
      <w:r w:rsidRPr="00750FE6">
        <w:t>two observations per bore</w:t>
      </w:r>
      <w:r w:rsidR="0089678B">
        <w:t>)</w:t>
      </w:r>
      <w:r>
        <w:t xml:space="preserve">.  </w:t>
      </w:r>
    </w:p>
    <w:p w:rsidR="00DD07AF" w:rsidRDefault="00DD07AF" w:rsidP="00C26C02">
      <w:pPr>
        <w:pStyle w:val="Bulletpoint"/>
      </w:pPr>
      <w:r>
        <w:t>Most historical deep water bor</w:t>
      </w:r>
      <w:r w:rsidR="0089678B">
        <w:t xml:space="preserve">es tap more than one formation, which </w:t>
      </w:r>
      <w:r>
        <w:t xml:space="preserve">makes </w:t>
      </w:r>
      <w:r w:rsidR="0089678B">
        <w:t xml:space="preserve">the </w:t>
      </w:r>
      <w:r>
        <w:t xml:space="preserve">use of these bores in </w:t>
      </w:r>
      <w:r w:rsidR="0089678B">
        <w:t xml:space="preserve">the </w:t>
      </w:r>
      <w:r>
        <w:t>development of water level surfaces for</w:t>
      </w:r>
      <w:r w:rsidR="0089678B">
        <w:t xml:space="preserve"> different formations difficult</w:t>
      </w:r>
      <w:r>
        <w:t>.</w:t>
      </w:r>
    </w:p>
    <w:p w:rsidR="00DD07AF" w:rsidRDefault="00DD07AF" w:rsidP="00C26C02">
      <w:pPr>
        <w:pStyle w:val="Bulletpoint"/>
      </w:pPr>
      <w:r>
        <w:t>There are insufficient data points for the Permian formations to allow preparation of a piezometric surface.</w:t>
      </w:r>
    </w:p>
    <w:p w:rsidR="00DD07AF" w:rsidRPr="009355F1" w:rsidRDefault="008D59AA" w:rsidP="001C3374">
      <w:pPr>
        <w:rPr>
          <w:rFonts w:ascii="Calibri-Bold" w:hAnsi="Calibri-Bold" w:cs="Calibri-Bold"/>
          <w:color w:val="00AEEF"/>
          <w:sz w:val="30"/>
          <w:szCs w:val="30"/>
        </w:rPr>
      </w:pPr>
      <w:bookmarkStart w:id="747" w:name="_Toc334718202"/>
      <w:r>
        <w:br w:type="page"/>
      </w:r>
      <w:bookmarkEnd w:id="747"/>
    </w:p>
    <w:p w:rsidR="00DD07AF" w:rsidRDefault="00DD07AF" w:rsidP="005F6513">
      <w:pPr>
        <w:pStyle w:val="Heading1"/>
      </w:pPr>
      <w:bookmarkStart w:id="748" w:name="_Toc381961204"/>
      <w:bookmarkStart w:id="749" w:name="_Toc389055273"/>
      <w:r w:rsidRPr="0052008C">
        <w:lastRenderedPageBreak/>
        <w:t>Knowledge</w:t>
      </w:r>
      <w:r>
        <w:t xml:space="preserve"> gaps</w:t>
      </w:r>
      <w:bookmarkEnd w:id="748"/>
      <w:bookmarkEnd w:id="749"/>
    </w:p>
    <w:p w:rsidR="00DD07AF" w:rsidRDefault="00DD07AF" w:rsidP="0052008C">
      <w:pPr>
        <w:pStyle w:val="BRNormal"/>
      </w:pPr>
      <w:r>
        <w:t>The previous four chapters (</w:t>
      </w:r>
      <w:r w:rsidR="00D04A68">
        <w:t xml:space="preserve">chapters </w:t>
      </w:r>
      <w:r>
        <w:t>5</w:t>
      </w:r>
      <w:r w:rsidR="00D04A68">
        <w:t xml:space="preserve"> to </w:t>
      </w:r>
      <w:r>
        <w:t xml:space="preserve">8) of this report have concluding sections that are dedicated to knowledge gaps specific to each basin. This chapter synthesises these knowledge </w:t>
      </w:r>
      <w:r w:rsidR="00D04A68">
        <w:t>gaps into one consolidated list</w:t>
      </w:r>
      <w:r>
        <w:t xml:space="preserve"> and attempts to distinguish between what are truly gaps in knowledge versus gaps in data that are required to improve current knowledge. By presenting all of the gaps in tabular format (Table </w:t>
      </w:r>
      <w:r w:rsidR="002635AA">
        <w:t>28</w:t>
      </w:r>
      <w:r>
        <w:t xml:space="preserve">) it becomes clear that most apply to all four basins reviewed in this report. We also list the relative </w:t>
      </w:r>
      <w:r w:rsidR="00D04A68">
        <w:t>scale to which these gaps apply</w:t>
      </w:r>
      <w:r>
        <w:t xml:space="preserve"> and identify a qualitative prioritisation based on collective expert opinion from all authors. Finally, an indicative timeframe required to address the gaps</w:t>
      </w:r>
      <w:r w:rsidR="00D04A68">
        <w:t xml:space="preserve"> (</w:t>
      </w:r>
      <w:r>
        <w:t>assuming unlimited availability of scien</w:t>
      </w:r>
      <w:r w:rsidR="00D04A68">
        <w:t>tists with the right capability</w:t>
      </w:r>
      <w:r>
        <w:t xml:space="preserve"> and </w:t>
      </w:r>
      <w:r w:rsidR="008E1651">
        <w:t xml:space="preserve">sufficient </w:t>
      </w:r>
      <w:r>
        <w:t>operating budget</w:t>
      </w:r>
      <w:r w:rsidR="00D04A68">
        <w:t xml:space="preserve">) </w:t>
      </w:r>
      <w:r>
        <w:t xml:space="preserve">and a brief description of the desired outcomes </w:t>
      </w:r>
      <w:r w:rsidR="00D04A68">
        <w:t>are</w:t>
      </w:r>
      <w:r>
        <w:t xml:space="preserve"> presented.</w:t>
      </w:r>
    </w:p>
    <w:p w:rsidR="00A72A81" w:rsidRPr="00614821" w:rsidRDefault="0052008C" w:rsidP="0052008C">
      <w:pPr>
        <w:pStyle w:val="Caption"/>
      </w:pPr>
      <w:r w:rsidRPr="006F2073">
        <w:t xml:space="preserve">Table </w:t>
      </w:r>
      <w:r w:rsidR="00E23933" w:rsidRPr="006F2073">
        <w:rPr>
          <w:b/>
          <w:noProof w:val="0"/>
        </w:rPr>
        <w:fldChar w:fldCharType="begin"/>
      </w:r>
      <w:r w:rsidRPr="006F2073">
        <w:instrText xml:space="preserve"> SEQ Table \* ARABIC </w:instrText>
      </w:r>
      <w:r w:rsidR="00E23933" w:rsidRPr="006F2073">
        <w:rPr>
          <w:b/>
          <w:noProof w:val="0"/>
        </w:rPr>
        <w:fldChar w:fldCharType="separate"/>
      </w:r>
      <w:r w:rsidR="00D04A68">
        <w:t>28</w:t>
      </w:r>
      <w:r w:rsidR="00E23933" w:rsidRPr="006F2073">
        <w:rPr>
          <w:b/>
        </w:rPr>
        <w:fldChar w:fldCharType="end"/>
      </w:r>
      <w:r>
        <w:t xml:space="preserve"> </w:t>
      </w:r>
      <w:r w:rsidR="00A72A81">
        <w:t xml:space="preserve">Knowledge </w:t>
      </w:r>
      <w:r w:rsidR="00D04A68">
        <w:t xml:space="preserve">gaps (prefix K) </w:t>
      </w:r>
      <w:r w:rsidR="00A72A81">
        <w:t>and data gaps</w:t>
      </w:r>
      <w:r w:rsidR="00D04A68">
        <w:t xml:space="preserve"> (prefix D)</w:t>
      </w:r>
      <w:r>
        <w:t>.</w:t>
      </w:r>
    </w:p>
    <w:tbl>
      <w:tblPr>
        <w:tblStyle w:val="TableGrid"/>
        <w:tblW w:w="9180" w:type="dxa"/>
        <w:tblInd w:w="108" w:type="dxa"/>
        <w:tblLayout w:type="fixed"/>
        <w:tblLook w:val="04A0"/>
      </w:tblPr>
      <w:tblGrid>
        <w:gridCol w:w="583"/>
        <w:gridCol w:w="2219"/>
        <w:gridCol w:w="1276"/>
        <w:gridCol w:w="1501"/>
        <w:gridCol w:w="1172"/>
        <w:gridCol w:w="2429"/>
      </w:tblGrid>
      <w:tr w:rsidR="005276F3" w:rsidRPr="0052008C" w:rsidTr="009308A0">
        <w:trPr>
          <w:cantSplit/>
          <w:tblHeader/>
        </w:trPr>
        <w:tc>
          <w:tcPr>
            <w:tcW w:w="583" w:type="dxa"/>
            <w:shd w:val="clear" w:color="auto" w:fill="C6D9F1" w:themeFill="text2" w:themeFillTint="33"/>
          </w:tcPr>
          <w:p w:rsidR="005276F3" w:rsidRPr="0052008C" w:rsidRDefault="005276F3" w:rsidP="00470AD4">
            <w:pPr>
              <w:pStyle w:val="Tableheading"/>
            </w:pPr>
            <w:r w:rsidRPr="0052008C">
              <w:t>No.</w:t>
            </w:r>
          </w:p>
        </w:tc>
        <w:tc>
          <w:tcPr>
            <w:tcW w:w="2219" w:type="dxa"/>
            <w:shd w:val="clear" w:color="auto" w:fill="C6D9F1" w:themeFill="text2" w:themeFillTint="33"/>
          </w:tcPr>
          <w:p w:rsidR="005276F3" w:rsidRPr="0052008C" w:rsidRDefault="00D71565" w:rsidP="00470AD4">
            <w:pPr>
              <w:pStyle w:val="Tableheading"/>
            </w:pPr>
            <w:r w:rsidRPr="0052008C">
              <w:t>Knowledge or</w:t>
            </w:r>
            <w:r w:rsidR="00D04A68">
              <w:t xml:space="preserve"> d</w:t>
            </w:r>
            <w:r w:rsidRPr="0052008C">
              <w:t>ata gap</w:t>
            </w:r>
          </w:p>
        </w:tc>
        <w:tc>
          <w:tcPr>
            <w:tcW w:w="1276" w:type="dxa"/>
            <w:shd w:val="clear" w:color="auto" w:fill="C6D9F1" w:themeFill="text2" w:themeFillTint="33"/>
          </w:tcPr>
          <w:p w:rsidR="005276F3" w:rsidRPr="0052008C" w:rsidRDefault="005276F3" w:rsidP="00470AD4">
            <w:pPr>
              <w:pStyle w:val="Tableheading"/>
            </w:pPr>
            <w:r w:rsidRPr="0052008C">
              <w:t>Scale</w:t>
            </w:r>
          </w:p>
          <w:p w:rsidR="005276F3" w:rsidRPr="0052008C" w:rsidRDefault="00D04A68" w:rsidP="00470AD4">
            <w:pPr>
              <w:pStyle w:val="Tableheading"/>
            </w:pPr>
            <w:r>
              <w:t>(local/ r</w:t>
            </w:r>
            <w:r w:rsidR="005276F3" w:rsidRPr="0052008C">
              <w:t>egional/</w:t>
            </w:r>
            <w:r w:rsidR="00C26C02">
              <w:t xml:space="preserve"> </w:t>
            </w:r>
            <w:r>
              <w:t>b</w:t>
            </w:r>
            <w:r w:rsidR="005276F3" w:rsidRPr="0052008C">
              <w:t>asin)</w:t>
            </w:r>
          </w:p>
        </w:tc>
        <w:tc>
          <w:tcPr>
            <w:tcW w:w="1501" w:type="dxa"/>
            <w:shd w:val="clear" w:color="auto" w:fill="C6D9F1" w:themeFill="text2" w:themeFillTint="33"/>
          </w:tcPr>
          <w:p w:rsidR="005276F3" w:rsidRPr="0052008C" w:rsidRDefault="005276F3" w:rsidP="00470AD4">
            <w:pPr>
              <w:pStyle w:val="Tableheading"/>
            </w:pPr>
            <w:r w:rsidRPr="0052008C">
              <w:t>Priority</w:t>
            </w:r>
          </w:p>
          <w:p w:rsidR="005276F3" w:rsidRPr="0052008C" w:rsidRDefault="00D04A68" w:rsidP="00470AD4">
            <w:pPr>
              <w:pStyle w:val="Tableheading"/>
            </w:pPr>
            <w:r>
              <w:t>[high (H), medium (</w:t>
            </w:r>
            <w:r w:rsidR="005276F3" w:rsidRPr="0052008C">
              <w:t>M</w:t>
            </w:r>
            <w:r>
              <w:t>) or low (</w:t>
            </w:r>
            <w:r w:rsidR="005276F3" w:rsidRPr="0052008C">
              <w:t>L)</w:t>
            </w:r>
            <w:r>
              <w:t>]</w:t>
            </w:r>
          </w:p>
        </w:tc>
        <w:tc>
          <w:tcPr>
            <w:tcW w:w="1172" w:type="dxa"/>
            <w:shd w:val="clear" w:color="auto" w:fill="C6D9F1" w:themeFill="text2" w:themeFillTint="33"/>
          </w:tcPr>
          <w:p w:rsidR="005276F3" w:rsidRPr="0052008C" w:rsidRDefault="005276F3" w:rsidP="00470AD4">
            <w:pPr>
              <w:pStyle w:val="Tableheading"/>
            </w:pPr>
            <w:r w:rsidRPr="0052008C">
              <w:t xml:space="preserve">Indicative timeframe required </w:t>
            </w:r>
          </w:p>
        </w:tc>
        <w:tc>
          <w:tcPr>
            <w:tcW w:w="2429" w:type="dxa"/>
            <w:shd w:val="clear" w:color="auto" w:fill="C6D9F1" w:themeFill="text2" w:themeFillTint="33"/>
          </w:tcPr>
          <w:p w:rsidR="005276F3" w:rsidRPr="0052008C" w:rsidRDefault="005276F3" w:rsidP="00470AD4">
            <w:pPr>
              <w:pStyle w:val="Tableheading"/>
            </w:pPr>
            <w:r w:rsidRPr="0052008C">
              <w:t>Outcome if gap was addressed</w:t>
            </w:r>
          </w:p>
        </w:tc>
      </w:tr>
      <w:tr w:rsidR="005276F3" w:rsidRPr="0052008C" w:rsidTr="009308A0">
        <w:trPr>
          <w:cantSplit/>
        </w:trPr>
        <w:tc>
          <w:tcPr>
            <w:tcW w:w="583" w:type="dxa"/>
          </w:tcPr>
          <w:p w:rsidR="005276F3" w:rsidRPr="0052008C" w:rsidRDefault="005276F3" w:rsidP="00CB2FBB">
            <w:pPr>
              <w:pStyle w:val="Tabletext"/>
            </w:pPr>
            <w:r w:rsidRPr="0052008C">
              <w:t>K1</w:t>
            </w:r>
          </w:p>
        </w:tc>
        <w:tc>
          <w:tcPr>
            <w:tcW w:w="2219" w:type="dxa"/>
          </w:tcPr>
          <w:p w:rsidR="005276F3" w:rsidRPr="0052008C" w:rsidRDefault="005276F3" w:rsidP="00CB2FBB">
            <w:pPr>
              <w:pStyle w:val="Tabletext"/>
            </w:pPr>
            <w:r w:rsidRPr="0052008C">
              <w:t>Cumulative impacts of CSG water extraction</w:t>
            </w:r>
          </w:p>
        </w:tc>
        <w:tc>
          <w:tcPr>
            <w:tcW w:w="1276" w:type="dxa"/>
          </w:tcPr>
          <w:p w:rsidR="005276F3" w:rsidRPr="0052008C" w:rsidRDefault="005276F3" w:rsidP="00CB2FBB">
            <w:pPr>
              <w:pStyle w:val="Tabletext"/>
            </w:pPr>
            <w:r w:rsidRPr="0052008C">
              <w:t>Regional-Basin</w:t>
            </w:r>
          </w:p>
        </w:tc>
        <w:tc>
          <w:tcPr>
            <w:tcW w:w="1501" w:type="dxa"/>
          </w:tcPr>
          <w:p w:rsidR="005276F3" w:rsidRPr="0052008C" w:rsidRDefault="005276F3" w:rsidP="00CB2FBB">
            <w:pPr>
              <w:pStyle w:val="Tabletext"/>
            </w:pPr>
            <w:r w:rsidRPr="0052008C">
              <w:t>H</w:t>
            </w:r>
          </w:p>
        </w:tc>
        <w:tc>
          <w:tcPr>
            <w:tcW w:w="1172" w:type="dxa"/>
          </w:tcPr>
          <w:p w:rsidR="005276F3" w:rsidRPr="0052008C" w:rsidRDefault="005276F3" w:rsidP="00CB2FBB">
            <w:pPr>
              <w:pStyle w:val="Tabletext"/>
            </w:pPr>
            <w:r w:rsidRPr="0052008C">
              <w:t>5 years</w:t>
            </w:r>
          </w:p>
        </w:tc>
        <w:tc>
          <w:tcPr>
            <w:tcW w:w="2429" w:type="dxa"/>
          </w:tcPr>
          <w:p w:rsidR="005276F3" w:rsidRPr="0052008C" w:rsidRDefault="005276F3" w:rsidP="00CB2FBB">
            <w:pPr>
              <w:pStyle w:val="Tabletext"/>
            </w:pPr>
            <w:r w:rsidRPr="0052008C">
              <w:t>Understanding potential environmental and socio-economic impacts</w:t>
            </w:r>
          </w:p>
        </w:tc>
      </w:tr>
      <w:tr w:rsidR="005276F3" w:rsidRPr="0052008C" w:rsidTr="009308A0">
        <w:trPr>
          <w:cantSplit/>
        </w:trPr>
        <w:tc>
          <w:tcPr>
            <w:tcW w:w="583" w:type="dxa"/>
          </w:tcPr>
          <w:p w:rsidR="005276F3" w:rsidRPr="0052008C" w:rsidRDefault="005276F3" w:rsidP="00CB2FBB">
            <w:pPr>
              <w:pStyle w:val="Tabletext"/>
            </w:pPr>
            <w:r w:rsidRPr="0052008C">
              <w:t>K2</w:t>
            </w:r>
          </w:p>
        </w:tc>
        <w:tc>
          <w:tcPr>
            <w:tcW w:w="2219" w:type="dxa"/>
          </w:tcPr>
          <w:p w:rsidR="005276F3" w:rsidRPr="0052008C" w:rsidRDefault="005276F3" w:rsidP="00CB2FBB">
            <w:pPr>
              <w:pStyle w:val="Tabletext"/>
            </w:pPr>
            <w:r w:rsidRPr="0052008C">
              <w:t xml:space="preserve">Spatial variability in hydraulic properties (esp. vertical hydraulic conductivity) of aquitards </w:t>
            </w:r>
          </w:p>
        </w:tc>
        <w:tc>
          <w:tcPr>
            <w:tcW w:w="1276" w:type="dxa"/>
          </w:tcPr>
          <w:p w:rsidR="005276F3" w:rsidRPr="0052008C" w:rsidRDefault="005276F3" w:rsidP="00CB2FBB">
            <w:pPr>
              <w:pStyle w:val="Tabletext"/>
            </w:pPr>
            <w:r w:rsidRPr="0052008C">
              <w:t>Regional-Basin</w:t>
            </w:r>
          </w:p>
        </w:tc>
        <w:tc>
          <w:tcPr>
            <w:tcW w:w="1501" w:type="dxa"/>
          </w:tcPr>
          <w:p w:rsidR="005276F3" w:rsidRPr="0052008C" w:rsidRDefault="005276F3" w:rsidP="00CB2FBB">
            <w:pPr>
              <w:pStyle w:val="Tabletext"/>
            </w:pPr>
            <w:r w:rsidRPr="0052008C">
              <w:t>H</w:t>
            </w:r>
          </w:p>
        </w:tc>
        <w:tc>
          <w:tcPr>
            <w:tcW w:w="1172" w:type="dxa"/>
          </w:tcPr>
          <w:p w:rsidR="005276F3" w:rsidRPr="0052008C" w:rsidRDefault="005276F3" w:rsidP="00CB2FBB">
            <w:pPr>
              <w:pStyle w:val="Tabletext"/>
            </w:pPr>
            <w:r w:rsidRPr="0052008C">
              <w:t>5 years</w:t>
            </w:r>
          </w:p>
        </w:tc>
        <w:tc>
          <w:tcPr>
            <w:tcW w:w="2429" w:type="dxa"/>
          </w:tcPr>
          <w:p w:rsidR="005276F3" w:rsidRPr="0052008C" w:rsidRDefault="005276F3" w:rsidP="00CB2FBB">
            <w:pPr>
              <w:pStyle w:val="Tabletext"/>
            </w:pPr>
            <w:r w:rsidRPr="0052008C">
              <w:t>Improved definition of areas with high potential for inter-aquifer leakage</w:t>
            </w:r>
          </w:p>
        </w:tc>
      </w:tr>
      <w:tr w:rsidR="005276F3" w:rsidRPr="0052008C" w:rsidTr="009308A0">
        <w:trPr>
          <w:cantSplit/>
        </w:trPr>
        <w:tc>
          <w:tcPr>
            <w:tcW w:w="583" w:type="dxa"/>
          </w:tcPr>
          <w:p w:rsidR="005276F3" w:rsidRPr="0052008C" w:rsidRDefault="005276F3" w:rsidP="00CB2FBB">
            <w:pPr>
              <w:pStyle w:val="Tabletext"/>
            </w:pPr>
            <w:r w:rsidRPr="0052008C">
              <w:t>K3</w:t>
            </w:r>
          </w:p>
        </w:tc>
        <w:tc>
          <w:tcPr>
            <w:tcW w:w="2219" w:type="dxa"/>
          </w:tcPr>
          <w:p w:rsidR="005276F3" w:rsidRPr="0052008C" w:rsidRDefault="005276F3" w:rsidP="00CB2FBB">
            <w:pPr>
              <w:pStyle w:val="Tabletext"/>
            </w:pPr>
            <w:r w:rsidRPr="0052008C">
              <w:t>Methods to estimate formation-scale hydraulic conductivity of aquitards</w:t>
            </w:r>
          </w:p>
        </w:tc>
        <w:tc>
          <w:tcPr>
            <w:tcW w:w="1276" w:type="dxa"/>
          </w:tcPr>
          <w:p w:rsidR="005276F3" w:rsidRPr="0052008C" w:rsidRDefault="005276F3" w:rsidP="00CB2FBB">
            <w:pPr>
              <w:pStyle w:val="Tabletext"/>
            </w:pPr>
            <w:r w:rsidRPr="0052008C">
              <w:t>Local-Regional</w:t>
            </w:r>
          </w:p>
        </w:tc>
        <w:tc>
          <w:tcPr>
            <w:tcW w:w="1501" w:type="dxa"/>
          </w:tcPr>
          <w:p w:rsidR="005276F3" w:rsidRPr="0052008C" w:rsidRDefault="005276F3" w:rsidP="00CB2FBB">
            <w:pPr>
              <w:pStyle w:val="Tabletext"/>
            </w:pPr>
            <w:r w:rsidRPr="0052008C">
              <w:t>H</w:t>
            </w:r>
          </w:p>
        </w:tc>
        <w:tc>
          <w:tcPr>
            <w:tcW w:w="1172" w:type="dxa"/>
          </w:tcPr>
          <w:p w:rsidR="005276F3" w:rsidRPr="0052008C" w:rsidRDefault="005276F3" w:rsidP="00CB2FBB">
            <w:pPr>
              <w:pStyle w:val="Tabletext"/>
            </w:pPr>
            <w:r w:rsidRPr="0052008C">
              <w:t>1-3 years</w:t>
            </w:r>
          </w:p>
        </w:tc>
        <w:tc>
          <w:tcPr>
            <w:tcW w:w="2429" w:type="dxa"/>
          </w:tcPr>
          <w:p w:rsidR="005276F3" w:rsidRPr="0052008C" w:rsidRDefault="005276F3" w:rsidP="00CB2FBB">
            <w:pPr>
              <w:pStyle w:val="Tabletext"/>
            </w:pPr>
            <w:r w:rsidRPr="0052008C">
              <w:t>Reduced uncertainty in the prediction of inter-aquifer leakage responses to CSG water extraction</w:t>
            </w:r>
          </w:p>
        </w:tc>
      </w:tr>
      <w:tr w:rsidR="005276F3" w:rsidRPr="0052008C" w:rsidTr="009308A0">
        <w:trPr>
          <w:cantSplit/>
        </w:trPr>
        <w:tc>
          <w:tcPr>
            <w:tcW w:w="583" w:type="dxa"/>
          </w:tcPr>
          <w:p w:rsidR="005276F3" w:rsidRPr="0052008C" w:rsidRDefault="005276F3" w:rsidP="00CB2FBB">
            <w:pPr>
              <w:pStyle w:val="Tabletext"/>
            </w:pPr>
            <w:r w:rsidRPr="0052008C">
              <w:t>K4</w:t>
            </w:r>
          </w:p>
        </w:tc>
        <w:tc>
          <w:tcPr>
            <w:tcW w:w="2219" w:type="dxa"/>
          </w:tcPr>
          <w:p w:rsidR="005276F3" w:rsidRPr="0052008C" w:rsidRDefault="005276F3" w:rsidP="00CB2FBB">
            <w:pPr>
              <w:pStyle w:val="Tabletext"/>
            </w:pPr>
            <w:r w:rsidRPr="0052008C">
              <w:t>Natural connectivity between Permian coal seam units and Jurassic-Cretaceous GAB units via Triassic sandstone units</w:t>
            </w:r>
          </w:p>
        </w:tc>
        <w:tc>
          <w:tcPr>
            <w:tcW w:w="1276" w:type="dxa"/>
          </w:tcPr>
          <w:p w:rsidR="005276F3" w:rsidRPr="0052008C" w:rsidRDefault="005276F3" w:rsidP="00CB2FBB">
            <w:pPr>
              <w:pStyle w:val="Tabletext"/>
            </w:pPr>
            <w:r w:rsidRPr="0052008C">
              <w:t>Basin (all basins)</w:t>
            </w:r>
          </w:p>
        </w:tc>
        <w:tc>
          <w:tcPr>
            <w:tcW w:w="1501" w:type="dxa"/>
          </w:tcPr>
          <w:p w:rsidR="005276F3" w:rsidRPr="0052008C" w:rsidRDefault="005276F3" w:rsidP="00CB2FBB">
            <w:pPr>
              <w:pStyle w:val="Tabletext"/>
            </w:pPr>
            <w:r w:rsidRPr="0052008C">
              <w:t>M</w:t>
            </w:r>
          </w:p>
        </w:tc>
        <w:tc>
          <w:tcPr>
            <w:tcW w:w="1172" w:type="dxa"/>
          </w:tcPr>
          <w:p w:rsidR="005276F3" w:rsidRPr="0052008C" w:rsidRDefault="005276F3" w:rsidP="00CB2FBB">
            <w:pPr>
              <w:pStyle w:val="Tabletext"/>
            </w:pPr>
            <w:r w:rsidRPr="0052008C">
              <w:t>2-3 years</w:t>
            </w:r>
          </w:p>
        </w:tc>
        <w:tc>
          <w:tcPr>
            <w:tcW w:w="2429" w:type="dxa"/>
          </w:tcPr>
          <w:p w:rsidR="005276F3" w:rsidRPr="0052008C" w:rsidRDefault="005276F3" w:rsidP="00CB2FBB">
            <w:pPr>
              <w:pStyle w:val="Tabletext"/>
            </w:pPr>
            <w:r w:rsidRPr="0052008C">
              <w:t>Baseline assessment of inter-aquifer leakage</w:t>
            </w:r>
          </w:p>
        </w:tc>
      </w:tr>
      <w:tr w:rsidR="008B1661" w:rsidRPr="0052008C" w:rsidTr="009308A0">
        <w:trPr>
          <w:cantSplit/>
        </w:trPr>
        <w:tc>
          <w:tcPr>
            <w:tcW w:w="583" w:type="dxa"/>
          </w:tcPr>
          <w:p w:rsidR="008B1661" w:rsidRPr="0052008C" w:rsidRDefault="008B1661" w:rsidP="00CB2FBB">
            <w:pPr>
              <w:pStyle w:val="Tabletext"/>
            </w:pPr>
            <w:r w:rsidRPr="0052008C">
              <w:t>K5</w:t>
            </w:r>
          </w:p>
        </w:tc>
        <w:tc>
          <w:tcPr>
            <w:tcW w:w="2219" w:type="dxa"/>
          </w:tcPr>
          <w:p w:rsidR="008B1661" w:rsidRPr="0052008C" w:rsidRDefault="008B1661" w:rsidP="00CB2FBB">
            <w:pPr>
              <w:pStyle w:val="Tabletext"/>
            </w:pPr>
            <w:r w:rsidRPr="0052008C">
              <w:t>Presence and importance of faults in controlling groundwater flow and inter-aquifer leakage</w:t>
            </w:r>
          </w:p>
        </w:tc>
        <w:tc>
          <w:tcPr>
            <w:tcW w:w="1276" w:type="dxa"/>
          </w:tcPr>
          <w:p w:rsidR="008B1661" w:rsidRPr="0052008C" w:rsidRDefault="008B1661" w:rsidP="00CB2FBB">
            <w:pPr>
              <w:pStyle w:val="Tabletext"/>
            </w:pPr>
            <w:r w:rsidRPr="0052008C">
              <w:t>Basin (all basins)</w:t>
            </w:r>
          </w:p>
        </w:tc>
        <w:tc>
          <w:tcPr>
            <w:tcW w:w="1501" w:type="dxa"/>
          </w:tcPr>
          <w:p w:rsidR="008B1661" w:rsidRPr="0052008C" w:rsidRDefault="008B1661" w:rsidP="00CB2FBB">
            <w:pPr>
              <w:pStyle w:val="Tabletext"/>
            </w:pPr>
            <w:r w:rsidRPr="0052008C">
              <w:t>M</w:t>
            </w:r>
          </w:p>
        </w:tc>
        <w:tc>
          <w:tcPr>
            <w:tcW w:w="1172" w:type="dxa"/>
          </w:tcPr>
          <w:p w:rsidR="008B1661" w:rsidRPr="0052008C" w:rsidRDefault="008B1661" w:rsidP="00CB2FBB">
            <w:pPr>
              <w:pStyle w:val="Tabletext"/>
            </w:pPr>
            <w:r w:rsidRPr="0052008C">
              <w:t>3-5 years</w:t>
            </w:r>
          </w:p>
        </w:tc>
        <w:tc>
          <w:tcPr>
            <w:tcW w:w="2429" w:type="dxa"/>
          </w:tcPr>
          <w:p w:rsidR="008B1661" w:rsidRPr="0052008C" w:rsidRDefault="008B1661" w:rsidP="00CB2FBB">
            <w:pPr>
              <w:pStyle w:val="Tabletext"/>
            </w:pPr>
            <w:r w:rsidRPr="0052008C">
              <w:t>Reduced uncertainty in the prediction of inter-aquifer leakage responses to CSG water extraction and re-injection</w:t>
            </w:r>
          </w:p>
        </w:tc>
      </w:tr>
      <w:tr w:rsidR="008B1661" w:rsidRPr="0052008C" w:rsidTr="009308A0">
        <w:trPr>
          <w:cantSplit/>
        </w:trPr>
        <w:tc>
          <w:tcPr>
            <w:tcW w:w="583" w:type="dxa"/>
          </w:tcPr>
          <w:p w:rsidR="008B1661" w:rsidRPr="0052008C" w:rsidRDefault="008B1661" w:rsidP="00CB2FBB">
            <w:pPr>
              <w:pStyle w:val="Tabletext"/>
            </w:pPr>
            <w:r w:rsidRPr="0052008C">
              <w:t>K6</w:t>
            </w:r>
          </w:p>
        </w:tc>
        <w:tc>
          <w:tcPr>
            <w:tcW w:w="2219" w:type="dxa"/>
          </w:tcPr>
          <w:p w:rsidR="008B1661" w:rsidRPr="0052008C" w:rsidRDefault="008B1661" w:rsidP="00CB2FBB">
            <w:pPr>
              <w:pStyle w:val="Tabletext"/>
            </w:pPr>
            <w:r w:rsidRPr="0052008C">
              <w:t>Importance of considering dual-phase flow for modelling of inter-aquifer leakage</w:t>
            </w:r>
          </w:p>
        </w:tc>
        <w:tc>
          <w:tcPr>
            <w:tcW w:w="1276" w:type="dxa"/>
          </w:tcPr>
          <w:p w:rsidR="008B1661" w:rsidRPr="0052008C" w:rsidRDefault="008B1661" w:rsidP="00CB2FBB">
            <w:pPr>
              <w:pStyle w:val="Tabletext"/>
            </w:pPr>
            <w:r w:rsidRPr="0052008C">
              <w:t>Local</w:t>
            </w:r>
          </w:p>
        </w:tc>
        <w:tc>
          <w:tcPr>
            <w:tcW w:w="1501" w:type="dxa"/>
          </w:tcPr>
          <w:p w:rsidR="008B1661" w:rsidRPr="0052008C" w:rsidRDefault="008B1661" w:rsidP="00CB2FBB">
            <w:pPr>
              <w:pStyle w:val="Tabletext"/>
            </w:pPr>
            <w:r w:rsidRPr="0052008C">
              <w:t>M</w:t>
            </w:r>
          </w:p>
        </w:tc>
        <w:tc>
          <w:tcPr>
            <w:tcW w:w="1172" w:type="dxa"/>
          </w:tcPr>
          <w:p w:rsidR="008B1661" w:rsidRPr="0052008C" w:rsidRDefault="008B1661" w:rsidP="00CB2FBB">
            <w:pPr>
              <w:pStyle w:val="Tabletext"/>
            </w:pPr>
            <w:r w:rsidRPr="0052008C">
              <w:t>1-2 years</w:t>
            </w:r>
          </w:p>
        </w:tc>
        <w:tc>
          <w:tcPr>
            <w:tcW w:w="2429" w:type="dxa"/>
          </w:tcPr>
          <w:p w:rsidR="008B1661" w:rsidRPr="0052008C" w:rsidRDefault="008B1661" w:rsidP="00CB2FBB">
            <w:pPr>
              <w:pStyle w:val="Tabletext"/>
            </w:pPr>
            <w:r w:rsidRPr="0052008C">
              <w:t>Reduced uncertainty in the prediction of inter-aquifer leakage responses to CSG water extraction</w:t>
            </w:r>
          </w:p>
        </w:tc>
      </w:tr>
      <w:tr w:rsidR="008B1661" w:rsidRPr="0052008C" w:rsidTr="009308A0">
        <w:trPr>
          <w:cantSplit/>
        </w:trPr>
        <w:tc>
          <w:tcPr>
            <w:tcW w:w="583" w:type="dxa"/>
          </w:tcPr>
          <w:p w:rsidR="008B1661" w:rsidRPr="0052008C" w:rsidRDefault="008B1661" w:rsidP="00CB2FBB">
            <w:pPr>
              <w:pStyle w:val="Tabletext"/>
            </w:pPr>
            <w:r w:rsidRPr="0052008C">
              <w:lastRenderedPageBreak/>
              <w:t>K7</w:t>
            </w:r>
          </w:p>
        </w:tc>
        <w:tc>
          <w:tcPr>
            <w:tcW w:w="2219" w:type="dxa"/>
          </w:tcPr>
          <w:p w:rsidR="008B1661" w:rsidRPr="0052008C" w:rsidRDefault="008B1661" w:rsidP="00CB2FBB">
            <w:pPr>
              <w:pStyle w:val="Tabletext"/>
            </w:pPr>
            <w:r w:rsidRPr="0052008C">
              <w:t>Methods to model groundwater flow accounting for mechanical deformation of aquifers/aquitards</w:t>
            </w:r>
          </w:p>
        </w:tc>
        <w:tc>
          <w:tcPr>
            <w:tcW w:w="1276" w:type="dxa"/>
          </w:tcPr>
          <w:p w:rsidR="008B1661" w:rsidRPr="0052008C" w:rsidRDefault="008B1661" w:rsidP="00CB2FBB">
            <w:pPr>
              <w:pStyle w:val="Tabletext"/>
            </w:pPr>
            <w:r w:rsidRPr="0052008C">
              <w:t>Local-Regional</w:t>
            </w:r>
          </w:p>
        </w:tc>
        <w:tc>
          <w:tcPr>
            <w:tcW w:w="1501" w:type="dxa"/>
          </w:tcPr>
          <w:p w:rsidR="008B1661" w:rsidRPr="0052008C" w:rsidRDefault="008B1661" w:rsidP="00CB2FBB">
            <w:pPr>
              <w:pStyle w:val="Tabletext"/>
            </w:pPr>
            <w:r w:rsidRPr="0052008C">
              <w:t>M</w:t>
            </w:r>
          </w:p>
        </w:tc>
        <w:tc>
          <w:tcPr>
            <w:tcW w:w="1172" w:type="dxa"/>
          </w:tcPr>
          <w:p w:rsidR="008B1661" w:rsidRPr="0052008C" w:rsidRDefault="008B1661" w:rsidP="00CB2FBB">
            <w:pPr>
              <w:pStyle w:val="Tabletext"/>
            </w:pPr>
            <w:r w:rsidRPr="0052008C">
              <w:t>3-5 years</w:t>
            </w:r>
          </w:p>
        </w:tc>
        <w:tc>
          <w:tcPr>
            <w:tcW w:w="2429" w:type="dxa"/>
          </w:tcPr>
          <w:p w:rsidR="008B1661" w:rsidRPr="0052008C" w:rsidRDefault="008B1661" w:rsidP="00CB2FBB">
            <w:pPr>
              <w:pStyle w:val="Tabletext"/>
            </w:pPr>
            <w:r w:rsidRPr="0052008C">
              <w:t>Reduced uncertainty in the prediction of inter-aquifer leakage responses to CSG water extraction and re-injection</w:t>
            </w:r>
          </w:p>
        </w:tc>
      </w:tr>
      <w:tr w:rsidR="008B1661" w:rsidRPr="0052008C" w:rsidTr="009308A0">
        <w:trPr>
          <w:cantSplit/>
        </w:trPr>
        <w:tc>
          <w:tcPr>
            <w:tcW w:w="583" w:type="dxa"/>
          </w:tcPr>
          <w:p w:rsidR="008B1661" w:rsidRPr="0052008C" w:rsidRDefault="008B1661" w:rsidP="00CB2FBB">
            <w:pPr>
              <w:pStyle w:val="Tabletext"/>
            </w:pPr>
            <w:r w:rsidRPr="0052008C">
              <w:t>K8</w:t>
            </w:r>
          </w:p>
        </w:tc>
        <w:tc>
          <w:tcPr>
            <w:tcW w:w="2219" w:type="dxa"/>
          </w:tcPr>
          <w:p w:rsidR="008B1661" w:rsidRPr="0052008C" w:rsidRDefault="008B1661" w:rsidP="00CB2FBB">
            <w:pPr>
              <w:pStyle w:val="Tabletext"/>
            </w:pPr>
            <w:r w:rsidRPr="0052008C">
              <w:t>Methods to measure inter-aquifer leakage under highly stressed (hydraulic) conditions</w:t>
            </w:r>
          </w:p>
        </w:tc>
        <w:tc>
          <w:tcPr>
            <w:tcW w:w="1276" w:type="dxa"/>
          </w:tcPr>
          <w:p w:rsidR="008B1661" w:rsidRPr="0052008C" w:rsidRDefault="008B1661" w:rsidP="00CB2FBB">
            <w:pPr>
              <w:pStyle w:val="Tabletext"/>
            </w:pPr>
            <w:r w:rsidRPr="0052008C">
              <w:t>Regional</w:t>
            </w:r>
          </w:p>
        </w:tc>
        <w:tc>
          <w:tcPr>
            <w:tcW w:w="1501" w:type="dxa"/>
          </w:tcPr>
          <w:p w:rsidR="008B1661" w:rsidRPr="0052008C" w:rsidRDefault="008B1661" w:rsidP="00CB2FBB">
            <w:pPr>
              <w:pStyle w:val="Tabletext"/>
            </w:pPr>
            <w:r w:rsidRPr="0052008C">
              <w:t>M</w:t>
            </w:r>
          </w:p>
        </w:tc>
        <w:tc>
          <w:tcPr>
            <w:tcW w:w="1172" w:type="dxa"/>
          </w:tcPr>
          <w:p w:rsidR="008B1661" w:rsidRPr="0052008C" w:rsidRDefault="008B1661" w:rsidP="00CB2FBB">
            <w:pPr>
              <w:pStyle w:val="Tabletext"/>
            </w:pPr>
            <w:r w:rsidRPr="0052008C">
              <w:t>2-3 years</w:t>
            </w:r>
          </w:p>
        </w:tc>
        <w:tc>
          <w:tcPr>
            <w:tcW w:w="2429" w:type="dxa"/>
          </w:tcPr>
          <w:p w:rsidR="008B1661" w:rsidRPr="0052008C" w:rsidRDefault="008B1661" w:rsidP="00CB2FBB">
            <w:pPr>
              <w:pStyle w:val="Tabletext"/>
            </w:pPr>
            <w:r w:rsidRPr="0052008C">
              <w:t>Ability to collect independent data to calibrate groundwater models</w:t>
            </w:r>
          </w:p>
        </w:tc>
      </w:tr>
      <w:tr w:rsidR="008B1661" w:rsidRPr="0052008C" w:rsidTr="009308A0">
        <w:trPr>
          <w:cantSplit/>
        </w:trPr>
        <w:tc>
          <w:tcPr>
            <w:tcW w:w="583" w:type="dxa"/>
          </w:tcPr>
          <w:p w:rsidR="008B1661" w:rsidRPr="0052008C" w:rsidRDefault="008B1661" w:rsidP="00CB2FBB">
            <w:pPr>
              <w:pStyle w:val="Tabletext"/>
            </w:pPr>
            <w:r w:rsidRPr="0052008C">
              <w:t>K9</w:t>
            </w:r>
          </w:p>
        </w:tc>
        <w:tc>
          <w:tcPr>
            <w:tcW w:w="2219" w:type="dxa"/>
          </w:tcPr>
          <w:p w:rsidR="008B1661" w:rsidRPr="0052008C" w:rsidRDefault="008B1661" w:rsidP="00CB2FBB">
            <w:pPr>
              <w:pStyle w:val="Tabletext"/>
            </w:pPr>
            <w:r w:rsidRPr="0052008C">
              <w:t xml:space="preserve">Presence of major erosion features or pinch outs </w:t>
            </w:r>
          </w:p>
        </w:tc>
        <w:tc>
          <w:tcPr>
            <w:tcW w:w="1276" w:type="dxa"/>
          </w:tcPr>
          <w:p w:rsidR="008B1661" w:rsidRPr="0052008C" w:rsidRDefault="008B1661" w:rsidP="00CB2FBB">
            <w:pPr>
              <w:pStyle w:val="Tabletext"/>
            </w:pPr>
            <w:r w:rsidRPr="0052008C">
              <w:t>Basin (Bowen)</w:t>
            </w:r>
          </w:p>
        </w:tc>
        <w:tc>
          <w:tcPr>
            <w:tcW w:w="1501" w:type="dxa"/>
          </w:tcPr>
          <w:p w:rsidR="008B1661" w:rsidRPr="0052008C" w:rsidRDefault="008B1661" w:rsidP="00CB2FBB">
            <w:pPr>
              <w:pStyle w:val="Tabletext"/>
            </w:pPr>
            <w:r w:rsidRPr="0052008C">
              <w:t>L</w:t>
            </w:r>
          </w:p>
        </w:tc>
        <w:tc>
          <w:tcPr>
            <w:tcW w:w="1172" w:type="dxa"/>
          </w:tcPr>
          <w:p w:rsidR="008B1661" w:rsidRPr="0052008C" w:rsidRDefault="008B1661" w:rsidP="00CB2FBB">
            <w:pPr>
              <w:pStyle w:val="Tabletext"/>
            </w:pPr>
            <w:r w:rsidRPr="0052008C">
              <w:t>2-3 years</w:t>
            </w:r>
          </w:p>
        </w:tc>
        <w:tc>
          <w:tcPr>
            <w:tcW w:w="2429" w:type="dxa"/>
          </w:tcPr>
          <w:p w:rsidR="008B1661" w:rsidRPr="0052008C" w:rsidRDefault="008B1661" w:rsidP="00CB2FBB">
            <w:pPr>
              <w:pStyle w:val="Tabletext"/>
            </w:pPr>
            <w:r w:rsidRPr="0052008C">
              <w:t>Improved definition of areas with high potential for inter-aquifer leakage</w:t>
            </w:r>
          </w:p>
        </w:tc>
      </w:tr>
      <w:tr w:rsidR="008B1661" w:rsidRPr="0052008C" w:rsidTr="009308A0">
        <w:trPr>
          <w:cantSplit/>
        </w:trPr>
        <w:tc>
          <w:tcPr>
            <w:tcW w:w="583" w:type="dxa"/>
          </w:tcPr>
          <w:p w:rsidR="008B1661" w:rsidRPr="0052008C" w:rsidRDefault="008B1661" w:rsidP="00CB2FBB">
            <w:pPr>
              <w:pStyle w:val="Tabletext"/>
            </w:pPr>
            <w:r w:rsidRPr="0052008C">
              <w:t>D1</w:t>
            </w:r>
          </w:p>
        </w:tc>
        <w:tc>
          <w:tcPr>
            <w:tcW w:w="2219" w:type="dxa"/>
          </w:tcPr>
          <w:p w:rsidR="008B1661" w:rsidRPr="0052008C" w:rsidRDefault="008B1661" w:rsidP="00CB2FBB">
            <w:pPr>
              <w:pStyle w:val="Tabletext"/>
            </w:pPr>
            <w:r w:rsidRPr="0052008C">
              <w:t>Formation-scale vertical hydraulic conductivity</w:t>
            </w:r>
          </w:p>
        </w:tc>
        <w:tc>
          <w:tcPr>
            <w:tcW w:w="1276" w:type="dxa"/>
          </w:tcPr>
          <w:p w:rsidR="008B1661" w:rsidRPr="0052008C" w:rsidRDefault="008B1661" w:rsidP="00CB2FBB">
            <w:pPr>
              <w:pStyle w:val="Tabletext"/>
            </w:pPr>
            <w:r w:rsidRPr="0052008C">
              <w:t>Local-Regional (all basins)</w:t>
            </w:r>
          </w:p>
        </w:tc>
        <w:tc>
          <w:tcPr>
            <w:tcW w:w="1501" w:type="dxa"/>
          </w:tcPr>
          <w:p w:rsidR="008B1661" w:rsidRPr="0052008C" w:rsidRDefault="008B1661" w:rsidP="00CB2FBB">
            <w:pPr>
              <w:pStyle w:val="Tabletext"/>
            </w:pPr>
            <w:r w:rsidRPr="0052008C">
              <w:t>H</w:t>
            </w:r>
          </w:p>
        </w:tc>
        <w:tc>
          <w:tcPr>
            <w:tcW w:w="1172" w:type="dxa"/>
          </w:tcPr>
          <w:p w:rsidR="008B1661" w:rsidRPr="0052008C" w:rsidRDefault="008B1661" w:rsidP="00CB2FBB">
            <w:pPr>
              <w:pStyle w:val="Tabletext"/>
            </w:pPr>
            <w:r w:rsidRPr="0052008C">
              <w:t>3-5 years</w:t>
            </w:r>
          </w:p>
        </w:tc>
        <w:tc>
          <w:tcPr>
            <w:tcW w:w="2429" w:type="dxa"/>
          </w:tcPr>
          <w:p w:rsidR="008B1661" w:rsidRPr="0052008C" w:rsidRDefault="008B1661" w:rsidP="00CB2FBB">
            <w:pPr>
              <w:pStyle w:val="Tabletext"/>
            </w:pPr>
            <w:r w:rsidRPr="0052008C">
              <w:t>Reduced uncertainty in the prediction of inter-aquifer leakage responses to CSG water extraction and re-injection</w:t>
            </w:r>
          </w:p>
        </w:tc>
      </w:tr>
      <w:tr w:rsidR="008B1661" w:rsidRPr="0052008C" w:rsidTr="009308A0">
        <w:trPr>
          <w:cantSplit/>
        </w:trPr>
        <w:tc>
          <w:tcPr>
            <w:tcW w:w="583" w:type="dxa"/>
          </w:tcPr>
          <w:p w:rsidR="008B1661" w:rsidRPr="0052008C" w:rsidRDefault="008B1661" w:rsidP="00CB2FBB">
            <w:pPr>
              <w:pStyle w:val="Tabletext"/>
            </w:pPr>
            <w:r w:rsidRPr="0052008C">
              <w:t>D2</w:t>
            </w:r>
          </w:p>
        </w:tc>
        <w:tc>
          <w:tcPr>
            <w:tcW w:w="2219" w:type="dxa"/>
          </w:tcPr>
          <w:p w:rsidR="008B1661" w:rsidRPr="0052008C" w:rsidRDefault="008B1661" w:rsidP="00CB2FBB">
            <w:pPr>
              <w:pStyle w:val="Tabletext"/>
            </w:pPr>
            <w:r w:rsidRPr="0052008C">
              <w:t>Consolidated database of corrected hydraulic head data from all States</w:t>
            </w:r>
          </w:p>
        </w:tc>
        <w:tc>
          <w:tcPr>
            <w:tcW w:w="1276" w:type="dxa"/>
          </w:tcPr>
          <w:p w:rsidR="008B1661" w:rsidRPr="0052008C" w:rsidRDefault="008B1661" w:rsidP="00CB2FBB">
            <w:pPr>
              <w:pStyle w:val="Tabletext"/>
            </w:pPr>
            <w:r w:rsidRPr="0052008C">
              <w:t>Basin (all basins)</w:t>
            </w:r>
          </w:p>
        </w:tc>
        <w:tc>
          <w:tcPr>
            <w:tcW w:w="1501" w:type="dxa"/>
          </w:tcPr>
          <w:p w:rsidR="008B1661" w:rsidRPr="0052008C" w:rsidRDefault="008B1661" w:rsidP="00CB2FBB">
            <w:pPr>
              <w:pStyle w:val="Tabletext"/>
            </w:pPr>
            <w:r w:rsidRPr="0052008C">
              <w:t>H</w:t>
            </w:r>
          </w:p>
        </w:tc>
        <w:tc>
          <w:tcPr>
            <w:tcW w:w="1172" w:type="dxa"/>
          </w:tcPr>
          <w:p w:rsidR="008B1661" w:rsidRPr="0052008C" w:rsidRDefault="008B1661" w:rsidP="00CB2FBB">
            <w:pPr>
              <w:pStyle w:val="Tabletext"/>
            </w:pPr>
            <w:r w:rsidRPr="0052008C">
              <w:t>1-3 years</w:t>
            </w:r>
          </w:p>
        </w:tc>
        <w:tc>
          <w:tcPr>
            <w:tcW w:w="2429" w:type="dxa"/>
          </w:tcPr>
          <w:p w:rsidR="008B1661" w:rsidRPr="0052008C" w:rsidRDefault="008B1661" w:rsidP="00CB2FBB">
            <w:pPr>
              <w:pStyle w:val="Tabletext"/>
            </w:pPr>
            <w:r w:rsidRPr="0052008C">
              <w:t>Improved definition of areas with high potential for inter-aquifer leakage</w:t>
            </w:r>
          </w:p>
        </w:tc>
      </w:tr>
      <w:tr w:rsidR="008B1661" w:rsidRPr="0052008C" w:rsidTr="009308A0">
        <w:trPr>
          <w:cantSplit/>
        </w:trPr>
        <w:tc>
          <w:tcPr>
            <w:tcW w:w="583" w:type="dxa"/>
          </w:tcPr>
          <w:p w:rsidR="008B1661" w:rsidRPr="0052008C" w:rsidRDefault="008B1661" w:rsidP="00CB2FBB">
            <w:pPr>
              <w:pStyle w:val="Tabletext"/>
            </w:pPr>
            <w:r w:rsidRPr="0052008C">
              <w:t>D3</w:t>
            </w:r>
          </w:p>
        </w:tc>
        <w:tc>
          <w:tcPr>
            <w:tcW w:w="2219" w:type="dxa"/>
          </w:tcPr>
          <w:p w:rsidR="008B1661" w:rsidRPr="0052008C" w:rsidRDefault="008B1661" w:rsidP="00CB2FBB">
            <w:pPr>
              <w:pStyle w:val="Tabletext"/>
            </w:pPr>
            <w:r w:rsidRPr="0052008C">
              <w:t>High density measurements of vertical head gradients</w:t>
            </w:r>
          </w:p>
        </w:tc>
        <w:tc>
          <w:tcPr>
            <w:tcW w:w="1276" w:type="dxa"/>
          </w:tcPr>
          <w:p w:rsidR="008B1661" w:rsidRPr="0052008C" w:rsidRDefault="008B1661" w:rsidP="00CB2FBB">
            <w:pPr>
              <w:pStyle w:val="Tabletext"/>
            </w:pPr>
            <w:r w:rsidRPr="0052008C">
              <w:t>Regional (all basins, especially Bowen and Galilee)</w:t>
            </w:r>
          </w:p>
        </w:tc>
        <w:tc>
          <w:tcPr>
            <w:tcW w:w="1501" w:type="dxa"/>
          </w:tcPr>
          <w:p w:rsidR="008B1661" w:rsidRPr="0052008C" w:rsidRDefault="008B1661" w:rsidP="00CB2FBB">
            <w:pPr>
              <w:pStyle w:val="Tabletext"/>
            </w:pPr>
            <w:r w:rsidRPr="0052008C">
              <w:t>H</w:t>
            </w:r>
          </w:p>
        </w:tc>
        <w:tc>
          <w:tcPr>
            <w:tcW w:w="1172" w:type="dxa"/>
          </w:tcPr>
          <w:p w:rsidR="008B1661" w:rsidRPr="0052008C" w:rsidRDefault="008B1661" w:rsidP="00CB2FBB">
            <w:pPr>
              <w:pStyle w:val="Tabletext"/>
            </w:pPr>
            <w:r w:rsidRPr="0052008C">
              <w:t>1-3 years</w:t>
            </w:r>
          </w:p>
        </w:tc>
        <w:tc>
          <w:tcPr>
            <w:tcW w:w="2429" w:type="dxa"/>
          </w:tcPr>
          <w:p w:rsidR="008B1661" w:rsidRPr="0052008C" w:rsidRDefault="008B1661" w:rsidP="00CB2FBB">
            <w:pPr>
              <w:pStyle w:val="Tabletext"/>
            </w:pPr>
            <w:r w:rsidRPr="0052008C">
              <w:t>Improved definition of areas with high potential for interaction</w:t>
            </w:r>
          </w:p>
        </w:tc>
      </w:tr>
      <w:tr w:rsidR="008B1661" w:rsidRPr="0052008C" w:rsidTr="009308A0">
        <w:trPr>
          <w:cantSplit/>
        </w:trPr>
        <w:tc>
          <w:tcPr>
            <w:tcW w:w="583" w:type="dxa"/>
          </w:tcPr>
          <w:p w:rsidR="008B1661" w:rsidRPr="0052008C" w:rsidRDefault="008B1661" w:rsidP="00CB2FBB">
            <w:pPr>
              <w:pStyle w:val="Tabletext"/>
            </w:pPr>
            <w:r w:rsidRPr="0052008C">
              <w:t>D4</w:t>
            </w:r>
          </w:p>
        </w:tc>
        <w:tc>
          <w:tcPr>
            <w:tcW w:w="2219" w:type="dxa"/>
          </w:tcPr>
          <w:p w:rsidR="008B1661" w:rsidRPr="0052008C" w:rsidRDefault="008B1661" w:rsidP="00CB2FBB">
            <w:pPr>
              <w:pStyle w:val="Tabletext"/>
            </w:pPr>
            <w:r w:rsidRPr="0052008C">
              <w:t>Time-series groundwater level data for individual aquifer formations</w:t>
            </w:r>
          </w:p>
        </w:tc>
        <w:tc>
          <w:tcPr>
            <w:tcW w:w="1276" w:type="dxa"/>
          </w:tcPr>
          <w:p w:rsidR="008B1661" w:rsidRPr="0052008C" w:rsidRDefault="008B1661" w:rsidP="00CB2FBB">
            <w:pPr>
              <w:pStyle w:val="Tabletext"/>
            </w:pPr>
            <w:r w:rsidRPr="0052008C">
              <w:t>Basin (especially Galilee and Bowen)</w:t>
            </w:r>
          </w:p>
        </w:tc>
        <w:tc>
          <w:tcPr>
            <w:tcW w:w="1501" w:type="dxa"/>
          </w:tcPr>
          <w:p w:rsidR="008B1661" w:rsidRPr="0052008C" w:rsidRDefault="008B1661" w:rsidP="00CB2FBB">
            <w:pPr>
              <w:pStyle w:val="Tabletext"/>
            </w:pPr>
            <w:r w:rsidRPr="0052008C">
              <w:t>H</w:t>
            </w:r>
          </w:p>
        </w:tc>
        <w:tc>
          <w:tcPr>
            <w:tcW w:w="1172" w:type="dxa"/>
          </w:tcPr>
          <w:p w:rsidR="008B1661" w:rsidRPr="0052008C" w:rsidRDefault="008B1661" w:rsidP="00CB2FBB">
            <w:pPr>
              <w:pStyle w:val="Tabletext"/>
            </w:pPr>
            <w:r w:rsidRPr="0052008C">
              <w:t>2-3 years</w:t>
            </w:r>
          </w:p>
        </w:tc>
        <w:tc>
          <w:tcPr>
            <w:tcW w:w="2429" w:type="dxa"/>
          </w:tcPr>
          <w:p w:rsidR="008B1661" w:rsidRPr="0052008C" w:rsidRDefault="008B1661" w:rsidP="00CB2FBB">
            <w:pPr>
              <w:pStyle w:val="Tabletext"/>
            </w:pPr>
            <w:r w:rsidRPr="0052008C">
              <w:t>Baseline assessment and long-term monitoring</w:t>
            </w:r>
          </w:p>
        </w:tc>
      </w:tr>
      <w:tr w:rsidR="008B1661" w:rsidRPr="0052008C" w:rsidTr="009308A0">
        <w:trPr>
          <w:cantSplit/>
        </w:trPr>
        <w:tc>
          <w:tcPr>
            <w:tcW w:w="583" w:type="dxa"/>
          </w:tcPr>
          <w:p w:rsidR="008B1661" w:rsidRPr="0052008C" w:rsidRDefault="008B1661" w:rsidP="00CB2FBB">
            <w:pPr>
              <w:pStyle w:val="Tabletext"/>
            </w:pPr>
            <w:r w:rsidRPr="0052008C">
              <w:t>D5</w:t>
            </w:r>
          </w:p>
        </w:tc>
        <w:tc>
          <w:tcPr>
            <w:tcW w:w="2219" w:type="dxa"/>
          </w:tcPr>
          <w:p w:rsidR="008B1661" w:rsidRPr="0052008C" w:rsidRDefault="008B1661" w:rsidP="00CB2FBB">
            <w:pPr>
              <w:pStyle w:val="Tabletext"/>
            </w:pPr>
            <w:r w:rsidRPr="0052008C">
              <w:t>Systematic mapping of polygonal faulting</w:t>
            </w:r>
          </w:p>
        </w:tc>
        <w:tc>
          <w:tcPr>
            <w:tcW w:w="1276" w:type="dxa"/>
          </w:tcPr>
          <w:p w:rsidR="008B1661" w:rsidRPr="0052008C" w:rsidRDefault="008B1661" w:rsidP="00CB2FBB">
            <w:pPr>
              <w:pStyle w:val="Tabletext"/>
            </w:pPr>
            <w:r w:rsidRPr="0052008C">
              <w:t>Regional (Eromanga Basin)</w:t>
            </w:r>
          </w:p>
        </w:tc>
        <w:tc>
          <w:tcPr>
            <w:tcW w:w="1501" w:type="dxa"/>
          </w:tcPr>
          <w:p w:rsidR="008B1661" w:rsidRPr="0052008C" w:rsidRDefault="008B1661" w:rsidP="00CB2FBB">
            <w:pPr>
              <w:pStyle w:val="Tabletext"/>
            </w:pPr>
            <w:r w:rsidRPr="0052008C">
              <w:t>M</w:t>
            </w:r>
          </w:p>
        </w:tc>
        <w:tc>
          <w:tcPr>
            <w:tcW w:w="1172" w:type="dxa"/>
          </w:tcPr>
          <w:p w:rsidR="008B1661" w:rsidRPr="0052008C" w:rsidRDefault="008B1661" w:rsidP="00CB2FBB">
            <w:pPr>
              <w:pStyle w:val="Tabletext"/>
            </w:pPr>
            <w:r w:rsidRPr="0052008C">
              <w:t>1-3 years</w:t>
            </w:r>
          </w:p>
        </w:tc>
        <w:tc>
          <w:tcPr>
            <w:tcW w:w="2429" w:type="dxa"/>
          </w:tcPr>
          <w:p w:rsidR="008B1661" w:rsidRPr="0052008C" w:rsidRDefault="008B1661" w:rsidP="00CB2FBB">
            <w:pPr>
              <w:pStyle w:val="Tabletext"/>
            </w:pPr>
            <w:r w:rsidRPr="0052008C">
              <w:t>Improved definition of areas with high potential for interaction</w:t>
            </w:r>
          </w:p>
        </w:tc>
      </w:tr>
      <w:tr w:rsidR="008B1661" w:rsidRPr="0052008C" w:rsidTr="009308A0">
        <w:trPr>
          <w:cantSplit/>
        </w:trPr>
        <w:tc>
          <w:tcPr>
            <w:tcW w:w="583" w:type="dxa"/>
          </w:tcPr>
          <w:p w:rsidR="008B1661" w:rsidRPr="0052008C" w:rsidRDefault="008B1661" w:rsidP="00CB2FBB">
            <w:pPr>
              <w:pStyle w:val="Tabletext"/>
            </w:pPr>
            <w:r w:rsidRPr="0052008C">
              <w:t>D6</w:t>
            </w:r>
          </w:p>
        </w:tc>
        <w:tc>
          <w:tcPr>
            <w:tcW w:w="2219" w:type="dxa"/>
          </w:tcPr>
          <w:p w:rsidR="008B1661" w:rsidRPr="0052008C" w:rsidRDefault="008B1661" w:rsidP="00CB2FBB">
            <w:pPr>
              <w:pStyle w:val="Tabletext"/>
            </w:pPr>
            <w:r w:rsidRPr="0052008C">
              <w:t xml:space="preserve">Measurements of fault throw magnitudes </w:t>
            </w:r>
          </w:p>
        </w:tc>
        <w:tc>
          <w:tcPr>
            <w:tcW w:w="1276" w:type="dxa"/>
          </w:tcPr>
          <w:p w:rsidR="008B1661" w:rsidRPr="0052008C" w:rsidRDefault="008B1661" w:rsidP="00CB2FBB">
            <w:pPr>
              <w:pStyle w:val="Tabletext"/>
            </w:pPr>
            <w:r w:rsidRPr="0052008C">
              <w:t>Regional (all basins)</w:t>
            </w:r>
          </w:p>
        </w:tc>
        <w:tc>
          <w:tcPr>
            <w:tcW w:w="1501" w:type="dxa"/>
          </w:tcPr>
          <w:p w:rsidR="008B1661" w:rsidRPr="0052008C" w:rsidRDefault="008B1661" w:rsidP="00CB2FBB">
            <w:pPr>
              <w:pStyle w:val="Tabletext"/>
            </w:pPr>
            <w:r w:rsidRPr="0052008C">
              <w:t>M</w:t>
            </w:r>
          </w:p>
        </w:tc>
        <w:tc>
          <w:tcPr>
            <w:tcW w:w="1172" w:type="dxa"/>
          </w:tcPr>
          <w:p w:rsidR="008B1661" w:rsidRPr="0052008C" w:rsidRDefault="008B1661" w:rsidP="00CB2FBB">
            <w:pPr>
              <w:pStyle w:val="Tabletext"/>
            </w:pPr>
            <w:r w:rsidRPr="0052008C">
              <w:t>3-5 years</w:t>
            </w:r>
          </w:p>
        </w:tc>
        <w:tc>
          <w:tcPr>
            <w:tcW w:w="2429" w:type="dxa"/>
          </w:tcPr>
          <w:p w:rsidR="008B1661" w:rsidRPr="0052008C" w:rsidRDefault="008B1661" w:rsidP="00CB2FBB">
            <w:pPr>
              <w:pStyle w:val="Tabletext"/>
            </w:pPr>
            <w:r w:rsidRPr="0052008C">
              <w:t>Improved definition of areas with high potential for interaction</w:t>
            </w:r>
          </w:p>
        </w:tc>
      </w:tr>
      <w:tr w:rsidR="008B1661" w:rsidRPr="0052008C" w:rsidTr="009308A0">
        <w:trPr>
          <w:cantSplit/>
        </w:trPr>
        <w:tc>
          <w:tcPr>
            <w:tcW w:w="583" w:type="dxa"/>
          </w:tcPr>
          <w:p w:rsidR="008B1661" w:rsidRPr="0052008C" w:rsidRDefault="008B1661" w:rsidP="00CB2FBB">
            <w:pPr>
              <w:pStyle w:val="Tabletext"/>
            </w:pPr>
            <w:r w:rsidRPr="0052008C">
              <w:t>D7</w:t>
            </w:r>
          </w:p>
        </w:tc>
        <w:tc>
          <w:tcPr>
            <w:tcW w:w="2219" w:type="dxa"/>
          </w:tcPr>
          <w:p w:rsidR="008B1661" w:rsidRPr="0052008C" w:rsidRDefault="008B1661" w:rsidP="00CB2FBB">
            <w:pPr>
              <w:pStyle w:val="Tabletext"/>
            </w:pPr>
            <w:r w:rsidRPr="0052008C">
              <w:t>Locations and estimates of inter-aquifer leakage through poorly completed/decommissioned boreholes</w:t>
            </w:r>
          </w:p>
        </w:tc>
        <w:tc>
          <w:tcPr>
            <w:tcW w:w="1276" w:type="dxa"/>
          </w:tcPr>
          <w:p w:rsidR="008B1661" w:rsidRPr="0052008C" w:rsidRDefault="008B1661" w:rsidP="00CB2FBB">
            <w:pPr>
              <w:pStyle w:val="Tabletext"/>
            </w:pPr>
            <w:r w:rsidRPr="0052008C">
              <w:t>Basin (all basins)</w:t>
            </w:r>
          </w:p>
        </w:tc>
        <w:tc>
          <w:tcPr>
            <w:tcW w:w="1501" w:type="dxa"/>
          </w:tcPr>
          <w:p w:rsidR="008B1661" w:rsidRPr="0052008C" w:rsidRDefault="008B1661" w:rsidP="00CB2FBB">
            <w:pPr>
              <w:pStyle w:val="Tabletext"/>
            </w:pPr>
            <w:r w:rsidRPr="0052008C">
              <w:t>M</w:t>
            </w:r>
          </w:p>
        </w:tc>
        <w:tc>
          <w:tcPr>
            <w:tcW w:w="1172" w:type="dxa"/>
          </w:tcPr>
          <w:p w:rsidR="008B1661" w:rsidRPr="0052008C" w:rsidRDefault="008B1661" w:rsidP="00CB2FBB">
            <w:pPr>
              <w:pStyle w:val="Tabletext"/>
            </w:pPr>
            <w:r w:rsidRPr="0052008C">
              <w:t>3-5 years</w:t>
            </w:r>
          </w:p>
        </w:tc>
        <w:tc>
          <w:tcPr>
            <w:tcW w:w="2429" w:type="dxa"/>
          </w:tcPr>
          <w:p w:rsidR="008B1661" w:rsidRPr="0052008C" w:rsidRDefault="008B1661" w:rsidP="00CB2FBB">
            <w:pPr>
              <w:pStyle w:val="Tabletext"/>
            </w:pPr>
            <w:r w:rsidRPr="0052008C">
              <w:t>Improved definition of areas with high potential for interaction</w:t>
            </w:r>
          </w:p>
        </w:tc>
      </w:tr>
      <w:tr w:rsidR="008B1661" w:rsidRPr="0052008C" w:rsidTr="009308A0">
        <w:trPr>
          <w:cantSplit/>
        </w:trPr>
        <w:tc>
          <w:tcPr>
            <w:tcW w:w="583" w:type="dxa"/>
          </w:tcPr>
          <w:p w:rsidR="008B1661" w:rsidRPr="0052008C" w:rsidRDefault="008B1661" w:rsidP="00CB2FBB">
            <w:pPr>
              <w:pStyle w:val="Tabletext"/>
            </w:pPr>
            <w:r w:rsidRPr="0052008C">
              <w:lastRenderedPageBreak/>
              <w:t>D8</w:t>
            </w:r>
          </w:p>
        </w:tc>
        <w:tc>
          <w:tcPr>
            <w:tcW w:w="2219" w:type="dxa"/>
          </w:tcPr>
          <w:p w:rsidR="008B1661" w:rsidRPr="0052008C" w:rsidRDefault="008B1661" w:rsidP="00CB2FBB">
            <w:pPr>
              <w:pStyle w:val="Tabletext"/>
            </w:pPr>
            <w:r w:rsidRPr="0052008C">
              <w:t xml:space="preserve">Hydrochemical data for Permian units and Aramac Coal Measures.  </w:t>
            </w:r>
          </w:p>
        </w:tc>
        <w:tc>
          <w:tcPr>
            <w:tcW w:w="1276" w:type="dxa"/>
          </w:tcPr>
          <w:p w:rsidR="008B1661" w:rsidRPr="0052008C" w:rsidRDefault="008B1661" w:rsidP="00CB2FBB">
            <w:pPr>
              <w:pStyle w:val="Tabletext"/>
            </w:pPr>
            <w:r w:rsidRPr="0052008C">
              <w:t>Basin (Galilee)</w:t>
            </w:r>
          </w:p>
        </w:tc>
        <w:tc>
          <w:tcPr>
            <w:tcW w:w="1501" w:type="dxa"/>
          </w:tcPr>
          <w:p w:rsidR="008B1661" w:rsidRPr="0052008C" w:rsidRDefault="008B1661" w:rsidP="00CB2FBB">
            <w:pPr>
              <w:pStyle w:val="Tabletext"/>
            </w:pPr>
            <w:r w:rsidRPr="0052008C">
              <w:t>M</w:t>
            </w:r>
          </w:p>
        </w:tc>
        <w:tc>
          <w:tcPr>
            <w:tcW w:w="1172" w:type="dxa"/>
          </w:tcPr>
          <w:p w:rsidR="008B1661" w:rsidRPr="0052008C" w:rsidRDefault="008B1661" w:rsidP="00CB2FBB">
            <w:pPr>
              <w:pStyle w:val="Tabletext"/>
            </w:pPr>
            <w:r w:rsidRPr="0052008C">
              <w:t>1-3 years</w:t>
            </w:r>
          </w:p>
        </w:tc>
        <w:tc>
          <w:tcPr>
            <w:tcW w:w="2429" w:type="dxa"/>
          </w:tcPr>
          <w:p w:rsidR="008B1661" w:rsidRPr="0052008C" w:rsidRDefault="008B1661" w:rsidP="00CB2FBB">
            <w:pPr>
              <w:pStyle w:val="Tabletext"/>
            </w:pPr>
            <w:r w:rsidRPr="0052008C">
              <w:t>Baseline assessment of inter-aquifer leakage</w:t>
            </w:r>
          </w:p>
        </w:tc>
      </w:tr>
      <w:tr w:rsidR="008B1661" w:rsidRPr="0052008C" w:rsidTr="009308A0">
        <w:trPr>
          <w:cantSplit/>
        </w:trPr>
        <w:tc>
          <w:tcPr>
            <w:tcW w:w="583" w:type="dxa"/>
          </w:tcPr>
          <w:p w:rsidR="008B1661" w:rsidRPr="0052008C" w:rsidRDefault="008B1661" w:rsidP="00CB2FBB">
            <w:pPr>
              <w:pStyle w:val="Tabletext"/>
            </w:pPr>
            <w:r w:rsidRPr="0052008C">
              <w:t>D9</w:t>
            </w:r>
          </w:p>
        </w:tc>
        <w:tc>
          <w:tcPr>
            <w:tcW w:w="2219" w:type="dxa"/>
          </w:tcPr>
          <w:p w:rsidR="008B1661" w:rsidRPr="0052008C" w:rsidRDefault="008B1661" w:rsidP="00CB2FBB">
            <w:pPr>
              <w:pStyle w:val="Tabletext"/>
            </w:pPr>
            <w:r w:rsidRPr="0052008C">
              <w:t xml:space="preserve">Changes in hydraulic conductivity with depth </w:t>
            </w:r>
          </w:p>
        </w:tc>
        <w:tc>
          <w:tcPr>
            <w:tcW w:w="1276" w:type="dxa"/>
          </w:tcPr>
          <w:p w:rsidR="008B1661" w:rsidRPr="0052008C" w:rsidRDefault="008B1661" w:rsidP="00CB2FBB">
            <w:pPr>
              <w:pStyle w:val="Tabletext"/>
            </w:pPr>
            <w:r w:rsidRPr="0052008C">
              <w:t>Basin (all basins)</w:t>
            </w:r>
          </w:p>
        </w:tc>
        <w:tc>
          <w:tcPr>
            <w:tcW w:w="1501" w:type="dxa"/>
          </w:tcPr>
          <w:p w:rsidR="008B1661" w:rsidRPr="0052008C" w:rsidRDefault="008B1661" w:rsidP="00CB2FBB">
            <w:pPr>
              <w:pStyle w:val="Tabletext"/>
            </w:pPr>
            <w:r w:rsidRPr="0052008C">
              <w:t>M</w:t>
            </w:r>
          </w:p>
        </w:tc>
        <w:tc>
          <w:tcPr>
            <w:tcW w:w="1172" w:type="dxa"/>
          </w:tcPr>
          <w:p w:rsidR="008B1661" w:rsidRPr="0052008C" w:rsidRDefault="008B1661" w:rsidP="00CB2FBB">
            <w:pPr>
              <w:pStyle w:val="Tabletext"/>
            </w:pPr>
            <w:r w:rsidRPr="0052008C">
              <w:t>3-5 years</w:t>
            </w:r>
          </w:p>
        </w:tc>
        <w:tc>
          <w:tcPr>
            <w:tcW w:w="2429" w:type="dxa"/>
          </w:tcPr>
          <w:p w:rsidR="008B1661" w:rsidRPr="0052008C" w:rsidRDefault="008B1661" w:rsidP="00CB2FBB">
            <w:pPr>
              <w:pStyle w:val="Tabletext"/>
            </w:pPr>
            <w:r w:rsidRPr="0052008C">
              <w:t>Reduced uncertainty in the prediction of inter-aquifer leakage responses to CSG water extraction and re-injection</w:t>
            </w:r>
          </w:p>
        </w:tc>
      </w:tr>
      <w:tr w:rsidR="008B1661" w:rsidRPr="0052008C" w:rsidTr="009308A0">
        <w:trPr>
          <w:cantSplit/>
        </w:trPr>
        <w:tc>
          <w:tcPr>
            <w:tcW w:w="583" w:type="dxa"/>
          </w:tcPr>
          <w:p w:rsidR="008B1661" w:rsidRPr="0052008C" w:rsidRDefault="008B1661" w:rsidP="00CB2FBB">
            <w:pPr>
              <w:pStyle w:val="Tabletext"/>
            </w:pPr>
            <w:r w:rsidRPr="0052008C">
              <w:t>D10</w:t>
            </w:r>
          </w:p>
        </w:tc>
        <w:tc>
          <w:tcPr>
            <w:tcW w:w="2219" w:type="dxa"/>
          </w:tcPr>
          <w:p w:rsidR="008B1661" w:rsidRPr="0052008C" w:rsidRDefault="008B1661" w:rsidP="00CB2FBB">
            <w:pPr>
              <w:pStyle w:val="Tabletext"/>
            </w:pPr>
            <w:r w:rsidRPr="0052008C">
              <w:t>Stratigraphic interpretation and structural analysis</w:t>
            </w:r>
          </w:p>
        </w:tc>
        <w:tc>
          <w:tcPr>
            <w:tcW w:w="1276" w:type="dxa"/>
          </w:tcPr>
          <w:p w:rsidR="008B1661" w:rsidRPr="0052008C" w:rsidRDefault="008B1661" w:rsidP="00CB2FBB">
            <w:pPr>
              <w:pStyle w:val="Tabletext"/>
            </w:pPr>
            <w:r w:rsidRPr="0052008C">
              <w:t>Basin (especially southern Galilee)</w:t>
            </w:r>
          </w:p>
        </w:tc>
        <w:tc>
          <w:tcPr>
            <w:tcW w:w="1501" w:type="dxa"/>
          </w:tcPr>
          <w:p w:rsidR="008B1661" w:rsidRPr="0052008C" w:rsidRDefault="008B1661" w:rsidP="00CB2FBB">
            <w:pPr>
              <w:pStyle w:val="Tabletext"/>
            </w:pPr>
            <w:r w:rsidRPr="0052008C">
              <w:t>M</w:t>
            </w:r>
          </w:p>
        </w:tc>
        <w:tc>
          <w:tcPr>
            <w:tcW w:w="1172" w:type="dxa"/>
          </w:tcPr>
          <w:p w:rsidR="008B1661" w:rsidRPr="0052008C" w:rsidRDefault="008B1661" w:rsidP="00CB2FBB">
            <w:pPr>
              <w:pStyle w:val="Tabletext"/>
            </w:pPr>
            <w:r w:rsidRPr="0052008C">
              <w:t>1-2 years</w:t>
            </w:r>
          </w:p>
        </w:tc>
        <w:tc>
          <w:tcPr>
            <w:tcW w:w="2429" w:type="dxa"/>
          </w:tcPr>
          <w:p w:rsidR="008B1661" w:rsidRPr="0052008C" w:rsidRDefault="008B1661" w:rsidP="00CB2FBB">
            <w:pPr>
              <w:pStyle w:val="Tabletext"/>
            </w:pPr>
            <w:r w:rsidRPr="0052008C">
              <w:t>Fundamental data for conceptual understanding</w:t>
            </w:r>
          </w:p>
        </w:tc>
      </w:tr>
      <w:tr w:rsidR="008B1661" w:rsidRPr="0052008C" w:rsidTr="009308A0">
        <w:trPr>
          <w:cantSplit/>
        </w:trPr>
        <w:tc>
          <w:tcPr>
            <w:tcW w:w="583" w:type="dxa"/>
          </w:tcPr>
          <w:p w:rsidR="008B1661" w:rsidRPr="0052008C" w:rsidRDefault="008B1661" w:rsidP="00CB2FBB">
            <w:pPr>
              <w:pStyle w:val="Tabletext"/>
            </w:pPr>
            <w:r w:rsidRPr="0052008C">
              <w:t>D11</w:t>
            </w:r>
          </w:p>
        </w:tc>
        <w:tc>
          <w:tcPr>
            <w:tcW w:w="2219" w:type="dxa"/>
          </w:tcPr>
          <w:p w:rsidR="008B1661" w:rsidRPr="0052008C" w:rsidRDefault="008B1661" w:rsidP="00CB2FBB">
            <w:pPr>
              <w:pStyle w:val="Tabletext"/>
            </w:pPr>
            <w:r w:rsidRPr="0052008C">
              <w:t>Connectivity between northern Bowen Basin aquifers and their equivalents in southern Bowen Basin</w:t>
            </w:r>
          </w:p>
        </w:tc>
        <w:tc>
          <w:tcPr>
            <w:tcW w:w="1276" w:type="dxa"/>
          </w:tcPr>
          <w:p w:rsidR="008B1661" w:rsidRPr="0052008C" w:rsidRDefault="008B1661" w:rsidP="00CB2FBB">
            <w:pPr>
              <w:pStyle w:val="Tabletext"/>
            </w:pPr>
            <w:r w:rsidRPr="0052008C">
              <w:t>Basin (Bowen)</w:t>
            </w:r>
          </w:p>
        </w:tc>
        <w:tc>
          <w:tcPr>
            <w:tcW w:w="1501" w:type="dxa"/>
          </w:tcPr>
          <w:p w:rsidR="008B1661" w:rsidRPr="0052008C" w:rsidRDefault="008B1661" w:rsidP="00CB2FBB">
            <w:pPr>
              <w:pStyle w:val="Tabletext"/>
            </w:pPr>
            <w:r w:rsidRPr="0052008C">
              <w:t>M</w:t>
            </w:r>
          </w:p>
        </w:tc>
        <w:tc>
          <w:tcPr>
            <w:tcW w:w="1172" w:type="dxa"/>
          </w:tcPr>
          <w:p w:rsidR="008B1661" w:rsidRPr="0052008C" w:rsidRDefault="008B1661" w:rsidP="00CB2FBB">
            <w:pPr>
              <w:pStyle w:val="Tabletext"/>
            </w:pPr>
            <w:r w:rsidRPr="0052008C">
              <w:t>1-3 years</w:t>
            </w:r>
          </w:p>
        </w:tc>
        <w:tc>
          <w:tcPr>
            <w:tcW w:w="2429" w:type="dxa"/>
          </w:tcPr>
          <w:p w:rsidR="008B1661" w:rsidRPr="0052008C" w:rsidRDefault="008B1661" w:rsidP="00CB2FBB">
            <w:pPr>
              <w:pStyle w:val="Tabletext"/>
            </w:pPr>
            <w:r w:rsidRPr="0052008C">
              <w:t>Baseline assessment of connectivity</w:t>
            </w:r>
          </w:p>
        </w:tc>
      </w:tr>
      <w:tr w:rsidR="008B1661" w:rsidRPr="0052008C" w:rsidTr="009308A0">
        <w:trPr>
          <w:cantSplit/>
        </w:trPr>
        <w:tc>
          <w:tcPr>
            <w:tcW w:w="583" w:type="dxa"/>
          </w:tcPr>
          <w:p w:rsidR="008B1661" w:rsidRPr="0052008C" w:rsidRDefault="008B1661" w:rsidP="00CB2FBB">
            <w:pPr>
              <w:pStyle w:val="Tabletext"/>
            </w:pPr>
            <w:r w:rsidRPr="0052008C">
              <w:t>D12</w:t>
            </w:r>
          </w:p>
        </w:tc>
        <w:tc>
          <w:tcPr>
            <w:tcW w:w="2219" w:type="dxa"/>
          </w:tcPr>
          <w:p w:rsidR="008B1661" w:rsidRPr="0052008C" w:rsidRDefault="008B1661" w:rsidP="00CB2FBB">
            <w:pPr>
              <w:pStyle w:val="Tabletext"/>
            </w:pPr>
            <w:r w:rsidRPr="0052008C">
              <w:t>Direction and magnitude of principal stress field</w:t>
            </w:r>
          </w:p>
        </w:tc>
        <w:tc>
          <w:tcPr>
            <w:tcW w:w="1276" w:type="dxa"/>
          </w:tcPr>
          <w:p w:rsidR="008B1661" w:rsidRPr="0052008C" w:rsidRDefault="008B1661" w:rsidP="00CB2FBB">
            <w:pPr>
              <w:pStyle w:val="Tabletext"/>
            </w:pPr>
            <w:r w:rsidRPr="0052008C">
              <w:t>Local-Regional</w:t>
            </w:r>
          </w:p>
        </w:tc>
        <w:tc>
          <w:tcPr>
            <w:tcW w:w="1501" w:type="dxa"/>
          </w:tcPr>
          <w:p w:rsidR="008B1661" w:rsidRPr="0052008C" w:rsidRDefault="008B1661" w:rsidP="00CB2FBB">
            <w:pPr>
              <w:pStyle w:val="Tabletext"/>
            </w:pPr>
            <w:r w:rsidRPr="0052008C">
              <w:t>L</w:t>
            </w:r>
          </w:p>
        </w:tc>
        <w:tc>
          <w:tcPr>
            <w:tcW w:w="1172" w:type="dxa"/>
          </w:tcPr>
          <w:p w:rsidR="008B1661" w:rsidRPr="0052008C" w:rsidRDefault="008B1661" w:rsidP="00CB2FBB">
            <w:pPr>
              <w:pStyle w:val="Tabletext"/>
            </w:pPr>
            <w:r w:rsidRPr="0052008C">
              <w:t>1-2 years</w:t>
            </w:r>
          </w:p>
        </w:tc>
        <w:tc>
          <w:tcPr>
            <w:tcW w:w="2429" w:type="dxa"/>
          </w:tcPr>
          <w:p w:rsidR="008B1661" w:rsidRPr="0052008C" w:rsidRDefault="008B1661" w:rsidP="00CB2FBB">
            <w:pPr>
              <w:pStyle w:val="Tabletext"/>
            </w:pPr>
            <w:r w:rsidRPr="0052008C">
              <w:t>Improved data to predict changes in connectivity due to depressurisation and/or reinjection</w:t>
            </w:r>
          </w:p>
        </w:tc>
      </w:tr>
      <w:tr w:rsidR="008B1661" w:rsidRPr="0052008C" w:rsidTr="009308A0">
        <w:trPr>
          <w:cantSplit/>
        </w:trPr>
        <w:tc>
          <w:tcPr>
            <w:tcW w:w="583" w:type="dxa"/>
          </w:tcPr>
          <w:p w:rsidR="008B1661" w:rsidRPr="0052008C" w:rsidRDefault="008B1661" w:rsidP="00CB2FBB">
            <w:pPr>
              <w:pStyle w:val="Tabletext"/>
            </w:pPr>
            <w:r w:rsidRPr="0052008C">
              <w:t>D13</w:t>
            </w:r>
          </w:p>
        </w:tc>
        <w:tc>
          <w:tcPr>
            <w:tcW w:w="2219" w:type="dxa"/>
          </w:tcPr>
          <w:p w:rsidR="008B1661" w:rsidRPr="0052008C" w:rsidRDefault="008B1661" w:rsidP="00CB2FBB">
            <w:pPr>
              <w:pStyle w:val="Tabletext"/>
            </w:pPr>
            <w:r w:rsidRPr="0052008C">
              <w:t>Geomechanical properties of aquitards</w:t>
            </w:r>
          </w:p>
        </w:tc>
        <w:tc>
          <w:tcPr>
            <w:tcW w:w="1276" w:type="dxa"/>
          </w:tcPr>
          <w:p w:rsidR="008B1661" w:rsidRPr="0052008C" w:rsidRDefault="008B1661" w:rsidP="00CB2FBB">
            <w:pPr>
              <w:pStyle w:val="Tabletext"/>
            </w:pPr>
            <w:r w:rsidRPr="0052008C">
              <w:t>Regional (all basins)</w:t>
            </w:r>
          </w:p>
        </w:tc>
        <w:tc>
          <w:tcPr>
            <w:tcW w:w="1501" w:type="dxa"/>
          </w:tcPr>
          <w:p w:rsidR="008B1661" w:rsidRPr="0052008C" w:rsidRDefault="008B1661" w:rsidP="00CB2FBB">
            <w:pPr>
              <w:pStyle w:val="Tabletext"/>
            </w:pPr>
            <w:r w:rsidRPr="0052008C">
              <w:t>L</w:t>
            </w:r>
          </w:p>
        </w:tc>
        <w:tc>
          <w:tcPr>
            <w:tcW w:w="1172" w:type="dxa"/>
          </w:tcPr>
          <w:p w:rsidR="008B1661" w:rsidRPr="0052008C" w:rsidRDefault="008B1661" w:rsidP="00CB2FBB">
            <w:pPr>
              <w:pStyle w:val="Tabletext"/>
            </w:pPr>
            <w:r w:rsidRPr="0052008C">
              <w:t>3-5 years</w:t>
            </w:r>
          </w:p>
        </w:tc>
        <w:tc>
          <w:tcPr>
            <w:tcW w:w="2429" w:type="dxa"/>
          </w:tcPr>
          <w:p w:rsidR="008B1661" w:rsidRPr="0052008C" w:rsidRDefault="008B1661" w:rsidP="00CB2FBB">
            <w:pPr>
              <w:pStyle w:val="Tabletext"/>
            </w:pPr>
            <w:r w:rsidRPr="0052008C">
              <w:t>Reduced uncertainty in the prediction of inter-aquifer leakage responses to CSG water extraction and re-injection</w:t>
            </w:r>
          </w:p>
        </w:tc>
      </w:tr>
    </w:tbl>
    <w:p w:rsidR="00E43729" w:rsidRDefault="00E43729" w:rsidP="001C3374">
      <w:pPr>
        <w:pStyle w:val="Body"/>
      </w:pPr>
    </w:p>
    <w:p w:rsidR="00E43729" w:rsidRDefault="00E43729" w:rsidP="001C3374">
      <w:pPr>
        <w:pStyle w:val="Body"/>
      </w:pPr>
    </w:p>
    <w:p w:rsidR="008B1661" w:rsidRDefault="008B1661" w:rsidP="001C3374">
      <w:pPr>
        <w:rPr>
          <w:rFonts w:ascii="Calibri" w:hAnsi="Calibri" w:cs="Calibri"/>
          <w:sz w:val="18"/>
          <w:szCs w:val="18"/>
        </w:rPr>
      </w:pPr>
      <w:r>
        <w:br w:type="page"/>
      </w:r>
    </w:p>
    <w:p w:rsidR="00DD07AF" w:rsidRDefault="00DD07AF" w:rsidP="002731CF">
      <w:pPr>
        <w:pStyle w:val="Heading1"/>
        <w:ind w:left="709" w:hanging="709"/>
      </w:pPr>
      <w:bookmarkStart w:id="750" w:name="_Toc381961205"/>
      <w:bookmarkStart w:id="751" w:name="_Toc389055274"/>
      <w:r>
        <w:lastRenderedPageBreak/>
        <w:t>Conclusions and recommendations</w:t>
      </w:r>
      <w:bookmarkEnd w:id="750"/>
      <w:bookmarkEnd w:id="751"/>
    </w:p>
    <w:p w:rsidR="000E1443" w:rsidRDefault="00706F16" w:rsidP="00C26C02">
      <w:pPr>
        <w:pStyle w:val="BRNormal"/>
      </w:pPr>
      <w:r>
        <w:t>For this review aquifer connectivity is formally defined as the interaction between aquifers separated by aquitards. The degree of connectivity is only partly influenced by the hydraulic properties</w:t>
      </w:r>
      <w:r w:rsidR="000E1443">
        <w:t xml:space="preserve"> of the aquitards and</w:t>
      </w:r>
      <w:r>
        <w:t xml:space="preserve"> the presence of preferential pathways, such as fractur</w:t>
      </w:r>
      <w:r w:rsidR="00357636">
        <w:t>es, faults and open boreholes. M</w:t>
      </w:r>
      <w:r>
        <w:t>ajor control</w:t>
      </w:r>
      <w:r w:rsidR="00357636">
        <w:t>s</w:t>
      </w:r>
      <w:r>
        <w:t xml:space="preserve"> on aquifer connectivity are local and regional hydraulic and </w:t>
      </w:r>
      <w:r w:rsidRPr="000C6ADC">
        <w:t>concentration gradients.</w:t>
      </w:r>
      <w:r>
        <w:t xml:space="preserve"> </w:t>
      </w:r>
    </w:p>
    <w:p w:rsidR="000E1443" w:rsidRDefault="00706F16" w:rsidP="00C26C02">
      <w:pPr>
        <w:pStyle w:val="BRNormal"/>
      </w:pPr>
      <w:r>
        <w:t xml:space="preserve">A wide variety of methods exist at different spatial and temporal scales to assess the hydraulic properties </w:t>
      </w:r>
      <w:r w:rsidR="000E1443">
        <w:t xml:space="preserve">of aquifers and aquitards. </w:t>
      </w:r>
      <w:r w:rsidR="008D18D9">
        <w:t>However, t</w:t>
      </w:r>
      <w:r w:rsidR="000E1443">
        <w:t>he hydraulic characterisation of natural fracture networks remains a very challenging task.</w:t>
      </w:r>
    </w:p>
    <w:p w:rsidR="00706F16" w:rsidRDefault="000E1443" w:rsidP="00C26C02">
      <w:pPr>
        <w:pStyle w:val="BRNormal"/>
      </w:pPr>
      <w:r>
        <w:t>Mine dewatering, coal seam gas depressurisation and co</w:t>
      </w:r>
      <w:r w:rsidR="00C26C02">
        <w:t>-</w:t>
      </w:r>
      <w:r>
        <w:t xml:space="preserve">produced water reinjection are some examples of man-made changes to the natural hydraulic gradients which will result in changed aquifer connectivity. A better understanding is needed on how aquifer connectivity will be affected by the interplay of changing gradients, in situ stress, mechanical deformation, fluid properties and hydrogeological characteristics. </w:t>
      </w:r>
    </w:p>
    <w:p w:rsidR="00DD07AF" w:rsidRDefault="00DD07AF" w:rsidP="00C26C02">
      <w:pPr>
        <w:pStyle w:val="BRNormal"/>
      </w:pPr>
      <w:r>
        <w:t xml:space="preserve">Despite a long history of water resources development and hydrogeological investigations in the GAB, very few studies have explicitly focused on aquifer connectivity and inter-aquifer leakage. A recent reclassification of the hydrostratigraphy of the GAB (including the Surat Basin) has defined three aquitard types of varying hydraulic conductivity: leaky aquitards, tight aquitards and aquicludes. Anomalous decreases in potentiometric pressure that are coincident with major faults have been observed </w:t>
      </w:r>
      <w:r w:rsidRPr="0087005E">
        <w:t xml:space="preserve">in the northeast of the Eromanga Basin. Similarly, the Eromanga Depocentre features widespread faulting and vertical displacement of aquifers. Polygonal faulting has been observed in the Rolling Downs Group aquitard throughout the </w:t>
      </w:r>
      <w:r>
        <w:t>central</w:t>
      </w:r>
      <w:r w:rsidR="008D18D9">
        <w:t xml:space="preserve"> region of the Eromanga Basin.</w:t>
      </w:r>
      <w:r w:rsidRPr="0087005E">
        <w:t xml:space="preserve"> In summary</w:t>
      </w:r>
      <w:r>
        <w:t>, significant tectonic disruption of the Eromanga Basin has compromised the sealing capacity of what were traditionally viewed as confining beds</w:t>
      </w:r>
      <w:r w:rsidR="008D18D9">
        <w:t xml:space="preserve"> in many parts of the B</w:t>
      </w:r>
      <w:r>
        <w:t>asin. Recent studies of groundwater discharge represent some of the most relevant research relating to aquifer connectivity in the GAB; several studies have identified the role of faults and fractures as preferential pathways for inter-aquifer leakage (Crossey et al. 2012; Gardner et al. 2012</w:t>
      </w:r>
      <w:r w:rsidR="00C26C02">
        <w:t>;</w:t>
      </w:r>
      <w:r w:rsidR="00C26C02" w:rsidRPr="00C26C02">
        <w:t xml:space="preserve"> </w:t>
      </w:r>
      <w:r w:rsidR="00C26C02">
        <w:t>Wolaver 2012</w:t>
      </w:r>
      <w:r>
        <w:t>), while others have quantified the rate of diffuse vertical leakage from GAB aquifers which, although very low, can occur over broad areas and thereby constitute a significant component of total groundwater discharge (Harrington et al. 2012).</w:t>
      </w:r>
    </w:p>
    <w:p w:rsidR="00DD07AF" w:rsidRPr="00C17BDC" w:rsidRDefault="00DD07AF" w:rsidP="00C26C02">
      <w:pPr>
        <w:pStyle w:val="BRNormal"/>
        <w:rPr>
          <w:color w:val="auto"/>
        </w:rPr>
      </w:pPr>
      <w:r>
        <w:t xml:space="preserve">Compared to the GAB, many more studies of aquifer connectivity have been undertaken in the Surat Basin, even though the latter is </w:t>
      </w:r>
      <w:r w:rsidR="008D59AA">
        <w:t>only one-quarter</w:t>
      </w:r>
      <w:r>
        <w:t xml:space="preserve"> the size of the GAB.  However, there is still large uncertainty around inter-aquifer leakage, particularly between the Hutton Sandstone</w:t>
      </w:r>
      <w:r w:rsidRPr="00987F67">
        <w:t xml:space="preserve"> </w:t>
      </w:r>
      <w:r>
        <w:t>and Precipice Sandstone via the Evergreen Formation. Analysis of vertical hydraulic gradi</w:t>
      </w:r>
      <w:r w:rsidR="008D18D9">
        <w:t>ents in different parts of the B</w:t>
      </w:r>
      <w:r>
        <w:t>asin provides conflicting evidence, with some data indicating the Evergreen Formation is an effective seal while other data indicates a high degree of hydraulic connection. There is hydraulic and hydrochemical evidence for connectivity between t</w:t>
      </w:r>
      <w:r w:rsidRPr="00433B97">
        <w:t xml:space="preserve">he Walloon Coal Measures and </w:t>
      </w:r>
      <w:r>
        <w:t xml:space="preserve">Condamine River </w:t>
      </w:r>
      <w:r w:rsidRPr="00433B97">
        <w:t>Alluvium</w:t>
      </w:r>
      <w:r>
        <w:t>. Finally, s</w:t>
      </w:r>
      <w:r w:rsidRPr="00AD1CBC">
        <w:rPr>
          <w:color w:val="auto"/>
        </w:rPr>
        <w:t>tudies of groundwater discharge in the Surat Basin have identified the role of faults and fractures as preferential paths for groundwater flow</w:t>
      </w:r>
      <w:r>
        <w:rPr>
          <w:color w:val="auto"/>
        </w:rPr>
        <w:t xml:space="preserve"> (Habermehl 1982)</w:t>
      </w:r>
      <w:r w:rsidRPr="00AD1CBC">
        <w:rPr>
          <w:color w:val="auto"/>
        </w:rPr>
        <w:t xml:space="preserve">. </w:t>
      </w:r>
    </w:p>
    <w:p w:rsidR="00DD07AF" w:rsidRPr="000271DA" w:rsidRDefault="00DD07AF" w:rsidP="00C26C02">
      <w:pPr>
        <w:pStyle w:val="BRNormal"/>
      </w:pPr>
      <w:r>
        <w:t>Coal mining has been occurring in the Bowen Basin for over one hundred years. Over the last two decades, there has been a shift from predominantly shallow, open-pit mining operations to deeper, underground mines and large-scale CSG fields. The</w:t>
      </w:r>
      <w:r w:rsidRPr="00B41C8E">
        <w:t xml:space="preserve"> potential </w:t>
      </w:r>
      <w:r>
        <w:t xml:space="preserve">for </w:t>
      </w:r>
      <w:r w:rsidR="008D18D9">
        <w:t>connectivity between coal</w:t>
      </w:r>
      <w:r w:rsidRPr="00B41C8E">
        <w:t xml:space="preserve"> seams</w:t>
      </w:r>
      <w:r>
        <w:t xml:space="preserve"> and overlying</w:t>
      </w:r>
      <w:r w:rsidRPr="00B41C8E">
        <w:t xml:space="preserve"> aquifers </w:t>
      </w:r>
      <w:r>
        <w:t>has only been assessed at the loca</w:t>
      </w:r>
      <w:r w:rsidR="008D18D9">
        <w:t xml:space="preserve">l </w:t>
      </w:r>
      <w:r w:rsidR="008D18D9">
        <w:lastRenderedPageBreak/>
        <w:t>scale of the mining operation</w:t>
      </w:r>
      <w:r>
        <w:t xml:space="preserve"> and not at the cumulative basin-scale. In the south of the </w:t>
      </w:r>
      <w:r w:rsidR="008D18D9">
        <w:t xml:space="preserve">Bowen </w:t>
      </w:r>
      <w:r>
        <w:t>Basin, the thick Rewan Group is assumed to be a low-permeability aquitard between the coal seams in the Bandanna Formation and the overlying Clematis Group sa</w:t>
      </w:r>
      <w:r w:rsidR="008D18D9">
        <w:t>ndstones;</w:t>
      </w:r>
      <w:r>
        <w:t xml:space="preserve"> however</w:t>
      </w:r>
      <w:r w:rsidR="008D18D9">
        <w:t>,</w:t>
      </w:r>
      <w:r>
        <w:t xml:space="preserve"> there is no field data or measurements to support this assumption. </w:t>
      </w:r>
      <w:r w:rsidRPr="000271DA">
        <w:t xml:space="preserve">In the north of the </w:t>
      </w:r>
      <w:r w:rsidR="008D18D9">
        <w:t xml:space="preserve">Bowen </w:t>
      </w:r>
      <w:r w:rsidRPr="000271DA">
        <w:t>Basin</w:t>
      </w:r>
      <w:r>
        <w:t>, the connectivity between the coal seams (the Moranbah Coal Measures, Fort Cooper Coal Measures and Rangal Coal Measures) and the overlying alluvial and Tertiary basalt aquifers is poorly understood. No cumulative basin-scale assessment of inter-aquifer c</w:t>
      </w:r>
      <w:r w:rsidR="00C26C02">
        <w:t>onnectivity has been conducted.</w:t>
      </w:r>
      <w:r>
        <w:t xml:space="preserve"> Additionally, the connectivity between the Moolayember Formation, Rewan Group and Clematis Group sandstones in the </w:t>
      </w:r>
      <w:r w:rsidR="008D18D9">
        <w:t>north of the Basin is unknown.</w:t>
      </w:r>
    </w:p>
    <w:p w:rsidR="00DD07AF" w:rsidRDefault="00DD07AF" w:rsidP="00C26C02">
      <w:pPr>
        <w:pStyle w:val="BRNormal"/>
      </w:pPr>
      <w:r>
        <w:t xml:space="preserve">Previous investigations in the Galilee Basin have </w:t>
      </w:r>
      <w:r w:rsidR="008D18D9">
        <w:t>focused on the geology of the B</w:t>
      </w:r>
      <w:r>
        <w:t>asin and reservoir characteristics of the Permian units; there are no detailed studies of aquifer connectivity between the Permian coal seams and the overlying GAB units, particularly in t</w:t>
      </w:r>
      <w:r w:rsidR="00C26C02">
        <w:t>he southern parts of the Basin.</w:t>
      </w:r>
      <w:r>
        <w:t xml:space="preserve"> Local-scale seismic surveys and preliminary hydrochemical assessm</w:t>
      </w:r>
      <w:r w:rsidR="008D18D9">
        <w:t>ent suggest that faults in the B</w:t>
      </w:r>
      <w:r>
        <w:t>asin are not continuous across the Permian units and into the Jurassic</w:t>
      </w:r>
      <w:r w:rsidR="008D18D9">
        <w:noBreakHyphen/>
      </w:r>
      <w:r>
        <w:t>Cretaceous formations, however this requires further investigation. High inter-aquifer connectivity most</w:t>
      </w:r>
      <w:r w:rsidR="008D18D9">
        <w:t xml:space="preserve"> likely occurs in parts of the Galilee B</w:t>
      </w:r>
      <w:r>
        <w:t xml:space="preserve">asin where either the primary aquitards are </w:t>
      </w:r>
      <w:r w:rsidRPr="00217B6F">
        <w:t>not continuous</w:t>
      </w:r>
      <w:r>
        <w:t xml:space="preserve"> or drawdown in the Permian units propagates laterally to eastern parts of the Basin where these units subcrop beneath alluvial aquifers or outcrop in the surface drainage network. </w:t>
      </w:r>
    </w:p>
    <w:p w:rsidR="00DD07AF" w:rsidRDefault="008D18D9" w:rsidP="00C26C02">
      <w:pPr>
        <w:pStyle w:val="BRNormal"/>
      </w:pPr>
      <w:r>
        <w:t>For all of the B</w:t>
      </w:r>
      <w:r w:rsidR="00DD07AF">
        <w:t xml:space="preserve">asins studied in this literature review, there is a paucity of data that can be used to infer aquifer connectivity – more specifically inter-aquifer leakage fluxes – at a scale relevant for regional water resource assessment. As a consequence of this data gap, any previous modelling studies that use estimates of aquitard hydraulic conductivity obtained from laboratory testing of core samples or drill stem tests have likely under-estimated the fluxes of inter-aquifer leakage that may result from CSG development or coal mining. More generally, there are limited examples in the international literature to demonstrate changes in aquifer connectivity caused by mechanical deformation. </w:t>
      </w:r>
      <w:r w:rsidR="003D34A2">
        <w:t>T</w:t>
      </w:r>
      <w:r w:rsidR="00DD07AF">
        <w:t xml:space="preserve">he following components of work </w:t>
      </w:r>
      <w:r w:rsidR="00934D4D">
        <w:t xml:space="preserve">would assist in addressing </w:t>
      </w:r>
      <w:r w:rsidR="005E07C1">
        <w:t>aquifer connectivity knowledge gap</w:t>
      </w:r>
      <w:r w:rsidR="0081465B">
        <w:t>s</w:t>
      </w:r>
      <w:r w:rsidR="00DD07AF">
        <w:t>:</w:t>
      </w:r>
    </w:p>
    <w:p w:rsidR="00DD07AF" w:rsidRDefault="00C26C02" w:rsidP="00C26C02">
      <w:pPr>
        <w:pStyle w:val="Bulletpoint"/>
      </w:pPr>
      <w:r>
        <w:t>r</w:t>
      </w:r>
      <w:r w:rsidR="00DD07AF">
        <w:t>esearch to develop improved methods for i</w:t>
      </w:r>
      <w:r w:rsidR="008D18D9">
        <w:t>dentifying fractures and faults</w:t>
      </w:r>
      <w:r w:rsidR="00DD07AF">
        <w:t xml:space="preserve"> and for determining formation-scale hydr</w:t>
      </w:r>
      <w:r>
        <w:t>aulic conductivity of aquitards</w:t>
      </w:r>
    </w:p>
    <w:p w:rsidR="009C5CC7" w:rsidRDefault="00C26C02" w:rsidP="00C26C02">
      <w:pPr>
        <w:pStyle w:val="Bulletpoint"/>
      </w:pPr>
      <w:r>
        <w:t>f</w:t>
      </w:r>
      <w:r w:rsidR="00DD07AF">
        <w:t>ield data collection from the relevant geological formations to enable determination of effective hydraulic conductivity, which can then be fed into existing</w:t>
      </w:r>
      <w:r>
        <w:t xml:space="preserve"> and future groundwater models</w:t>
      </w:r>
    </w:p>
    <w:p w:rsidR="00DD07AF" w:rsidRDefault="00C26C02" w:rsidP="00C26C02">
      <w:pPr>
        <w:pStyle w:val="Bulletpoint"/>
      </w:pPr>
      <w:r>
        <w:t>d</w:t>
      </w:r>
      <w:r w:rsidR="000B7315">
        <w:t>evelopment of a consolidated, cross-jurisdictional</w:t>
      </w:r>
      <w:r w:rsidR="000B7315" w:rsidRPr="000B7315">
        <w:t xml:space="preserve"> groundwater data</w:t>
      </w:r>
      <w:r w:rsidR="000B7315">
        <w:t>base</w:t>
      </w:r>
      <w:r w:rsidR="000B7315" w:rsidRPr="000B7315">
        <w:t xml:space="preserve"> </w:t>
      </w:r>
      <w:r w:rsidR="000B7315">
        <w:t xml:space="preserve">that contains </w:t>
      </w:r>
      <w:r w:rsidR="000B7315" w:rsidRPr="000B7315">
        <w:t>corrected</w:t>
      </w:r>
      <w:r w:rsidR="000B7315">
        <w:t xml:space="preserve"> hydraulic head data</w:t>
      </w:r>
      <w:r w:rsidR="000B7315" w:rsidRPr="000B7315">
        <w:t xml:space="preserve"> for assessment of potential </w:t>
      </w:r>
      <w:r w:rsidR="00EA2138">
        <w:t xml:space="preserve">areas of preferential inter-aquifer </w:t>
      </w:r>
      <w:r w:rsidR="000B7315" w:rsidRPr="000B7315">
        <w:t>leakage</w:t>
      </w:r>
    </w:p>
    <w:p w:rsidR="00DD07AF" w:rsidRDefault="00C26C02" w:rsidP="00C26C02">
      <w:pPr>
        <w:pStyle w:val="Bulletpoint"/>
      </w:pPr>
      <w:r>
        <w:t>r</w:t>
      </w:r>
      <w:r w:rsidR="00DD07AF">
        <w:t>esearch into</w:t>
      </w:r>
      <w:r w:rsidR="00DD07AF" w:rsidRPr="003D764E">
        <w:t xml:space="preserve"> the interplay between changing hydraulic conditions, in situ stress, mechanical deformation, fluid properties and hydrogeologic</w:t>
      </w:r>
      <w:r w:rsidR="00DD07AF">
        <w:t>al</w:t>
      </w:r>
      <w:r w:rsidR="00DD07AF" w:rsidRPr="003D764E">
        <w:t xml:space="preserve"> characteristics and the subsequent implications for </w:t>
      </w:r>
      <w:r>
        <w:t>changes in aquifer connectivity</w:t>
      </w:r>
    </w:p>
    <w:p w:rsidR="005329BE" w:rsidRPr="00215F7D" w:rsidRDefault="00C26C02" w:rsidP="00C26C02">
      <w:pPr>
        <w:pStyle w:val="Bulletpoint"/>
      </w:pPr>
      <w:proofErr w:type="gramStart"/>
      <w:r>
        <w:t>e</w:t>
      </w:r>
      <w:r w:rsidR="005E07C1">
        <w:t>stablishing</w:t>
      </w:r>
      <w:proofErr w:type="gramEnd"/>
      <w:r w:rsidR="005E07C1">
        <w:t xml:space="preserve"> an ambient earthquake baseline, using information from c</w:t>
      </w:r>
      <w:r w:rsidR="005329BE">
        <w:t>urrent active faults</w:t>
      </w:r>
      <w:r w:rsidR="005E07C1">
        <w:t>,</w:t>
      </w:r>
      <w:r w:rsidR="00F329DE">
        <w:t xml:space="preserve"> to assess new </w:t>
      </w:r>
      <w:r w:rsidR="005E07C1">
        <w:t xml:space="preserve">and/or induced </w:t>
      </w:r>
      <w:r w:rsidR="00F329DE">
        <w:t xml:space="preserve">seismicity.  </w:t>
      </w:r>
    </w:p>
    <w:p w:rsidR="00DD07AF" w:rsidRPr="0058125B" w:rsidRDefault="00DD07AF" w:rsidP="001C3374">
      <w:pPr>
        <w:pStyle w:val="Body"/>
      </w:pPr>
    </w:p>
    <w:p w:rsidR="00E07F07" w:rsidRDefault="00E07F07" w:rsidP="001C3374">
      <w:pPr>
        <w:rPr>
          <w:rFonts w:ascii="Calibri-Bold" w:hAnsi="Calibri-Bold" w:cs="Calibri-Bold"/>
          <w:color w:val="00AEEF"/>
          <w:sz w:val="48"/>
          <w:szCs w:val="48"/>
          <w:lang w:val="en-AU"/>
        </w:rPr>
      </w:pPr>
      <w:r>
        <w:rPr>
          <w:lang w:val="en-AU"/>
        </w:rPr>
        <w:br w:type="page"/>
      </w:r>
    </w:p>
    <w:p w:rsidR="00F863AB" w:rsidRDefault="003614FB" w:rsidP="002731CF">
      <w:pPr>
        <w:pStyle w:val="Heading1"/>
        <w:ind w:left="709" w:hanging="709"/>
      </w:pPr>
      <w:bookmarkStart w:id="752" w:name="_Toc381961206"/>
      <w:bookmarkStart w:id="753" w:name="_Toc389055275"/>
      <w:r w:rsidRPr="0049311C">
        <w:lastRenderedPageBreak/>
        <w:t>References</w:t>
      </w:r>
      <w:bookmarkEnd w:id="752"/>
      <w:bookmarkEnd w:id="753"/>
    </w:p>
    <w:p w:rsidR="000E4541" w:rsidRPr="0006214B" w:rsidRDefault="000E4541" w:rsidP="00BE7A62">
      <w:pPr>
        <w:pStyle w:val="BRNormal"/>
        <w:spacing w:after="0"/>
        <w:ind w:left="709" w:hanging="709"/>
      </w:pPr>
      <w:proofErr w:type="gramStart"/>
      <w:r w:rsidRPr="0006214B">
        <w:t>AGC 1983.</w:t>
      </w:r>
      <w:proofErr w:type="gramEnd"/>
      <w:r w:rsidRPr="0006214B">
        <w:t xml:space="preserve"> </w:t>
      </w:r>
      <w:proofErr w:type="gramStart"/>
      <w:r w:rsidRPr="0049311C">
        <w:rPr>
          <w:i/>
        </w:rPr>
        <w:t>Alpha Coal Project (A to P 245C), Surface Water and Groundwater Aspects – Preliminary Evaluations</w:t>
      </w:r>
      <w:r w:rsidRPr="0006214B">
        <w:t>.</w:t>
      </w:r>
      <w:proofErr w:type="gramEnd"/>
      <w:r w:rsidRPr="0006214B">
        <w:t xml:space="preserve"> Report prepared by Australian Groundwater Consultants (AGC) for Bridge Oil Limited.</w:t>
      </w:r>
    </w:p>
    <w:p w:rsidR="000E4541" w:rsidRPr="0006214B" w:rsidRDefault="000E4541" w:rsidP="00BE7A62">
      <w:pPr>
        <w:pStyle w:val="BRNormal"/>
        <w:spacing w:after="0"/>
        <w:ind w:left="709" w:hanging="709"/>
      </w:pPr>
      <w:proofErr w:type="gramStart"/>
      <w:r w:rsidRPr="0006214B">
        <w:t>AGC 1984.</w:t>
      </w:r>
      <w:proofErr w:type="gramEnd"/>
      <w:r w:rsidRPr="0006214B">
        <w:t xml:space="preserve"> </w:t>
      </w:r>
      <w:r w:rsidRPr="0049311C">
        <w:rPr>
          <w:i/>
        </w:rPr>
        <w:t xml:space="preserve">Olympic Dam Water Supply, Wellfield </w:t>
      </w:r>
      <w:proofErr w:type="gramStart"/>
      <w:r w:rsidRPr="0049311C">
        <w:rPr>
          <w:i/>
        </w:rPr>
        <w:t>A</w:t>
      </w:r>
      <w:proofErr w:type="gramEnd"/>
      <w:r w:rsidRPr="0049311C">
        <w:rPr>
          <w:i/>
        </w:rPr>
        <w:t xml:space="preserve"> Investigation</w:t>
      </w:r>
      <w:r w:rsidRPr="0006214B">
        <w:t>, report prepared by Australian Groundwater Consultants (AGC) for Roxby Management Services.</w:t>
      </w:r>
    </w:p>
    <w:p w:rsidR="000E4541" w:rsidRPr="0006214B" w:rsidRDefault="0006214B" w:rsidP="00BE7A62">
      <w:pPr>
        <w:pStyle w:val="BRNormal"/>
        <w:spacing w:after="0"/>
        <w:ind w:left="709" w:hanging="709"/>
      </w:pPr>
      <w:proofErr w:type="gramStart"/>
      <w:r>
        <w:t xml:space="preserve">AGC - Woodward Clyde </w:t>
      </w:r>
      <w:r w:rsidR="000E4541" w:rsidRPr="0006214B">
        <w:t>1995</w:t>
      </w:r>
      <w:r>
        <w:t>.</w:t>
      </w:r>
      <w:proofErr w:type="gramEnd"/>
      <w:r w:rsidR="000E4541" w:rsidRPr="0006214B">
        <w:t xml:space="preserve"> </w:t>
      </w:r>
      <w:r w:rsidR="000E4541" w:rsidRPr="0049311C">
        <w:rPr>
          <w:i/>
        </w:rPr>
        <w:t>Ernest Henry Mine dewatering review</w:t>
      </w:r>
      <w:r w:rsidR="000E4541" w:rsidRPr="0006214B">
        <w:t>, Australian Groundwater Consultants (AGC) Woodward-Clyde report to Ernest Henry Mining, Perth, WA.</w:t>
      </w:r>
    </w:p>
    <w:p w:rsidR="000E4541" w:rsidRPr="0006214B" w:rsidRDefault="0006214B" w:rsidP="00BE7A62">
      <w:pPr>
        <w:pStyle w:val="BRNormal"/>
        <w:spacing w:after="0"/>
        <w:ind w:left="709" w:hanging="709"/>
      </w:pPr>
      <w:proofErr w:type="gramStart"/>
      <w:r>
        <w:t>AGE 2007</w:t>
      </w:r>
      <w:r w:rsidR="0049311C">
        <w:t>.</w:t>
      </w:r>
      <w:proofErr w:type="gramEnd"/>
      <w:r w:rsidR="000E4541" w:rsidRPr="0006214B">
        <w:t xml:space="preserve"> </w:t>
      </w:r>
      <w:r w:rsidR="000E4541" w:rsidRPr="0049311C">
        <w:rPr>
          <w:i/>
        </w:rPr>
        <w:t>Report on Groundwater Assessment: Berwyndale and Argyle Gas Fields Surat Basin</w:t>
      </w:r>
      <w:r w:rsidR="000E4541" w:rsidRPr="0006214B">
        <w:t>, unpublished report prepared by Australasian Groundwater and Environmental (AGE) consultants for Queensland Gas Company Pty Ltd, Brisbane, Qld.</w:t>
      </w:r>
    </w:p>
    <w:p w:rsidR="000E4541" w:rsidRPr="0006214B" w:rsidRDefault="000E4541" w:rsidP="00BE7A62">
      <w:pPr>
        <w:pStyle w:val="BRNormal"/>
        <w:spacing w:after="0"/>
        <w:ind w:left="709" w:hanging="709"/>
      </w:pPr>
      <w:proofErr w:type="gramStart"/>
      <w:r w:rsidRPr="0006214B">
        <w:t>AGE</w:t>
      </w:r>
      <w:r w:rsidR="0006214B">
        <w:t xml:space="preserve"> 1999.</w:t>
      </w:r>
      <w:proofErr w:type="gramEnd"/>
      <w:r w:rsidRPr="0006214B">
        <w:t xml:space="preserve"> </w:t>
      </w:r>
      <w:r w:rsidRPr="0049311C">
        <w:rPr>
          <w:i/>
        </w:rPr>
        <w:t>Development of a sub-regional groundwater model and predictive modelling, Ernest Henry Mine</w:t>
      </w:r>
      <w:r w:rsidRPr="0006214B">
        <w:t>, Australasian Groundwater and Environmental (AGE) Consultants report to Ernest Henry Mining, Perth, WA.</w:t>
      </w:r>
    </w:p>
    <w:p w:rsidR="000E4541" w:rsidRPr="0006214B" w:rsidRDefault="0006214B" w:rsidP="00BE7A62">
      <w:pPr>
        <w:pStyle w:val="BRNormal"/>
        <w:spacing w:after="0"/>
        <w:ind w:left="709" w:hanging="709"/>
      </w:pPr>
      <w:proofErr w:type="gramStart"/>
      <w:r>
        <w:t>AGL 2012</w:t>
      </w:r>
      <w:r w:rsidR="0049311C">
        <w:t>.</w:t>
      </w:r>
      <w:proofErr w:type="gramEnd"/>
      <w:r w:rsidR="000E4541" w:rsidRPr="0006214B">
        <w:t xml:space="preserve"> </w:t>
      </w:r>
      <w:r w:rsidR="000E4541" w:rsidRPr="0049311C">
        <w:rPr>
          <w:i/>
        </w:rPr>
        <w:t>Draft Underground Water Impact Report (for consultation) ATP529P – Galilee Basin</w:t>
      </w:r>
      <w:r w:rsidR="000E4541" w:rsidRPr="0006214B">
        <w:t xml:space="preserve">. </w:t>
      </w:r>
      <w:r>
        <w:t>AGL,</w:t>
      </w:r>
      <w:r w:rsidR="000E4541" w:rsidRPr="0006214B">
        <w:t xml:space="preserve"> 28 May 2012.</w:t>
      </w:r>
    </w:p>
    <w:p w:rsidR="00E07F07" w:rsidRPr="0006214B" w:rsidRDefault="00E07F07" w:rsidP="00BE7A62">
      <w:pPr>
        <w:pStyle w:val="BRNormal"/>
        <w:spacing w:after="0"/>
        <w:ind w:left="709" w:hanging="709"/>
      </w:pPr>
      <w:r w:rsidRPr="0006214B">
        <w:t>Airey PL, Bentley H, Calf GE, Davis SN, Elmore D, Gove H, Habermehl MA, Phillips F, Smith J and Torgers</w:t>
      </w:r>
      <w:r w:rsidR="0049311C">
        <w:t>en T 1983.</w:t>
      </w:r>
      <w:r w:rsidRPr="0006214B">
        <w:t xml:space="preserve"> ‘Isotope hydrology of the Great Artesian Basin, Australia’, </w:t>
      </w:r>
      <w:r w:rsidRPr="0049311C">
        <w:rPr>
          <w:i/>
        </w:rPr>
        <w:t>Papers of the International Conference on Groundwater and Man</w:t>
      </w:r>
      <w:r w:rsidRPr="0006214B">
        <w:t>, Sydney, 5–9 December 1983, Australian Water Resources Council Conference Series, Australian Government Publishing Service, Canberra, ACT, pp.</w:t>
      </w:r>
      <w:r w:rsidR="0049311C">
        <w:t xml:space="preserve"> </w:t>
      </w:r>
      <w:r w:rsidRPr="0006214B">
        <w:t>1-11.</w:t>
      </w:r>
    </w:p>
    <w:p w:rsidR="00E07F07" w:rsidRPr="0006214B" w:rsidRDefault="00E07F07" w:rsidP="00BE7A62">
      <w:pPr>
        <w:pStyle w:val="BRNormal"/>
        <w:spacing w:after="0"/>
        <w:ind w:left="709" w:hanging="709"/>
      </w:pPr>
      <w:proofErr w:type="gramStart"/>
      <w:r w:rsidRPr="0006214B">
        <w:t>Airey PL, Calf GE, Campbell BL, Habermehl</w:t>
      </w:r>
      <w:r w:rsidR="0049311C">
        <w:t xml:space="preserve"> MA, Hartley PE and Roman D 1979.</w:t>
      </w:r>
      <w:proofErr w:type="gramEnd"/>
      <w:r w:rsidRPr="0006214B">
        <w:t xml:space="preserve"> ‘Aspects of the isotope hydrology of the Great Artesian Basin, Australia’, in: </w:t>
      </w:r>
      <w:r w:rsidRPr="0049311C">
        <w:rPr>
          <w:i/>
        </w:rPr>
        <w:t>International Symposium on Isotope Hydrology</w:t>
      </w:r>
      <w:r w:rsidRPr="0006214B">
        <w:t>, Atomic Energy Agency and United Nations Educational, Scientific and Cultural Organisation, International Atomic Energy Agency, Vienna, pp.</w:t>
      </w:r>
      <w:r w:rsidR="0049311C">
        <w:t xml:space="preserve"> </w:t>
      </w:r>
      <w:r w:rsidRPr="0006214B">
        <w:t>205–219.</w:t>
      </w:r>
    </w:p>
    <w:p w:rsidR="00E07F07" w:rsidRPr="0006214B" w:rsidRDefault="0049311C" w:rsidP="00BE7A62">
      <w:pPr>
        <w:pStyle w:val="BRNormal"/>
        <w:spacing w:after="0"/>
        <w:ind w:left="709" w:hanging="709"/>
      </w:pPr>
      <w:r>
        <w:t>Al-Bazali T, Zhang</w:t>
      </w:r>
      <w:r w:rsidR="00E07F07" w:rsidRPr="0006214B">
        <w:t xml:space="preserve"> </w:t>
      </w:r>
      <w:r>
        <w:t>J, Chenvert ME, Sharma MM</w:t>
      </w:r>
      <w:r w:rsidR="00E07F07" w:rsidRPr="0006214B">
        <w:t xml:space="preserve"> 2008</w:t>
      </w:r>
      <w:r>
        <w:t>.</w:t>
      </w:r>
      <w:r w:rsidR="00E07F07" w:rsidRPr="0006214B">
        <w:t xml:space="preserve"> </w:t>
      </w:r>
      <w:proofErr w:type="gramStart"/>
      <w:r>
        <w:t>‘</w:t>
      </w:r>
      <w:r w:rsidR="00E07F07" w:rsidRPr="0006214B">
        <w:t>Maintaining the stability of deviated and horizontal wells: Effects of mechanical, chemical and thermal phenomena on well designs</w:t>
      </w:r>
      <w:r>
        <w:t>’</w:t>
      </w:r>
      <w:r w:rsidR="00E07F07" w:rsidRPr="0006214B">
        <w:t>.</w:t>
      </w:r>
      <w:proofErr w:type="gramEnd"/>
      <w:r w:rsidR="00E07F07" w:rsidRPr="0006214B">
        <w:t xml:space="preserve"> </w:t>
      </w:r>
      <w:r w:rsidR="00E07F07" w:rsidRPr="0049311C">
        <w:rPr>
          <w:i/>
        </w:rPr>
        <w:t>Geomech Geoeng</w:t>
      </w:r>
      <w:r w:rsidR="00E07F07" w:rsidRPr="0006214B">
        <w:t xml:space="preserve"> </w:t>
      </w:r>
      <w:r w:rsidR="00E07F07" w:rsidRPr="0049311C">
        <w:rPr>
          <w:i/>
        </w:rPr>
        <w:t>Int</w:t>
      </w:r>
      <w:r w:rsidR="00E07F07" w:rsidRPr="0006214B">
        <w:t xml:space="preserve"> J 3,</w:t>
      </w:r>
      <w:r>
        <w:t xml:space="preserve"> pp. </w:t>
      </w:r>
      <w:r w:rsidR="00E07F07" w:rsidRPr="0006214B">
        <w:t>167–178</w:t>
      </w:r>
      <w:r>
        <w:t>.</w:t>
      </w:r>
    </w:p>
    <w:p w:rsidR="00E07F07" w:rsidRPr="0006214B" w:rsidRDefault="00E07F07" w:rsidP="00BE7A62">
      <w:pPr>
        <w:pStyle w:val="BRNormal"/>
        <w:spacing w:after="0"/>
        <w:ind w:left="709" w:hanging="709"/>
      </w:pPr>
      <w:r w:rsidRPr="0006214B">
        <w:t>Al</w:t>
      </w:r>
      <w:r w:rsidR="0049311C">
        <w:t>len J &amp; Fielding C 2007a</w:t>
      </w:r>
      <w:r w:rsidRPr="0006214B">
        <w:t xml:space="preserve">. </w:t>
      </w:r>
      <w:proofErr w:type="gramStart"/>
      <w:r w:rsidR="0049311C">
        <w:t>‘</w:t>
      </w:r>
      <w:r w:rsidRPr="0006214B">
        <w:t>Sedimentology and stratigraphic architecture of the Late Permian Betts Creek Beds, Queensland, Australia</w:t>
      </w:r>
      <w:r w:rsidR="0049311C">
        <w:t>’</w:t>
      </w:r>
      <w:r w:rsidRPr="0006214B">
        <w:t>.</w:t>
      </w:r>
      <w:proofErr w:type="gramEnd"/>
      <w:r w:rsidRPr="0006214B">
        <w:t xml:space="preserve"> </w:t>
      </w:r>
      <w:r w:rsidRPr="0049311C">
        <w:rPr>
          <w:i/>
        </w:rPr>
        <w:t>Sedimentary Geology</w:t>
      </w:r>
      <w:r w:rsidR="0049311C">
        <w:rPr>
          <w:i/>
        </w:rPr>
        <w:t>,</w:t>
      </w:r>
      <w:r w:rsidRPr="0006214B">
        <w:t xml:space="preserve"> 202(1-2), </w:t>
      </w:r>
      <w:r w:rsidR="0049311C">
        <w:t xml:space="preserve">pp. </w:t>
      </w:r>
      <w:r w:rsidRPr="0006214B">
        <w:t>5-34.</w:t>
      </w:r>
    </w:p>
    <w:p w:rsidR="00E07F07" w:rsidRPr="0006214B" w:rsidRDefault="0049311C" w:rsidP="00BE7A62">
      <w:pPr>
        <w:pStyle w:val="BRNormal"/>
        <w:spacing w:after="0"/>
        <w:ind w:left="709" w:hanging="709"/>
      </w:pPr>
      <w:r>
        <w:t>Allen J</w:t>
      </w:r>
      <w:r w:rsidR="00E07F07" w:rsidRPr="0006214B">
        <w:t xml:space="preserve"> </w:t>
      </w:r>
      <w:r>
        <w:t xml:space="preserve">&amp; Fielding C </w:t>
      </w:r>
      <w:r w:rsidR="00E07F07" w:rsidRPr="0006214B">
        <w:t xml:space="preserve">2007b. </w:t>
      </w:r>
      <w:proofErr w:type="gramStart"/>
      <w:r>
        <w:t>‘</w:t>
      </w:r>
      <w:r w:rsidR="00E07F07" w:rsidRPr="0006214B">
        <w:t>Sequence architecture within a low accommodation setting: An example from the Permian of the Galilee and Bowen basins, Queensland, Australia</w:t>
      </w:r>
      <w:r>
        <w:t>’</w:t>
      </w:r>
      <w:r w:rsidR="00E07F07" w:rsidRPr="0006214B">
        <w:t>.</w:t>
      </w:r>
      <w:proofErr w:type="gramEnd"/>
      <w:r w:rsidR="00E07F07" w:rsidRPr="0006214B">
        <w:t xml:space="preserve"> </w:t>
      </w:r>
      <w:r w:rsidR="00E07F07" w:rsidRPr="0049311C">
        <w:rPr>
          <w:i/>
        </w:rPr>
        <w:t>AAPG Bulletin</w:t>
      </w:r>
      <w:r w:rsidR="00E07F07" w:rsidRPr="0006214B">
        <w:t xml:space="preserve"> 91(11), </w:t>
      </w:r>
      <w:r>
        <w:t xml:space="preserve">pp. </w:t>
      </w:r>
      <w:r w:rsidR="00E07F07" w:rsidRPr="0006214B">
        <w:t>1503-1539.</w:t>
      </w:r>
    </w:p>
    <w:p w:rsidR="00E07F07" w:rsidRPr="0006214B" w:rsidRDefault="0049311C" w:rsidP="00BE7A62">
      <w:pPr>
        <w:pStyle w:val="BRNormal"/>
        <w:spacing w:after="0"/>
        <w:ind w:left="709" w:hanging="709"/>
      </w:pPr>
      <w:proofErr w:type="gramStart"/>
      <w:r>
        <w:t>AMEC 2007.</w:t>
      </w:r>
      <w:proofErr w:type="gramEnd"/>
      <w:r w:rsidR="00E07F07" w:rsidRPr="0006214B">
        <w:t xml:space="preserve"> </w:t>
      </w:r>
      <w:r w:rsidR="00E07F07" w:rsidRPr="0049311C">
        <w:rPr>
          <w:i/>
        </w:rPr>
        <w:t xml:space="preserve">Preliminary Investigations of Hydrogeology and Belyando River Water Resources for </w:t>
      </w:r>
      <w:proofErr w:type="gramStart"/>
      <w:r w:rsidR="00E07F07" w:rsidRPr="0049311C">
        <w:rPr>
          <w:i/>
        </w:rPr>
        <w:t>The</w:t>
      </w:r>
      <w:proofErr w:type="gramEnd"/>
      <w:r w:rsidR="00E07F07" w:rsidRPr="0049311C">
        <w:rPr>
          <w:i/>
        </w:rPr>
        <w:t xml:space="preserve"> Alpha Coal Project</w:t>
      </w:r>
      <w:r>
        <w:t xml:space="preserve">. </w:t>
      </w:r>
      <w:r w:rsidR="00E07F07" w:rsidRPr="0006214B">
        <w:t>Unpublished report prepared by: Australian Mining Engineering Consultants, prepared for Waratah Coal Pty Ltd.  December 2007.</w:t>
      </w:r>
    </w:p>
    <w:p w:rsidR="00E07F07" w:rsidRPr="0006214B" w:rsidRDefault="0049311C" w:rsidP="00BE7A62">
      <w:pPr>
        <w:pStyle w:val="BRNormal"/>
        <w:spacing w:after="0"/>
        <w:ind w:left="709" w:hanging="709"/>
      </w:pPr>
      <w:proofErr w:type="gramStart"/>
      <w:r>
        <w:t>Anderson M P &amp; Woessner W W</w:t>
      </w:r>
      <w:r w:rsidR="00E07F07" w:rsidRPr="0006214B">
        <w:t xml:space="preserve"> 1992.</w:t>
      </w:r>
      <w:proofErr w:type="gramEnd"/>
      <w:r w:rsidR="00E07F07" w:rsidRPr="0006214B">
        <w:t xml:space="preserve"> </w:t>
      </w:r>
      <w:proofErr w:type="gramStart"/>
      <w:r w:rsidR="00E07F07" w:rsidRPr="0049311C">
        <w:rPr>
          <w:i/>
        </w:rPr>
        <w:t>Applied groundwater modeling; simulation of flow and advective transport</w:t>
      </w:r>
      <w:r w:rsidR="00E07F07" w:rsidRPr="0006214B">
        <w:t>, London, Academic Press Inc.</w:t>
      </w:r>
      <w:proofErr w:type="gramEnd"/>
    </w:p>
    <w:p w:rsidR="00E07F07" w:rsidRPr="0006214B" w:rsidRDefault="0049311C" w:rsidP="00BE7A62">
      <w:pPr>
        <w:pStyle w:val="BRNormal"/>
        <w:spacing w:after="0"/>
        <w:ind w:left="709" w:hanging="709"/>
      </w:pPr>
      <w:proofErr w:type="gramStart"/>
      <w:r>
        <w:t>Aquaterra 2009.</w:t>
      </w:r>
      <w:proofErr w:type="gramEnd"/>
      <w:r w:rsidR="00E07F07" w:rsidRPr="0006214B">
        <w:t xml:space="preserve"> </w:t>
      </w:r>
      <w:r>
        <w:t>‘</w:t>
      </w:r>
      <w:r w:rsidR="00E07F07" w:rsidRPr="0006214B">
        <w:t>Hydrogeological assessment</w:t>
      </w:r>
      <w:r>
        <w:t>’</w:t>
      </w:r>
      <w:r w:rsidR="00E07F07" w:rsidRPr="0006214B">
        <w:t xml:space="preserve">, Part 2 in: </w:t>
      </w:r>
      <w:r w:rsidR="00E07F07" w:rsidRPr="0049311C">
        <w:rPr>
          <w:i/>
        </w:rPr>
        <w:t xml:space="preserve">Narrabri Coal Mine Stage 2 Longwall Project environmental </w:t>
      </w:r>
      <w:proofErr w:type="gramStart"/>
      <w:r w:rsidR="00E07F07" w:rsidRPr="0049311C">
        <w:rPr>
          <w:i/>
        </w:rPr>
        <w:t>assessment</w:t>
      </w:r>
      <w:proofErr w:type="gramEnd"/>
      <w:r w:rsidR="00E07F07" w:rsidRPr="0049311C">
        <w:rPr>
          <w:i/>
        </w:rPr>
        <w:t>, Volume 1 - Specialist consultant studies compendium</w:t>
      </w:r>
      <w:r w:rsidR="00E07F07" w:rsidRPr="0006214B">
        <w:t>, Aquaterra on behalf of Narrabri Coal Operations.</w:t>
      </w:r>
    </w:p>
    <w:p w:rsidR="00E07F07" w:rsidRPr="0006214B" w:rsidRDefault="00E07F07" w:rsidP="00BE7A62">
      <w:pPr>
        <w:pStyle w:val="BRNormal"/>
        <w:spacing w:after="0"/>
        <w:ind w:left="709" w:hanging="709"/>
      </w:pPr>
      <w:proofErr w:type="gramStart"/>
      <w:r w:rsidRPr="0006214B">
        <w:t xml:space="preserve">Armstrong D </w:t>
      </w:r>
      <w:r w:rsidR="0049311C">
        <w:t>&amp; Berry KA 1997.</w:t>
      </w:r>
      <w:proofErr w:type="gramEnd"/>
      <w:r w:rsidRPr="0006214B">
        <w:t xml:space="preserve"> </w:t>
      </w:r>
      <w:r w:rsidRPr="0049311C">
        <w:rPr>
          <w:i/>
        </w:rPr>
        <w:t>Olympic Dam Operations recalibration of GAB95 numerical flow model (renamed ODEX1), and updated simulation of borefield B operation, report no. HYD-T069</w:t>
      </w:r>
      <w:r w:rsidRPr="0006214B">
        <w:t xml:space="preserve">, WMC Resources Ltd. </w:t>
      </w:r>
    </w:p>
    <w:p w:rsidR="00E07F07" w:rsidRPr="0006214B" w:rsidRDefault="0049311C" w:rsidP="00BE7A62">
      <w:pPr>
        <w:pStyle w:val="BRNormal"/>
        <w:spacing w:after="0"/>
        <w:ind w:left="709" w:hanging="709"/>
      </w:pPr>
      <w:proofErr w:type="gramStart"/>
      <w:r>
        <w:lastRenderedPageBreak/>
        <w:t>Arrow Energy 2011.</w:t>
      </w:r>
      <w:proofErr w:type="gramEnd"/>
      <w:r w:rsidR="00E07F07" w:rsidRPr="0006214B">
        <w:t xml:space="preserve"> </w:t>
      </w:r>
      <w:proofErr w:type="gramStart"/>
      <w:r w:rsidR="00E07F07" w:rsidRPr="0049311C">
        <w:rPr>
          <w:i/>
        </w:rPr>
        <w:t>Underground water impact report – for authority to prospect 1103</w:t>
      </w:r>
      <w:r w:rsidR="00E07F07" w:rsidRPr="0006214B">
        <w:t xml:space="preserve"> – for consultation.</w:t>
      </w:r>
      <w:proofErr w:type="gramEnd"/>
      <w:r w:rsidR="00E07F07" w:rsidRPr="0006214B">
        <w:t xml:space="preserve"> </w:t>
      </w:r>
    </w:p>
    <w:p w:rsidR="00E07F07" w:rsidRPr="0006214B" w:rsidRDefault="00E07F07" w:rsidP="00BE7A62">
      <w:pPr>
        <w:pStyle w:val="BRNormal"/>
        <w:spacing w:after="0"/>
        <w:ind w:left="709" w:hanging="709"/>
      </w:pPr>
      <w:proofErr w:type="gramStart"/>
      <w:r w:rsidRPr="0006214B">
        <w:t>ASTM 2001.</w:t>
      </w:r>
      <w:proofErr w:type="gramEnd"/>
      <w:r w:rsidRPr="0006214B">
        <w:t xml:space="preserve"> </w:t>
      </w:r>
      <w:r w:rsidRPr="0049311C">
        <w:rPr>
          <w:i/>
        </w:rPr>
        <w:t>D 4525 Standard test method for permeability of rocks by flowing air</w:t>
      </w:r>
      <w:r w:rsidRPr="0006214B">
        <w:t xml:space="preserve">. </w:t>
      </w:r>
      <w:proofErr w:type="gramStart"/>
      <w:r w:rsidRPr="0006214B">
        <w:t>American Society for Testing and Materials.</w:t>
      </w:r>
      <w:proofErr w:type="gramEnd"/>
    </w:p>
    <w:p w:rsidR="00E07F07" w:rsidRPr="0006214B" w:rsidRDefault="00E07F07" w:rsidP="00BE7A62">
      <w:pPr>
        <w:pStyle w:val="BRNormal"/>
        <w:spacing w:after="0"/>
        <w:ind w:left="709" w:hanging="709"/>
      </w:pPr>
      <w:r w:rsidRPr="0006214B">
        <w:t xml:space="preserve">Audibert </w:t>
      </w:r>
      <w:r w:rsidR="0049311C">
        <w:t>M 1976.</w:t>
      </w:r>
      <w:r w:rsidRPr="0006214B">
        <w:t xml:space="preserve"> </w:t>
      </w:r>
      <w:proofErr w:type="gramStart"/>
      <w:r w:rsidRPr="0049311C">
        <w:rPr>
          <w:i/>
        </w:rPr>
        <w:t>Progress report on the Great Artesian Basin hydrogeological study 1972-1974</w:t>
      </w:r>
      <w:r w:rsidRPr="0006214B">
        <w:t>, record 1976/5, Bureau of Mineral Resources, Geology and Geophysics, Canberra, ACT.</w:t>
      </w:r>
      <w:proofErr w:type="gramEnd"/>
    </w:p>
    <w:p w:rsidR="000B5A9B" w:rsidRPr="0006214B" w:rsidRDefault="0049311C" w:rsidP="00BE7A62">
      <w:pPr>
        <w:pStyle w:val="BRNormal"/>
        <w:spacing w:after="0"/>
        <w:ind w:left="709" w:hanging="709"/>
      </w:pPr>
      <w:proofErr w:type="gramStart"/>
      <w:r>
        <w:t>APPEA 2013</w:t>
      </w:r>
      <w:r w:rsidR="00E36200" w:rsidRPr="0006214B">
        <w:t>.</w:t>
      </w:r>
      <w:proofErr w:type="gramEnd"/>
      <w:r w:rsidR="00E36200" w:rsidRPr="0006214B">
        <w:t xml:space="preserve"> </w:t>
      </w:r>
      <w:proofErr w:type="gramStart"/>
      <w:r w:rsidR="00FB1DE3">
        <w:rPr>
          <w:i/>
        </w:rPr>
        <w:t xml:space="preserve">Coal seam gas industry data, </w:t>
      </w:r>
      <w:r w:rsidR="000B5A9B" w:rsidRPr="0006214B">
        <w:t>Australian Petroleum Production and Explor</w:t>
      </w:r>
      <w:r w:rsidR="00E36200" w:rsidRPr="0006214B">
        <w:t>ation Association (APPEA)</w:t>
      </w:r>
      <w:r w:rsidR="000B5A9B" w:rsidRPr="0006214B">
        <w:t xml:space="preserve"> </w:t>
      </w:r>
      <w:r w:rsidR="00FB1DE3">
        <w:t>(</w:t>
      </w:r>
      <w:r w:rsidR="00FB1DE3" w:rsidRPr="00FB1DE3">
        <w:t xml:space="preserve">http://www.appea.com.au/industry-in-depth/industry-statistics/ </w:t>
      </w:r>
      <w:r w:rsidR="00F921DB">
        <w:t>[a</w:t>
      </w:r>
      <w:r w:rsidR="000B5A9B" w:rsidRPr="0006214B">
        <w:t>ccessed 20 Jan 2014]</w:t>
      </w:r>
      <w:r w:rsidR="00FB1DE3">
        <w:t>).</w:t>
      </w:r>
      <w:proofErr w:type="gramEnd"/>
    </w:p>
    <w:p w:rsidR="00E07F07" w:rsidRPr="0006214B" w:rsidRDefault="004F7C54" w:rsidP="00BE7A62">
      <w:pPr>
        <w:pStyle w:val="BRNormal"/>
        <w:spacing w:after="0"/>
        <w:ind w:left="709" w:hanging="709"/>
      </w:pPr>
      <w:r>
        <w:t>Bakker M 2010</w:t>
      </w:r>
      <w:r w:rsidR="00E07F07" w:rsidRPr="0006214B">
        <w:t xml:space="preserve">. </w:t>
      </w:r>
      <w:r w:rsidR="00E07F07" w:rsidRPr="004F7C54">
        <w:rPr>
          <w:i/>
        </w:rPr>
        <w:t xml:space="preserve">TTim: A multi-aquifer transient analytic element model version 0.01. </w:t>
      </w:r>
      <w:proofErr w:type="gramStart"/>
      <w:r w:rsidR="00E07F07" w:rsidRPr="004F7C54">
        <w:rPr>
          <w:i/>
        </w:rPr>
        <w:t>Technical report</w:t>
      </w:r>
      <w:r w:rsidR="00E07F07" w:rsidRPr="0006214B">
        <w:t>, Water Resources Section, Civil Engineering and Geosciences Delft University of Technology, Delft, The Netherlands.</w:t>
      </w:r>
      <w:proofErr w:type="gramEnd"/>
    </w:p>
    <w:p w:rsidR="00E07F07" w:rsidRPr="0006214B" w:rsidRDefault="004F7C54" w:rsidP="00BE7A62">
      <w:pPr>
        <w:pStyle w:val="BRNormal"/>
        <w:spacing w:after="0"/>
        <w:ind w:left="709" w:hanging="709"/>
      </w:pPr>
      <w:r>
        <w:t>Barclay DF 2001.</w:t>
      </w:r>
      <w:r w:rsidR="00E07F07" w:rsidRPr="0006214B">
        <w:t xml:space="preserve"> </w:t>
      </w:r>
      <w:r w:rsidR="00E07F07" w:rsidRPr="004F7C54">
        <w:rPr>
          <w:i/>
        </w:rPr>
        <w:t>Great Artesian Basin Bore Audit</w:t>
      </w:r>
      <w:r w:rsidR="00E07F07" w:rsidRPr="0006214B">
        <w:t>, Queensland Department of Natural Resources and Mines internal report, Brisbane, Qld.</w:t>
      </w:r>
    </w:p>
    <w:p w:rsidR="00E07F07" w:rsidRPr="0006214B" w:rsidRDefault="00E07F07" w:rsidP="00BE7A62">
      <w:pPr>
        <w:pStyle w:val="BRNormal"/>
        <w:spacing w:after="0"/>
        <w:ind w:left="709" w:hanging="709"/>
      </w:pPr>
      <w:proofErr w:type="gramStart"/>
      <w:r w:rsidRPr="0006214B">
        <w:t xml:space="preserve">Barnett BG </w:t>
      </w:r>
      <w:r w:rsidR="004F7C54">
        <w:t>&amp;</w:t>
      </w:r>
      <w:r w:rsidRPr="0006214B">
        <w:t xml:space="preserve"> Mulle</w:t>
      </w:r>
      <w:r w:rsidR="004F7C54">
        <w:t>r J 2008.</w:t>
      </w:r>
      <w:proofErr w:type="gramEnd"/>
      <w:r w:rsidRPr="0006214B">
        <w:t xml:space="preserve"> </w:t>
      </w:r>
      <w:r w:rsidRPr="004F7C54">
        <w:rPr>
          <w:i/>
        </w:rPr>
        <w:t>Upper Condamine Groundwater Model Calibration Report</w:t>
      </w:r>
      <w:r w:rsidRPr="0006214B">
        <w:t>, A report to the Australian Government from the CSIRO Murray-Darling Basin Sustainable Yields Project, CSIRO, Canberra, ACT.</w:t>
      </w:r>
    </w:p>
    <w:p w:rsidR="00E07F07" w:rsidRPr="0006214B" w:rsidRDefault="004F7C54" w:rsidP="00BE7A62">
      <w:pPr>
        <w:pStyle w:val="BRNormal"/>
        <w:spacing w:after="0"/>
        <w:ind w:left="709" w:hanging="709"/>
        <w:rPr>
          <w:noProof/>
        </w:rPr>
      </w:pPr>
      <w:r>
        <w:rPr>
          <w:noProof/>
        </w:rPr>
        <w:t>Barnett B, Townley L, Post V, Evans R</w:t>
      </w:r>
      <w:r w:rsidR="00E07F07" w:rsidRPr="0006214B">
        <w:rPr>
          <w:noProof/>
        </w:rPr>
        <w:t>, Peeters</w:t>
      </w:r>
      <w:r>
        <w:rPr>
          <w:noProof/>
        </w:rPr>
        <w:t xml:space="preserve"> L</w:t>
      </w:r>
      <w:r w:rsidR="00E07F07" w:rsidRPr="0006214B">
        <w:rPr>
          <w:noProof/>
        </w:rPr>
        <w:t>, Richard</w:t>
      </w:r>
      <w:r>
        <w:rPr>
          <w:noProof/>
        </w:rPr>
        <w:t>son S, Werner A, Knapton A &amp; Boronkay A</w:t>
      </w:r>
      <w:r w:rsidR="00E07F07" w:rsidRPr="0006214B">
        <w:rPr>
          <w:noProof/>
        </w:rPr>
        <w:t xml:space="preserve"> 2012. </w:t>
      </w:r>
      <w:r w:rsidR="00E07F07" w:rsidRPr="004F7C54">
        <w:rPr>
          <w:i/>
          <w:noProof/>
        </w:rPr>
        <w:t>Australian groundwater modelling guidelines</w:t>
      </w:r>
      <w:r w:rsidR="00E07F07" w:rsidRPr="0006214B">
        <w:rPr>
          <w:noProof/>
        </w:rPr>
        <w:t>. Waterlines Report Series No. 82. National Water Commission, Canberra.</w:t>
      </w:r>
    </w:p>
    <w:p w:rsidR="00E07F07" w:rsidRPr="0006214B" w:rsidRDefault="00E07F07" w:rsidP="00BE7A62">
      <w:pPr>
        <w:pStyle w:val="BRNormal"/>
        <w:spacing w:after="0"/>
        <w:ind w:left="709" w:hanging="709"/>
        <w:rPr>
          <w:noProof/>
        </w:rPr>
      </w:pPr>
      <w:r w:rsidRPr="0006214B">
        <w:rPr>
          <w:noProof/>
        </w:rPr>
        <w:t xml:space="preserve">BC Oil </w:t>
      </w:r>
      <w:r w:rsidR="004F7C54">
        <w:rPr>
          <w:noProof/>
        </w:rPr>
        <w:t>&amp;</w:t>
      </w:r>
      <w:r w:rsidRPr="0006214B">
        <w:rPr>
          <w:noProof/>
        </w:rPr>
        <w:t xml:space="preserve"> Gas Commission 2012. Inv</w:t>
      </w:r>
      <w:r w:rsidRPr="004F7C54">
        <w:rPr>
          <w:i/>
          <w:noProof/>
        </w:rPr>
        <w:t>estigation of observed seismicity in the Horn River Basin</w:t>
      </w:r>
      <w:r w:rsidRPr="0006214B">
        <w:rPr>
          <w:noProof/>
        </w:rPr>
        <w:t>. BC Oil and Gas Commission.</w:t>
      </w:r>
    </w:p>
    <w:p w:rsidR="00E07F07" w:rsidRPr="0006214B" w:rsidRDefault="004F7C54" w:rsidP="00BE7A62">
      <w:pPr>
        <w:pStyle w:val="BRNormal"/>
        <w:spacing w:after="0"/>
        <w:ind w:left="709" w:hanging="709"/>
        <w:rPr>
          <w:noProof/>
        </w:rPr>
      </w:pPr>
      <w:r>
        <w:rPr>
          <w:noProof/>
        </w:rPr>
        <w:t>Bense VF &amp; Person MA</w:t>
      </w:r>
      <w:r w:rsidR="00E07F07" w:rsidRPr="0006214B">
        <w:rPr>
          <w:noProof/>
        </w:rPr>
        <w:t xml:space="preserve"> 2006. Faults as conduit-</w:t>
      </w:r>
      <w:r w:rsidR="00E07F07" w:rsidRPr="0006214B">
        <w:t>barrier</w:t>
      </w:r>
      <w:r w:rsidR="00E07F07" w:rsidRPr="0006214B">
        <w:rPr>
          <w:noProof/>
        </w:rPr>
        <w:t xml:space="preserve"> systems to fluid flow in siliciclastic sedimentary aquifers. </w:t>
      </w:r>
      <w:r w:rsidR="00E07F07" w:rsidRPr="004F7C54">
        <w:rPr>
          <w:i/>
          <w:noProof/>
        </w:rPr>
        <w:t>Water Resources Research</w:t>
      </w:r>
      <w:r w:rsidR="00E07F07" w:rsidRPr="0006214B">
        <w:rPr>
          <w:noProof/>
        </w:rPr>
        <w:t>, 42</w:t>
      </w:r>
      <w:r w:rsidR="00E07F07" w:rsidRPr="0006214B">
        <w:rPr>
          <w:b/>
          <w:noProof/>
        </w:rPr>
        <w:t>,</w:t>
      </w:r>
      <w:r w:rsidR="00E07F07" w:rsidRPr="0006214B">
        <w:rPr>
          <w:noProof/>
        </w:rPr>
        <w:t xml:space="preserve"> doi:10.1029/2005WR004480.</w:t>
      </w:r>
    </w:p>
    <w:p w:rsidR="00E07F07" w:rsidRPr="0006214B" w:rsidRDefault="00E07F07" w:rsidP="00BE7A62">
      <w:pPr>
        <w:pStyle w:val="BRNormal"/>
        <w:spacing w:after="0"/>
        <w:ind w:left="709" w:hanging="709"/>
      </w:pPr>
      <w:r w:rsidRPr="0006214B">
        <w:t>Bentley HW, Phillips FM, Davis SN, Habermehl MA, Airey PL, Calf GE, Elm</w:t>
      </w:r>
      <w:r w:rsidR="004F7C54">
        <w:t>ore D, Gove HE and Torgersen T 1986.</w:t>
      </w:r>
      <w:r w:rsidRPr="0006214B">
        <w:t xml:space="preserve"> </w:t>
      </w:r>
      <w:proofErr w:type="gramStart"/>
      <w:r w:rsidRPr="0006214B">
        <w:t xml:space="preserve">‘Chlorine 36 dating of very old groundwater, The Great Artesian Basin, Australia’, </w:t>
      </w:r>
      <w:r w:rsidRPr="004F7C54">
        <w:rPr>
          <w:i/>
        </w:rPr>
        <w:t>Water Resources Research</w:t>
      </w:r>
      <w:r w:rsidRPr="0006214B">
        <w:t>, vol. 22, pp.1991–2001.</w:t>
      </w:r>
      <w:proofErr w:type="gramEnd"/>
    </w:p>
    <w:p w:rsidR="00E07F07" w:rsidRPr="0006214B" w:rsidRDefault="004F7C54" w:rsidP="00BE7A62">
      <w:pPr>
        <w:pStyle w:val="BRNormal"/>
        <w:spacing w:after="0"/>
        <w:ind w:left="709" w:hanging="709"/>
      </w:pPr>
      <w:r>
        <w:t>Berry K 2005.</w:t>
      </w:r>
      <w:r w:rsidR="00E07F07" w:rsidRPr="0006214B">
        <w:t xml:space="preserve"> </w:t>
      </w:r>
      <w:r w:rsidR="00E07F07" w:rsidRPr="004F7C54">
        <w:rPr>
          <w:i/>
        </w:rPr>
        <w:t>Olympic Dam Expansion Studies: 2005 interim pre-feasibility study</w:t>
      </w:r>
      <w:r>
        <w:t>,</w:t>
      </w:r>
      <w:r w:rsidR="00E07F07" w:rsidRPr="0006214B">
        <w:t xml:space="preserve"> </w:t>
      </w:r>
      <w:r>
        <w:t>Groundwater resource evaluation,</w:t>
      </w:r>
      <w:r w:rsidR="00E07F07" w:rsidRPr="0006214B">
        <w:t xml:space="preserve"> Great Artesian Basin numerical flow model ODEX5, BHP Billiton.</w:t>
      </w:r>
    </w:p>
    <w:p w:rsidR="00E07F07" w:rsidRPr="0006214B" w:rsidRDefault="00E07F07" w:rsidP="00BE7A62">
      <w:pPr>
        <w:pStyle w:val="BRNormal"/>
        <w:spacing w:after="0"/>
        <w:ind w:left="709" w:hanging="709"/>
      </w:pPr>
      <w:r w:rsidRPr="0006214B">
        <w:t xml:space="preserve">Berry KA </w:t>
      </w:r>
      <w:r w:rsidR="004F7C54">
        <w:t>&amp; Armstrong D 1995.</w:t>
      </w:r>
      <w:r w:rsidRPr="0006214B">
        <w:t xml:space="preserve"> </w:t>
      </w:r>
      <w:r w:rsidRPr="004F7C54">
        <w:rPr>
          <w:i/>
        </w:rPr>
        <w:t>Hydrogeological investigation and numerical modelling, Lake Eyre region, Great Artesian Basin</w:t>
      </w:r>
      <w:r w:rsidRPr="0006214B">
        <w:t xml:space="preserve">, Western Mining Corporation Report, report no. </w:t>
      </w:r>
      <w:proofErr w:type="gramStart"/>
      <w:r w:rsidRPr="0006214B">
        <w:t>HYD-T044.</w:t>
      </w:r>
      <w:proofErr w:type="gramEnd"/>
    </w:p>
    <w:p w:rsidR="00E07F07" w:rsidRPr="0006214B" w:rsidRDefault="00E07F07" w:rsidP="00BE7A62">
      <w:pPr>
        <w:pStyle w:val="BRNormal"/>
        <w:spacing w:after="0"/>
        <w:ind w:left="709" w:hanging="709"/>
      </w:pPr>
      <w:proofErr w:type="gramStart"/>
      <w:r w:rsidRPr="0006214B">
        <w:t xml:space="preserve">Bethke CM, Xiang Z </w:t>
      </w:r>
      <w:r w:rsidR="004F7C54">
        <w:t xml:space="preserve">&amp; Torgersen T </w:t>
      </w:r>
      <w:r w:rsidRPr="0006214B">
        <w:t>1999</w:t>
      </w:r>
      <w:r w:rsidR="004F7C54">
        <w:t>.</w:t>
      </w:r>
      <w:proofErr w:type="gramEnd"/>
      <w:r w:rsidRPr="0006214B">
        <w:t xml:space="preserve"> </w:t>
      </w:r>
      <w:proofErr w:type="gramStart"/>
      <w:r w:rsidRPr="0006214B">
        <w:t xml:space="preserve">‘Groundwater flow and the </w:t>
      </w:r>
      <w:r w:rsidRPr="0006214B">
        <w:rPr>
          <w:vertAlign w:val="superscript"/>
        </w:rPr>
        <w:t>4</w:t>
      </w:r>
      <w:r w:rsidRPr="0006214B">
        <w:t xml:space="preserve">He distribution in the Great Artesian Basin of Australia’, </w:t>
      </w:r>
      <w:r w:rsidRPr="004F7C54">
        <w:rPr>
          <w:i/>
        </w:rPr>
        <w:t>Journal of Geophysical Research</w:t>
      </w:r>
      <w:r w:rsidRPr="0006214B">
        <w:t>, vol. 104, pp. 12999–13011.</w:t>
      </w:r>
      <w:proofErr w:type="gramEnd"/>
    </w:p>
    <w:p w:rsidR="00E07F07" w:rsidRPr="0006214B" w:rsidRDefault="006C1E9E" w:rsidP="00BE7A62">
      <w:pPr>
        <w:pStyle w:val="BRNormal"/>
        <w:spacing w:after="0"/>
        <w:ind w:left="709" w:hanging="709"/>
      </w:pPr>
      <w:r w:rsidRPr="0006214B">
        <w:t>BHP Billiton</w:t>
      </w:r>
      <w:r w:rsidR="004F7C54">
        <w:t xml:space="preserve"> </w:t>
      </w:r>
      <w:r w:rsidR="00E07F07" w:rsidRPr="0006214B">
        <w:t>2</w:t>
      </w:r>
      <w:r w:rsidR="004F7C54">
        <w:t>009.</w:t>
      </w:r>
      <w:r w:rsidR="00E07F07" w:rsidRPr="0006214B">
        <w:t xml:space="preserve"> ‘Stuart Shelf regional groundwater flow model’, appendix K6 in: </w:t>
      </w:r>
      <w:r w:rsidR="00E07F07" w:rsidRPr="004F7C54">
        <w:rPr>
          <w:i/>
        </w:rPr>
        <w:t>Olympic Dam expansion draft environmental impact statement 2009</w:t>
      </w:r>
      <w:r w:rsidR="00E07F07" w:rsidRPr="0006214B">
        <w:t>, BHP Billiton.</w:t>
      </w:r>
    </w:p>
    <w:p w:rsidR="00E07F07" w:rsidRPr="0006214B" w:rsidRDefault="00DE4470" w:rsidP="00BE7A62">
      <w:pPr>
        <w:pStyle w:val="BRNormal"/>
        <w:spacing w:after="0"/>
        <w:ind w:left="709" w:hanging="709"/>
      </w:pPr>
      <w:proofErr w:type="gramStart"/>
      <w:r w:rsidRPr="0006214B">
        <w:t>BMA</w:t>
      </w:r>
      <w:r w:rsidR="00E07F07" w:rsidRPr="0006214B">
        <w:t xml:space="preserve"> 2009a</w:t>
      </w:r>
      <w:r w:rsidRPr="0006214B">
        <w:t>.</w:t>
      </w:r>
      <w:proofErr w:type="gramEnd"/>
      <w:r w:rsidR="00E07F07" w:rsidRPr="0006214B">
        <w:t xml:space="preserve"> </w:t>
      </w:r>
      <w:r w:rsidR="00E07F07" w:rsidRPr="004F7C54">
        <w:rPr>
          <w:i/>
        </w:rPr>
        <w:t>Daunia EIS: Groundwater impact assessment</w:t>
      </w:r>
      <w:r w:rsidR="00E07F07" w:rsidRPr="0006214B">
        <w:t>.</w:t>
      </w:r>
      <w:r w:rsidRPr="0006214B">
        <w:t xml:space="preserve"> </w:t>
      </w:r>
      <w:proofErr w:type="gramStart"/>
      <w:r w:rsidRPr="0006214B">
        <w:t>BHP Billiton Mitsubishi Alliance.</w:t>
      </w:r>
      <w:proofErr w:type="gramEnd"/>
    </w:p>
    <w:p w:rsidR="00E07F07" w:rsidRPr="0006214B" w:rsidRDefault="00E07F07" w:rsidP="00BE7A62">
      <w:pPr>
        <w:pStyle w:val="BRNormal"/>
        <w:spacing w:after="0"/>
        <w:ind w:left="709" w:hanging="709"/>
      </w:pPr>
      <w:proofErr w:type="gramStart"/>
      <w:r w:rsidRPr="0006214B">
        <w:t>BMA 2009b</w:t>
      </w:r>
      <w:r w:rsidR="00DE4470" w:rsidRPr="0006214B">
        <w:t>.</w:t>
      </w:r>
      <w:proofErr w:type="gramEnd"/>
      <w:r w:rsidRPr="0006214B">
        <w:t xml:space="preserve"> </w:t>
      </w:r>
      <w:r w:rsidRPr="004F7C54">
        <w:rPr>
          <w:i/>
        </w:rPr>
        <w:t>Caval Ridge EIS: Groundwater impact assessment</w:t>
      </w:r>
      <w:r w:rsidRPr="0006214B">
        <w:t>.</w:t>
      </w:r>
      <w:r w:rsidR="00DE4470" w:rsidRPr="0006214B">
        <w:t xml:space="preserve"> </w:t>
      </w:r>
      <w:proofErr w:type="gramStart"/>
      <w:r w:rsidR="00DE4470" w:rsidRPr="0006214B">
        <w:t>BHP Billiton Mitsubishi Alliance.</w:t>
      </w:r>
      <w:proofErr w:type="gramEnd"/>
    </w:p>
    <w:p w:rsidR="00DE4470" w:rsidRPr="0006214B" w:rsidRDefault="004F7C54" w:rsidP="00BE7A62">
      <w:pPr>
        <w:pStyle w:val="BRNormal"/>
        <w:spacing w:after="0"/>
        <w:ind w:left="709" w:hanging="709"/>
      </w:pPr>
      <w:proofErr w:type="gramStart"/>
      <w:r>
        <w:t>BMA 2008</w:t>
      </w:r>
      <w:r w:rsidR="00DE4470" w:rsidRPr="0006214B">
        <w:t>.</w:t>
      </w:r>
      <w:proofErr w:type="gramEnd"/>
      <w:r w:rsidR="00DE4470" w:rsidRPr="0006214B">
        <w:t xml:space="preserve"> </w:t>
      </w:r>
      <w:proofErr w:type="gramStart"/>
      <w:r w:rsidR="00DE4470" w:rsidRPr="004F7C54">
        <w:rPr>
          <w:i/>
        </w:rPr>
        <w:t>BMA Bowen Basin Coal Growth Project.</w:t>
      </w:r>
      <w:proofErr w:type="gramEnd"/>
      <w:r w:rsidR="00DE4470" w:rsidRPr="004F7C54">
        <w:rPr>
          <w:i/>
        </w:rPr>
        <w:t xml:space="preserve"> </w:t>
      </w:r>
      <w:proofErr w:type="gramStart"/>
      <w:r w:rsidR="00DE4470" w:rsidRPr="004F7C54">
        <w:rPr>
          <w:i/>
        </w:rPr>
        <w:t>Initial Advice Statement</w:t>
      </w:r>
      <w:r w:rsidR="00DE4470" w:rsidRPr="0006214B">
        <w:t>.</w:t>
      </w:r>
      <w:proofErr w:type="gramEnd"/>
      <w:r w:rsidR="00DE4470" w:rsidRPr="0006214B">
        <w:t xml:space="preserve"> </w:t>
      </w:r>
      <w:proofErr w:type="gramStart"/>
      <w:r w:rsidR="00DE4470" w:rsidRPr="0006214B">
        <w:t>BHP Billiton Mitsubishi Alliance.</w:t>
      </w:r>
      <w:proofErr w:type="gramEnd"/>
    </w:p>
    <w:p w:rsidR="00E07F07" w:rsidRPr="0006214B" w:rsidRDefault="004F7C54" w:rsidP="00BE7A62">
      <w:pPr>
        <w:pStyle w:val="BRNormal"/>
        <w:spacing w:after="0"/>
        <w:ind w:left="709" w:hanging="709"/>
        <w:rPr>
          <w:noProof/>
        </w:rPr>
      </w:pPr>
      <w:r>
        <w:rPr>
          <w:noProof/>
        </w:rPr>
        <w:t>Bickle MJ</w:t>
      </w:r>
      <w:r w:rsidR="00E07F07" w:rsidRPr="0006214B">
        <w:rPr>
          <w:noProof/>
        </w:rPr>
        <w:t xml:space="preserve"> 2009. </w:t>
      </w:r>
      <w:proofErr w:type="gramStart"/>
      <w:r w:rsidR="00E07F07" w:rsidRPr="0006214B">
        <w:rPr>
          <w:noProof/>
        </w:rPr>
        <w:t xml:space="preserve">Geological carbon </w:t>
      </w:r>
      <w:r w:rsidR="00E07F07" w:rsidRPr="0006214B">
        <w:t>storage</w:t>
      </w:r>
      <w:r w:rsidR="00E07F07" w:rsidRPr="0006214B">
        <w:rPr>
          <w:noProof/>
        </w:rPr>
        <w:t>.</w:t>
      </w:r>
      <w:proofErr w:type="gramEnd"/>
      <w:r w:rsidR="00E07F07" w:rsidRPr="0006214B">
        <w:rPr>
          <w:noProof/>
        </w:rPr>
        <w:t xml:space="preserve"> </w:t>
      </w:r>
      <w:r w:rsidR="00E07F07" w:rsidRPr="004F7C54">
        <w:rPr>
          <w:i/>
          <w:noProof/>
        </w:rPr>
        <w:t>Nature Geosci</w:t>
      </w:r>
      <w:r w:rsidR="00E07F07" w:rsidRPr="0006214B">
        <w:rPr>
          <w:noProof/>
        </w:rPr>
        <w:t xml:space="preserve">, </w:t>
      </w:r>
      <w:r>
        <w:rPr>
          <w:noProof/>
        </w:rPr>
        <w:t xml:space="preserve">vol. </w:t>
      </w:r>
      <w:r w:rsidR="00E07F07" w:rsidRPr="0006214B">
        <w:rPr>
          <w:noProof/>
        </w:rPr>
        <w:t>2</w:t>
      </w:r>
      <w:r w:rsidR="00E07F07" w:rsidRPr="0006214B">
        <w:rPr>
          <w:b/>
          <w:noProof/>
        </w:rPr>
        <w:t>,</w:t>
      </w:r>
      <w:r w:rsidR="00E07F07" w:rsidRPr="0006214B">
        <w:rPr>
          <w:noProof/>
        </w:rPr>
        <w:t xml:space="preserve"> </w:t>
      </w:r>
      <w:r>
        <w:rPr>
          <w:noProof/>
        </w:rPr>
        <w:t xml:space="preserve">pp. </w:t>
      </w:r>
      <w:r w:rsidR="00E07F07" w:rsidRPr="0006214B">
        <w:rPr>
          <w:noProof/>
        </w:rPr>
        <w:t>815-818.</w:t>
      </w:r>
    </w:p>
    <w:p w:rsidR="00E07F07" w:rsidRPr="0006214B" w:rsidRDefault="004F7C54" w:rsidP="00BE7A62">
      <w:pPr>
        <w:pStyle w:val="BRNormal"/>
        <w:spacing w:after="0"/>
        <w:ind w:left="709" w:hanging="709"/>
      </w:pPr>
      <w:r>
        <w:t>Bilge H 2002.</w:t>
      </w:r>
      <w:r w:rsidR="00E07F07" w:rsidRPr="0006214B">
        <w:t xml:space="preserve"> </w:t>
      </w:r>
      <w:r w:rsidR="00E07F07" w:rsidRPr="004F7C54">
        <w:rPr>
          <w:i/>
        </w:rPr>
        <w:t>Lower Gwydir Valley groundwater model: groundwater flow model</w:t>
      </w:r>
      <w:r w:rsidR="00E07F07" w:rsidRPr="0006214B">
        <w:t>, Centre for Natural Resources, Department of Land and Water Conservation, NSW.</w:t>
      </w:r>
    </w:p>
    <w:p w:rsidR="00E07F07" w:rsidRPr="0006214B" w:rsidRDefault="004F7C54" w:rsidP="00BE7A62">
      <w:pPr>
        <w:pStyle w:val="BRNormal"/>
        <w:spacing w:after="0"/>
        <w:ind w:left="709" w:hanging="709"/>
      </w:pPr>
      <w:r>
        <w:t>Bilge H 2007.</w:t>
      </w:r>
      <w:r w:rsidR="00E07F07" w:rsidRPr="0006214B">
        <w:t xml:space="preserve"> </w:t>
      </w:r>
      <w:r w:rsidR="00E07F07" w:rsidRPr="004F7C54">
        <w:rPr>
          <w:i/>
        </w:rPr>
        <w:t>Lower Macquarie groundwater flow model, model calibration and development (draft)</w:t>
      </w:r>
      <w:r w:rsidR="00E07F07" w:rsidRPr="0006214B">
        <w:t>, Water Management Division, Department of Water and Energy, Parramatta, NSW.</w:t>
      </w:r>
    </w:p>
    <w:p w:rsidR="00E07F07" w:rsidRPr="0006214B" w:rsidRDefault="004F7C54" w:rsidP="00BE7A62">
      <w:pPr>
        <w:pStyle w:val="BRNormal"/>
        <w:spacing w:after="0"/>
        <w:ind w:left="709" w:hanging="709"/>
        <w:rPr>
          <w:noProof/>
        </w:rPr>
      </w:pPr>
      <w:r>
        <w:rPr>
          <w:noProof/>
        </w:rPr>
        <w:t>Biot MA</w:t>
      </w:r>
      <w:r w:rsidR="00E07F07" w:rsidRPr="0006214B">
        <w:rPr>
          <w:noProof/>
        </w:rPr>
        <w:t xml:space="preserve"> 1941. </w:t>
      </w:r>
      <w:proofErr w:type="gramStart"/>
      <w:r w:rsidR="00E07F07" w:rsidRPr="0006214B">
        <w:rPr>
          <w:noProof/>
        </w:rPr>
        <w:t xml:space="preserve">General theory of </w:t>
      </w:r>
      <w:r w:rsidR="00E07F07" w:rsidRPr="0006214B">
        <w:t>three</w:t>
      </w:r>
      <w:r w:rsidR="00E07F07" w:rsidRPr="0006214B">
        <w:rPr>
          <w:noProof/>
        </w:rPr>
        <w:t>-dimensional consolidation.</w:t>
      </w:r>
      <w:proofErr w:type="gramEnd"/>
      <w:r w:rsidR="00E07F07" w:rsidRPr="0006214B">
        <w:rPr>
          <w:noProof/>
        </w:rPr>
        <w:t xml:space="preserve"> </w:t>
      </w:r>
      <w:r w:rsidR="00E07F07" w:rsidRPr="004F7C54">
        <w:rPr>
          <w:i/>
          <w:noProof/>
        </w:rPr>
        <w:t>Journal of Applied Physics</w:t>
      </w:r>
      <w:r w:rsidR="00E07F07" w:rsidRPr="0006214B">
        <w:rPr>
          <w:noProof/>
        </w:rPr>
        <w:t xml:space="preserve">, </w:t>
      </w:r>
      <w:r>
        <w:rPr>
          <w:noProof/>
        </w:rPr>
        <w:t xml:space="preserve">vol. </w:t>
      </w:r>
      <w:r w:rsidR="00E07F07" w:rsidRPr="0006214B">
        <w:rPr>
          <w:noProof/>
        </w:rPr>
        <w:t>12</w:t>
      </w:r>
      <w:r w:rsidR="00E07F07" w:rsidRPr="0006214B">
        <w:rPr>
          <w:b/>
          <w:noProof/>
        </w:rPr>
        <w:t>,</w:t>
      </w:r>
      <w:r w:rsidR="00E07F07" w:rsidRPr="0006214B">
        <w:rPr>
          <w:noProof/>
        </w:rPr>
        <w:t xml:space="preserve"> </w:t>
      </w:r>
      <w:r>
        <w:rPr>
          <w:noProof/>
        </w:rPr>
        <w:t xml:space="preserve">pp. </w:t>
      </w:r>
      <w:r w:rsidR="00E07F07" w:rsidRPr="0006214B">
        <w:rPr>
          <w:noProof/>
        </w:rPr>
        <w:t>155-164.</w:t>
      </w:r>
    </w:p>
    <w:p w:rsidR="00E07F07" w:rsidRPr="0006214B" w:rsidRDefault="004F7C54" w:rsidP="00BE7A62">
      <w:pPr>
        <w:pStyle w:val="BRNormal"/>
        <w:spacing w:after="0"/>
        <w:ind w:left="709" w:hanging="709"/>
        <w:rPr>
          <w:noProof/>
        </w:rPr>
      </w:pPr>
      <w:r>
        <w:rPr>
          <w:noProof/>
        </w:rPr>
        <w:lastRenderedPageBreak/>
        <w:t>Botha JF &amp; Cloot AJ</w:t>
      </w:r>
      <w:r w:rsidR="00E07F07" w:rsidRPr="0006214B">
        <w:rPr>
          <w:noProof/>
        </w:rPr>
        <w:t xml:space="preserve"> 2004. Deformations and the Karoo aquifers of South Africa. </w:t>
      </w:r>
      <w:r w:rsidR="00E07F07" w:rsidRPr="004F7C54">
        <w:rPr>
          <w:i/>
          <w:noProof/>
        </w:rPr>
        <w:t>Advances in Water Resources</w:t>
      </w:r>
      <w:r w:rsidR="00E07F07" w:rsidRPr="0006214B">
        <w:rPr>
          <w:noProof/>
        </w:rPr>
        <w:t xml:space="preserve">, </w:t>
      </w:r>
      <w:r>
        <w:rPr>
          <w:noProof/>
        </w:rPr>
        <w:t xml:space="preserve">vol. </w:t>
      </w:r>
      <w:r w:rsidR="00E07F07" w:rsidRPr="0006214B">
        <w:rPr>
          <w:noProof/>
        </w:rPr>
        <w:t>27</w:t>
      </w:r>
      <w:r w:rsidR="00E07F07" w:rsidRPr="0006214B">
        <w:rPr>
          <w:b/>
          <w:noProof/>
        </w:rPr>
        <w:t>,</w:t>
      </w:r>
      <w:r w:rsidR="00E07F07" w:rsidRPr="0006214B">
        <w:rPr>
          <w:noProof/>
        </w:rPr>
        <w:t xml:space="preserve"> </w:t>
      </w:r>
      <w:r>
        <w:rPr>
          <w:noProof/>
        </w:rPr>
        <w:t xml:space="preserve">pp. </w:t>
      </w:r>
      <w:r w:rsidR="00E07F07" w:rsidRPr="0006214B">
        <w:rPr>
          <w:noProof/>
        </w:rPr>
        <w:t>383-398.</w:t>
      </w:r>
    </w:p>
    <w:p w:rsidR="00E07F07" w:rsidRPr="0006214B" w:rsidRDefault="004F7C54" w:rsidP="00BE7A62">
      <w:pPr>
        <w:pStyle w:val="BRNormal"/>
        <w:spacing w:after="0"/>
        <w:ind w:left="709" w:hanging="709"/>
      </w:pPr>
      <w:r>
        <w:t>Bouzelakos S, Timms W, Rahman P, McGeeney D</w:t>
      </w:r>
      <w:r w:rsidR="00E07F07" w:rsidRPr="0006214B">
        <w:t xml:space="preserve"> </w:t>
      </w:r>
      <w:r>
        <w:t>&amp;</w:t>
      </w:r>
      <w:r w:rsidR="00E07F07" w:rsidRPr="0006214B">
        <w:t xml:space="preserve"> Whelan</w:t>
      </w:r>
      <w:r>
        <w:t xml:space="preserve"> M</w:t>
      </w:r>
      <w:r w:rsidR="009078BE">
        <w:t xml:space="preserve"> 2013. ‘</w:t>
      </w:r>
      <w:r w:rsidR="00E07F07" w:rsidRPr="0006214B">
        <w:t>Geotechnical centrifuge permeameter for characterizing the hydraulic integrity of partially saturated conf</w:t>
      </w:r>
      <w:r w:rsidR="009078BE">
        <w:t>ining strata for CSG operations’</w:t>
      </w:r>
      <w:r w:rsidR="00E07F07" w:rsidRPr="0006214B">
        <w:t xml:space="preserve"> in </w:t>
      </w:r>
      <w:r w:rsidR="00E07F07" w:rsidRPr="004F7C54">
        <w:rPr>
          <w:i/>
        </w:rPr>
        <w:t>Reliable Mine Water Technology</w:t>
      </w:r>
      <w:r w:rsidR="00E07F07" w:rsidRPr="0006214B">
        <w:t>, IMWA 2013. Golden Colorado, USA.</w:t>
      </w:r>
    </w:p>
    <w:p w:rsidR="00E07F07" w:rsidRPr="0006214B" w:rsidRDefault="004F7C54" w:rsidP="00BE7A62">
      <w:pPr>
        <w:pStyle w:val="BRNormal"/>
        <w:spacing w:after="0"/>
        <w:ind w:left="709" w:hanging="709"/>
      </w:pPr>
      <w:proofErr w:type="gramStart"/>
      <w:r>
        <w:t>Brackel AT, Totterdell JM, Wells</w:t>
      </w:r>
      <w:r w:rsidR="00E07F07" w:rsidRPr="0006214B">
        <w:t xml:space="preserve"> AT</w:t>
      </w:r>
      <w:r>
        <w:t xml:space="preserve"> &amp; Nicoll, MG 2009.</w:t>
      </w:r>
      <w:proofErr w:type="gramEnd"/>
      <w:r w:rsidR="00E07F07" w:rsidRPr="0006214B">
        <w:t xml:space="preserve"> </w:t>
      </w:r>
      <w:r w:rsidR="00E07F07" w:rsidRPr="004F7C54">
        <w:rPr>
          <w:i/>
        </w:rPr>
        <w:t>Sequence stratigraphy and fill history of the Bowen Basin, Queensland</w:t>
      </w:r>
      <w:r w:rsidR="00E07F07" w:rsidRPr="0006214B">
        <w:t xml:space="preserve">. </w:t>
      </w:r>
      <w:proofErr w:type="gramStart"/>
      <w:r w:rsidR="00E07F07" w:rsidRPr="0006214B">
        <w:t>Geoscience Australia.</w:t>
      </w:r>
      <w:proofErr w:type="gramEnd"/>
    </w:p>
    <w:p w:rsidR="00E07F07" w:rsidRPr="0006214B" w:rsidRDefault="004F7C54" w:rsidP="00BE7A62">
      <w:pPr>
        <w:pStyle w:val="BRNormal"/>
        <w:spacing w:after="0"/>
        <w:ind w:left="709" w:hanging="709"/>
      </w:pPr>
      <w:r>
        <w:t>Bradshaw</w:t>
      </w:r>
      <w:r w:rsidR="00E07F07" w:rsidRPr="0006214B">
        <w:t xml:space="preserve"> BE, Sp</w:t>
      </w:r>
      <w:r>
        <w:t xml:space="preserve">encer LK, Lahtinen AC, </w:t>
      </w:r>
      <w:proofErr w:type="gramStart"/>
      <w:r>
        <w:t>Khider</w:t>
      </w:r>
      <w:proofErr w:type="gramEnd"/>
      <w:r>
        <w:t xml:space="preserve"> K, Ryan DJ, Colwell JB, Chirinos A &amp; Bradshaw J 2009.</w:t>
      </w:r>
      <w:r w:rsidR="00E07F07" w:rsidRPr="0006214B">
        <w:t xml:space="preserve"> </w:t>
      </w:r>
      <w:proofErr w:type="gramStart"/>
      <w:r w:rsidR="00E07F07" w:rsidRPr="004F7C54">
        <w:rPr>
          <w:i/>
        </w:rPr>
        <w:t>Queensland carbon dioxide geological storage atlas</w:t>
      </w:r>
      <w:r w:rsidR="00E07F07" w:rsidRPr="0006214B">
        <w:t>.</w:t>
      </w:r>
      <w:proofErr w:type="gramEnd"/>
    </w:p>
    <w:p w:rsidR="00E07F07" w:rsidRPr="0006214B" w:rsidRDefault="00E07F07" w:rsidP="00BE7A62">
      <w:pPr>
        <w:pStyle w:val="BRNormal"/>
        <w:spacing w:after="0"/>
        <w:ind w:left="709" w:hanging="709"/>
      </w:pPr>
      <w:r w:rsidRPr="0006214B">
        <w:t>Bradshaw BE, Spencer LK, Lahtinen A-L, Khider K, Ryan DJ, Colwell JB, Chirinos A, Bradshaw J, Draper JJ, Hodgkinso</w:t>
      </w:r>
      <w:r w:rsidR="004F7C54">
        <w:t>n J &amp; McKillop M 2010.</w:t>
      </w:r>
      <w:r w:rsidRPr="0006214B">
        <w:t xml:space="preserve"> </w:t>
      </w:r>
      <w:r w:rsidRPr="004F7C54">
        <w:rPr>
          <w:i/>
        </w:rPr>
        <w:t>An assessment of Queensland’s CO</w:t>
      </w:r>
      <w:r w:rsidRPr="004F7C54">
        <w:rPr>
          <w:i/>
          <w:vertAlign w:val="subscript"/>
        </w:rPr>
        <w:t>2</w:t>
      </w:r>
      <w:r w:rsidRPr="004F7C54">
        <w:rPr>
          <w:i/>
        </w:rPr>
        <w:t xml:space="preserve"> geological storage prospectivity: </w:t>
      </w:r>
      <w:proofErr w:type="gramStart"/>
      <w:r w:rsidRPr="004F7C54">
        <w:rPr>
          <w:i/>
        </w:rPr>
        <w:t>The</w:t>
      </w:r>
      <w:proofErr w:type="gramEnd"/>
      <w:r w:rsidRPr="004F7C54">
        <w:rPr>
          <w:i/>
        </w:rPr>
        <w:t xml:space="preserve"> Queensland CO</w:t>
      </w:r>
      <w:r w:rsidRPr="004F7C54">
        <w:rPr>
          <w:i/>
          <w:vertAlign w:val="subscript"/>
        </w:rPr>
        <w:t>2</w:t>
      </w:r>
      <w:r w:rsidRPr="004F7C54">
        <w:rPr>
          <w:i/>
        </w:rPr>
        <w:t xml:space="preserve"> geological storage atlas</w:t>
      </w:r>
      <w:r w:rsidRPr="0006214B">
        <w:t>, CO</w:t>
      </w:r>
      <w:r w:rsidRPr="0006214B">
        <w:rPr>
          <w:vertAlign w:val="subscript"/>
        </w:rPr>
        <w:t>2</w:t>
      </w:r>
      <w:r w:rsidRPr="0006214B">
        <w:t xml:space="preserve"> Geological Storage Solutions Pty Ltd, 10p.</w:t>
      </w:r>
    </w:p>
    <w:p w:rsidR="00E07F07" w:rsidRPr="0006214B" w:rsidRDefault="004F7C54" w:rsidP="00BE7A62">
      <w:pPr>
        <w:pStyle w:val="BRNormal"/>
        <w:spacing w:after="0"/>
        <w:ind w:left="709" w:hanging="709"/>
        <w:rPr>
          <w:noProof/>
        </w:rPr>
      </w:pPr>
      <w:r>
        <w:rPr>
          <w:noProof/>
        </w:rPr>
        <w:t>Brauchler R, Hu R, Vogt T, Al-Halbouni D, Heinrichs T</w:t>
      </w:r>
      <w:r w:rsidR="00E07F07" w:rsidRPr="0006214B">
        <w:rPr>
          <w:noProof/>
        </w:rPr>
        <w:t>, Ptak</w:t>
      </w:r>
      <w:r>
        <w:rPr>
          <w:noProof/>
        </w:rPr>
        <w:t xml:space="preserve"> T &amp; Sauter M</w:t>
      </w:r>
      <w:r w:rsidR="00E07F07" w:rsidRPr="0006214B">
        <w:rPr>
          <w:noProof/>
        </w:rPr>
        <w:t xml:space="preserve"> 2010. </w:t>
      </w:r>
      <w:r>
        <w:rPr>
          <w:noProof/>
        </w:rPr>
        <w:t>‘</w:t>
      </w:r>
      <w:r w:rsidR="00E07F07" w:rsidRPr="0006214B">
        <w:rPr>
          <w:noProof/>
        </w:rPr>
        <w:t>Cross-well slug interference tests: An effective characterization method for resolving aquifer heterogeneity</w:t>
      </w:r>
      <w:r>
        <w:rPr>
          <w:noProof/>
        </w:rPr>
        <w:t>’</w:t>
      </w:r>
      <w:r w:rsidR="00E07F07" w:rsidRPr="0006214B">
        <w:rPr>
          <w:noProof/>
        </w:rPr>
        <w:t xml:space="preserve">. </w:t>
      </w:r>
      <w:r w:rsidR="00E07F07" w:rsidRPr="004F7C54">
        <w:rPr>
          <w:i/>
          <w:noProof/>
        </w:rPr>
        <w:t>Journal of Hydrology</w:t>
      </w:r>
      <w:r w:rsidR="00E07F07" w:rsidRPr="0006214B">
        <w:rPr>
          <w:noProof/>
        </w:rPr>
        <w:t xml:space="preserve">, </w:t>
      </w:r>
      <w:r>
        <w:rPr>
          <w:noProof/>
        </w:rPr>
        <w:t xml:space="preserve">vol. </w:t>
      </w:r>
      <w:r w:rsidR="00E07F07" w:rsidRPr="0006214B">
        <w:rPr>
          <w:noProof/>
        </w:rPr>
        <w:t>384</w:t>
      </w:r>
      <w:r w:rsidR="00E07F07" w:rsidRPr="0006214B">
        <w:rPr>
          <w:b/>
          <w:noProof/>
        </w:rPr>
        <w:t>,</w:t>
      </w:r>
      <w:r w:rsidR="00E07F07" w:rsidRPr="0006214B">
        <w:rPr>
          <w:noProof/>
        </w:rPr>
        <w:t xml:space="preserve"> </w:t>
      </w:r>
      <w:r>
        <w:rPr>
          <w:noProof/>
        </w:rPr>
        <w:t xml:space="preserve">pp. </w:t>
      </w:r>
      <w:r w:rsidR="00E07F07" w:rsidRPr="0006214B">
        <w:rPr>
          <w:noProof/>
        </w:rPr>
        <w:t>33-45.</w:t>
      </w:r>
    </w:p>
    <w:p w:rsidR="00E07F07" w:rsidRPr="0006214B" w:rsidRDefault="007E76FB" w:rsidP="00BE7A62">
      <w:pPr>
        <w:pStyle w:val="BRNormal"/>
        <w:spacing w:after="0"/>
        <w:ind w:left="709" w:hanging="709"/>
        <w:rPr>
          <w:noProof/>
        </w:rPr>
      </w:pPr>
      <w:r>
        <w:rPr>
          <w:noProof/>
        </w:rPr>
        <w:t>Bredehoeft JD, Neuzil CE &amp; Milly PD</w:t>
      </w:r>
      <w:r w:rsidR="00E07F07" w:rsidRPr="0006214B">
        <w:rPr>
          <w:noProof/>
        </w:rPr>
        <w:t xml:space="preserve"> 1983. </w:t>
      </w:r>
      <w:r w:rsidR="00E07F07" w:rsidRPr="00C50031">
        <w:rPr>
          <w:i/>
          <w:noProof/>
        </w:rPr>
        <w:t>Regional flow in the Dakota Aquifer: A study of the role of confining layers</w:t>
      </w:r>
      <w:r w:rsidR="00E07F07" w:rsidRPr="0006214B">
        <w:rPr>
          <w:noProof/>
        </w:rPr>
        <w:t>. USGS Water-Supply Paper 2237. U.S. GPO: Alexandria, Virginia.</w:t>
      </w:r>
    </w:p>
    <w:p w:rsidR="00E07F07" w:rsidRPr="0006214B" w:rsidRDefault="00C50031" w:rsidP="00BE7A62">
      <w:pPr>
        <w:pStyle w:val="BRNormal"/>
        <w:spacing w:after="0"/>
        <w:ind w:left="709" w:hanging="709"/>
        <w:rPr>
          <w:noProof/>
        </w:rPr>
      </w:pPr>
      <w:r>
        <w:rPr>
          <w:noProof/>
        </w:rPr>
        <w:t>Brodie RC</w:t>
      </w:r>
      <w:r w:rsidR="00E07F07" w:rsidRPr="0006214B">
        <w:rPr>
          <w:noProof/>
        </w:rPr>
        <w:t xml:space="preserve"> 2002. </w:t>
      </w:r>
      <w:r>
        <w:rPr>
          <w:noProof/>
        </w:rPr>
        <w:t>‘</w:t>
      </w:r>
      <w:r w:rsidR="00E07F07" w:rsidRPr="0006214B">
        <w:rPr>
          <w:noProof/>
        </w:rPr>
        <w:t>Airborne and ground magnetics</w:t>
      </w:r>
      <w:r>
        <w:rPr>
          <w:noProof/>
        </w:rPr>
        <w:t>’</w:t>
      </w:r>
      <w:r w:rsidR="00E07F07" w:rsidRPr="0006214B">
        <w:rPr>
          <w:noProof/>
        </w:rPr>
        <w:t xml:space="preserve">. In: PAPP, E. (ed.) </w:t>
      </w:r>
      <w:r w:rsidR="00E07F07" w:rsidRPr="00C50031">
        <w:rPr>
          <w:i/>
          <w:noProof/>
        </w:rPr>
        <w:t>Geophysical and remote sensing methods for regolith exploration</w:t>
      </w:r>
      <w:r w:rsidR="00E07F07" w:rsidRPr="0006214B">
        <w:rPr>
          <w:noProof/>
        </w:rPr>
        <w:t>. Cooperative Research Centre for Landscape Environments and Mineral Exploration, Open File Report 144.</w:t>
      </w:r>
    </w:p>
    <w:p w:rsidR="00E07F07" w:rsidRPr="0006214B" w:rsidRDefault="00C50031" w:rsidP="00BE7A62">
      <w:pPr>
        <w:pStyle w:val="BRNormal"/>
        <w:spacing w:after="0"/>
        <w:ind w:left="709" w:hanging="709"/>
      </w:pPr>
      <w:r>
        <w:t>Brown BR 1981.</w:t>
      </w:r>
      <w:r w:rsidR="00E07F07" w:rsidRPr="0006214B">
        <w:t xml:space="preserve"> ‘Warroon </w:t>
      </w:r>
      <w:r w:rsidR="00E07F07" w:rsidRPr="0006214B">
        <w:rPr>
          <w:noProof/>
        </w:rPr>
        <w:t>Gas</w:t>
      </w:r>
      <w:r w:rsidR="00E07F07" w:rsidRPr="0006214B">
        <w:t xml:space="preserve"> Discovery Supports Exploration of Anticlines’, </w:t>
      </w:r>
      <w:r w:rsidR="00E07F07" w:rsidRPr="00C50031">
        <w:rPr>
          <w:i/>
        </w:rPr>
        <w:t>The Australian Petroleum Exploration Association Journal</w:t>
      </w:r>
      <w:r>
        <w:t xml:space="preserve">, </w:t>
      </w:r>
      <w:proofErr w:type="gramStart"/>
      <w:r>
        <w:t>v</w:t>
      </w:r>
      <w:r w:rsidR="00E07F07" w:rsidRPr="0006214B">
        <w:t>ol</w:t>
      </w:r>
      <w:proofErr w:type="gramEnd"/>
      <w:r w:rsidR="00E07F07" w:rsidRPr="0006214B">
        <w:t>. 21, pp. 85-90.</w:t>
      </w:r>
    </w:p>
    <w:p w:rsidR="00E07F07" w:rsidRPr="0006214B" w:rsidRDefault="00C50031" w:rsidP="00BE7A62">
      <w:pPr>
        <w:pStyle w:val="BRNormal"/>
        <w:spacing w:after="0"/>
        <w:ind w:left="709" w:hanging="709"/>
        <w:rPr>
          <w:noProof/>
        </w:rPr>
      </w:pPr>
      <w:proofErr w:type="gramStart"/>
      <w:r>
        <w:rPr>
          <w:noProof/>
        </w:rPr>
        <w:t>Burbey TJ</w:t>
      </w:r>
      <w:r w:rsidR="00E07F07" w:rsidRPr="0006214B">
        <w:rPr>
          <w:noProof/>
        </w:rPr>
        <w:t xml:space="preserve"> &amp; </w:t>
      </w:r>
      <w:r w:rsidR="00E07F07" w:rsidRPr="0006214B">
        <w:t>Zhang</w:t>
      </w:r>
      <w:r>
        <w:rPr>
          <w:noProof/>
        </w:rPr>
        <w:t xml:space="preserve"> M</w:t>
      </w:r>
      <w:r w:rsidR="00E07F07" w:rsidRPr="0006214B">
        <w:rPr>
          <w:noProof/>
        </w:rPr>
        <w:t xml:space="preserve"> 2010.</w:t>
      </w:r>
      <w:proofErr w:type="gramEnd"/>
      <w:r w:rsidR="00E07F07" w:rsidRPr="0006214B">
        <w:rPr>
          <w:noProof/>
        </w:rPr>
        <w:t xml:space="preserve"> </w:t>
      </w:r>
      <w:r>
        <w:rPr>
          <w:noProof/>
        </w:rPr>
        <w:t>‘</w:t>
      </w:r>
      <w:r w:rsidR="00E07F07" w:rsidRPr="0006214B">
        <w:rPr>
          <w:noProof/>
        </w:rPr>
        <w:t>Assessing hydrofracing success from earth tide and barometric response</w:t>
      </w:r>
      <w:r>
        <w:rPr>
          <w:noProof/>
        </w:rPr>
        <w:t>’</w:t>
      </w:r>
      <w:r w:rsidR="00E07F07" w:rsidRPr="0006214B">
        <w:rPr>
          <w:noProof/>
        </w:rPr>
        <w:t xml:space="preserve">. </w:t>
      </w:r>
      <w:r w:rsidR="00E07F07" w:rsidRPr="00C50031">
        <w:rPr>
          <w:i/>
          <w:noProof/>
        </w:rPr>
        <w:t>Ground Water</w:t>
      </w:r>
      <w:r w:rsidR="00E07F07" w:rsidRPr="0006214B">
        <w:rPr>
          <w:noProof/>
        </w:rPr>
        <w:t xml:space="preserve">, </w:t>
      </w:r>
      <w:r>
        <w:rPr>
          <w:noProof/>
        </w:rPr>
        <w:t xml:space="preserve">vol. </w:t>
      </w:r>
      <w:r w:rsidR="00E07F07" w:rsidRPr="0006214B">
        <w:rPr>
          <w:noProof/>
        </w:rPr>
        <w:t>48</w:t>
      </w:r>
      <w:r w:rsidR="00E07F07" w:rsidRPr="0006214B">
        <w:rPr>
          <w:b/>
          <w:noProof/>
        </w:rPr>
        <w:t>,</w:t>
      </w:r>
      <w:r w:rsidR="00E07F07" w:rsidRPr="0006214B">
        <w:rPr>
          <w:noProof/>
        </w:rPr>
        <w:t xml:space="preserve"> </w:t>
      </w:r>
      <w:r>
        <w:rPr>
          <w:noProof/>
        </w:rPr>
        <w:t xml:space="preserve">pp. </w:t>
      </w:r>
      <w:r w:rsidR="00E07F07" w:rsidRPr="0006214B">
        <w:rPr>
          <w:noProof/>
        </w:rPr>
        <w:t>825-835.</w:t>
      </w:r>
    </w:p>
    <w:p w:rsidR="00E07F07" w:rsidRPr="0006214B" w:rsidRDefault="008E3C5C" w:rsidP="00BE7A62">
      <w:pPr>
        <w:pStyle w:val="BRNormal"/>
        <w:spacing w:after="0"/>
        <w:ind w:left="709" w:hanging="709"/>
        <w:rPr>
          <w:noProof/>
        </w:rPr>
      </w:pPr>
      <w:proofErr w:type="gramStart"/>
      <w:r w:rsidRPr="0006214B">
        <w:rPr>
          <w:noProof/>
        </w:rPr>
        <w:t>BurVal</w:t>
      </w:r>
      <w:r w:rsidR="00E07F07" w:rsidRPr="0006214B">
        <w:rPr>
          <w:noProof/>
        </w:rPr>
        <w:t xml:space="preserve"> Working </w:t>
      </w:r>
      <w:r w:rsidR="00E07F07" w:rsidRPr="0006214B">
        <w:t>Group</w:t>
      </w:r>
      <w:r w:rsidR="00E07F07" w:rsidRPr="0006214B">
        <w:rPr>
          <w:noProof/>
        </w:rPr>
        <w:t xml:space="preserve"> 2006.</w:t>
      </w:r>
      <w:proofErr w:type="gramEnd"/>
      <w:r w:rsidR="00E07F07" w:rsidRPr="0006214B">
        <w:rPr>
          <w:noProof/>
        </w:rPr>
        <w:t xml:space="preserve"> </w:t>
      </w:r>
      <w:r w:rsidR="00C50031">
        <w:rPr>
          <w:noProof/>
        </w:rPr>
        <w:t>‘</w:t>
      </w:r>
      <w:r w:rsidR="00E07F07" w:rsidRPr="0006214B">
        <w:rPr>
          <w:noProof/>
        </w:rPr>
        <w:t>Borehole logging in hydrogeology</w:t>
      </w:r>
      <w:r w:rsidR="00C50031">
        <w:rPr>
          <w:noProof/>
        </w:rPr>
        <w:t>’. In: Kirsch R, Rumpel H, Scheer W &amp; Wiederhold H</w:t>
      </w:r>
      <w:r w:rsidR="00E07F07" w:rsidRPr="0006214B">
        <w:rPr>
          <w:noProof/>
        </w:rPr>
        <w:t xml:space="preserve"> (eds.) </w:t>
      </w:r>
      <w:r w:rsidR="00E07F07" w:rsidRPr="00C50031">
        <w:rPr>
          <w:i/>
          <w:noProof/>
        </w:rPr>
        <w:t>Groundwater resources in buried valleys</w:t>
      </w:r>
      <w:r w:rsidR="00E07F07" w:rsidRPr="0006214B">
        <w:rPr>
          <w:noProof/>
        </w:rPr>
        <w:t>. Hannover: Leidniz Institute for Applied Geosciences.</w:t>
      </w:r>
    </w:p>
    <w:p w:rsidR="00E07F07" w:rsidRPr="0006214B" w:rsidRDefault="00C50031" w:rsidP="00BE7A62">
      <w:pPr>
        <w:pStyle w:val="BRNormal"/>
        <w:spacing w:after="0"/>
        <w:ind w:left="709" w:hanging="709"/>
      </w:pPr>
      <w:proofErr w:type="gramStart"/>
      <w:r>
        <w:t>Butler JJ, Jin W, Mohammed GA &amp; Reboulet EC</w:t>
      </w:r>
      <w:r w:rsidR="00E07F07" w:rsidRPr="0006214B">
        <w:t xml:space="preserve"> 2011.</w:t>
      </w:r>
      <w:proofErr w:type="gramEnd"/>
      <w:r w:rsidR="00E07F07" w:rsidRPr="0006214B">
        <w:t xml:space="preserve"> </w:t>
      </w:r>
      <w:proofErr w:type="gramStart"/>
      <w:r>
        <w:t>‘</w:t>
      </w:r>
      <w:r w:rsidR="00E07F07" w:rsidRPr="0006214B">
        <w:t>New insights from well responses to fluctuations in barometric pressure</w:t>
      </w:r>
      <w:r>
        <w:t>’</w:t>
      </w:r>
      <w:r w:rsidR="00E07F07" w:rsidRPr="0006214B">
        <w:t>.</w:t>
      </w:r>
      <w:proofErr w:type="gramEnd"/>
      <w:r w:rsidR="00E07F07" w:rsidRPr="0006214B">
        <w:t xml:space="preserve"> </w:t>
      </w:r>
      <w:r w:rsidR="00E07F07" w:rsidRPr="00C50031">
        <w:rPr>
          <w:i/>
        </w:rPr>
        <w:t>Ground Water</w:t>
      </w:r>
      <w:r w:rsidR="00E07F07" w:rsidRPr="0006214B">
        <w:t xml:space="preserve">, </w:t>
      </w:r>
      <w:r>
        <w:t xml:space="preserve">vol. </w:t>
      </w:r>
      <w:r w:rsidR="00E07F07" w:rsidRPr="0006214B">
        <w:t xml:space="preserve">49, </w:t>
      </w:r>
      <w:r>
        <w:t xml:space="preserve">pp. </w:t>
      </w:r>
      <w:r w:rsidR="00E07F07" w:rsidRPr="0006214B">
        <w:t>525-533.</w:t>
      </w:r>
    </w:p>
    <w:p w:rsidR="00E07F07" w:rsidRPr="0006214B" w:rsidRDefault="00B23BE1" w:rsidP="00BE7A62">
      <w:pPr>
        <w:pStyle w:val="BRNormal"/>
        <w:spacing w:after="0"/>
        <w:ind w:left="709" w:hanging="709"/>
      </w:pPr>
      <w:r>
        <w:t>Cadman SJ, Pain L &amp; Vuckovic V 1998.</w:t>
      </w:r>
      <w:r w:rsidR="00E07F07" w:rsidRPr="0006214B">
        <w:t xml:space="preserve"> </w:t>
      </w:r>
      <w:r w:rsidR="00E07F07" w:rsidRPr="00B23BE1">
        <w:rPr>
          <w:i/>
        </w:rPr>
        <w:t>Bowen and Surat Basins, Clarence-Moreton Basin, Gunnedah Basin, and other minor onshore basins</w:t>
      </w:r>
      <w:r w:rsidR="00E07F07" w:rsidRPr="0006214B">
        <w:t>, Queensland, NSW and NT. Australian Petroleum Accumulations Report 11, Bureau of Resources Sciences, Canberra.</w:t>
      </w:r>
    </w:p>
    <w:p w:rsidR="00E07F07" w:rsidRPr="0006214B" w:rsidRDefault="00B23BE1" w:rsidP="00BE7A62">
      <w:pPr>
        <w:pStyle w:val="BRNormal"/>
        <w:spacing w:after="0"/>
        <w:ind w:left="709" w:hanging="709"/>
      </w:pPr>
      <w:proofErr w:type="gramStart"/>
      <w:r>
        <w:t>Caine JS &amp; Forster CB</w:t>
      </w:r>
      <w:r w:rsidR="00E07F07" w:rsidRPr="0006214B">
        <w:t xml:space="preserve"> 1999.</w:t>
      </w:r>
      <w:proofErr w:type="gramEnd"/>
      <w:r w:rsidR="00E07F07" w:rsidRPr="0006214B">
        <w:t xml:space="preserve"> </w:t>
      </w:r>
      <w:r>
        <w:t>‘</w:t>
      </w:r>
      <w:r w:rsidR="00E07F07" w:rsidRPr="0006214B">
        <w:t>Fault zone architecture and fluid flow: Insights from field data and numerical modeling</w:t>
      </w:r>
      <w:r>
        <w:t>’</w:t>
      </w:r>
      <w:r w:rsidR="00E07F07" w:rsidRPr="0006214B">
        <w:t xml:space="preserve">. In: W.C. HANEBERG ET AL. (ed.) </w:t>
      </w:r>
      <w:r w:rsidR="00E07F07" w:rsidRPr="00B23BE1">
        <w:rPr>
          <w:i/>
        </w:rPr>
        <w:t>Faults and Subsurface Fluid Flow in the Shallow Crust</w:t>
      </w:r>
      <w:r w:rsidR="00E07F07" w:rsidRPr="0006214B">
        <w:t>. Washington, DC: American Geophysical Union.</w:t>
      </w:r>
    </w:p>
    <w:p w:rsidR="00E07F07" w:rsidRPr="0006214B" w:rsidRDefault="00B23BE1" w:rsidP="00BE7A62">
      <w:pPr>
        <w:pStyle w:val="BRNormal"/>
        <w:spacing w:after="0"/>
        <w:ind w:left="709" w:hanging="709"/>
      </w:pPr>
      <w:proofErr w:type="gramStart"/>
      <w:r>
        <w:t>Caine JS, Evans JP &amp; Forster CB</w:t>
      </w:r>
      <w:r w:rsidR="00E07F07" w:rsidRPr="0006214B">
        <w:t xml:space="preserve"> 1996.</w:t>
      </w:r>
      <w:proofErr w:type="gramEnd"/>
      <w:r w:rsidR="00E07F07" w:rsidRPr="0006214B">
        <w:t xml:space="preserve"> </w:t>
      </w:r>
      <w:r>
        <w:t>‘</w:t>
      </w:r>
      <w:r w:rsidR="00E07F07" w:rsidRPr="0006214B">
        <w:t>Fault zone architecture and permeability structure</w:t>
      </w:r>
      <w:r>
        <w:t>’</w:t>
      </w:r>
      <w:r w:rsidR="00E07F07" w:rsidRPr="0006214B">
        <w:t xml:space="preserve">. </w:t>
      </w:r>
      <w:r w:rsidR="00E07F07" w:rsidRPr="00B23BE1">
        <w:rPr>
          <w:i/>
        </w:rPr>
        <w:t>Geology</w:t>
      </w:r>
      <w:r w:rsidR="00E07F07" w:rsidRPr="0006214B">
        <w:t xml:space="preserve">, </w:t>
      </w:r>
      <w:r>
        <w:t xml:space="preserve">vol. </w:t>
      </w:r>
      <w:r w:rsidR="00E07F07" w:rsidRPr="0006214B">
        <w:t xml:space="preserve">24, </w:t>
      </w:r>
      <w:r>
        <w:t xml:space="preserve">pp. </w:t>
      </w:r>
      <w:r w:rsidR="00E07F07" w:rsidRPr="0006214B">
        <w:t>1025-1028.</w:t>
      </w:r>
    </w:p>
    <w:p w:rsidR="00E07F07" w:rsidRPr="0006214B" w:rsidRDefault="00E07F07" w:rsidP="00BE7A62">
      <w:pPr>
        <w:pStyle w:val="BRNormal"/>
        <w:spacing w:after="0"/>
        <w:ind w:left="709" w:hanging="709"/>
      </w:pPr>
      <w:proofErr w:type="gramStart"/>
      <w:r w:rsidRPr="0006214B">
        <w:t xml:space="preserve">Calf GE </w:t>
      </w:r>
      <w:r w:rsidR="00B23BE1">
        <w:t>&amp; Habermehl MA 1984.</w:t>
      </w:r>
      <w:proofErr w:type="gramEnd"/>
      <w:r w:rsidRPr="0006214B">
        <w:t xml:space="preserve"> ‘Isotope hydrology and hydrochemistry of the Great Artesian Basin, Australia’, paper for International Atomic Energy Agency (IAEA) &amp; United Nations Educational Scientific and Cultural Organization (UNESCO) </w:t>
      </w:r>
      <w:r w:rsidRPr="00B23BE1">
        <w:rPr>
          <w:i/>
        </w:rPr>
        <w:t>International Symposium on Isotope Hydrology in Water Resources Development</w:t>
      </w:r>
      <w:r w:rsidRPr="0006214B">
        <w:t>, Vienna, Austria, 12–16 September 1983, in: Isotope Hydrology 1983, IAEA, Vienna, pp.397–413.</w:t>
      </w:r>
    </w:p>
    <w:p w:rsidR="00E07F07" w:rsidRPr="0006214B" w:rsidRDefault="00B23BE1" w:rsidP="00BE7A62">
      <w:pPr>
        <w:pStyle w:val="BRNormal"/>
        <w:spacing w:after="0"/>
        <w:ind w:left="709" w:hanging="709"/>
      </w:pPr>
      <w:r>
        <w:t>Cartwright J 2007.</w:t>
      </w:r>
      <w:r w:rsidR="00E07F07" w:rsidRPr="0006214B">
        <w:t xml:space="preserve"> </w:t>
      </w:r>
      <w:proofErr w:type="gramStart"/>
      <w:r w:rsidR="00E07F07" w:rsidRPr="0006214B">
        <w:t xml:space="preserve">‘The impact of 3D seismic data on the understanding of compaction, fluid flow and diagenesis in sedimentary basins’, </w:t>
      </w:r>
      <w:r w:rsidR="00E07F07" w:rsidRPr="00B23BE1">
        <w:rPr>
          <w:i/>
        </w:rPr>
        <w:t>Journal of the Geological Society</w:t>
      </w:r>
      <w:r w:rsidR="00E07F07" w:rsidRPr="0006214B">
        <w:t>, vol.164, pp.881-893.</w:t>
      </w:r>
      <w:proofErr w:type="gramEnd"/>
    </w:p>
    <w:p w:rsidR="00E07F07" w:rsidRPr="0006214B" w:rsidRDefault="00B23BE1" w:rsidP="00BE7A62">
      <w:pPr>
        <w:pStyle w:val="BRNormal"/>
        <w:spacing w:after="0"/>
        <w:ind w:left="709" w:hanging="709"/>
      </w:pPr>
      <w:r>
        <w:t>Cartwright J 2011.</w:t>
      </w:r>
      <w:r w:rsidR="00E07F07" w:rsidRPr="0006214B">
        <w:t xml:space="preserve"> ‘Diagenetically induced shear failure of fine-grained sediments and the development of polygonal fault systems’, </w:t>
      </w:r>
      <w:r w:rsidR="00E07F07" w:rsidRPr="00B23BE1">
        <w:rPr>
          <w:i/>
        </w:rPr>
        <w:t>Marine and Petroleum Geology</w:t>
      </w:r>
      <w:r w:rsidR="00E07F07" w:rsidRPr="0006214B">
        <w:t>, vol.28, pp.1593-1610.</w:t>
      </w:r>
    </w:p>
    <w:p w:rsidR="00E07F07" w:rsidRPr="0006214B" w:rsidRDefault="00B23BE1" w:rsidP="00BE7A62">
      <w:pPr>
        <w:pStyle w:val="BRNormal"/>
        <w:spacing w:after="0"/>
        <w:ind w:left="709" w:hanging="709"/>
      </w:pPr>
      <w:proofErr w:type="gramStart"/>
      <w:r>
        <w:lastRenderedPageBreak/>
        <w:t xml:space="preserve">Celia MA, Nordbotten JM, Court B, Dobossy M &amp; Bachu S </w:t>
      </w:r>
      <w:r w:rsidR="00E07F07" w:rsidRPr="0006214B">
        <w:t>2011.</w:t>
      </w:r>
      <w:proofErr w:type="gramEnd"/>
      <w:r w:rsidR="00E07F07" w:rsidRPr="0006214B">
        <w:t xml:space="preserve"> </w:t>
      </w:r>
      <w:proofErr w:type="gramStart"/>
      <w:r>
        <w:t>‘</w:t>
      </w:r>
      <w:r w:rsidR="00E07F07" w:rsidRPr="0006214B">
        <w:t>Field-scale application of a semi-analytical model for estimation of CO2 and brine leakage along old wells</w:t>
      </w:r>
      <w:r>
        <w:t>’</w:t>
      </w:r>
      <w:r w:rsidR="00E07F07" w:rsidRPr="0006214B">
        <w:t>.</w:t>
      </w:r>
      <w:proofErr w:type="gramEnd"/>
      <w:r w:rsidR="00E07F07" w:rsidRPr="0006214B">
        <w:t xml:space="preserve"> </w:t>
      </w:r>
      <w:r w:rsidR="00E07F07" w:rsidRPr="00B23BE1">
        <w:rPr>
          <w:i/>
        </w:rPr>
        <w:t>International Journal of Greenhouse Gas Control</w:t>
      </w:r>
      <w:r w:rsidR="00E07F07" w:rsidRPr="0006214B">
        <w:t xml:space="preserve">, </w:t>
      </w:r>
      <w:r>
        <w:t xml:space="preserve">vol. </w:t>
      </w:r>
      <w:r w:rsidR="00E07F07" w:rsidRPr="0006214B">
        <w:t xml:space="preserve">5, </w:t>
      </w:r>
      <w:r>
        <w:t xml:space="preserve">pp. </w:t>
      </w:r>
      <w:r w:rsidR="00E07F07" w:rsidRPr="0006214B">
        <w:t>257-269.</w:t>
      </w:r>
    </w:p>
    <w:p w:rsidR="00AC7FDD" w:rsidRPr="0006214B" w:rsidRDefault="00B23BE1" w:rsidP="00BE7A62">
      <w:pPr>
        <w:pStyle w:val="BRNormal"/>
        <w:spacing w:after="0"/>
        <w:ind w:left="709" w:hanging="709"/>
      </w:pPr>
      <w:proofErr w:type="gramStart"/>
      <w:r>
        <w:t>Chen X 2000.</w:t>
      </w:r>
      <w:proofErr w:type="gramEnd"/>
      <w:r w:rsidR="00AC7FDD" w:rsidRPr="0006214B">
        <w:t xml:space="preserve"> </w:t>
      </w:r>
      <w:proofErr w:type="gramStart"/>
      <w:r w:rsidR="00AC7FDD" w:rsidRPr="00B23BE1">
        <w:rPr>
          <w:i/>
        </w:rPr>
        <w:t>Measurement of streambed hydraulic co</w:t>
      </w:r>
      <w:r w:rsidRPr="00B23BE1">
        <w:rPr>
          <w:i/>
        </w:rPr>
        <w:t>nductivity and its anisotropy</w:t>
      </w:r>
      <w:r>
        <w:t>.</w:t>
      </w:r>
      <w:proofErr w:type="gramEnd"/>
      <w:r>
        <w:t xml:space="preserve"> </w:t>
      </w:r>
      <w:r w:rsidR="00AC7FDD" w:rsidRPr="0006214B">
        <w:t>Volume 39, Issue 12, pp 1317-1324.</w:t>
      </w:r>
    </w:p>
    <w:p w:rsidR="00E07F07" w:rsidRPr="0006214B" w:rsidRDefault="00B23BE1" w:rsidP="00BE7A62">
      <w:pPr>
        <w:pStyle w:val="BRNormal"/>
        <w:spacing w:after="0"/>
        <w:ind w:left="709" w:hanging="709"/>
      </w:pPr>
      <w:r>
        <w:t>Chen D 2003.</w:t>
      </w:r>
      <w:r w:rsidR="00E07F07" w:rsidRPr="0006214B">
        <w:t xml:space="preserve"> </w:t>
      </w:r>
      <w:r w:rsidR="00E07F07" w:rsidRPr="00B23BE1">
        <w:rPr>
          <w:i/>
        </w:rPr>
        <w:t>Dumaresq River groundwater model: Border Rivers, model development, calibration and use</w:t>
      </w:r>
      <w:r w:rsidR="00E07F07" w:rsidRPr="0006214B">
        <w:t>, Queensland Department of Natural Resources and Mines report to the Dumaresq-Barwon Border Rivers Commission.</w:t>
      </w:r>
    </w:p>
    <w:p w:rsidR="00E07F07" w:rsidRPr="0006214B" w:rsidRDefault="00B23BE1" w:rsidP="00BE7A62">
      <w:pPr>
        <w:pStyle w:val="BRNormal"/>
        <w:spacing w:after="0"/>
        <w:ind w:left="709" w:hanging="709"/>
      </w:pPr>
      <w:r>
        <w:t>Cherry JA, Parker BL, Bradbury KR, Eaton T</w:t>
      </w:r>
      <w:r w:rsidR="00E07F07" w:rsidRPr="0006214B">
        <w:t>T</w:t>
      </w:r>
      <w:r>
        <w:t>, Gotkowitz MG, Hart DJ &amp; Borchardt MA 2004.</w:t>
      </w:r>
      <w:r w:rsidR="00E07F07" w:rsidRPr="0006214B">
        <w:t xml:space="preserve"> </w:t>
      </w:r>
      <w:r w:rsidR="00E07F07" w:rsidRPr="00B23BE1">
        <w:rPr>
          <w:i/>
        </w:rPr>
        <w:t xml:space="preserve">Role of aquitards in the protection of aquifers from contamination: </w:t>
      </w:r>
      <w:proofErr w:type="gramStart"/>
      <w:r w:rsidR="00E07F07" w:rsidRPr="00B23BE1">
        <w:rPr>
          <w:i/>
        </w:rPr>
        <w:t>A</w:t>
      </w:r>
      <w:proofErr w:type="gramEnd"/>
      <w:r w:rsidR="00E07F07" w:rsidRPr="00B23BE1">
        <w:rPr>
          <w:i/>
        </w:rPr>
        <w:t xml:space="preserve"> state of the science report</w:t>
      </w:r>
      <w:r>
        <w:t>, AWWA research foundation.</w:t>
      </w:r>
    </w:p>
    <w:p w:rsidR="00E07F07" w:rsidRPr="0006214B" w:rsidRDefault="005234F3" w:rsidP="00BE7A62">
      <w:pPr>
        <w:pStyle w:val="BRNormal"/>
        <w:spacing w:after="0"/>
        <w:ind w:left="709" w:hanging="709"/>
      </w:pPr>
      <w:proofErr w:type="gramStart"/>
      <w:r>
        <w:t>Chopra P, Papp E &amp; Gibson D</w:t>
      </w:r>
      <w:r w:rsidR="00E07F07" w:rsidRPr="0006214B">
        <w:t xml:space="preserve"> 2002.</w:t>
      </w:r>
      <w:proofErr w:type="gramEnd"/>
      <w:r w:rsidR="00E07F07" w:rsidRPr="0006214B">
        <w:t xml:space="preserve"> </w:t>
      </w:r>
      <w:proofErr w:type="gramStart"/>
      <w:r>
        <w:t>‘</w:t>
      </w:r>
      <w:r w:rsidR="00E07F07" w:rsidRPr="0006214B">
        <w:t>Geophysical well logging</w:t>
      </w:r>
      <w:r>
        <w:t>’</w:t>
      </w:r>
      <w:r w:rsidR="00E07F07" w:rsidRPr="0006214B">
        <w:t>.</w:t>
      </w:r>
      <w:proofErr w:type="gramEnd"/>
      <w:r w:rsidR="00E07F07" w:rsidRPr="0006214B">
        <w:t xml:space="preserve"> In: PAPP, E. (ed.) </w:t>
      </w:r>
      <w:r w:rsidR="00E07F07" w:rsidRPr="005234F3">
        <w:rPr>
          <w:i/>
        </w:rPr>
        <w:t xml:space="preserve">Geophysical and remote sensing methods for regolith exploration. </w:t>
      </w:r>
      <w:proofErr w:type="gramStart"/>
      <w:r w:rsidR="00E07F07" w:rsidRPr="005234F3">
        <w:rPr>
          <w:i/>
        </w:rPr>
        <w:t>Cooperative Research Centre for Landscape Environments and Mineral Exploration</w:t>
      </w:r>
      <w:r w:rsidR="00E07F07" w:rsidRPr="0006214B">
        <w:t>, Open File Report 144.</w:t>
      </w:r>
      <w:proofErr w:type="gramEnd"/>
    </w:p>
    <w:p w:rsidR="00E07F07" w:rsidRPr="0006214B" w:rsidRDefault="005234F3" w:rsidP="00BE7A62">
      <w:pPr>
        <w:pStyle w:val="BRNormal"/>
        <w:spacing w:after="0"/>
        <w:ind w:left="709" w:hanging="709"/>
      </w:pPr>
      <w:r>
        <w:t>Cihan A, Zhou Q &amp; Birkholzer JT</w:t>
      </w:r>
      <w:r w:rsidR="00E07F07" w:rsidRPr="0006214B">
        <w:t xml:space="preserve"> 2011. </w:t>
      </w:r>
      <w:proofErr w:type="gramStart"/>
      <w:r>
        <w:t>‘</w:t>
      </w:r>
      <w:r w:rsidR="00E07F07" w:rsidRPr="0006214B">
        <w:t>Analytical solutions for pressure perturbation and fluid leakage through aquitards and wells in multilayered-aquifer systems</w:t>
      </w:r>
      <w:r>
        <w:t>’</w:t>
      </w:r>
      <w:r w:rsidR="00E07F07" w:rsidRPr="0006214B">
        <w:t>.</w:t>
      </w:r>
      <w:proofErr w:type="gramEnd"/>
      <w:r w:rsidR="00E07F07" w:rsidRPr="0006214B">
        <w:t xml:space="preserve"> </w:t>
      </w:r>
      <w:proofErr w:type="gramStart"/>
      <w:r w:rsidR="00E07F07" w:rsidRPr="005234F3">
        <w:rPr>
          <w:i/>
        </w:rPr>
        <w:t>Water</w:t>
      </w:r>
      <w:r w:rsidR="00E07F07" w:rsidRPr="0006214B">
        <w:t xml:space="preserve"> </w:t>
      </w:r>
      <w:r w:rsidR="00E07F07" w:rsidRPr="005234F3">
        <w:rPr>
          <w:i/>
        </w:rPr>
        <w:t>Resources Research</w:t>
      </w:r>
      <w:r w:rsidR="00E07F07" w:rsidRPr="0006214B">
        <w:t xml:space="preserve">, </w:t>
      </w:r>
      <w:r>
        <w:t xml:space="preserve">vol. </w:t>
      </w:r>
      <w:r w:rsidR="00E07F07" w:rsidRPr="0006214B">
        <w:t>47, W10504.</w:t>
      </w:r>
      <w:proofErr w:type="gramEnd"/>
    </w:p>
    <w:p w:rsidR="00E07F07" w:rsidRPr="0006214B" w:rsidRDefault="005234F3" w:rsidP="00BE7A62">
      <w:pPr>
        <w:pStyle w:val="BRNormal"/>
        <w:spacing w:after="0"/>
        <w:ind w:left="709" w:hanging="709"/>
      </w:pPr>
      <w:proofErr w:type="gramStart"/>
      <w:r>
        <w:t>Clark ID</w:t>
      </w:r>
      <w:r w:rsidR="00E07F07" w:rsidRPr="0006214B">
        <w:t xml:space="preserve"> &amp; Fritz</w:t>
      </w:r>
      <w:r>
        <w:t xml:space="preserve"> P</w:t>
      </w:r>
      <w:r w:rsidR="00E07F07" w:rsidRPr="0006214B">
        <w:t xml:space="preserve"> 1997.</w:t>
      </w:r>
      <w:proofErr w:type="gramEnd"/>
      <w:r w:rsidR="00E07F07" w:rsidRPr="0006214B">
        <w:t xml:space="preserve"> </w:t>
      </w:r>
      <w:proofErr w:type="gramStart"/>
      <w:r w:rsidR="00E07F07" w:rsidRPr="005234F3">
        <w:rPr>
          <w:i/>
        </w:rPr>
        <w:t>Environmental isotopes in hydrogeology</w:t>
      </w:r>
      <w:r w:rsidR="00E07F07" w:rsidRPr="0006214B">
        <w:t>, Boca Raton, Lewis Publishers.</w:t>
      </w:r>
      <w:proofErr w:type="gramEnd"/>
    </w:p>
    <w:p w:rsidR="00E07F07" w:rsidRPr="0006214B" w:rsidRDefault="005234F3" w:rsidP="00BE7A62">
      <w:pPr>
        <w:pStyle w:val="BRNormal"/>
        <w:spacing w:after="0"/>
        <w:ind w:left="709" w:hanging="709"/>
      </w:pPr>
      <w:proofErr w:type="gramStart"/>
      <w:r>
        <w:t>Coffey 2012.</w:t>
      </w:r>
      <w:proofErr w:type="gramEnd"/>
      <w:r w:rsidR="00E07F07" w:rsidRPr="0006214B">
        <w:t xml:space="preserve"> ‘Chapter 14: Groundwater’, in: </w:t>
      </w:r>
      <w:r w:rsidR="00E07F07" w:rsidRPr="005234F3">
        <w:rPr>
          <w:i/>
        </w:rPr>
        <w:t>Arrow Energy, Surat Gas Project Environmental Impact Statement: Volume 3</w:t>
      </w:r>
      <w:r>
        <w:t>, (</w:t>
      </w:r>
      <w:r w:rsidRPr="005234F3">
        <w:t>http://www.arrowenergy.com.au/page/Community/Project_Assessment_EIS/Surat_Gas_Project_EIS/</w:t>
      </w:r>
      <w:r>
        <w:t xml:space="preserve"> [accessed 10 April 2014]).</w:t>
      </w:r>
    </w:p>
    <w:p w:rsidR="00E07F07" w:rsidRPr="0006214B" w:rsidRDefault="005234F3" w:rsidP="00BE7A62">
      <w:pPr>
        <w:pStyle w:val="BRNormal"/>
        <w:spacing w:after="0"/>
        <w:ind w:left="709" w:hanging="709"/>
      </w:pPr>
      <w:proofErr w:type="gramStart"/>
      <w:r>
        <w:t>Collerson KD, Ullman WJ</w:t>
      </w:r>
      <w:r w:rsidR="00E07F07" w:rsidRPr="0006214B">
        <w:t xml:space="preserve"> </w:t>
      </w:r>
      <w:r>
        <w:t>&amp; Torgerson T 1998.</w:t>
      </w:r>
      <w:proofErr w:type="gramEnd"/>
      <w:r w:rsidR="00E07F07" w:rsidRPr="0006214B">
        <w:t xml:space="preserve"> </w:t>
      </w:r>
      <w:proofErr w:type="gramStart"/>
      <w:r w:rsidR="00E07F07" w:rsidRPr="0006214B">
        <w:t xml:space="preserve">‘Groundwaters with unradiogenic 87Sr/86Sr ratios in the Great Artesian Basin, Australia’, </w:t>
      </w:r>
      <w:r w:rsidR="00E07F07" w:rsidRPr="005234F3">
        <w:rPr>
          <w:i/>
        </w:rPr>
        <w:t>Geology</w:t>
      </w:r>
      <w:r w:rsidR="00E07F07" w:rsidRPr="0006214B">
        <w:t>, vol.16, pp.59-63.</w:t>
      </w:r>
      <w:proofErr w:type="gramEnd"/>
    </w:p>
    <w:p w:rsidR="00E07F07" w:rsidRPr="0006214B" w:rsidRDefault="005234F3" w:rsidP="00BE7A62">
      <w:pPr>
        <w:pStyle w:val="BRNormal"/>
        <w:spacing w:after="0"/>
        <w:ind w:left="709" w:hanging="709"/>
      </w:pPr>
      <w:r>
        <w:t>Contreras IA, Grosser PE &amp; ver Strate RH</w:t>
      </w:r>
      <w:r w:rsidR="00E07F07" w:rsidRPr="0006214B">
        <w:t xml:space="preserve"> 2007. </w:t>
      </w:r>
      <w:proofErr w:type="gramStart"/>
      <w:r w:rsidR="00E07F07" w:rsidRPr="005234F3">
        <w:rPr>
          <w:i/>
        </w:rPr>
        <w:t>The use of the fully-grouted method for piezometer installation</w:t>
      </w:r>
      <w:r w:rsidR="00E07F07" w:rsidRPr="0006214B">
        <w:t>, Boston, MA, ASCE Geotechnical Publication 175.</w:t>
      </w:r>
      <w:proofErr w:type="gramEnd"/>
    </w:p>
    <w:p w:rsidR="00E07F07" w:rsidRPr="0006214B" w:rsidRDefault="005234F3" w:rsidP="00BE7A62">
      <w:pPr>
        <w:pStyle w:val="BRNormal"/>
        <w:spacing w:after="0"/>
        <w:ind w:left="709" w:hanging="709"/>
      </w:pPr>
      <w:r>
        <w:t>Cook PG &amp; Böhlke J</w:t>
      </w:r>
      <w:r w:rsidR="00E07F07" w:rsidRPr="0006214B">
        <w:t xml:space="preserve"> 2000. </w:t>
      </w:r>
      <w:proofErr w:type="gramStart"/>
      <w:r w:rsidR="00CB4347">
        <w:t>‘</w:t>
      </w:r>
      <w:r w:rsidR="00E07F07" w:rsidRPr="0006214B">
        <w:t>Determining timescales for groundwater flow and solute transport</w:t>
      </w:r>
      <w:r w:rsidR="00CB4347">
        <w:t>’</w:t>
      </w:r>
      <w:r w:rsidR="00E07F07" w:rsidRPr="0006214B">
        <w:t>.</w:t>
      </w:r>
      <w:proofErr w:type="gramEnd"/>
      <w:r w:rsidR="00E07F07" w:rsidRPr="0006214B">
        <w:t xml:space="preserve"> In: Cook, P. G. &amp; Herczeg, A. (eds.) </w:t>
      </w:r>
      <w:r w:rsidR="00E07F07" w:rsidRPr="00CB4347">
        <w:rPr>
          <w:i/>
        </w:rPr>
        <w:t>Environmental tracers in subsurface hydrogeology</w:t>
      </w:r>
      <w:r w:rsidR="00E07F07" w:rsidRPr="0006214B">
        <w:t>. Boston: Kluwer Academic Publishers.</w:t>
      </w:r>
    </w:p>
    <w:p w:rsidR="00E07F07" w:rsidRPr="0006214B" w:rsidRDefault="00DE2951" w:rsidP="00BE7A62">
      <w:pPr>
        <w:pStyle w:val="BRNormal"/>
        <w:spacing w:after="0"/>
        <w:ind w:left="709" w:hanging="709"/>
      </w:pPr>
      <w:proofErr w:type="gramStart"/>
      <w:r>
        <w:t>Costanza-Robinson MS, Estabrook BD &amp; Fouhey DF 2011.</w:t>
      </w:r>
      <w:proofErr w:type="gramEnd"/>
      <w:r w:rsidR="00E07F07" w:rsidRPr="0006214B">
        <w:t xml:space="preserve"> </w:t>
      </w:r>
      <w:r>
        <w:t>‘</w:t>
      </w:r>
      <w:r w:rsidR="00E07F07" w:rsidRPr="0006214B">
        <w:t>Representative elementary volume estimation for porosity, moisture saturation, and air-water interfacial areas in unsaturated porous media: Data quality implications</w:t>
      </w:r>
      <w:r>
        <w:t>’,</w:t>
      </w:r>
      <w:r w:rsidR="00E07F07" w:rsidRPr="0006214B">
        <w:t xml:space="preserve"> </w:t>
      </w:r>
      <w:r w:rsidR="00E07F07" w:rsidRPr="00DE2951">
        <w:rPr>
          <w:i/>
        </w:rPr>
        <w:t>Water Resour. Res</w:t>
      </w:r>
      <w:r w:rsidR="00E07F07" w:rsidRPr="0006214B">
        <w:t xml:space="preserve">., </w:t>
      </w:r>
      <w:r>
        <w:t xml:space="preserve">vol. </w:t>
      </w:r>
      <w:r w:rsidR="00E07F07" w:rsidRPr="0006214B">
        <w:t>47, W07513- 7</w:t>
      </w:r>
    </w:p>
    <w:p w:rsidR="00E07F07" w:rsidRPr="0006214B" w:rsidRDefault="00E07F07" w:rsidP="00BE7A62">
      <w:pPr>
        <w:pStyle w:val="BRNormal"/>
        <w:spacing w:after="0"/>
        <w:ind w:left="709" w:hanging="709"/>
      </w:pPr>
      <w:r w:rsidRPr="0006214B">
        <w:t>Costelloe JF, Irvine EC</w:t>
      </w:r>
      <w:r w:rsidR="00DE2951">
        <w:t>, Western AW, Matic V, Walker J</w:t>
      </w:r>
      <w:r w:rsidRPr="0006214B">
        <w:t xml:space="preserve"> </w:t>
      </w:r>
      <w:r w:rsidR="00DE2951">
        <w:t>&amp;</w:t>
      </w:r>
      <w:r w:rsidRPr="0006214B">
        <w:t xml:space="preserve"> Tyler M </w:t>
      </w:r>
      <w:r w:rsidR="00DE2951">
        <w:t>2008.</w:t>
      </w:r>
      <w:r w:rsidRPr="0006214B">
        <w:t xml:space="preserve"> ‘Quantifying near-surface diffuse groundwater discharge along the south-west margin of the Great Artesian Basin’, in: Lambert M, Daniell TM, Leonard, M (eds), </w:t>
      </w:r>
      <w:r w:rsidRPr="00DE2951">
        <w:rPr>
          <w:i/>
        </w:rPr>
        <w:t>Proceedings of Water Down Under 2008</w:t>
      </w:r>
      <w:r w:rsidRPr="0006214B">
        <w:t xml:space="preserve">, Engineers Australia, Modbury, SA, pp.831-840. </w:t>
      </w:r>
    </w:p>
    <w:p w:rsidR="00E07F07" w:rsidRPr="0006214B" w:rsidRDefault="00E07F07" w:rsidP="00BE7A62">
      <w:pPr>
        <w:pStyle w:val="BRNormal"/>
        <w:spacing w:after="0"/>
        <w:ind w:left="709" w:hanging="709"/>
      </w:pPr>
      <w:r w:rsidRPr="0006214B">
        <w:t xml:space="preserve">Crossey L, Priestley S, Shand P, Karlstrom K, Love AJ and Keppel M (2012) ‘Chapter 2: Source and origin of western Great Artesian Basin spring water’, in: Love AJ, Shand P, Crossey L, Harrington GA and Rousseau-Gueutin P (eds) </w:t>
      </w:r>
      <w:r w:rsidRPr="0094247F">
        <w:rPr>
          <w:i/>
        </w:rPr>
        <w:t>Allocating Water and Maintaining Springs in the Great Artesian Basin</w:t>
      </w:r>
      <w:r w:rsidRPr="0006214B">
        <w:t xml:space="preserve"> Vol. 3: Groundwater discharge of the western Great Artesian Basin, Australia in South Australia and the Northern Territory.</w:t>
      </w:r>
    </w:p>
    <w:p w:rsidR="00E07F07" w:rsidRPr="0006214B" w:rsidRDefault="0094247F" w:rsidP="00BE7A62">
      <w:pPr>
        <w:pStyle w:val="BRNormal"/>
        <w:spacing w:after="0"/>
        <w:ind w:left="709" w:hanging="709"/>
      </w:pPr>
      <w:proofErr w:type="gramStart"/>
      <w:r>
        <w:t>CSIRO 2012a.</w:t>
      </w:r>
      <w:proofErr w:type="gramEnd"/>
      <w:r w:rsidR="00E07F07" w:rsidRPr="0006214B">
        <w:t xml:space="preserve"> </w:t>
      </w:r>
      <w:r w:rsidR="00E07F07" w:rsidRPr="0094247F">
        <w:rPr>
          <w:i/>
        </w:rPr>
        <w:t>Water resource assessment for the Carpentaria region</w:t>
      </w:r>
      <w:r w:rsidR="00E07F07" w:rsidRPr="0006214B">
        <w:t xml:space="preserve">, </w:t>
      </w:r>
      <w:proofErr w:type="gramStart"/>
      <w:r w:rsidR="00E07F07" w:rsidRPr="0006214B">
        <w:t>A</w:t>
      </w:r>
      <w:proofErr w:type="gramEnd"/>
      <w:r w:rsidR="00E07F07" w:rsidRPr="0006214B">
        <w:t xml:space="preserve"> report to the Australian Government from the CSIRO Great Artesian Basin Water Resource Assessment, CSIRO Water for a Healthy Country Flagship, Australia.</w:t>
      </w:r>
    </w:p>
    <w:p w:rsidR="00E07F07" w:rsidRPr="0006214B" w:rsidRDefault="0094247F" w:rsidP="00BE7A62">
      <w:pPr>
        <w:pStyle w:val="BRNormal"/>
        <w:spacing w:after="0"/>
        <w:ind w:left="709" w:hanging="709"/>
      </w:pPr>
      <w:proofErr w:type="gramStart"/>
      <w:r>
        <w:t>CSIRO 2012b.</w:t>
      </w:r>
      <w:proofErr w:type="gramEnd"/>
      <w:r w:rsidR="00E07F07" w:rsidRPr="0006214B">
        <w:t xml:space="preserve"> </w:t>
      </w:r>
      <w:r w:rsidR="00E07F07" w:rsidRPr="0094247F">
        <w:rPr>
          <w:i/>
        </w:rPr>
        <w:t>Water resource assessment for the Central Eromanga region</w:t>
      </w:r>
      <w:r w:rsidR="00E07F07" w:rsidRPr="0006214B">
        <w:t xml:space="preserve">, </w:t>
      </w:r>
      <w:proofErr w:type="gramStart"/>
      <w:r w:rsidR="00E07F07" w:rsidRPr="0006214B">
        <w:t>A</w:t>
      </w:r>
      <w:proofErr w:type="gramEnd"/>
      <w:r w:rsidR="00E07F07" w:rsidRPr="0006214B">
        <w:t xml:space="preserve"> report to the Australian Government from the CSIRO Great Artesian Basin Water Resource Assessment, CSIRO Water for a Healthy Country Flagship, Australia.</w:t>
      </w:r>
    </w:p>
    <w:p w:rsidR="00307AE2" w:rsidRPr="0006214B" w:rsidRDefault="0094247F" w:rsidP="00BE7A62">
      <w:pPr>
        <w:pStyle w:val="BRNormal"/>
        <w:spacing w:after="0"/>
        <w:ind w:left="709" w:hanging="709"/>
      </w:pPr>
      <w:proofErr w:type="gramStart"/>
      <w:r>
        <w:lastRenderedPageBreak/>
        <w:t xml:space="preserve">CSIRO </w:t>
      </w:r>
      <w:r w:rsidR="00E07F07" w:rsidRPr="0006214B">
        <w:t>2012</w:t>
      </w:r>
      <w:r w:rsidR="00167E75" w:rsidRPr="0006214B">
        <w:t>c</w:t>
      </w:r>
      <w:r>
        <w:t>.</w:t>
      </w:r>
      <w:proofErr w:type="gramEnd"/>
      <w:r w:rsidR="00E07F07" w:rsidRPr="0006214B">
        <w:t xml:space="preserve"> </w:t>
      </w:r>
      <w:r w:rsidR="00E07F07" w:rsidRPr="0094247F">
        <w:rPr>
          <w:i/>
        </w:rPr>
        <w:t>Water resource assessment for the Western Eromanga region</w:t>
      </w:r>
      <w:r w:rsidR="00E07F07" w:rsidRPr="0006214B">
        <w:t xml:space="preserve">, </w:t>
      </w:r>
      <w:proofErr w:type="gramStart"/>
      <w:r w:rsidR="00E07F07" w:rsidRPr="0006214B">
        <w:t>A</w:t>
      </w:r>
      <w:proofErr w:type="gramEnd"/>
      <w:r w:rsidR="00E07F07" w:rsidRPr="0006214B">
        <w:t xml:space="preserve"> report to the Australian Government from the CSIRO Great Artesian Basin Water Resource Assessment, CSIRO Water for a Healthy Country Flagship, Australia.</w:t>
      </w:r>
    </w:p>
    <w:p w:rsidR="00307AE2" w:rsidRPr="0006214B" w:rsidRDefault="0094247F" w:rsidP="00BE7A62">
      <w:pPr>
        <w:pStyle w:val="BRNormal"/>
        <w:spacing w:after="0"/>
        <w:ind w:left="709" w:hanging="709"/>
      </w:pPr>
      <w:proofErr w:type="gramStart"/>
      <w:r>
        <w:t>CSIRO 2008a</w:t>
      </w:r>
      <w:r w:rsidR="00307AE2" w:rsidRPr="0006214B">
        <w:t>.</w:t>
      </w:r>
      <w:proofErr w:type="gramEnd"/>
      <w:r w:rsidR="00307AE2" w:rsidRPr="0006214B">
        <w:t xml:space="preserve"> </w:t>
      </w:r>
      <w:r w:rsidR="00307AE2" w:rsidRPr="0094247F">
        <w:rPr>
          <w:i/>
        </w:rPr>
        <w:t>Bowen Basin Structural Geology</w:t>
      </w:r>
      <w:r w:rsidR="00307AE2" w:rsidRPr="0006214B">
        <w:t xml:space="preserve">, An interpretation based on airborne geophysics and open file exploration data. </w:t>
      </w:r>
    </w:p>
    <w:p w:rsidR="00307AE2" w:rsidRPr="0006214B" w:rsidRDefault="0094247F" w:rsidP="00BE7A62">
      <w:pPr>
        <w:pStyle w:val="BRNormal"/>
        <w:spacing w:after="0"/>
        <w:ind w:left="709" w:hanging="709"/>
      </w:pPr>
      <w:proofErr w:type="gramStart"/>
      <w:r>
        <w:t>CSIRO 2008b.</w:t>
      </w:r>
      <w:proofErr w:type="gramEnd"/>
      <w:r w:rsidR="00307AE2" w:rsidRPr="0006214B">
        <w:t xml:space="preserve"> </w:t>
      </w:r>
      <w:r w:rsidR="00307AE2" w:rsidRPr="0094247F">
        <w:rPr>
          <w:i/>
        </w:rPr>
        <w:t>Water availability in the Condamine-Balonne</w:t>
      </w:r>
      <w:r w:rsidR="00307AE2" w:rsidRPr="0006214B">
        <w:t xml:space="preserve">, A report to the Australian Government from the CSIRO Murray-Darling Basin Sustainable Yields Project, CSIRO, Canberra, ACT. </w:t>
      </w:r>
    </w:p>
    <w:p w:rsidR="00307AE2" w:rsidRPr="0006214B" w:rsidRDefault="0094247F" w:rsidP="00BE7A62">
      <w:pPr>
        <w:pStyle w:val="BRNormal"/>
        <w:spacing w:after="0"/>
        <w:ind w:left="709" w:hanging="709"/>
      </w:pPr>
      <w:proofErr w:type="gramStart"/>
      <w:r>
        <w:t>CSIRO 2007</w:t>
      </w:r>
      <w:r w:rsidR="00307AE2" w:rsidRPr="0006214B">
        <w:t>.</w:t>
      </w:r>
      <w:proofErr w:type="gramEnd"/>
      <w:r w:rsidR="00307AE2" w:rsidRPr="0006214B">
        <w:t xml:space="preserve"> </w:t>
      </w:r>
      <w:proofErr w:type="gramStart"/>
      <w:r w:rsidR="00307AE2" w:rsidRPr="0094247F">
        <w:rPr>
          <w:i/>
        </w:rPr>
        <w:t>PressurePlot v2.0</w:t>
      </w:r>
      <w:r w:rsidR="00307AE2" w:rsidRPr="0006214B">
        <w:t xml:space="preserve"> (http://www.pressureplot.com/ [accessed 9 April 2014]).</w:t>
      </w:r>
      <w:proofErr w:type="gramEnd"/>
    </w:p>
    <w:p w:rsidR="00E07F07" w:rsidRPr="0006214B" w:rsidRDefault="00E07F07" w:rsidP="00BE7A62">
      <w:pPr>
        <w:pStyle w:val="BRNormal"/>
        <w:spacing w:after="0"/>
        <w:ind w:left="709" w:hanging="709"/>
      </w:pPr>
      <w:proofErr w:type="gramStart"/>
      <w:r w:rsidRPr="0006214B">
        <w:t>CWI 2013</w:t>
      </w:r>
      <w:r w:rsidR="0094247F">
        <w:t>.</w:t>
      </w:r>
      <w:proofErr w:type="gramEnd"/>
      <w:r w:rsidRPr="0006214B">
        <w:t xml:space="preserve"> </w:t>
      </w:r>
      <w:r w:rsidRPr="0094247F">
        <w:rPr>
          <w:i/>
        </w:rPr>
        <w:t>Centrifuge Permeameter Facility</w:t>
      </w:r>
      <w:r w:rsidRPr="0006214B">
        <w:t xml:space="preserve"> [Online]. </w:t>
      </w:r>
      <w:proofErr w:type="gramStart"/>
      <w:r w:rsidRPr="0006214B">
        <w:t>Connected Waters Initiative, University of New South Wales.</w:t>
      </w:r>
      <w:proofErr w:type="gramEnd"/>
      <w:r w:rsidRPr="0006214B">
        <w:t xml:space="preserve"> Available:  http://www.connectedwaters.unsw.edu.au/articles/2013/08/ centrifuge-permeameter-facility</w:t>
      </w:r>
    </w:p>
    <w:p w:rsidR="00E07F07" w:rsidRPr="0006214B" w:rsidRDefault="0094247F" w:rsidP="00BE7A62">
      <w:pPr>
        <w:pStyle w:val="BRNormal"/>
        <w:spacing w:after="0"/>
        <w:ind w:left="709" w:hanging="709"/>
      </w:pPr>
      <w:proofErr w:type="gramStart"/>
      <w:r>
        <w:t>CWIMI 2008.</w:t>
      </w:r>
      <w:proofErr w:type="gramEnd"/>
      <w:r w:rsidR="00E07F07" w:rsidRPr="0006214B">
        <w:t xml:space="preserve"> </w:t>
      </w:r>
      <w:proofErr w:type="gramStart"/>
      <w:r w:rsidR="00E07F07" w:rsidRPr="0094247F">
        <w:rPr>
          <w:i/>
        </w:rPr>
        <w:t>Scoping study: Groundwater impacts of coal seam gas development – assessment and monitoring</w:t>
      </w:r>
      <w:r w:rsidR="00E07F07" w:rsidRPr="0006214B">
        <w:t>, Prepared by the Centre for Water in the Minerals Industry and the Sustainable Minerals Institute.</w:t>
      </w:r>
      <w:proofErr w:type="gramEnd"/>
      <w:r w:rsidR="00E07F07" w:rsidRPr="0006214B">
        <w:t xml:space="preserve"> </w:t>
      </w:r>
    </w:p>
    <w:p w:rsidR="00E07F07" w:rsidRPr="0006214B" w:rsidRDefault="0094247F" w:rsidP="00BE7A62">
      <w:pPr>
        <w:pStyle w:val="BRNormal"/>
        <w:spacing w:after="0"/>
        <w:ind w:left="709" w:hanging="709"/>
      </w:pPr>
      <w:proofErr w:type="gramStart"/>
      <w:r>
        <w:t>Davis GH &amp; Reynolds SJ</w:t>
      </w:r>
      <w:r w:rsidR="00E07F07" w:rsidRPr="0006214B">
        <w:t xml:space="preserve"> 1996.</w:t>
      </w:r>
      <w:proofErr w:type="gramEnd"/>
      <w:r w:rsidR="00E07F07" w:rsidRPr="0006214B">
        <w:t xml:space="preserve"> </w:t>
      </w:r>
      <w:proofErr w:type="gramStart"/>
      <w:r w:rsidR="00E07F07" w:rsidRPr="0094247F">
        <w:rPr>
          <w:i/>
        </w:rPr>
        <w:t>Structural Geology of Rock and Regions</w:t>
      </w:r>
      <w:r w:rsidR="00E07F07" w:rsidRPr="0006214B">
        <w:t>, New York, John Wiley &amp; Sons.</w:t>
      </w:r>
      <w:proofErr w:type="gramEnd"/>
    </w:p>
    <w:p w:rsidR="00E07F07" w:rsidRPr="0006214B" w:rsidRDefault="0094247F" w:rsidP="00BE7A62">
      <w:pPr>
        <w:pStyle w:val="BRNormal"/>
        <w:spacing w:after="0"/>
        <w:ind w:left="709" w:hanging="709"/>
      </w:pPr>
      <w:r>
        <w:t>Day RW, Whitaker WG, Murray CG, Wilson IH &amp; Grimes KG 1983.</w:t>
      </w:r>
      <w:r w:rsidR="00E07F07" w:rsidRPr="0006214B">
        <w:t xml:space="preserve"> </w:t>
      </w:r>
      <w:proofErr w:type="gramStart"/>
      <w:r>
        <w:t>‘</w:t>
      </w:r>
      <w:r w:rsidR="00E07F07" w:rsidRPr="0006214B">
        <w:t>Queensland Geology: A companion volume to the 1:2,500,000 scale geological map</w:t>
      </w:r>
      <w:r>
        <w:t>’</w:t>
      </w:r>
      <w:r w:rsidR="00E07F07" w:rsidRPr="0006214B">
        <w:t xml:space="preserve">, </w:t>
      </w:r>
      <w:r w:rsidR="00E07F07" w:rsidRPr="0094247F">
        <w:rPr>
          <w:i/>
        </w:rPr>
        <w:t>Geological Survey of Queensland</w:t>
      </w:r>
      <w:r w:rsidR="00E07F07" w:rsidRPr="0006214B">
        <w:t>, Publication 383.</w:t>
      </w:r>
      <w:proofErr w:type="gramEnd"/>
      <w:r w:rsidR="00E07F07" w:rsidRPr="0006214B">
        <w:t xml:space="preserve"> </w:t>
      </w:r>
    </w:p>
    <w:p w:rsidR="00BC7307" w:rsidRPr="0006214B" w:rsidRDefault="0094247F" w:rsidP="00BE7A62">
      <w:pPr>
        <w:pStyle w:val="BRNormal"/>
        <w:spacing w:after="0"/>
        <w:ind w:left="709" w:hanging="709"/>
      </w:pPr>
      <w:proofErr w:type="gramStart"/>
      <w:r>
        <w:t>de</w:t>
      </w:r>
      <w:proofErr w:type="gramEnd"/>
      <w:r>
        <w:t xml:space="preserve"> Marsily G 1986.</w:t>
      </w:r>
      <w:r w:rsidR="00BC7307" w:rsidRPr="0006214B">
        <w:t xml:space="preserve"> </w:t>
      </w:r>
      <w:r w:rsidR="00BC7307" w:rsidRPr="0094247F">
        <w:rPr>
          <w:i/>
        </w:rPr>
        <w:t>Quantitative Hydrogeology</w:t>
      </w:r>
      <w:r>
        <w:t>, Academic Press, Orlando.</w:t>
      </w:r>
    </w:p>
    <w:p w:rsidR="000F5575" w:rsidRPr="0006214B" w:rsidRDefault="0094247F" w:rsidP="00BE7A62">
      <w:pPr>
        <w:pStyle w:val="BRNormal"/>
        <w:spacing w:after="0"/>
        <w:ind w:left="709" w:hanging="709"/>
      </w:pPr>
      <w:proofErr w:type="gramStart"/>
      <w:r>
        <w:t>DEEDI</w:t>
      </w:r>
      <w:r w:rsidR="000F5575" w:rsidRPr="0006214B">
        <w:t xml:space="preserve"> 201</w:t>
      </w:r>
      <w:r w:rsidR="00C90F83" w:rsidRPr="0006214B">
        <w:t>3</w:t>
      </w:r>
      <w:r w:rsidR="000F5575" w:rsidRPr="0006214B">
        <w:t>.</w:t>
      </w:r>
      <w:proofErr w:type="gramEnd"/>
      <w:r w:rsidR="000F5575" w:rsidRPr="0006214B">
        <w:t xml:space="preserve"> </w:t>
      </w:r>
      <w:proofErr w:type="gramStart"/>
      <w:r w:rsidR="000F5575" w:rsidRPr="0094247F">
        <w:rPr>
          <w:i/>
        </w:rPr>
        <w:t>Code of Practice for Constructing and Abandoning Coal Seam Gas Wells in Queensland</w:t>
      </w:r>
      <w:r w:rsidR="000F5575" w:rsidRPr="0006214B">
        <w:t>.</w:t>
      </w:r>
      <w:proofErr w:type="gramEnd"/>
      <w:r w:rsidR="000F5575" w:rsidRPr="0006214B">
        <w:t xml:space="preserve"> </w:t>
      </w:r>
      <w:proofErr w:type="gramStart"/>
      <w:r w:rsidR="000F5575" w:rsidRPr="0006214B">
        <w:t>Queensland Government Department of Employment, Economics Development and Innovation, Brisbane [</w:t>
      </w:r>
      <w:r w:rsidRPr="0094247F">
        <w:t>http://mines.industry.qld.gov.au/assets/petroleum-pdf/code-of-practice-csg-wells-and-bores.pdf</w:t>
      </w:r>
      <w:r>
        <w:t xml:space="preserve"> (accessed 10 April 2014]</w:t>
      </w:r>
      <w:r w:rsidR="000F5575" w:rsidRPr="0006214B">
        <w:t>].</w:t>
      </w:r>
      <w:proofErr w:type="gramEnd"/>
    </w:p>
    <w:p w:rsidR="00E07F07" w:rsidRPr="0006214B" w:rsidRDefault="0094247F" w:rsidP="00BE7A62">
      <w:pPr>
        <w:pStyle w:val="BRNormal"/>
        <w:spacing w:after="0"/>
        <w:ind w:left="709" w:hanging="709"/>
      </w:pPr>
      <w:r>
        <w:t>Delleur JW 2007</w:t>
      </w:r>
      <w:r w:rsidR="00E07F07" w:rsidRPr="0006214B">
        <w:t xml:space="preserve">. </w:t>
      </w:r>
      <w:proofErr w:type="gramStart"/>
      <w:r w:rsidR="00E07F07" w:rsidRPr="0094247F">
        <w:rPr>
          <w:i/>
        </w:rPr>
        <w:t>The handbook of groundwater engineering</w:t>
      </w:r>
      <w:r w:rsidR="00E07F07" w:rsidRPr="0006214B">
        <w:t>.</w:t>
      </w:r>
      <w:proofErr w:type="gramEnd"/>
      <w:r w:rsidR="00E07F07" w:rsidRPr="0006214B">
        <w:t xml:space="preserve"> </w:t>
      </w:r>
      <w:proofErr w:type="gramStart"/>
      <w:r w:rsidR="00E07F07" w:rsidRPr="0006214B">
        <w:t>CRC Press.</w:t>
      </w:r>
      <w:proofErr w:type="gramEnd"/>
    </w:p>
    <w:p w:rsidR="000B5A9B" w:rsidRPr="0006214B" w:rsidRDefault="00AE02EF" w:rsidP="00BE7A62">
      <w:pPr>
        <w:pStyle w:val="BRNormal"/>
        <w:spacing w:after="0"/>
        <w:ind w:left="709" w:hanging="709"/>
      </w:pPr>
      <w:proofErr w:type="gramStart"/>
      <w:r w:rsidRPr="0006214B">
        <w:t>DEHP 2013.</w:t>
      </w:r>
      <w:proofErr w:type="gramEnd"/>
      <w:r w:rsidRPr="0006214B">
        <w:t xml:space="preserve"> </w:t>
      </w:r>
      <w:proofErr w:type="gramStart"/>
      <w:r w:rsidR="000B5A9B" w:rsidRPr="0094247F">
        <w:rPr>
          <w:i/>
        </w:rPr>
        <w:t>Fraccing</w:t>
      </w:r>
      <w:r w:rsidR="00EC0BF5" w:rsidRPr="0006214B">
        <w:t>,</w:t>
      </w:r>
      <w:r w:rsidR="000B5A9B" w:rsidRPr="0006214B">
        <w:t xml:space="preserve"> </w:t>
      </w:r>
      <w:r w:rsidR="00EC0BF5" w:rsidRPr="0006214B">
        <w:t>Queensland Department of Environment and Heritage Protection (</w:t>
      </w:r>
      <w:r w:rsidR="000B5A9B" w:rsidRPr="0006214B">
        <w:t>http://www.ehp.qld.gov.au/manage</w:t>
      </w:r>
      <w:r w:rsidR="00EC0BF5" w:rsidRPr="0006214B">
        <w:t>ment/non-mining/fraccing.html [a</w:t>
      </w:r>
      <w:r w:rsidR="000B5A9B" w:rsidRPr="0006214B">
        <w:t xml:space="preserve">ccessed 10 </w:t>
      </w:r>
      <w:r w:rsidR="0094247F">
        <w:t>April 2014</w:t>
      </w:r>
      <w:r w:rsidR="000B5A9B" w:rsidRPr="0006214B">
        <w:t>]</w:t>
      </w:r>
      <w:r w:rsidR="00EC0BF5" w:rsidRPr="0006214B">
        <w:t>).</w:t>
      </w:r>
      <w:proofErr w:type="gramEnd"/>
    </w:p>
    <w:p w:rsidR="00661ABC" w:rsidRPr="0006214B" w:rsidRDefault="0094247F" w:rsidP="00BE7A62">
      <w:pPr>
        <w:pStyle w:val="BRNormal"/>
        <w:spacing w:after="0"/>
        <w:ind w:left="709" w:hanging="709"/>
      </w:pPr>
      <w:r>
        <w:t>Dent D</w:t>
      </w:r>
      <w:r w:rsidR="00661ABC" w:rsidRPr="0006214B">
        <w:t xml:space="preserve"> 2007. </w:t>
      </w:r>
      <w:proofErr w:type="gramStart"/>
      <w:r>
        <w:t>‘</w:t>
      </w:r>
      <w:r w:rsidR="00661ABC" w:rsidRPr="0006214B">
        <w:t>Environmental geophysics mapping salinity and water resources</w:t>
      </w:r>
      <w:r>
        <w:t>’</w:t>
      </w:r>
      <w:r w:rsidR="00661ABC" w:rsidRPr="0006214B">
        <w:t>.</w:t>
      </w:r>
      <w:proofErr w:type="gramEnd"/>
      <w:r w:rsidR="00661ABC" w:rsidRPr="0006214B">
        <w:t xml:space="preserve"> </w:t>
      </w:r>
      <w:r w:rsidR="00661ABC" w:rsidRPr="0094247F">
        <w:rPr>
          <w:i/>
        </w:rPr>
        <w:t>International Journal of Applied Earth Observation and Geoinformation</w:t>
      </w:r>
      <w:r w:rsidR="00661ABC" w:rsidRPr="0006214B">
        <w:t xml:space="preserve">, </w:t>
      </w:r>
      <w:r>
        <w:t xml:space="preserve">vol. </w:t>
      </w:r>
      <w:r w:rsidR="00661ABC" w:rsidRPr="0006214B">
        <w:t xml:space="preserve">9, </w:t>
      </w:r>
      <w:r>
        <w:t xml:space="preserve">pp. </w:t>
      </w:r>
      <w:r w:rsidR="00661ABC" w:rsidRPr="0006214B">
        <w:t>130-136.</w:t>
      </w:r>
    </w:p>
    <w:p w:rsidR="00661ABC" w:rsidRPr="0006214B" w:rsidRDefault="0094247F" w:rsidP="00BE7A62">
      <w:pPr>
        <w:pStyle w:val="BRNormal"/>
        <w:spacing w:after="0"/>
        <w:ind w:left="709" w:hanging="709"/>
      </w:pPr>
      <w:proofErr w:type="gramStart"/>
      <w:r>
        <w:t>DERM 2011</w:t>
      </w:r>
      <w:r w:rsidR="00661ABC" w:rsidRPr="0006214B">
        <w:t>.</w:t>
      </w:r>
      <w:proofErr w:type="gramEnd"/>
      <w:r w:rsidR="00661ABC" w:rsidRPr="0006214B">
        <w:t xml:space="preserve"> </w:t>
      </w:r>
      <w:r w:rsidR="00661ABC" w:rsidRPr="0094247F">
        <w:rPr>
          <w:i/>
        </w:rPr>
        <w:t>Regional Chemistry of the Fitzroy Basin Groundwater</w:t>
      </w:r>
      <w:r w:rsidR="00661ABC" w:rsidRPr="0006214B">
        <w:t>, Queensland Department of Environment and Resource Management</w:t>
      </w:r>
      <w:r>
        <w:t>,</w:t>
      </w:r>
      <w:r w:rsidR="00661ABC" w:rsidRPr="0006214B">
        <w:t xml:space="preserve"> September 2011. </w:t>
      </w:r>
    </w:p>
    <w:p w:rsidR="00661ABC" w:rsidRPr="0006214B" w:rsidRDefault="0094247F" w:rsidP="00BE7A62">
      <w:pPr>
        <w:pStyle w:val="BRNormal"/>
        <w:spacing w:after="0"/>
        <w:ind w:left="709" w:hanging="709"/>
      </w:pPr>
      <w:proofErr w:type="gramStart"/>
      <w:r>
        <w:t>Desaulniers DE, Cherry JA &amp; Fritz P</w:t>
      </w:r>
      <w:r w:rsidR="00661ABC" w:rsidRPr="0006214B">
        <w:t xml:space="preserve"> 1981.</w:t>
      </w:r>
      <w:proofErr w:type="gramEnd"/>
      <w:r w:rsidR="00661ABC" w:rsidRPr="0006214B">
        <w:t xml:space="preserve"> </w:t>
      </w:r>
      <w:r>
        <w:t>‘</w:t>
      </w:r>
      <w:r w:rsidR="00661ABC" w:rsidRPr="0006214B">
        <w:t>Origin, age and movement of pore water in argillaceous Quaternary deposits at four sites in southwestern Ontario</w:t>
      </w:r>
      <w:r>
        <w:t>’</w:t>
      </w:r>
      <w:r w:rsidR="00661ABC" w:rsidRPr="0006214B">
        <w:t xml:space="preserve">. </w:t>
      </w:r>
      <w:r w:rsidR="00661ABC" w:rsidRPr="0094247F">
        <w:rPr>
          <w:i/>
        </w:rPr>
        <w:t>Journal of Hydrology</w:t>
      </w:r>
      <w:r w:rsidR="00661ABC" w:rsidRPr="0006214B">
        <w:t xml:space="preserve">, </w:t>
      </w:r>
      <w:r>
        <w:t xml:space="preserve">vol. </w:t>
      </w:r>
      <w:r w:rsidR="00661ABC" w:rsidRPr="0006214B">
        <w:t xml:space="preserve">50, </w:t>
      </w:r>
      <w:r>
        <w:t xml:space="preserve">pp. </w:t>
      </w:r>
      <w:r w:rsidR="00661ABC" w:rsidRPr="0006214B">
        <w:t>231-257.</w:t>
      </w:r>
    </w:p>
    <w:p w:rsidR="00E07F07" w:rsidRPr="0006214B" w:rsidRDefault="00AE02EF" w:rsidP="00BE7A62">
      <w:pPr>
        <w:pStyle w:val="BRNormal"/>
        <w:spacing w:after="0"/>
        <w:ind w:left="709" w:hanging="709"/>
      </w:pPr>
      <w:proofErr w:type="gramStart"/>
      <w:r w:rsidRPr="0006214B">
        <w:t>DME 1997.</w:t>
      </w:r>
      <w:proofErr w:type="gramEnd"/>
      <w:r w:rsidRPr="0006214B">
        <w:t xml:space="preserve"> </w:t>
      </w:r>
      <w:proofErr w:type="gramStart"/>
      <w:r w:rsidR="00E07F07" w:rsidRPr="00B63344">
        <w:rPr>
          <w:i/>
        </w:rPr>
        <w:t>The Surat and Bowen Basins in South-East Queensland, Queensland Minerals and Energy Review Series</w:t>
      </w:r>
      <w:r w:rsidR="00E07F07" w:rsidRPr="0006214B">
        <w:t>.</w:t>
      </w:r>
      <w:proofErr w:type="gramEnd"/>
      <w:r w:rsidR="00E07F07" w:rsidRPr="0006214B">
        <w:t xml:space="preserve"> P. Green (editor), Queensland Government Department of Minerals and Energy</w:t>
      </w:r>
      <w:r w:rsidR="008A02A9" w:rsidRPr="0006214B">
        <w:t xml:space="preserve"> (DME)</w:t>
      </w:r>
      <w:r w:rsidR="00E07F07" w:rsidRPr="0006214B">
        <w:t>, CD Reprint 2009.</w:t>
      </w:r>
    </w:p>
    <w:p w:rsidR="00AE02EF" w:rsidRPr="0006214B" w:rsidRDefault="00AE02EF" w:rsidP="00BE7A62">
      <w:pPr>
        <w:pStyle w:val="BRNormal"/>
        <w:spacing w:after="0"/>
        <w:ind w:left="709" w:hanging="709"/>
      </w:pPr>
      <w:proofErr w:type="gramStart"/>
      <w:r w:rsidRPr="0006214B">
        <w:t>DNRM 2014a.</w:t>
      </w:r>
      <w:proofErr w:type="gramEnd"/>
      <w:r w:rsidRPr="0006214B">
        <w:t xml:space="preserve"> </w:t>
      </w:r>
      <w:r w:rsidRPr="00B63344">
        <w:rPr>
          <w:i/>
        </w:rPr>
        <w:t>Great Artesian Basin Water Resource Plan</w:t>
      </w:r>
      <w:r w:rsidRPr="0006214B">
        <w:t>, Department of Natural Resources and Mines (DNRM) website, Queensland Government (http://www.dnrm.qld.gov.au/water/catchments-planning/catchments/great-artesian-basin</w:t>
      </w:r>
      <w:r w:rsidR="00EC0BF5" w:rsidRPr="0006214B">
        <w:t xml:space="preserve"> [accessed 9 April 2014]</w:t>
      </w:r>
      <w:r w:rsidRPr="0006214B">
        <w:t>).</w:t>
      </w:r>
    </w:p>
    <w:p w:rsidR="00AE02EF" w:rsidRPr="0006214B" w:rsidRDefault="00AE02EF" w:rsidP="00BE7A62">
      <w:pPr>
        <w:pStyle w:val="BRNormal"/>
        <w:spacing w:after="0"/>
        <w:ind w:left="709" w:hanging="709"/>
      </w:pPr>
      <w:proofErr w:type="gramStart"/>
      <w:r w:rsidRPr="0006214B">
        <w:t>DNRM 2014b.</w:t>
      </w:r>
      <w:proofErr w:type="gramEnd"/>
      <w:r w:rsidRPr="0006214B">
        <w:t xml:space="preserve"> </w:t>
      </w:r>
      <w:r w:rsidRPr="00B63344">
        <w:rPr>
          <w:i/>
        </w:rPr>
        <w:t>Company exploration reports – QDEX</w:t>
      </w:r>
      <w:r w:rsidRPr="0006214B">
        <w:t>, Queensland Government Department of Natural Resources and Mines, last updated 7 January 2013 (</w:t>
      </w:r>
      <w:hyperlink r:id="rId102" w:history="1">
        <w:r w:rsidRPr="0006214B">
          <w:t>http://mines.industry.qld.gov.au/geoscience/company-exploration-reports.htm</w:t>
        </w:r>
      </w:hyperlink>
      <w:r w:rsidR="00EC0BF5" w:rsidRPr="0006214B">
        <w:t xml:space="preserve"> [accessed 9 April 2014]</w:t>
      </w:r>
      <w:r w:rsidRPr="0006214B">
        <w:t>).</w:t>
      </w:r>
    </w:p>
    <w:p w:rsidR="00F91BEF" w:rsidRPr="0006214B" w:rsidRDefault="00F91BEF" w:rsidP="00BE7A62">
      <w:pPr>
        <w:pStyle w:val="BRNormal"/>
        <w:spacing w:after="0"/>
        <w:ind w:left="709" w:hanging="709"/>
      </w:pPr>
      <w:proofErr w:type="gramStart"/>
      <w:r w:rsidRPr="0006214B">
        <w:t>DNRM 2014c.</w:t>
      </w:r>
      <w:proofErr w:type="gramEnd"/>
      <w:r w:rsidRPr="0006214B">
        <w:t xml:space="preserve"> </w:t>
      </w:r>
      <w:r w:rsidRPr="00B63344">
        <w:rPr>
          <w:i/>
        </w:rPr>
        <w:t>Queensland Petroleum Exploration Database</w:t>
      </w:r>
      <w:r w:rsidRPr="0006214B">
        <w:t xml:space="preserve"> (QPED) managed by the Geological Survey of Queensland </w:t>
      </w:r>
      <w:r w:rsidRPr="0006214B">
        <w:lastRenderedPageBreak/>
        <w:t>(</w:t>
      </w:r>
      <w:hyperlink r:id="rId103" w:history="1">
        <w:r w:rsidRPr="0006214B">
          <w:t>http://mines.industry.qld.gov.au/geoscience/company-exploration-reports.htm</w:t>
        </w:r>
      </w:hyperlink>
      <w:r w:rsidRPr="0006214B">
        <w:t xml:space="preserve">, and </w:t>
      </w:r>
      <w:hyperlink r:id="rId104" w:history="1">
        <w:r w:rsidRPr="0006214B">
          <w:t>http://mines.industry.qld.gov.au/geoscience/geoscience-wireline-log-data.htm</w:t>
        </w:r>
      </w:hyperlink>
      <w:r w:rsidRPr="0006214B">
        <w:t>).</w:t>
      </w:r>
    </w:p>
    <w:p w:rsidR="00661ABC" w:rsidRPr="0006214B" w:rsidRDefault="00AE02EF" w:rsidP="00BE7A62">
      <w:pPr>
        <w:pStyle w:val="BRNormal"/>
        <w:spacing w:after="0"/>
        <w:ind w:left="709" w:hanging="709"/>
      </w:pPr>
      <w:proofErr w:type="gramStart"/>
      <w:r w:rsidRPr="0006214B">
        <w:t>DNRM 2005.</w:t>
      </w:r>
      <w:proofErr w:type="gramEnd"/>
      <w:r w:rsidRPr="0006214B">
        <w:t xml:space="preserve"> </w:t>
      </w:r>
      <w:proofErr w:type="gramStart"/>
      <w:r w:rsidR="00E07F07" w:rsidRPr="00B63344">
        <w:rPr>
          <w:i/>
        </w:rPr>
        <w:t>Hydrogeological framework report for the Great Artesian Basin Water Resource Plan Area</w:t>
      </w:r>
      <w:r w:rsidR="00E07F07" w:rsidRPr="0006214B">
        <w:t>, Version 1.0.</w:t>
      </w:r>
      <w:proofErr w:type="gramEnd"/>
      <w:r w:rsidR="00E07F07" w:rsidRPr="0006214B">
        <w:t xml:space="preserve"> </w:t>
      </w:r>
      <w:proofErr w:type="gramStart"/>
      <w:r w:rsidRPr="0006214B">
        <w:t>Queensland Government Department of Natural Resources and Mines (DNRM).</w:t>
      </w:r>
      <w:proofErr w:type="gramEnd"/>
    </w:p>
    <w:p w:rsidR="00E07F07" w:rsidRPr="0006214B" w:rsidRDefault="00E07F07" w:rsidP="00BE7A62">
      <w:pPr>
        <w:pStyle w:val="BRNormal"/>
        <w:spacing w:after="0"/>
        <w:ind w:left="709" w:hanging="709"/>
      </w:pPr>
      <w:proofErr w:type="gramStart"/>
      <w:r w:rsidRPr="0006214B">
        <w:t xml:space="preserve">Doherty J </w:t>
      </w:r>
      <w:r w:rsidR="00B63344">
        <w:t>&amp; Welter D 2010.</w:t>
      </w:r>
      <w:proofErr w:type="gramEnd"/>
      <w:r w:rsidRPr="0006214B">
        <w:t xml:space="preserve"> ‘A short exploration of structural noise’, </w:t>
      </w:r>
      <w:r w:rsidRPr="00B63344">
        <w:rPr>
          <w:i/>
        </w:rPr>
        <w:t>Water Resources</w:t>
      </w:r>
      <w:r w:rsidRPr="0006214B">
        <w:t xml:space="preserve"> </w:t>
      </w:r>
      <w:r w:rsidRPr="00B63344">
        <w:rPr>
          <w:i/>
        </w:rPr>
        <w:t>Research</w:t>
      </w:r>
      <w:r w:rsidRPr="0006214B">
        <w:t>, vol. 46, W05525, doi</w:t>
      </w:r>
      <w:proofErr w:type="gramStart"/>
      <w:r w:rsidRPr="0006214B">
        <w:t>:10.1029</w:t>
      </w:r>
      <w:proofErr w:type="gramEnd"/>
      <w:r w:rsidRPr="0006214B">
        <w:t>/2009WR008377.</w:t>
      </w:r>
    </w:p>
    <w:p w:rsidR="00E07F07" w:rsidRPr="0006214B" w:rsidRDefault="00B63344" w:rsidP="00BE7A62">
      <w:pPr>
        <w:pStyle w:val="BRNormal"/>
        <w:spacing w:after="0"/>
        <w:ind w:left="709" w:hanging="709"/>
      </w:pPr>
      <w:proofErr w:type="gramStart"/>
      <w:r>
        <w:t>Doherty JE, Hunt RJ &amp; Tonkin MJ</w:t>
      </w:r>
      <w:r w:rsidR="00E07F07" w:rsidRPr="0006214B">
        <w:t xml:space="preserve"> 2010.</w:t>
      </w:r>
      <w:proofErr w:type="gramEnd"/>
      <w:r w:rsidR="00E07F07" w:rsidRPr="0006214B">
        <w:t xml:space="preserve"> </w:t>
      </w:r>
      <w:r w:rsidR="00E07F07" w:rsidRPr="00B63344">
        <w:rPr>
          <w:i/>
        </w:rPr>
        <w:t>Approaches to highly parameterized inversion: a guide to using PEST for model-parameter and predictive-uncertainty analysis</w:t>
      </w:r>
      <w:r w:rsidR="00E07F07" w:rsidRPr="0006214B">
        <w:t>. US Geological Survey Scientific Investigations Report 2010–5211.</w:t>
      </w:r>
    </w:p>
    <w:p w:rsidR="00E07F07" w:rsidRPr="0006214B" w:rsidRDefault="00B63344" w:rsidP="00BE7A62">
      <w:pPr>
        <w:pStyle w:val="BRNormal"/>
        <w:spacing w:after="0"/>
        <w:ind w:left="709" w:hanging="709"/>
      </w:pPr>
      <w:proofErr w:type="gramStart"/>
      <w:r>
        <w:t>Domenico P &amp; Schwartz F 1990.</w:t>
      </w:r>
      <w:proofErr w:type="gramEnd"/>
      <w:r>
        <w:t xml:space="preserve"> </w:t>
      </w:r>
      <w:proofErr w:type="gramStart"/>
      <w:r w:rsidR="00E07F07" w:rsidRPr="00B63344">
        <w:rPr>
          <w:i/>
        </w:rPr>
        <w:t>Physical and chemical hydrogeology</w:t>
      </w:r>
      <w:r>
        <w:t>,</w:t>
      </w:r>
      <w:r w:rsidR="00E07F07" w:rsidRPr="0006214B">
        <w:t xml:space="preserve"> Wiley and Sons Inc.</w:t>
      </w:r>
      <w:proofErr w:type="gramEnd"/>
      <w:r w:rsidR="00E07F07" w:rsidRPr="0006214B">
        <w:t xml:space="preserve"> New York</w:t>
      </w:r>
    </w:p>
    <w:p w:rsidR="00E07F07" w:rsidRPr="0006214B" w:rsidRDefault="00B63344" w:rsidP="00BE7A62">
      <w:pPr>
        <w:pStyle w:val="BRNormal"/>
        <w:spacing w:after="0"/>
        <w:ind w:left="709" w:hanging="709"/>
      </w:pPr>
      <w:r>
        <w:t>Draper J 1985.</w:t>
      </w:r>
      <w:r w:rsidR="00E07F07" w:rsidRPr="0006214B">
        <w:t xml:space="preserve"> </w:t>
      </w:r>
      <w:r w:rsidR="00E07F07" w:rsidRPr="00B63344">
        <w:rPr>
          <w:i/>
        </w:rPr>
        <w:t>Stratigraphy of the Northern Bowen Basin</w:t>
      </w:r>
      <w:r w:rsidR="00E07F07" w:rsidRPr="0006214B">
        <w:t>, The GSA Coal Geology Group, Bowen Basin Coal Symposium, Queensland Department of Mines.</w:t>
      </w:r>
    </w:p>
    <w:p w:rsidR="00E07F07" w:rsidRPr="0006214B" w:rsidRDefault="00B63344" w:rsidP="00BE7A62">
      <w:pPr>
        <w:pStyle w:val="BRNormal"/>
        <w:spacing w:after="0"/>
        <w:ind w:left="709" w:hanging="709"/>
      </w:pPr>
      <w:proofErr w:type="gramStart"/>
      <w:r>
        <w:t>Draper</w:t>
      </w:r>
      <w:r w:rsidR="00E07F07" w:rsidRPr="0006214B">
        <w:t xml:space="preserve"> J &amp; Boreham</w:t>
      </w:r>
      <w:r>
        <w:t xml:space="preserve"> C 2006.</w:t>
      </w:r>
      <w:proofErr w:type="gramEnd"/>
      <w:r w:rsidR="00E07F07" w:rsidRPr="0006214B">
        <w:t xml:space="preserve"> ‘Geological Controls on Exploitable Coal Seam Gas Distribution in Queensland’, </w:t>
      </w:r>
      <w:r w:rsidR="00E07F07" w:rsidRPr="00B63344">
        <w:rPr>
          <w:i/>
        </w:rPr>
        <w:t>APPEA Journal</w:t>
      </w:r>
      <w:r w:rsidR="00E07F07" w:rsidRPr="0006214B">
        <w:t>, 2006, Vol 46, Part 1.</w:t>
      </w:r>
    </w:p>
    <w:p w:rsidR="00E07F07" w:rsidRPr="0006214B" w:rsidRDefault="00E07F07" w:rsidP="00BE7A62">
      <w:pPr>
        <w:pStyle w:val="BRNormal"/>
        <w:spacing w:after="0"/>
        <w:ind w:left="709" w:hanging="709"/>
      </w:pPr>
      <w:r w:rsidRPr="0006214B">
        <w:t>Drumm</w:t>
      </w:r>
      <w:r w:rsidR="00B63344">
        <w:t>ond B</w:t>
      </w:r>
      <w:r w:rsidRPr="0006214B">
        <w:t xml:space="preserve"> 2002. </w:t>
      </w:r>
      <w:r w:rsidR="00B63344">
        <w:t>‘</w:t>
      </w:r>
      <w:r w:rsidRPr="0006214B">
        <w:t>Seismic surveys for imaging the regolith</w:t>
      </w:r>
      <w:r w:rsidR="00B63344">
        <w:t>’</w:t>
      </w:r>
      <w:r w:rsidRPr="0006214B">
        <w:t xml:space="preserve">. In: PAPP, E. (ed.) </w:t>
      </w:r>
      <w:r w:rsidRPr="00B63344">
        <w:rPr>
          <w:i/>
        </w:rPr>
        <w:t>Geophysical and remote sensing methods for regolith exploration</w:t>
      </w:r>
      <w:r w:rsidRPr="0006214B">
        <w:t xml:space="preserve">. </w:t>
      </w:r>
      <w:proofErr w:type="gramStart"/>
      <w:r w:rsidRPr="0006214B">
        <w:t>Cooperative Research Centre for Landscape Environments and Mineral Exploration, Open File Report 144.</w:t>
      </w:r>
      <w:proofErr w:type="gramEnd"/>
    </w:p>
    <w:p w:rsidR="000F5575" w:rsidRPr="0006214B" w:rsidRDefault="00B63344" w:rsidP="00BE7A62">
      <w:pPr>
        <w:pStyle w:val="BRNormal"/>
        <w:spacing w:after="0"/>
        <w:ind w:left="709" w:hanging="709"/>
      </w:pPr>
      <w:r>
        <w:t>Dunnivant F,</w:t>
      </w:r>
      <w:r w:rsidR="000F5575" w:rsidRPr="0006214B">
        <w:t xml:space="preserve"> </w:t>
      </w:r>
      <w:r>
        <w:t>Porro I,</w:t>
      </w:r>
      <w:r w:rsidR="000F5575" w:rsidRPr="0006214B">
        <w:t xml:space="preserve"> Bishop C</w:t>
      </w:r>
      <w:r>
        <w:t>, Hubbell J, Giles J</w:t>
      </w:r>
      <w:r w:rsidR="000F5575" w:rsidRPr="0006214B">
        <w:t xml:space="preserve"> </w:t>
      </w:r>
      <w:r>
        <w:t>&amp; Newman M</w:t>
      </w:r>
      <w:r w:rsidR="000F5575" w:rsidRPr="0006214B">
        <w:t xml:space="preserve"> 1997. </w:t>
      </w:r>
      <w:r>
        <w:t>‘</w:t>
      </w:r>
      <w:r w:rsidR="000F5575" w:rsidRPr="0006214B">
        <w:t>Verifying the Integrity of Annular and Back-Filled Seals for Vadose-Zone Monitoring Wells</w:t>
      </w:r>
      <w:r>
        <w:t>’</w:t>
      </w:r>
      <w:r w:rsidR="000F5575" w:rsidRPr="0006214B">
        <w:t xml:space="preserve">. </w:t>
      </w:r>
      <w:proofErr w:type="gramStart"/>
      <w:r w:rsidR="000F5575" w:rsidRPr="00B63344">
        <w:rPr>
          <w:i/>
        </w:rPr>
        <w:t>Ground Water</w:t>
      </w:r>
      <w:r w:rsidR="000F5575" w:rsidRPr="0006214B">
        <w:t>.</w:t>
      </w:r>
      <w:proofErr w:type="gramEnd"/>
      <w:r w:rsidR="000F5575" w:rsidRPr="0006214B">
        <w:t xml:space="preserve"> </w:t>
      </w:r>
      <w:proofErr w:type="gramStart"/>
      <w:r w:rsidR="000F5575" w:rsidRPr="0006214B">
        <w:t>Vol 35, No 1.</w:t>
      </w:r>
      <w:proofErr w:type="gramEnd"/>
      <w:r w:rsidR="000F5575" w:rsidRPr="0006214B">
        <w:t xml:space="preserve"> Jan-Feb 1997.</w:t>
      </w:r>
    </w:p>
    <w:p w:rsidR="00E07F07" w:rsidRPr="0006214B" w:rsidRDefault="00B63344" w:rsidP="00BE7A62">
      <w:pPr>
        <w:pStyle w:val="BRNormal"/>
        <w:spacing w:after="0"/>
        <w:ind w:left="709" w:hanging="709"/>
      </w:pPr>
      <w:proofErr w:type="gramStart"/>
      <w:r>
        <w:t>Ellsworth W</w:t>
      </w:r>
      <w:r w:rsidR="00E07F07" w:rsidRPr="0006214B">
        <w:t>L</w:t>
      </w:r>
      <w:r>
        <w:t>, Hickman SH, Lleons AL, McGarr A</w:t>
      </w:r>
      <w:r w:rsidR="00E07F07" w:rsidRPr="0006214B">
        <w:t>,</w:t>
      </w:r>
      <w:r>
        <w:t xml:space="preserve"> Michael AJ &amp; Rubinstein JL</w:t>
      </w:r>
      <w:r w:rsidR="00E07F07" w:rsidRPr="0006214B">
        <w:t xml:space="preserve"> 2012.</w:t>
      </w:r>
      <w:proofErr w:type="gramEnd"/>
      <w:r w:rsidR="00E07F07" w:rsidRPr="0006214B">
        <w:t xml:space="preserve"> </w:t>
      </w:r>
      <w:r>
        <w:t>‘</w:t>
      </w:r>
      <w:r w:rsidR="00E07F07" w:rsidRPr="0006214B">
        <w:t>Are seismicity rate changes in the midcontinent natural or manmade?</w:t>
      </w:r>
      <w:r>
        <w:t>’</w:t>
      </w:r>
      <w:r w:rsidR="00E07F07" w:rsidRPr="0006214B">
        <w:t xml:space="preserve">  Abstract # 12-137. </w:t>
      </w:r>
      <w:proofErr w:type="gramStart"/>
      <w:r w:rsidR="00E07F07" w:rsidRPr="00B63344">
        <w:rPr>
          <w:i/>
        </w:rPr>
        <w:t>Siesmology Society of America 2012 Annual Meeting</w:t>
      </w:r>
      <w:r w:rsidR="00E07F07" w:rsidRPr="0006214B">
        <w:t>.</w:t>
      </w:r>
      <w:proofErr w:type="gramEnd"/>
      <w:r w:rsidR="00E07F07" w:rsidRPr="0006214B">
        <w:t xml:space="preserve"> </w:t>
      </w:r>
      <w:proofErr w:type="gramStart"/>
      <w:r w:rsidR="00E07F07" w:rsidRPr="0006214B">
        <w:t>San Diego, CA, 17-19 April.</w:t>
      </w:r>
      <w:proofErr w:type="gramEnd"/>
    </w:p>
    <w:p w:rsidR="00E07F07" w:rsidRPr="0006214B" w:rsidRDefault="00E07F07" w:rsidP="00BE7A62">
      <w:pPr>
        <w:pStyle w:val="BRNormal"/>
        <w:spacing w:after="0"/>
        <w:ind w:left="709" w:hanging="709"/>
      </w:pPr>
      <w:proofErr w:type="gramStart"/>
      <w:r w:rsidRPr="0006214B">
        <w:t xml:space="preserve">Ensham </w:t>
      </w:r>
      <w:r w:rsidR="00B63344">
        <w:t>2006</w:t>
      </w:r>
      <w:r w:rsidR="00CD1684" w:rsidRPr="0006214B">
        <w:t>.</w:t>
      </w:r>
      <w:proofErr w:type="gramEnd"/>
      <w:r w:rsidRPr="0006214B">
        <w:t xml:space="preserve"> </w:t>
      </w:r>
      <w:r w:rsidRPr="00B63344">
        <w:rPr>
          <w:i/>
        </w:rPr>
        <w:t>Ensham Central project EIS: Groundwater impact assessment</w:t>
      </w:r>
      <w:r w:rsidRPr="0006214B">
        <w:t>.</w:t>
      </w:r>
      <w:r w:rsidR="00CD1684" w:rsidRPr="0006214B">
        <w:t xml:space="preserve"> </w:t>
      </w:r>
      <w:proofErr w:type="gramStart"/>
      <w:r w:rsidR="00CD1684" w:rsidRPr="0006214B">
        <w:t>Ensham Resources.</w:t>
      </w:r>
      <w:proofErr w:type="gramEnd"/>
    </w:p>
    <w:p w:rsidR="00E07F07" w:rsidRPr="0006214B" w:rsidRDefault="00B63344" w:rsidP="00BE7A62">
      <w:pPr>
        <w:pStyle w:val="BRNormal"/>
        <w:spacing w:after="0"/>
        <w:ind w:left="709" w:hanging="709"/>
      </w:pPr>
      <w:r>
        <w:t>Evans JP</w:t>
      </w:r>
      <w:r w:rsidR="00E07F07" w:rsidRPr="0006214B">
        <w:t xml:space="preserve"> 1988. </w:t>
      </w:r>
      <w:proofErr w:type="gramStart"/>
      <w:r>
        <w:t>‘</w:t>
      </w:r>
      <w:r w:rsidR="00E07F07" w:rsidRPr="0006214B">
        <w:t>Deformation mechanisms in granitic rocks at shallow crustal levels</w:t>
      </w:r>
      <w:r>
        <w:t>’</w:t>
      </w:r>
      <w:r w:rsidR="00E07F07" w:rsidRPr="0006214B">
        <w:t>.</w:t>
      </w:r>
      <w:proofErr w:type="gramEnd"/>
      <w:r w:rsidR="00E07F07" w:rsidRPr="0006214B">
        <w:t xml:space="preserve"> </w:t>
      </w:r>
      <w:r w:rsidR="00E07F07" w:rsidRPr="00B63344">
        <w:rPr>
          <w:i/>
        </w:rPr>
        <w:t>Journal</w:t>
      </w:r>
      <w:r w:rsidR="00E07F07" w:rsidRPr="0006214B">
        <w:t xml:space="preserve"> </w:t>
      </w:r>
      <w:r w:rsidR="00E07F07" w:rsidRPr="00B63344">
        <w:rPr>
          <w:i/>
        </w:rPr>
        <w:t>of Structural Geology</w:t>
      </w:r>
      <w:r w:rsidR="00E07F07" w:rsidRPr="0006214B">
        <w:t xml:space="preserve">, </w:t>
      </w:r>
      <w:r>
        <w:t xml:space="preserve">vol. </w:t>
      </w:r>
      <w:r w:rsidR="00E07F07" w:rsidRPr="0006214B">
        <w:t xml:space="preserve">10, </w:t>
      </w:r>
      <w:r>
        <w:t xml:space="preserve">pp. </w:t>
      </w:r>
      <w:r w:rsidR="00E07F07" w:rsidRPr="0006214B">
        <w:t>437-443.</w:t>
      </w:r>
    </w:p>
    <w:p w:rsidR="00E07F07" w:rsidRPr="0006214B" w:rsidRDefault="00B63344" w:rsidP="00BE7A62">
      <w:pPr>
        <w:pStyle w:val="BRNormal"/>
        <w:spacing w:after="0"/>
        <w:ind w:left="709" w:hanging="709"/>
      </w:pPr>
      <w:r>
        <w:t>Evans P 1980</w:t>
      </w:r>
      <w:r w:rsidR="00E07F07" w:rsidRPr="0006214B">
        <w:t xml:space="preserve">. </w:t>
      </w:r>
      <w:r w:rsidR="00E07F07" w:rsidRPr="00A62514">
        <w:rPr>
          <w:i/>
        </w:rPr>
        <w:t>Geology of the Galilee Basin</w:t>
      </w:r>
      <w:r w:rsidR="00E07F07" w:rsidRPr="0006214B">
        <w:t xml:space="preserve">, ed. by R.A. Henderson &amp; P.J. Stephenson, pp. 299–305. </w:t>
      </w:r>
      <w:proofErr w:type="gramStart"/>
      <w:r w:rsidR="00E07F07" w:rsidRPr="0006214B">
        <w:t>Geological Society of Australia, Brisbane.</w:t>
      </w:r>
      <w:proofErr w:type="gramEnd"/>
    </w:p>
    <w:p w:rsidR="00E07F07" w:rsidRPr="0006214B" w:rsidRDefault="00A62514" w:rsidP="00BE7A62">
      <w:pPr>
        <w:pStyle w:val="BRNormal"/>
        <w:spacing w:after="0"/>
        <w:ind w:left="709" w:hanging="709"/>
      </w:pPr>
      <w:r>
        <w:t xml:space="preserve">Evans PA </w:t>
      </w:r>
      <w:r w:rsidR="00E07F07" w:rsidRPr="0006214B">
        <w:t xml:space="preserve">1996). </w:t>
      </w:r>
      <w:r>
        <w:t>‘</w:t>
      </w:r>
      <w:r w:rsidR="00E07F07" w:rsidRPr="0006214B">
        <w:t>Fluoride anomalies in aquifers of the Queensland section of the Great Artesian Basin and their significance</w:t>
      </w:r>
      <w:r>
        <w:t>’</w:t>
      </w:r>
      <w:r w:rsidR="00E07F07" w:rsidRPr="0006214B">
        <w:t xml:space="preserve">. In: </w:t>
      </w:r>
      <w:r w:rsidR="00E07F07" w:rsidRPr="00A62514">
        <w:rPr>
          <w:i/>
        </w:rPr>
        <w:t>Mesozoic Geology of the Eastern Australia Plate Conference</w:t>
      </w:r>
      <w:r w:rsidR="00E07F07" w:rsidRPr="0006214B">
        <w:t>, Brisbane, 23-26 September, 1996, Geological Society of Australia Extended Abstracts No. 43, p</w:t>
      </w:r>
      <w:r>
        <w:t>p.</w:t>
      </w:r>
      <w:r w:rsidR="00E07F07" w:rsidRPr="0006214B">
        <w:t xml:space="preserve"> 172-178.</w:t>
      </w:r>
    </w:p>
    <w:p w:rsidR="00497B72" w:rsidRPr="0006214B" w:rsidRDefault="00A62514" w:rsidP="00BE7A62">
      <w:pPr>
        <w:pStyle w:val="BRNormal"/>
        <w:spacing w:after="0"/>
        <w:ind w:left="709" w:hanging="709"/>
        <w:rPr>
          <w:color w:val="auto"/>
        </w:rPr>
      </w:pPr>
      <w:proofErr w:type="gramStart"/>
      <w:r>
        <w:t>Exoma 2011</w:t>
      </w:r>
      <w:r w:rsidR="00497B72" w:rsidRPr="0006214B">
        <w:t>.</w:t>
      </w:r>
      <w:proofErr w:type="gramEnd"/>
      <w:r w:rsidR="00497B72" w:rsidRPr="0006214B">
        <w:t xml:space="preserve"> </w:t>
      </w:r>
      <w:proofErr w:type="gramStart"/>
      <w:r w:rsidR="00497B72" w:rsidRPr="00A62514">
        <w:rPr>
          <w:i/>
        </w:rPr>
        <w:t>Quarterley activities report</w:t>
      </w:r>
      <w:r w:rsidR="00497B72" w:rsidRPr="0006214B">
        <w:t>, Exoma Energy Limited, ASX Release, March 2011 ((http://www.asx.com.au/asxpdf/20110429/pdf/41ybvksywgxkym.pdf</w:t>
      </w:r>
      <w:r w:rsidR="00497B72" w:rsidRPr="00767318">
        <w:rPr>
          <w:rStyle w:val="Hyperlink"/>
          <w:u w:val="none"/>
        </w:rPr>
        <w:t xml:space="preserve"> </w:t>
      </w:r>
      <w:r w:rsidR="00497B72" w:rsidRPr="0006214B">
        <w:rPr>
          <w:rStyle w:val="Hyperlink"/>
          <w:color w:val="auto"/>
          <w:u w:val="none"/>
        </w:rPr>
        <w:t>[accessed 10 April 2014]</w:t>
      </w:r>
      <w:r w:rsidR="00497B72" w:rsidRPr="0006214B">
        <w:rPr>
          <w:color w:val="auto"/>
        </w:rPr>
        <w:t>).</w:t>
      </w:r>
      <w:proofErr w:type="gramEnd"/>
      <w:r w:rsidR="00497B72" w:rsidRPr="0006214B">
        <w:rPr>
          <w:color w:val="auto"/>
        </w:rPr>
        <w:t xml:space="preserve">  </w:t>
      </w:r>
    </w:p>
    <w:p w:rsidR="00E07F07" w:rsidRPr="0006214B" w:rsidRDefault="00A62514" w:rsidP="00BE7A62">
      <w:pPr>
        <w:pStyle w:val="BRNormal"/>
        <w:spacing w:after="0"/>
        <w:ind w:left="709" w:hanging="709"/>
      </w:pPr>
      <w:r>
        <w:t>Exon NF 1976.</w:t>
      </w:r>
      <w:r w:rsidR="00E07F07" w:rsidRPr="0006214B">
        <w:t xml:space="preserve"> </w:t>
      </w:r>
      <w:r w:rsidR="00E07F07" w:rsidRPr="00A62514">
        <w:rPr>
          <w:i/>
        </w:rPr>
        <w:t>The Geology of the Surat Basin in Queensland</w:t>
      </w:r>
      <w:r w:rsidR="00E07F07" w:rsidRPr="0006214B">
        <w:t>, Bureau of Mineral Resources, Geology and Geophysics, Australian Government Publishing Service, Canberra.</w:t>
      </w:r>
    </w:p>
    <w:p w:rsidR="00E07F07" w:rsidRPr="0006214B" w:rsidRDefault="00FD7142" w:rsidP="00BE7A62">
      <w:pPr>
        <w:pStyle w:val="BRNormal"/>
        <w:spacing w:after="0"/>
        <w:ind w:left="709" w:hanging="709"/>
      </w:pPr>
      <w:r>
        <w:t>Feinstein DT, Eaton TT, Hart D</w:t>
      </w:r>
      <w:r w:rsidR="00E07F07" w:rsidRPr="0006214B">
        <w:t>J</w:t>
      </w:r>
      <w:r>
        <w:t>, Krohelski JT &amp; Bradbury KR</w:t>
      </w:r>
      <w:r w:rsidR="00E07F07" w:rsidRPr="0006214B">
        <w:t xml:space="preserve"> 2005. </w:t>
      </w:r>
      <w:proofErr w:type="gramStart"/>
      <w:r w:rsidR="00E07F07" w:rsidRPr="00FD7142">
        <w:rPr>
          <w:i/>
        </w:rPr>
        <w:t>Regional Aquifer Model for Southeastern Wisconsin</w:t>
      </w:r>
      <w:r w:rsidR="00E07F07" w:rsidRPr="0006214B">
        <w:t>.</w:t>
      </w:r>
      <w:proofErr w:type="gramEnd"/>
      <w:r w:rsidR="00E07F07" w:rsidRPr="0006214B">
        <w:t xml:space="preserve"> </w:t>
      </w:r>
      <w:proofErr w:type="gramStart"/>
      <w:r w:rsidR="00E07F07" w:rsidRPr="0006214B">
        <w:t>Technical Report 41.</w:t>
      </w:r>
      <w:proofErr w:type="gramEnd"/>
      <w:r w:rsidR="00E07F07" w:rsidRPr="0006214B">
        <w:t xml:space="preserve"> </w:t>
      </w:r>
      <w:proofErr w:type="gramStart"/>
      <w:r w:rsidR="00E07F07" w:rsidRPr="0006214B">
        <w:t>Southeastern Wisconsin Regional Planning Commission.</w:t>
      </w:r>
      <w:proofErr w:type="gramEnd"/>
    </w:p>
    <w:p w:rsidR="00E07F07" w:rsidRPr="0006214B" w:rsidRDefault="00767318" w:rsidP="00BE7A62">
      <w:pPr>
        <w:pStyle w:val="BRNormal"/>
        <w:spacing w:after="0"/>
        <w:ind w:left="709" w:hanging="709"/>
      </w:pPr>
      <w:r>
        <w:t>Ferrill DA, Sims DW, Waiting D</w:t>
      </w:r>
      <w:r w:rsidR="00E07F07" w:rsidRPr="0006214B">
        <w:t>J</w:t>
      </w:r>
      <w:r>
        <w:t>, Morris AP, Franklin NM &amp; Schultz AL</w:t>
      </w:r>
      <w:r w:rsidR="00E07F07" w:rsidRPr="0006214B">
        <w:t xml:space="preserve"> 2004. </w:t>
      </w:r>
      <w:r>
        <w:t>‘</w:t>
      </w:r>
      <w:r w:rsidR="00E07F07" w:rsidRPr="0006214B">
        <w:t>Structural framework of the Edwards Aquifer recharge zone in south-central Texas</w:t>
      </w:r>
      <w:r>
        <w:t>’</w:t>
      </w:r>
      <w:r w:rsidR="00E07F07" w:rsidRPr="0006214B">
        <w:t xml:space="preserve">. </w:t>
      </w:r>
      <w:r w:rsidR="00E07F07" w:rsidRPr="00767318">
        <w:rPr>
          <w:i/>
        </w:rPr>
        <w:t>Geological Society of America Bulletin</w:t>
      </w:r>
      <w:r w:rsidR="00E07F07" w:rsidRPr="0006214B">
        <w:t xml:space="preserve">, </w:t>
      </w:r>
      <w:r>
        <w:t xml:space="preserve">vol. </w:t>
      </w:r>
      <w:r w:rsidR="00E07F07" w:rsidRPr="0006214B">
        <w:t xml:space="preserve">116, </w:t>
      </w:r>
      <w:r>
        <w:t xml:space="preserve">pp. </w:t>
      </w:r>
      <w:r w:rsidR="00E07F07" w:rsidRPr="0006214B">
        <w:t>407-418.</w:t>
      </w:r>
    </w:p>
    <w:p w:rsidR="00E07F07" w:rsidRPr="0006214B" w:rsidRDefault="00767318" w:rsidP="00BE7A62">
      <w:pPr>
        <w:pStyle w:val="BRNormal"/>
        <w:spacing w:after="0"/>
        <w:ind w:left="709" w:hanging="709"/>
      </w:pPr>
      <w:r>
        <w:t>Fetter CW 2001</w:t>
      </w:r>
      <w:r w:rsidR="00E07F07" w:rsidRPr="0006214B">
        <w:t xml:space="preserve">. </w:t>
      </w:r>
      <w:proofErr w:type="gramStart"/>
      <w:r w:rsidR="00E07F07" w:rsidRPr="00767318">
        <w:rPr>
          <w:i/>
        </w:rPr>
        <w:t>Applied hydrogeology</w:t>
      </w:r>
      <w:r w:rsidR="00E07F07" w:rsidRPr="0006214B">
        <w:t>.</w:t>
      </w:r>
      <w:proofErr w:type="gramEnd"/>
      <w:r w:rsidR="00E07F07" w:rsidRPr="0006214B">
        <w:t xml:space="preserve"> </w:t>
      </w:r>
      <w:proofErr w:type="gramStart"/>
      <w:r w:rsidR="00E07F07" w:rsidRPr="0006214B">
        <w:t>Fourth Edition.</w:t>
      </w:r>
      <w:proofErr w:type="gramEnd"/>
      <w:r w:rsidR="00E07F07" w:rsidRPr="0006214B">
        <w:t xml:space="preserve"> </w:t>
      </w:r>
      <w:proofErr w:type="gramStart"/>
      <w:r w:rsidR="00E07F07" w:rsidRPr="0006214B">
        <w:t>Prentice Hall.</w:t>
      </w:r>
      <w:proofErr w:type="gramEnd"/>
    </w:p>
    <w:p w:rsidR="00E07F07" w:rsidRPr="0006214B" w:rsidRDefault="00E07F07" w:rsidP="00BE7A62">
      <w:pPr>
        <w:pStyle w:val="BRNormal"/>
        <w:spacing w:after="0"/>
        <w:ind w:left="709" w:hanging="709"/>
      </w:pPr>
      <w:proofErr w:type="gramStart"/>
      <w:r w:rsidRPr="0006214B">
        <w:t>Fielding</w:t>
      </w:r>
      <w:r w:rsidR="00767318">
        <w:t xml:space="preserve"> C, Faulkner A, Kassan</w:t>
      </w:r>
      <w:r w:rsidR="009F6FDA" w:rsidRPr="0006214B">
        <w:t xml:space="preserve"> J </w:t>
      </w:r>
      <w:r w:rsidR="00767318">
        <w:t>&amp; Draper</w:t>
      </w:r>
      <w:r w:rsidR="009F6FDA" w:rsidRPr="0006214B">
        <w:t xml:space="preserve"> J</w:t>
      </w:r>
      <w:r w:rsidRPr="0006214B">
        <w:t xml:space="preserve"> 1990a</w:t>
      </w:r>
      <w:r w:rsidR="00767318">
        <w:t>.</w:t>
      </w:r>
      <w:proofErr w:type="gramEnd"/>
      <w:r w:rsidR="009F6FDA" w:rsidRPr="0006214B">
        <w:t xml:space="preserve"> </w:t>
      </w:r>
      <w:r w:rsidR="009F6FDA" w:rsidRPr="00767318">
        <w:rPr>
          <w:i/>
        </w:rPr>
        <w:t>Permian and Triassic depositional systems in the Bowen Basin</w:t>
      </w:r>
      <w:r w:rsidR="009F6FDA" w:rsidRPr="0006214B">
        <w:t xml:space="preserve">. </w:t>
      </w:r>
      <w:proofErr w:type="gramStart"/>
      <w:r w:rsidR="009F6FDA" w:rsidRPr="0006214B">
        <w:t>Bowen Basin Symposium 1990.</w:t>
      </w:r>
      <w:proofErr w:type="gramEnd"/>
      <w:r w:rsidR="009F6FDA" w:rsidRPr="0006214B">
        <w:t xml:space="preserve"> Geological Society Australia, Qld Division, Proceedings</w:t>
      </w:r>
    </w:p>
    <w:p w:rsidR="00E07F07" w:rsidRPr="0006214B" w:rsidRDefault="00E07F07" w:rsidP="00BE7A62">
      <w:pPr>
        <w:pStyle w:val="BRNormal"/>
        <w:spacing w:after="0"/>
        <w:ind w:left="709" w:hanging="709"/>
      </w:pPr>
      <w:proofErr w:type="gramStart"/>
      <w:r w:rsidRPr="0006214B">
        <w:lastRenderedPageBreak/>
        <w:t>Fielding</w:t>
      </w:r>
      <w:r w:rsidR="00767318">
        <w:t xml:space="preserve"> C, Gray</w:t>
      </w:r>
      <w:r w:rsidR="009F6FDA" w:rsidRPr="0006214B">
        <w:t xml:space="preserve"> ARG, Harris GI </w:t>
      </w:r>
      <w:r w:rsidR="00767318">
        <w:t>&amp; Salomon</w:t>
      </w:r>
      <w:r w:rsidR="009F6FDA" w:rsidRPr="0006214B">
        <w:t xml:space="preserve"> JA</w:t>
      </w:r>
      <w:r w:rsidRPr="0006214B">
        <w:t xml:space="preserve"> 1990b</w:t>
      </w:r>
      <w:r w:rsidR="00767318">
        <w:t>.</w:t>
      </w:r>
      <w:proofErr w:type="gramEnd"/>
      <w:r w:rsidR="009F6FDA" w:rsidRPr="0006214B">
        <w:t xml:space="preserve"> </w:t>
      </w:r>
      <w:r w:rsidR="00767318">
        <w:t>‘</w:t>
      </w:r>
      <w:r w:rsidR="009F6FDA" w:rsidRPr="0006214B">
        <w:t>The Bowen Basin and overlying Surat Basin</w:t>
      </w:r>
      <w:r w:rsidR="00767318">
        <w:t>’</w:t>
      </w:r>
      <w:r w:rsidR="009F6FDA" w:rsidRPr="0006214B">
        <w:t xml:space="preserve"> In: DM Finlayson (ed) </w:t>
      </w:r>
      <w:r w:rsidR="009F6FDA" w:rsidRPr="00767318">
        <w:rPr>
          <w:i/>
        </w:rPr>
        <w:t>The Eromanga Brisbane Geoscience Transect: A guide to crustal development across Phanerozoic Australia in southern Queensland</w:t>
      </w:r>
      <w:r w:rsidR="009F6FDA" w:rsidRPr="0006214B">
        <w:t>, Bureau of Mineral Resoures, Geology and Geophysics, Bulletin 232</w:t>
      </w:r>
    </w:p>
    <w:p w:rsidR="00E07F07" w:rsidRPr="0006214B" w:rsidRDefault="00767318" w:rsidP="00BE7A62">
      <w:pPr>
        <w:pStyle w:val="BRNormal"/>
        <w:spacing w:after="0"/>
        <w:ind w:left="709" w:hanging="709"/>
      </w:pPr>
      <w:r>
        <w:t>Freeze R &amp; Cherry JA 1979.</w:t>
      </w:r>
      <w:r w:rsidR="00E07F07" w:rsidRPr="0006214B">
        <w:t xml:space="preserve"> </w:t>
      </w:r>
      <w:proofErr w:type="gramStart"/>
      <w:r w:rsidR="00E07F07" w:rsidRPr="00767318">
        <w:rPr>
          <w:i/>
        </w:rPr>
        <w:t>Groundwater</w:t>
      </w:r>
      <w:r w:rsidR="00E07F07" w:rsidRPr="0006214B">
        <w:t>.</w:t>
      </w:r>
      <w:proofErr w:type="gramEnd"/>
      <w:r w:rsidR="00E07F07" w:rsidRPr="0006214B">
        <w:t xml:space="preserve"> Prentice Hall</w:t>
      </w:r>
    </w:p>
    <w:p w:rsidR="00BD7312" w:rsidRPr="0006214B" w:rsidRDefault="00767318" w:rsidP="00BE7A62">
      <w:pPr>
        <w:pStyle w:val="BRNormal"/>
        <w:spacing w:after="0"/>
        <w:ind w:left="709" w:hanging="709"/>
      </w:pPr>
      <w:proofErr w:type="gramStart"/>
      <w:r>
        <w:t>GABCC 1998</w:t>
      </w:r>
      <w:r w:rsidR="00BD7312" w:rsidRPr="0006214B">
        <w:t>.</w:t>
      </w:r>
      <w:proofErr w:type="gramEnd"/>
      <w:r w:rsidR="00BD7312" w:rsidRPr="0006214B">
        <w:t xml:space="preserve"> </w:t>
      </w:r>
      <w:r w:rsidR="00BD7312" w:rsidRPr="00767318">
        <w:rPr>
          <w:i/>
        </w:rPr>
        <w:t>Great Artesian Basin Resource Study</w:t>
      </w:r>
      <w:r w:rsidR="00BD7312" w:rsidRPr="0006214B">
        <w:t xml:space="preserve">, Great Artesian Basin Consultative Council (GABCC), November 1998. </w:t>
      </w:r>
    </w:p>
    <w:p w:rsidR="00E07F07" w:rsidRPr="0006214B" w:rsidRDefault="00767318" w:rsidP="00BE7A62">
      <w:pPr>
        <w:pStyle w:val="BRNormal"/>
        <w:spacing w:after="0"/>
        <w:ind w:left="709" w:hanging="709"/>
      </w:pPr>
      <w:proofErr w:type="gramStart"/>
      <w:r>
        <w:t>Gardner WP</w:t>
      </w:r>
      <w:r w:rsidR="00E07F07" w:rsidRPr="0006214B">
        <w:t>,</w:t>
      </w:r>
      <w:r>
        <w:t xml:space="preserve"> Harrington GA &amp; Smerdon BD</w:t>
      </w:r>
      <w:r w:rsidR="00E07F07" w:rsidRPr="0006214B">
        <w:t xml:space="preserve"> </w:t>
      </w:r>
      <w:r w:rsidR="008A3E76" w:rsidRPr="0006214B">
        <w:t>2012</w:t>
      </w:r>
      <w:r w:rsidR="00E07F07" w:rsidRPr="0006214B">
        <w:t>.</w:t>
      </w:r>
      <w:proofErr w:type="gramEnd"/>
      <w:r w:rsidR="00E07F07" w:rsidRPr="0006214B">
        <w:t xml:space="preserve"> </w:t>
      </w:r>
      <w:proofErr w:type="gramStart"/>
      <w:r>
        <w:t>‘</w:t>
      </w:r>
      <w:r w:rsidR="00E07F07" w:rsidRPr="0006214B">
        <w:t>Using Excess 4He to Quantify Variability in Aquitard Leakage</w:t>
      </w:r>
      <w:r>
        <w:t xml:space="preserve">’, </w:t>
      </w:r>
      <w:r w:rsidRPr="00767318">
        <w:rPr>
          <w:i/>
        </w:rPr>
        <w:t>Journal of Hydrology</w:t>
      </w:r>
      <w:r>
        <w:t>, vol. 468-469, pp. 63-75.</w:t>
      </w:r>
      <w:proofErr w:type="gramEnd"/>
    </w:p>
    <w:p w:rsidR="00E07F07" w:rsidRPr="0006214B" w:rsidRDefault="00767318" w:rsidP="00BE7A62">
      <w:pPr>
        <w:pStyle w:val="BRNormal"/>
        <w:spacing w:after="0"/>
        <w:ind w:left="709" w:hanging="709"/>
      </w:pPr>
      <w:proofErr w:type="gramStart"/>
      <w:r>
        <w:t>Geiger S, Schmid KS &amp; Zaretskiy Y</w:t>
      </w:r>
      <w:r w:rsidR="00E07F07" w:rsidRPr="0006214B">
        <w:t xml:space="preserve"> 2012.</w:t>
      </w:r>
      <w:proofErr w:type="gramEnd"/>
      <w:r w:rsidR="00E07F07" w:rsidRPr="0006214B">
        <w:t xml:space="preserve"> </w:t>
      </w:r>
      <w:proofErr w:type="gramStart"/>
      <w:r>
        <w:t>‘</w:t>
      </w:r>
      <w:r w:rsidR="00E07F07" w:rsidRPr="0006214B">
        <w:t>Mathematical analysis and numerical simulation of multi-phase multi-component flow in heterogeneous porous media</w:t>
      </w:r>
      <w:r>
        <w:t>’,</w:t>
      </w:r>
      <w:r w:rsidR="00E07F07" w:rsidRPr="0006214B">
        <w:t xml:space="preserve"> </w:t>
      </w:r>
      <w:r w:rsidR="00E07F07" w:rsidRPr="00767318">
        <w:rPr>
          <w:i/>
        </w:rPr>
        <w:t>Current</w:t>
      </w:r>
      <w:r>
        <w:t xml:space="preserve"> </w:t>
      </w:r>
      <w:r w:rsidRPr="00767318">
        <w:rPr>
          <w:i/>
        </w:rPr>
        <w:t>Opinion in Colloid &amp;</w:t>
      </w:r>
      <w:r>
        <w:t xml:space="preserve"> </w:t>
      </w:r>
      <w:r w:rsidR="00E07F07" w:rsidRPr="00767318">
        <w:rPr>
          <w:i/>
        </w:rPr>
        <w:t>Interface Science</w:t>
      </w:r>
      <w:r w:rsidR="00E07F07" w:rsidRPr="0006214B">
        <w:t xml:space="preserve">, </w:t>
      </w:r>
      <w:r>
        <w:t xml:space="preserve">vol. </w:t>
      </w:r>
      <w:r w:rsidR="00E07F07" w:rsidRPr="0006214B">
        <w:t xml:space="preserve">17, </w:t>
      </w:r>
      <w:r>
        <w:t xml:space="preserve">pp. </w:t>
      </w:r>
      <w:r w:rsidR="00E07F07" w:rsidRPr="0006214B">
        <w:t>147-155.</w:t>
      </w:r>
      <w:proofErr w:type="gramEnd"/>
    </w:p>
    <w:p w:rsidR="00E07F07" w:rsidRPr="0006214B" w:rsidRDefault="00767318" w:rsidP="00BE7A62">
      <w:pPr>
        <w:pStyle w:val="BRNormal"/>
        <w:spacing w:after="0"/>
        <w:ind w:left="709" w:hanging="709"/>
      </w:pPr>
      <w:proofErr w:type="gramStart"/>
      <w:r>
        <w:t>Gelhar LW, Welty C &amp; Rehfeldt KR 1992.</w:t>
      </w:r>
      <w:proofErr w:type="gramEnd"/>
      <w:r w:rsidR="00E07F07" w:rsidRPr="0006214B">
        <w:t xml:space="preserve"> </w:t>
      </w:r>
      <w:proofErr w:type="gramStart"/>
      <w:r>
        <w:t>‘</w:t>
      </w:r>
      <w:r w:rsidR="00E07F07" w:rsidRPr="0006214B">
        <w:t>A critical review of data on field-scale dispersion in aquifers</w:t>
      </w:r>
      <w:r>
        <w:t>’,</w:t>
      </w:r>
      <w:r w:rsidR="00E07F07" w:rsidRPr="0006214B">
        <w:t xml:space="preserve"> </w:t>
      </w:r>
      <w:r w:rsidR="00E07F07" w:rsidRPr="00767318">
        <w:rPr>
          <w:i/>
        </w:rPr>
        <w:t>Water Resour</w:t>
      </w:r>
      <w:r w:rsidRPr="00767318">
        <w:rPr>
          <w:i/>
        </w:rPr>
        <w:t>ces Research</w:t>
      </w:r>
      <w:r w:rsidR="00E07F07" w:rsidRPr="0006214B">
        <w:t xml:space="preserve">, </w:t>
      </w:r>
      <w:r>
        <w:t xml:space="preserve">vol. </w:t>
      </w:r>
      <w:r w:rsidR="00E07F07" w:rsidRPr="0006214B">
        <w:t xml:space="preserve">28, </w:t>
      </w:r>
      <w:r>
        <w:t xml:space="preserve">pp. </w:t>
      </w:r>
      <w:r w:rsidR="00E07F07" w:rsidRPr="0006214B">
        <w:t>1955-1974</w:t>
      </w:r>
      <w:r>
        <w:t>.</w:t>
      </w:r>
      <w:proofErr w:type="gramEnd"/>
    </w:p>
    <w:p w:rsidR="00E07F07" w:rsidRPr="0006214B" w:rsidRDefault="00E07F07" w:rsidP="00BE7A62">
      <w:pPr>
        <w:pStyle w:val="BRNormal"/>
        <w:spacing w:after="0"/>
        <w:ind w:left="709" w:hanging="709"/>
      </w:pPr>
      <w:r w:rsidRPr="0006214B">
        <w:t xml:space="preserve">Geoscience </w:t>
      </w:r>
      <w:r w:rsidR="00767318">
        <w:t>Australia 2008.</w:t>
      </w:r>
      <w:r w:rsidRPr="0006214B">
        <w:t xml:space="preserve"> </w:t>
      </w:r>
      <w:proofErr w:type="gramStart"/>
      <w:r w:rsidRPr="00767318">
        <w:rPr>
          <w:i/>
        </w:rPr>
        <w:t>Bowen Basin</w:t>
      </w:r>
      <w:r w:rsidRPr="0006214B">
        <w:t>.</w:t>
      </w:r>
      <w:proofErr w:type="gramEnd"/>
      <w:r w:rsidRPr="0006214B">
        <w:t xml:space="preserve"> </w:t>
      </w:r>
      <w:r w:rsidR="00767318">
        <w:t>(</w:t>
      </w:r>
      <w:hyperlink r:id="rId105" w:history="1">
        <w:r w:rsidRPr="0006214B">
          <w:t>http://www.ga.gov.au/oceans/ea_Browse.jsp</w:t>
        </w:r>
      </w:hyperlink>
      <w:r w:rsidR="00767318">
        <w:t xml:space="preserve"> [accessed 23 April 2014]).</w:t>
      </w:r>
    </w:p>
    <w:p w:rsidR="00E07F07" w:rsidRPr="0006214B" w:rsidRDefault="00BF2609" w:rsidP="00BE7A62">
      <w:pPr>
        <w:pStyle w:val="BRNormal"/>
        <w:spacing w:after="0"/>
        <w:ind w:left="709" w:hanging="709"/>
      </w:pPr>
      <w:proofErr w:type="gramStart"/>
      <w:r>
        <w:t>Gerber R, Boyce J &amp; Howard K</w:t>
      </w:r>
      <w:r w:rsidR="00E07F07" w:rsidRPr="0006214B">
        <w:t xml:space="preserve"> 2001.</w:t>
      </w:r>
      <w:proofErr w:type="gramEnd"/>
      <w:r w:rsidR="00E07F07" w:rsidRPr="0006214B">
        <w:t xml:space="preserve"> </w:t>
      </w:r>
      <w:proofErr w:type="gramStart"/>
      <w:r>
        <w:t>‘</w:t>
      </w:r>
      <w:r w:rsidR="00E07F07" w:rsidRPr="0006214B">
        <w:t>Evaluation of heterogeneity and field-scale groundwater flow regime in a leaky till aquitard</w:t>
      </w:r>
      <w:r>
        <w:t>’,</w:t>
      </w:r>
      <w:r w:rsidR="00E07F07" w:rsidRPr="0006214B">
        <w:t xml:space="preserve"> </w:t>
      </w:r>
      <w:r w:rsidR="00E07F07" w:rsidRPr="00BF2609">
        <w:rPr>
          <w:i/>
        </w:rPr>
        <w:t>Hydrogeology Journal</w:t>
      </w:r>
      <w:r w:rsidR="00E07F07" w:rsidRPr="0006214B">
        <w:t xml:space="preserve">, </w:t>
      </w:r>
      <w:r>
        <w:t xml:space="preserve">vol. </w:t>
      </w:r>
      <w:r w:rsidR="00E07F07" w:rsidRPr="0006214B">
        <w:t xml:space="preserve">9, </w:t>
      </w:r>
      <w:r>
        <w:t xml:space="preserve">pp. </w:t>
      </w:r>
      <w:r w:rsidR="00E07F07" w:rsidRPr="0006214B">
        <w:t>60-78.</w:t>
      </w:r>
      <w:proofErr w:type="gramEnd"/>
    </w:p>
    <w:p w:rsidR="00E07F07" w:rsidRPr="0006214B" w:rsidRDefault="00E07F07" w:rsidP="00BE7A62">
      <w:pPr>
        <w:pStyle w:val="BRNormal"/>
        <w:spacing w:after="0"/>
        <w:ind w:left="709" w:hanging="709"/>
      </w:pPr>
      <w:proofErr w:type="gramStart"/>
      <w:r w:rsidRPr="0006214B">
        <w:t>Gidley</w:t>
      </w:r>
      <w:r w:rsidR="00BF2609">
        <w:t xml:space="preserve"> JL, Holditch SA, Nierode DE &amp; Veatch RW</w:t>
      </w:r>
      <w:r w:rsidRPr="0006214B">
        <w:t xml:space="preserve"> (eds.) 1989.</w:t>
      </w:r>
      <w:proofErr w:type="gramEnd"/>
      <w:r w:rsidRPr="0006214B">
        <w:t xml:space="preserve"> </w:t>
      </w:r>
      <w:r w:rsidR="0008536C">
        <w:rPr>
          <w:i/>
        </w:rPr>
        <w:t>Recent advances in hydraulic f</w:t>
      </w:r>
      <w:r w:rsidRPr="00BF2609">
        <w:rPr>
          <w:i/>
        </w:rPr>
        <w:t>racturing, Richardson, TX</w:t>
      </w:r>
      <w:r w:rsidR="00BF2609">
        <w:t xml:space="preserve">, </w:t>
      </w:r>
      <w:r w:rsidRPr="0006214B">
        <w:t>Society of Petroleum Engineers.</w:t>
      </w:r>
    </w:p>
    <w:p w:rsidR="00E07F07" w:rsidRPr="0006214B" w:rsidRDefault="00BF2609" w:rsidP="00BE7A62">
      <w:pPr>
        <w:pStyle w:val="BRNormal"/>
        <w:spacing w:after="0"/>
        <w:ind w:left="709" w:hanging="709"/>
      </w:pPr>
      <w:proofErr w:type="gramStart"/>
      <w:r>
        <w:t>Gleeson T &amp; Novakowski KS</w:t>
      </w:r>
      <w:r w:rsidR="00E07F07" w:rsidRPr="0006214B">
        <w:t xml:space="preserve"> 2009.</w:t>
      </w:r>
      <w:proofErr w:type="gramEnd"/>
      <w:r w:rsidR="00E07F07" w:rsidRPr="0006214B">
        <w:t xml:space="preserve"> </w:t>
      </w:r>
      <w:proofErr w:type="gramStart"/>
      <w:r>
        <w:t>‘</w:t>
      </w:r>
      <w:r w:rsidR="00E07F07" w:rsidRPr="0006214B">
        <w:t>Identifying watershed-scale barriers to groundwater flow: Lineaments in the Canadian Shiled</w:t>
      </w:r>
      <w:r>
        <w:t>’,</w:t>
      </w:r>
      <w:r w:rsidR="00E07F07" w:rsidRPr="0006214B">
        <w:t xml:space="preserve"> </w:t>
      </w:r>
      <w:r w:rsidR="00E07F07" w:rsidRPr="00BF2609">
        <w:rPr>
          <w:i/>
        </w:rPr>
        <w:t>Geological Society of America Bulletin</w:t>
      </w:r>
      <w:r w:rsidR="00E07F07" w:rsidRPr="0006214B">
        <w:t xml:space="preserve">, </w:t>
      </w:r>
      <w:r>
        <w:t xml:space="preserve">vol. </w:t>
      </w:r>
      <w:r w:rsidR="00E07F07" w:rsidRPr="0006214B">
        <w:t xml:space="preserve">121, </w:t>
      </w:r>
      <w:r>
        <w:t xml:space="preserve">pp. </w:t>
      </w:r>
      <w:r w:rsidR="00E07F07" w:rsidRPr="0006214B">
        <w:t>333-347.</w:t>
      </w:r>
      <w:proofErr w:type="gramEnd"/>
    </w:p>
    <w:p w:rsidR="00E07F07" w:rsidRPr="0006214B" w:rsidRDefault="00BF2609" w:rsidP="00BE7A62">
      <w:pPr>
        <w:pStyle w:val="BRNormal"/>
        <w:spacing w:after="0"/>
        <w:ind w:left="709" w:hanging="709"/>
      </w:pPr>
      <w:proofErr w:type="gramStart"/>
      <w:r>
        <w:t>Goddard JV &amp; Evans JP</w:t>
      </w:r>
      <w:r w:rsidR="00E07F07" w:rsidRPr="0006214B">
        <w:t xml:space="preserve"> 1995.</w:t>
      </w:r>
      <w:proofErr w:type="gramEnd"/>
      <w:r w:rsidR="00E07F07" w:rsidRPr="0006214B">
        <w:t xml:space="preserve"> </w:t>
      </w:r>
      <w:r w:rsidR="0008536C">
        <w:t>‘</w:t>
      </w:r>
      <w:r w:rsidR="00E07F07" w:rsidRPr="0006214B">
        <w:t>Chemical changes and fluid-rock interaction in faults of crystalline thrust sheets, northwestern Wyoming, U.S.A</w:t>
      </w:r>
      <w:r w:rsidR="0008536C">
        <w:t>’,</w:t>
      </w:r>
      <w:r w:rsidR="00E07F07" w:rsidRPr="0006214B">
        <w:t xml:space="preserve"> </w:t>
      </w:r>
      <w:r w:rsidR="00E07F07" w:rsidRPr="0008536C">
        <w:rPr>
          <w:i/>
        </w:rPr>
        <w:t>Journal of Structural</w:t>
      </w:r>
      <w:r w:rsidR="00E07F07" w:rsidRPr="0006214B">
        <w:t xml:space="preserve"> </w:t>
      </w:r>
      <w:r w:rsidR="00E07F07" w:rsidRPr="0008536C">
        <w:rPr>
          <w:i/>
        </w:rPr>
        <w:t>Geology</w:t>
      </w:r>
      <w:r w:rsidR="00E07F07" w:rsidRPr="0006214B">
        <w:t xml:space="preserve">, </w:t>
      </w:r>
      <w:r w:rsidR="0008536C">
        <w:t xml:space="preserve">vol. </w:t>
      </w:r>
      <w:r w:rsidR="00E07F07" w:rsidRPr="0006214B">
        <w:t xml:space="preserve">17, </w:t>
      </w:r>
      <w:r w:rsidR="0008536C">
        <w:t xml:space="preserve">pp. </w:t>
      </w:r>
      <w:r w:rsidR="00E07F07" w:rsidRPr="0006214B">
        <w:t>533-547.</w:t>
      </w:r>
    </w:p>
    <w:p w:rsidR="00E07F07" w:rsidRPr="0006214B" w:rsidRDefault="0008536C" w:rsidP="00BE7A62">
      <w:pPr>
        <w:pStyle w:val="BRNormal"/>
        <w:spacing w:after="0"/>
        <w:ind w:left="709" w:hanging="709"/>
      </w:pPr>
      <w:proofErr w:type="gramStart"/>
      <w:r>
        <w:t>Golder Associates 2009.</w:t>
      </w:r>
      <w:proofErr w:type="gramEnd"/>
      <w:r>
        <w:t xml:space="preserve"> ‘QGC groundwater s</w:t>
      </w:r>
      <w:r w:rsidR="00E07F07" w:rsidRPr="0006214B">
        <w:t xml:space="preserve">tudy Surat Basin, Queensland’, appendix 3.4 in: </w:t>
      </w:r>
      <w:r w:rsidR="00E07F07" w:rsidRPr="0008536C">
        <w:rPr>
          <w:i/>
        </w:rPr>
        <w:t>QGC, Queensland Curtis LNG Environmenta</w:t>
      </w:r>
      <w:r w:rsidR="00280B51" w:rsidRPr="0008536C">
        <w:rPr>
          <w:i/>
        </w:rPr>
        <w:t>l Impact Assessment: Volume 3</w:t>
      </w:r>
      <w:r w:rsidR="00280B51" w:rsidRPr="0006214B">
        <w:t xml:space="preserve"> (</w:t>
      </w:r>
      <w:r w:rsidRPr="0008536C">
        <w:t>http://qgc.com.au/environment/assessment-process/queensland-curtis-lng-project.aspx</w:t>
      </w:r>
      <w:r>
        <w:t xml:space="preserve"> [accessed 23 April 2014]</w:t>
      </w:r>
      <w:r w:rsidR="00280B51" w:rsidRPr="0006214B">
        <w:t>).</w:t>
      </w:r>
    </w:p>
    <w:p w:rsidR="0008536C" w:rsidRPr="0006214B" w:rsidRDefault="0008536C" w:rsidP="00BE7A62">
      <w:pPr>
        <w:pStyle w:val="BRNormal"/>
        <w:spacing w:after="0"/>
        <w:ind w:left="709" w:hanging="709"/>
      </w:pPr>
      <w:r>
        <w:t>Gray DH, Fatt I</w:t>
      </w:r>
      <w:r w:rsidRPr="0006214B">
        <w:t xml:space="preserve"> </w:t>
      </w:r>
      <w:r>
        <w:t>&amp; Bergamini G 1963.</w:t>
      </w:r>
      <w:r w:rsidRPr="0006214B">
        <w:t xml:space="preserve"> </w:t>
      </w:r>
      <w:proofErr w:type="gramStart"/>
      <w:r w:rsidRPr="0006214B">
        <w:t xml:space="preserve">‘The effect of stress on permeability of sandstone cores’, </w:t>
      </w:r>
      <w:r w:rsidRPr="0008536C">
        <w:rPr>
          <w:i/>
        </w:rPr>
        <w:t>Society of Petroleum Engineers Journal</w:t>
      </w:r>
      <w:r w:rsidRPr="0006214B">
        <w:t>, vol. 3(2), pp.95-100.</w:t>
      </w:r>
      <w:proofErr w:type="gramEnd"/>
    </w:p>
    <w:p w:rsidR="00E07F07" w:rsidRPr="0006214B" w:rsidRDefault="0008536C" w:rsidP="00BE7A62">
      <w:pPr>
        <w:pStyle w:val="BRNormal"/>
        <w:spacing w:after="0"/>
        <w:ind w:left="709" w:hanging="709"/>
      </w:pPr>
      <w:r>
        <w:t>Gray I</w:t>
      </w:r>
      <w:r w:rsidR="00E07F07" w:rsidRPr="0006214B">
        <w:t xml:space="preserve"> 1987</w:t>
      </w:r>
      <w:r>
        <w:t>a</w:t>
      </w:r>
      <w:r w:rsidR="00E07F07" w:rsidRPr="0006214B">
        <w:t xml:space="preserve">. </w:t>
      </w:r>
      <w:r>
        <w:t>‘Reservoir engineering in coal seams: Part 1 - the physical process of gas storage and movement in coal s</w:t>
      </w:r>
      <w:r w:rsidR="00E07F07" w:rsidRPr="0006214B">
        <w:t xml:space="preserve">eams. </w:t>
      </w:r>
      <w:r w:rsidRPr="0008536C">
        <w:rPr>
          <w:i/>
        </w:rPr>
        <w:t>Society of Petroleum Engineers Reservoir Engineering</w:t>
      </w:r>
      <w:r w:rsidR="00E07F07" w:rsidRPr="0006214B">
        <w:t xml:space="preserve">, </w:t>
      </w:r>
      <w:r>
        <w:t xml:space="preserve">vol. </w:t>
      </w:r>
      <w:r w:rsidR="00E07F07" w:rsidRPr="0006214B">
        <w:t xml:space="preserve">2, </w:t>
      </w:r>
      <w:r>
        <w:t xml:space="preserve">pp. </w:t>
      </w:r>
      <w:r w:rsidR="00E07F07" w:rsidRPr="0006214B">
        <w:t>28-34.</w:t>
      </w:r>
    </w:p>
    <w:p w:rsidR="00E07F07" w:rsidRPr="0006214B" w:rsidRDefault="0008536C" w:rsidP="00BE7A62">
      <w:pPr>
        <w:pStyle w:val="BRNormal"/>
        <w:spacing w:after="0"/>
        <w:ind w:left="709" w:hanging="709"/>
      </w:pPr>
      <w:r>
        <w:t xml:space="preserve">Gray I </w:t>
      </w:r>
      <w:r w:rsidR="00E07F07" w:rsidRPr="0006214B">
        <w:t>1987</w:t>
      </w:r>
      <w:r>
        <w:t>b.</w:t>
      </w:r>
      <w:r w:rsidR="00E07F07" w:rsidRPr="0006214B">
        <w:t xml:space="preserve"> ‘Reservoir engineering in coal seams: Part 2 - observations of gas movement in coal seams’, </w:t>
      </w:r>
      <w:r w:rsidR="00E07F07" w:rsidRPr="0008536C">
        <w:rPr>
          <w:i/>
        </w:rPr>
        <w:t>Society of Petroleum Engineers Reservoir Engineering</w:t>
      </w:r>
      <w:r w:rsidR="00E07F07" w:rsidRPr="0006214B">
        <w:t>, vol. 2(1), pp.35-40.</w:t>
      </w:r>
    </w:p>
    <w:p w:rsidR="00E07F07" w:rsidRPr="0006214B" w:rsidRDefault="00A805D9" w:rsidP="00BE7A62">
      <w:pPr>
        <w:pStyle w:val="BRNormal"/>
        <w:spacing w:after="0"/>
        <w:ind w:left="709" w:hanging="709"/>
      </w:pPr>
      <w:r>
        <w:t>Gray I 2011.</w:t>
      </w:r>
      <w:r w:rsidR="00E07F07" w:rsidRPr="0006214B">
        <w:t xml:space="preserve"> </w:t>
      </w:r>
      <w:proofErr w:type="gramStart"/>
      <w:r w:rsidR="00E07F07" w:rsidRPr="0006214B">
        <w:t xml:space="preserve">‘Stresses in sedimentary strata, including coals, and the effects of fluid withdrawal on effective stress and permeability’, </w:t>
      </w:r>
      <w:r w:rsidR="00E07F07" w:rsidRPr="00A805D9">
        <w:rPr>
          <w:i/>
        </w:rPr>
        <w:t>11th Underground Coal Operators' Conference</w:t>
      </w:r>
      <w:r w:rsidR="00E07F07" w:rsidRPr="0006214B">
        <w:t>, University of Wollongong and the Australasian Institute of Mining and Metallurgy 2011, pp.297-306.</w:t>
      </w:r>
      <w:proofErr w:type="gramEnd"/>
    </w:p>
    <w:p w:rsidR="00E07F07" w:rsidRPr="0006214B" w:rsidRDefault="00A805D9" w:rsidP="00BE7A62">
      <w:pPr>
        <w:pStyle w:val="BRNormal"/>
        <w:spacing w:after="0"/>
        <w:ind w:left="709" w:hanging="709"/>
      </w:pPr>
      <w:proofErr w:type="gramStart"/>
      <w:r>
        <w:t>Griffin S &amp; Pippett T</w:t>
      </w:r>
      <w:r w:rsidR="00E07F07" w:rsidRPr="0006214B">
        <w:t xml:space="preserve"> 2002.</w:t>
      </w:r>
      <w:proofErr w:type="gramEnd"/>
      <w:r w:rsidR="00E07F07" w:rsidRPr="0006214B">
        <w:t xml:space="preserve"> </w:t>
      </w:r>
      <w:r>
        <w:t>‘</w:t>
      </w:r>
      <w:r w:rsidR="00E07F07" w:rsidRPr="0006214B">
        <w:t>Ground penetrating radar</w:t>
      </w:r>
      <w:r>
        <w:t>’</w:t>
      </w:r>
      <w:r w:rsidR="00E07F07" w:rsidRPr="0006214B">
        <w:t xml:space="preserve"> In: PAPP, E. (ed.) </w:t>
      </w:r>
      <w:r w:rsidR="00E07F07" w:rsidRPr="00A805D9">
        <w:rPr>
          <w:i/>
        </w:rPr>
        <w:t>Geophysical and remote sensing methods for regolith exploration</w:t>
      </w:r>
      <w:r w:rsidR="00E07F07" w:rsidRPr="0006214B">
        <w:t xml:space="preserve">. </w:t>
      </w:r>
      <w:proofErr w:type="gramStart"/>
      <w:r w:rsidR="00E07F07" w:rsidRPr="0006214B">
        <w:t>Cooperative Research Centre for Landscape Environments and Mineral Exploration, Open File Report 144.</w:t>
      </w:r>
      <w:proofErr w:type="gramEnd"/>
    </w:p>
    <w:p w:rsidR="00162D9B" w:rsidRPr="0006214B" w:rsidRDefault="00A805D9" w:rsidP="00BE7A62">
      <w:pPr>
        <w:pStyle w:val="BRNormal"/>
        <w:spacing w:after="0"/>
        <w:ind w:left="709" w:hanging="709"/>
      </w:pPr>
      <w:r>
        <w:t>Grigorescu M</w:t>
      </w:r>
      <w:r w:rsidR="00162D9B" w:rsidRPr="0006214B">
        <w:t xml:space="preserve"> 2012. </w:t>
      </w:r>
      <w:r w:rsidR="00162D9B" w:rsidRPr="00A805D9">
        <w:rPr>
          <w:i/>
        </w:rPr>
        <w:t>Mineralogy and petrography of the southern Galilee Basin</w:t>
      </w:r>
      <w:r w:rsidR="00A81474" w:rsidRPr="00A805D9">
        <w:rPr>
          <w:i/>
        </w:rPr>
        <w:t>, Queensland</w:t>
      </w:r>
      <w:r w:rsidR="00162D9B" w:rsidRPr="0006214B">
        <w:t xml:space="preserve">. </w:t>
      </w:r>
      <w:proofErr w:type="gramStart"/>
      <w:r w:rsidR="00162D9B" w:rsidRPr="0006214B">
        <w:t>Geological Survey of Queensland.</w:t>
      </w:r>
      <w:proofErr w:type="gramEnd"/>
      <w:r w:rsidR="00162D9B" w:rsidRPr="0006214B">
        <w:t xml:space="preserve"> </w:t>
      </w:r>
      <w:r w:rsidR="00A81474" w:rsidRPr="0006214B">
        <w:t>Queensland Geological Record 2012/13</w:t>
      </w:r>
    </w:p>
    <w:p w:rsidR="00E07F07" w:rsidRPr="0006214B" w:rsidRDefault="00A805D9" w:rsidP="00BE7A62">
      <w:pPr>
        <w:pStyle w:val="BRNormal"/>
        <w:spacing w:after="0"/>
        <w:ind w:left="709" w:hanging="709"/>
      </w:pPr>
      <w:proofErr w:type="gramStart"/>
      <w:r>
        <w:t>Guha SK</w:t>
      </w:r>
      <w:r w:rsidR="00E07F07" w:rsidRPr="0006214B">
        <w:t xml:space="preserve"> 2001.</w:t>
      </w:r>
      <w:proofErr w:type="gramEnd"/>
      <w:r w:rsidR="00E07F07" w:rsidRPr="0006214B">
        <w:t xml:space="preserve"> </w:t>
      </w:r>
      <w:r w:rsidR="00E07F07" w:rsidRPr="00A805D9">
        <w:rPr>
          <w:i/>
        </w:rPr>
        <w:t>Induced Earthquakes</w:t>
      </w:r>
      <w:r w:rsidR="00E07F07" w:rsidRPr="0006214B">
        <w:t xml:space="preserve">, Dordrecht, </w:t>
      </w:r>
      <w:proofErr w:type="gramStart"/>
      <w:r w:rsidR="00E07F07" w:rsidRPr="0006214B">
        <w:t>The</w:t>
      </w:r>
      <w:proofErr w:type="gramEnd"/>
      <w:r w:rsidR="00E07F07" w:rsidRPr="0006214B">
        <w:t xml:space="preserve"> Netherlands, Klewer Academic Publishers.</w:t>
      </w:r>
    </w:p>
    <w:p w:rsidR="00E07F07" w:rsidRPr="0006214B" w:rsidRDefault="00A805D9" w:rsidP="00BE7A62">
      <w:pPr>
        <w:pStyle w:val="BRNormal"/>
        <w:spacing w:after="0"/>
        <w:ind w:left="709" w:hanging="709"/>
      </w:pPr>
      <w:r>
        <w:t>Habermehl MA 1980.</w:t>
      </w:r>
      <w:r w:rsidR="00E07F07" w:rsidRPr="0006214B">
        <w:t xml:space="preserve"> ‘The Great Artesian Basin, Australia’, </w:t>
      </w:r>
      <w:r w:rsidR="00E07F07" w:rsidRPr="00A805D9">
        <w:rPr>
          <w:i/>
        </w:rPr>
        <w:t>Bureau of Mineral Resources Journal of Australian Geology and Geophysics</w:t>
      </w:r>
      <w:r w:rsidR="00E07F07" w:rsidRPr="0006214B">
        <w:t>, vol.5, pp.9-38.</w:t>
      </w:r>
    </w:p>
    <w:p w:rsidR="00E07F07" w:rsidRPr="0006214B" w:rsidRDefault="00A805D9" w:rsidP="00BE7A62">
      <w:pPr>
        <w:pStyle w:val="BRNormal"/>
        <w:spacing w:after="0"/>
        <w:ind w:left="709" w:hanging="709"/>
      </w:pPr>
      <w:r>
        <w:lastRenderedPageBreak/>
        <w:t>Habermehl MA 1982.</w:t>
      </w:r>
      <w:r w:rsidR="00E07F07" w:rsidRPr="0006214B">
        <w:t xml:space="preserve"> </w:t>
      </w:r>
      <w:proofErr w:type="gramStart"/>
      <w:r w:rsidR="00E07F07" w:rsidRPr="00A805D9">
        <w:rPr>
          <w:i/>
        </w:rPr>
        <w:t>Springs in the Great Artesian Basin, Australia: Their origin and nature</w:t>
      </w:r>
      <w:r w:rsidR="00E07F07" w:rsidRPr="0006214B">
        <w:t>, Bureau of Mineral Resources, Canberra, ACT.</w:t>
      </w:r>
      <w:proofErr w:type="gramEnd"/>
    </w:p>
    <w:p w:rsidR="00E07F07" w:rsidRPr="0006214B" w:rsidRDefault="00A805D9" w:rsidP="00BE7A62">
      <w:pPr>
        <w:pStyle w:val="BRNormal"/>
        <w:spacing w:after="0"/>
        <w:ind w:left="709" w:hanging="709"/>
      </w:pPr>
      <w:proofErr w:type="gramStart"/>
      <w:r>
        <w:t>Habermehl MA 2002.</w:t>
      </w:r>
      <w:proofErr w:type="gramEnd"/>
      <w:r w:rsidR="00E07F07" w:rsidRPr="0006214B">
        <w:t xml:space="preserve"> </w:t>
      </w:r>
      <w:proofErr w:type="gramStart"/>
      <w:r w:rsidR="00E07F07" w:rsidRPr="00A805D9">
        <w:rPr>
          <w:i/>
        </w:rPr>
        <w:t>Hydrogeology, Hydrochemistry and Isotope Hydrology of the Great Artesian Basin</w:t>
      </w:r>
      <w:r w:rsidR="00E07F07" w:rsidRPr="0006214B">
        <w:t>, Bureau of Rural Sciences, Water Science Program, Canberra, ACT.</w:t>
      </w:r>
      <w:proofErr w:type="gramEnd"/>
    </w:p>
    <w:p w:rsidR="00E07F07" w:rsidRPr="0006214B" w:rsidRDefault="00A805D9" w:rsidP="00BE7A62">
      <w:pPr>
        <w:pStyle w:val="BRNormal"/>
        <w:spacing w:after="0"/>
        <w:ind w:left="709" w:hanging="709"/>
      </w:pPr>
      <w:proofErr w:type="gramStart"/>
      <w:r>
        <w:t>Habermehl MA 2009.</w:t>
      </w:r>
      <w:proofErr w:type="gramEnd"/>
      <w:r w:rsidR="00E07F07" w:rsidRPr="0006214B">
        <w:t xml:space="preserve"> </w:t>
      </w:r>
      <w:r w:rsidR="00E07F07" w:rsidRPr="00A805D9">
        <w:rPr>
          <w:i/>
        </w:rPr>
        <w:t>Inter-Aquifer Leakage in the Queensland and New South Wales parts of the Great Artesian Basin</w:t>
      </w:r>
      <w:r w:rsidR="00E07F07" w:rsidRPr="0006214B">
        <w:t>, final report for the Australian Government Department of Environment and Water Resources, Heritage and Arts, Bureau of Rural Sciences, Canberra, ACT.</w:t>
      </w:r>
    </w:p>
    <w:p w:rsidR="00E07F07" w:rsidRPr="0006214B" w:rsidRDefault="00A805D9" w:rsidP="00BE7A62">
      <w:pPr>
        <w:pStyle w:val="BRNormal"/>
        <w:spacing w:after="0"/>
        <w:ind w:left="709" w:hanging="709"/>
      </w:pPr>
      <w:proofErr w:type="gramStart"/>
      <w:r>
        <w:t>Habermehl MA and Lau JE 1997.</w:t>
      </w:r>
      <w:proofErr w:type="gramEnd"/>
      <w:r w:rsidR="00E07F07" w:rsidRPr="0006214B">
        <w:t xml:space="preserve"> </w:t>
      </w:r>
      <w:r w:rsidR="00E07F07" w:rsidRPr="00A805D9">
        <w:rPr>
          <w:i/>
        </w:rPr>
        <w:t>Hydrogeology of the Great Artesian Basin, Australia</w:t>
      </w:r>
      <w:r w:rsidR="00E07F07" w:rsidRPr="0006214B">
        <w:t>, 1: 2,500,000 Map, Australian Geological Survey Organisation, Canberra, ACT.</w:t>
      </w:r>
    </w:p>
    <w:p w:rsidR="00E07F07" w:rsidRPr="0006214B" w:rsidRDefault="00A805D9" w:rsidP="00BE7A62">
      <w:pPr>
        <w:pStyle w:val="BRNormal"/>
        <w:spacing w:after="0"/>
        <w:ind w:left="709" w:hanging="709"/>
      </w:pPr>
      <w:proofErr w:type="gramStart"/>
      <w:r>
        <w:t>Hantush MS</w:t>
      </w:r>
      <w:r w:rsidR="00E07F07" w:rsidRPr="0006214B">
        <w:t xml:space="preserve"> 1960.</w:t>
      </w:r>
      <w:proofErr w:type="gramEnd"/>
      <w:r w:rsidR="00E07F07" w:rsidRPr="0006214B">
        <w:t xml:space="preserve"> </w:t>
      </w:r>
      <w:proofErr w:type="gramStart"/>
      <w:r>
        <w:t>‘</w:t>
      </w:r>
      <w:r w:rsidR="00E07F07" w:rsidRPr="0006214B">
        <w:t>Modification of the theory of leaky aquifers</w:t>
      </w:r>
      <w:r>
        <w:t>’,</w:t>
      </w:r>
      <w:r w:rsidR="00E07F07" w:rsidRPr="0006214B">
        <w:t xml:space="preserve"> </w:t>
      </w:r>
      <w:r w:rsidR="00E07F07" w:rsidRPr="00A805D9">
        <w:rPr>
          <w:i/>
        </w:rPr>
        <w:t>Journal of Geophysical</w:t>
      </w:r>
      <w:r w:rsidR="00E07F07" w:rsidRPr="0006214B">
        <w:t xml:space="preserve"> </w:t>
      </w:r>
      <w:r w:rsidR="00E07F07" w:rsidRPr="00A805D9">
        <w:rPr>
          <w:i/>
        </w:rPr>
        <w:t>Research</w:t>
      </w:r>
      <w:r w:rsidR="00E07F07" w:rsidRPr="0006214B">
        <w:t xml:space="preserve">, </w:t>
      </w:r>
      <w:r>
        <w:t xml:space="preserve">vol. </w:t>
      </w:r>
      <w:r w:rsidR="00E07F07" w:rsidRPr="0006214B">
        <w:t xml:space="preserve">65, </w:t>
      </w:r>
      <w:r>
        <w:t xml:space="preserve">pp. </w:t>
      </w:r>
      <w:r w:rsidR="00E07F07" w:rsidRPr="0006214B">
        <w:t>3713-3725.</w:t>
      </w:r>
      <w:proofErr w:type="gramEnd"/>
    </w:p>
    <w:p w:rsidR="00E07F07" w:rsidRPr="0006214B" w:rsidRDefault="00A805D9" w:rsidP="00BE7A62">
      <w:pPr>
        <w:pStyle w:val="BRNormal"/>
        <w:spacing w:after="0"/>
        <w:ind w:left="709" w:hanging="709"/>
      </w:pPr>
      <w:r>
        <w:t xml:space="preserve">Hantush </w:t>
      </w:r>
      <w:proofErr w:type="gramStart"/>
      <w:r>
        <w:t>MS &amp;</w:t>
      </w:r>
      <w:proofErr w:type="gramEnd"/>
      <w:r>
        <w:t xml:space="preserve"> Jacob CE</w:t>
      </w:r>
      <w:r w:rsidR="00E07F07" w:rsidRPr="0006214B">
        <w:t xml:space="preserve"> 1955. </w:t>
      </w:r>
      <w:r>
        <w:t>‘</w:t>
      </w:r>
      <w:r w:rsidR="00E07F07" w:rsidRPr="0006214B">
        <w:t>Nonsteady radial flow in an infinite leaky aquifer</w:t>
      </w:r>
      <w:r>
        <w:t>,</w:t>
      </w:r>
      <w:r w:rsidR="00E07F07" w:rsidRPr="0006214B">
        <w:t xml:space="preserve"> Transactions</w:t>
      </w:r>
      <w:r>
        <w:t>’</w:t>
      </w:r>
      <w:r w:rsidR="00E07F07" w:rsidRPr="0006214B">
        <w:t xml:space="preserve">, </w:t>
      </w:r>
      <w:r w:rsidR="00E07F07" w:rsidRPr="00A805D9">
        <w:rPr>
          <w:i/>
        </w:rPr>
        <w:t>American Geophysical Union</w:t>
      </w:r>
      <w:r w:rsidR="00E07F07" w:rsidRPr="0006214B">
        <w:t xml:space="preserve"> </w:t>
      </w:r>
      <w:r>
        <w:t xml:space="preserve">vol. </w:t>
      </w:r>
      <w:r w:rsidR="00E07F07" w:rsidRPr="0006214B">
        <w:t xml:space="preserve">36, </w:t>
      </w:r>
      <w:r>
        <w:t xml:space="preserve">pp. </w:t>
      </w:r>
      <w:r w:rsidR="00E07F07" w:rsidRPr="0006214B">
        <w:t>95-100.</w:t>
      </w:r>
    </w:p>
    <w:p w:rsidR="00E07F07" w:rsidRPr="0006214B" w:rsidRDefault="00A805D9" w:rsidP="00BE7A62">
      <w:pPr>
        <w:pStyle w:val="BRNormal"/>
        <w:spacing w:after="0"/>
        <w:ind w:left="709" w:hanging="709"/>
      </w:pPr>
      <w:r>
        <w:t>Harrington GA, Gardner WP, Smerdon BD &amp; Hendry MJ</w:t>
      </w:r>
      <w:r w:rsidR="00E07F07" w:rsidRPr="0006214B">
        <w:t xml:space="preserve"> </w:t>
      </w:r>
      <w:r w:rsidR="008A3E76" w:rsidRPr="0006214B">
        <w:t>2013</w:t>
      </w:r>
      <w:r w:rsidR="00E07F07" w:rsidRPr="0006214B">
        <w:t xml:space="preserve">. </w:t>
      </w:r>
      <w:r>
        <w:t>‘</w:t>
      </w:r>
      <w:r w:rsidR="00E07F07" w:rsidRPr="0006214B">
        <w:t>Palaeo-hydrogeological insights from natural tracer profiles in aquitard</w:t>
      </w:r>
      <w:r w:rsidR="008A3E76" w:rsidRPr="0006214B">
        <w:t xml:space="preserve"> porewater</w:t>
      </w:r>
      <w:r w:rsidR="00E07F07" w:rsidRPr="0006214B">
        <w:t>, Great Artesian Basin, Australia</w:t>
      </w:r>
      <w:r>
        <w:t>’,</w:t>
      </w:r>
      <w:r w:rsidR="00E07F07" w:rsidRPr="0006214B">
        <w:t xml:space="preserve"> </w:t>
      </w:r>
      <w:r w:rsidR="00E07F07" w:rsidRPr="00A805D9">
        <w:rPr>
          <w:i/>
        </w:rPr>
        <w:t>Water Resources Research</w:t>
      </w:r>
      <w:r w:rsidR="008A3E76" w:rsidRPr="0006214B">
        <w:t>, vol</w:t>
      </w:r>
      <w:r>
        <w:t>.</w:t>
      </w:r>
      <w:r w:rsidR="008A3E76" w:rsidRPr="0006214B">
        <w:t xml:space="preserve"> 49 issue 7</w:t>
      </w:r>
      <w:r>
        <w:t>.</w:t>
      </w:r>
    </w:p>
    <w:p w:rsidR="00E07F07" w:rsidRPr="0006214B" w:rsidRDefault="00A805D9" w:rsidP="00BE7A62">
      <w:pPr>
        <w:pStyle w:val="BRNormal"/>
        <w:spacing w:after="0"/>
        <w:ind w:left="709" w:hanging="709"/>
      </w:pPr>
      <w:proofErr w:type="gramStart"/>
      <w:r>
        <w:t>Harrington GA, Hendry MJ &amp; Robinson NI</w:t>
      </w:r>
      <w:r w:rsidR="00E07F07" w:rsidRPr="0006214B">
        <w:t xml:space="preserve"> 2007.</w:t>
      </w:r>
      <w:proofErr w:type="gramEnd"/>
      <w:r w:rsidR="00E07F07" w:rsidRPr="0006214B">
        <w:t xml:space="preserve"> </w:t>
      </w:r>
      <w:proofErr w:type="gramStart"/>
      <w:r>
        <w:t>‘</w:t>
      </w:r>
      <w:r w:rsidR="00E07F07" w:rsidRPr="0006214B">
        <w:t>Impact of permeable conduits on solute transport in aquitards: Mathematical models and their application</w:t>
      </w:r>
      <w:r>
        <w:t>’,</w:t>
      </w:r>
      <w:r w:rsidR="00E07F07" w:rsidRPr="0006214B">
        <w:t xml:space="preserve"> </w:t>
      </w:r>
      <w:r w:rsidR="00CB761B" w:rsidRPr="00A805D9">
        <w:rPr>
          <w:i/>
        </w:rPr>
        <w:t>Water Resources Research</w:t>
      </w:r>
      <w:r w:rsidR="00E07F07" w:rsidRPr="0006214B">
        <w:t xml:space="preserve">, </w:t>
      </w:r>
      <w:r w:rsidR="00CB761B">
        <w:t xml:space="preserve">vol. </w:t>
      </w:r>
      <w:r w:rsidR="00E07F07" w:rsidRPr="0006214B">
        <w:t>43, W05441.</w:t>
      </w:r>
      <w:proofErr w:type="gramEnd"/>
    </w:p>
    <w:p w:rsidR="00E07F07" w:rsidRPr="0006214B" w:rsidRDefault="00E07F07" w:rsidP="00BE7A62">
      <w:pPr>
        <w:pStyle w:val="BRNormal"/>
        <w:spacing w:after="0"/>
        <w:ind w:left="709" w:hanging="709"/>
      </w:pPr>
      <w:proofErr w:type="gramStart"/>
      <w:r w:rsidRPr="0006214B">
        <w:t xml:space="preserve">Harrington GA, Smerdon BD, Gardner WP, Taylor AR </w:t>
      </w:r>
      <w:r w:rsidR="00CB761B">
        <w:t>&amp; Hendry J 2012.</w:t>
      </w:r>
      <w:proofErr w:type="gramEnd"/>
      <w:r w:rsidRPr="0006214B">
        <w:t xml:space="preserve"> ‘Chapter 8: Diffuse discharge’, in: Love AJ, Shand P, Crossey L, Harrington GA </w:t>
      </w:r>
      <w:r w:rsidR="00CB761B">
        <w:t>&amp;</w:t>
      </w:r>
      <w:r w:rsidRPr="0006214B">
        <w:t xml:space="preserve"> Rousseau-Gueutin P (eds) </w:t>
      </w:r>
      <w:r w:rsidRPr="00CB761B">
        <w:rPr>
          <w:i/>
        </w:rPr>
        <w:t>Allocating Water and Maintaining Springs in the Great Artesian Basin Vol. 3: Groundwater discharge of the western Great Artesian Basin, Australia in South Australia and the Northern Territory.</w:t>
      </w:r>
    </w:p>
    <w:p w:rsidR="00E07F07" w:rsidRPr="0006214B" w:rsidRDefault="00CB761B" w:rsidP="00BE7A62">
      <w:pPr>
        <w:pStyle w:val="BRNormal"/>
        <w:spacing w:after="0"/>
        <w:ind w:left="709" w:hanging="709"/>
      </w:pPr>
      <w:r>
        <w:t>Hart DJ, Bradbury</w:t>
      </w:r>
      <w:r w:rsidR="00E07F07" w:rsidRPr="0006214B">
        <w:t xml:space="preserve"> K.</w:t>
      </w:r>
      <w:r>
        <w:t>R &amp; Feinstein DT</w:t>
      </w:r>
      <w:r w:rsidR="00E07F07" w:rsidRPr="0006214B">
        <w:t xml:space="preserve"> 2006. </w:t>
      </w:r>
      <w:proofErr w:type="gramStart"/>
      <w:r>
        <w:t>‘The vertical hydraulic conductivity of an aquitard at two spatial s</w:t>
      </w:r>
      <w:r w:rsidR="00E07F07" w:rsidRPr="0006214B">
        <w:t>cales</w:t>
      </w:r>
      <w:r>
        <w:t>’,</w:t>
      </w:r>
      <w:r w:rsidR="00E07F07" w:rsidRPr="0006214B">
        <w:t xml:space="preserve"> </w:t>
      </w:r>
      <w:r w:rsidR="00E07F07" w:rsidRPr="00CB761B">
        <w:rPr>
          <w:i/>
        </w:rPr>
        <w:t>Ground Water</w:t>
      </w:r>
      <w:r w:rsidR="00E07F07" w:rsidRPr="0006214B">
        <w:t xml:space="preserve">, </w:t>
      </w:r>
      <w:r>
        <w:t xml:space="preserve">vol. </w:t>
      </w:r>
      <w:r w:rsidR="00E07F07" w:rsidRPr="0006214B">
        <w:t xml:space="preserve">44, </w:t>
      </w:r>
      <w:r>
        <w:t xml:space="preserve">pp. </w:t>
      </w:r>
      <w:r w:rsidR="00E07F07" w:rsidRPr="0006214B">
        <w:t>201-211.</w:t>
      </w:r>
      <w:proofErr w:type="gramEnd"/>
    </w:p>
    <w:p w:rsidR="00E07F07" w:rsidRPr="0006214B" w:rsidRDefault="00CB761B" w:rsidP="00BE7A62">
      <w:pPr>
        <w:pStyle w:val="BRNormal"/>
        <w:spacing w:after="0"/>
        <w:ind w:left="709" w:hanging="709"/>
      </w:pPr>
      <w:r>
        <w:t>Hawke AE, James</w:t>
      </w:r>
      <w:r w:rsidR="00E07F07" w:rsidRPr="0006214B">
        <w:t xml:space="preserve"> AR </w:t>
      </w:r>
      <w:r>
        <w:t>&amp; Cox ME 2011.</w:t>
      </w:r>
      <w:r w:rsidR="00E07F07" w:rsidRPr="0006214B">
        <w:t xml:space="preserve"> </w:t>
      </w:r>
      <w:r w:rsidR="00E07F07" w:rsidRPr="00CB761B">
        <w:rPr>
          <w:i/>
        </w:rPr>
        <w:t>Surat-Bowen Cumulative Management Area 3D Management Tool</w:t>
      </w:r>
      <w:r w:rsidR="00E07F07" w:rsidRPr="0006214B">
        <w:t xml:space="preserve">, Groundwater Visualisation System (GVS) 3D model and documentation produced for the Queensland Water Commission, Queensland University of Technology, Brisbane, </w:t>
      </w:r>
      <w:proofErr w:type="gramStart"/>
      <w:r w:rsidR="00E07F07" w:rsidRPr="0006214B">
        <w:t>Qld</w:t>
      </w:r>
      <w:proofErr w:type="gramEnd"/>
      <w:r w:rsidR="00E07F07" w:rsidRPr="0006214B">
        <w:t>.</w:t>
      </w:r>
    </w:p>
    <w:p w:rsidR="00E07F07" w:rsidRPr="0006214B" w:rsidRDefault="00CB761B" w:rsidP="00BE7A62">
      <w:pPr>
        <w:pStyle w:val="BRNormal"/>
        <w:spacing w:after="0"/>
        <w:ind w:left="709" w:hanging="709"/>
      </w:pPr>
      <w:r>
        <w:t>Hawkins P 1978. ‘</w:t>
      </w:r>
      <w:r w:rsidR="00E07F07" w:rsidRPr="0006214B">
        <w:t>Galilee Basin - Review of Petroleum Prospects</w:t>
      </w:r>
      <w:r>
        <w:t>’,</w:t>
      </w:r>
      <w:r w:rsidR="00E07F07" w:rsidRPr="0006214B">
        <w:t xml:space="preserve"> </w:t>
      </w:r>
      <w:r w:rsidR="00E07F07" w:rsidRPr="00CB761B">
        <w:rPr>
          <w:i/>
        </w:rPr>
        <w:t>Queensland Government Mining Journal</w:t>
      </w:r>
      <w:r>
        <w:t>,</w:t>
      </w:r>
      <w:r w:rsidR="00E07F07" w:rsidRPr="0006214B">
        <w:t xml:space="preserve"> </w:t>
      </w:r>
      <w:r>
        <w:t xml:space="preserve">vol. </w:t>
      </w:r>
      <w:r w:rsidR="00E07F07" w:rsidRPr="0006214B">
        <w:t xml:space="preserve">79 (916), </w:t>
      </w:r>
      <w:r>
        <w:t xml:space="preserve">pp. </w:t>
      </w:r>
      <w:r w:rsidR="00E07F07" w:rsidRPr="0006214B">
        <w:t>96-112.</w:t>
      </w:r>
    </w:p>
    <w:p w:rsidR="00E07F07" w:rsidRPr="0006214B" w:rsidRDefault="00CB761B" w:rsidP="00BE7A62">
      <w:pPr>
        <w:pStyle w:val="BRNormal"/>
        <w:spacing w:after="0"/>
        <w:ind w:left="709" w:hanging="709"/>
      </w:pPr>
      <w:r>
        <w:t>Hawkins P</w:t>
      </w:r>
      <w:r w:rsidR="00E07F07" w:rsidRPr="0006214B">
        <w:t xml:space="preserve"> </w:t>
      </w:r>
      <w:r>
        <w:t>&amp;</w:t>
      </w:r>
      <w:r w:rsidR="00E07F07" w:rsidRPr="0006214B">
        <w:t xml:space="preserve"> Green</w:t>
      </w:r>
      <w:r>
        <w:t xml:space="preserve"> P 1993</w:t>
      </w:r>
      <w:r w:rsidR="00E07F07" w:rsidRPr="0006214B">
        <w:t xml:space="preserve">. </w:t>
      </w:r>
      <w:r>
        <w:t>‘</w:t>
      </w:r>
      <w:r w:rsidR="00E07F07" w:rsidRPr="0006214B">
        <w:t>Exploration results, hydrocarbon potential and future strategies for the northern Galilee Basin</w:t>
      </w:r>
      <w:r>
        <w:t>’,</w:t>
      </w:r>
      <w:r w:rsidR="00E07F07" w:rsidRPr="0006214B">
        <w:t xml:space="preserve"> </w:t>
      </w:r>
      <w:r w:rsidR="00E07F07" w:rsidRPr="00CB761B">
        <w:rPr>
          <w:i/>
        </w:rPr>
        <w:t>APEA Journal</w:t>
      </w:r>
      <w:r>
        <w:rPr>
          <w:i/>
        </w:rPr>
        <w:t>,</w:t>
      </w:r>
      <w:r w:rsidR="00E07F07" w:rsidRPr="0006214B">
        <w:t xml:space="preserve"> </w:t>
      </w:r>
      <w:proofErr w:type="gramStart"/>
      <w:r>
        <w:t>vol</w:t>
      </w:r>
      <w:proofErr w:type="gramEnd"/>
      <w:r>
        <w:t xml:space="preserve">. </w:t>
      </w:r>
      <w:r w:rsidR="00E07F07" w:rsidRPr="0006214B">
        <w:t xml:space="preserve">33, </w:t>
      </w:r>
      <w:r>
        <w:t xml:space="preserve">pp. </w:t>
      </w:r>
      <w:r w:rsidR="00E07F07" w:rsidRPr="0006214B">
        <w:t>280-296.</w:t>
      </w:r>
    </w:p>
    <w:p w:rsidR="00E07F07" w:rsidRPr="0006214B" w:rsidRDefault="00CB761B" w:rsidP="00BE7A62">
      <w:pPr>
        <w:pStyle w:val="BRNormal"/>
        <w:spacing w:after="0"/>
        <w:ind w:left="709" w:hanging="709"/>
      </w:pPr>
      <w:r>
        <w:t>Hayes DJ</w:t>
      </w:r>
      <w:r w:rsidR="00E07F07" w:rsidRPr="0006214B">
        <w:t xml:space="preserve"> 2012. </w:t>
      </w:r>
      <w:r w:rsidR="00E07F07" w:rsidRPr="00CB761B">
        <w:rPr>
          <w:i/>
        </w:rPr>
        <w:t>Is the Recent Increase in Felt Earthquakes in the Central US Natural or Manmade?</w:t>
      </w:r>
      <w:r w:rsidR="00E07F07" w:rsidRPr="0006214B">
        <w:t xml:space="preserve"> </w:t>
      </w:r>
      <w:proofErr w:type="gramStart"/>
      <w:r w:rsidR="00E07F07" w:rsidRPr="0006214B">
        <w:t>[Online].</w:t>
      </w:r>
      <w:proofErr w:type="gramEnd"/>
      <w:r w:rsidR="00E07F07" w:rsidRPr="0006214B">
        <w:t xml:space="preserve"> </w:t>
      </w:r>
      <w:proofErr w:type="gramStart"/>
      <w:r w:rsidR="00E07F07" w:rsidRPr="0006214B">
        <w:t>U.S. Depart</w:t>
      </w:r>
      <w:r>
        <w:t>ment of the Interior.</w:t>
      </w:r>
      <w:proofErr w:type="gramEnd"/>
      <w:r>
        <w:t xml:space="preserve">  [</w:t>
      </w:r>
      <w:proofErr w:type="gramStart"/>
      <w:r>
        <w:t>a</w:t>
      </w:r>
      <w:r w:rsidR="00E07F07" w:rsidRPr="0006214B">
        <w:t>ccessed</w:t>
      </w:r>
      <w:proofErr w:type="gramEnd"/>
      <w:r w:rsidR="00E07F07" w:rsidRPr="0006214B">
        <w:t xml:space="preserve"> August 19 2012].</w:t>
      </w:r>
    </w:p>
    <w:p w:rsidR="00E07F07" w:rsidRPr="0006214B" w:rsidRDefault="00CB761B" w:rsidP="00BE7A62">
      <w:pPr>
        <w:pStyle w:val="BRNormal"/>
        <w:spacing w:after="0"/>
        <w:ind w:left="709" w:hanging="709"/>
      </w:pPr>
      <w:proofErr w:type="gramStart"/>
      <w:r>
        <w:t>Heidug WK &amp; Wong S</w:t>
      </w:r>
      <w:r w:rsidR="00E07F07" w:rsidRPr="0006214B">
        <w:t>W 1996</w:t>
      </w:r>
      <w:r>
        <w:t>.</w:t>
      </w:r>
      <w:proofErr w:type="gramEnd"/>
      <w:r w:rsidR="00E07F07" w:rsidRPr="0006214B">
        <w:t xml:space="preserve"> </w:t>
      </w:r>
      <w:proofErr w:type="gramStart"/>
      <w:r>
        <w:t>‘</w:t>
      </w:r>
      <w:r w:rsidR="00E07F07" w:rsidRPr="0006214B">
        <w:t>Hydration swelling of water-absorbing rocks: a constitutive model</w:t>
      </w:r>
      <w:r>
        <w:t xml:space="preserve">’, </w:t>
      </w:r>
      <w:r w:rsidR="00E07F07" w:rsidRPr="00CB761B">
        <w:rPr>
          <w:i/>
        </w:rPr>
        <w:t>Int J Numer Anal Methods Geomech</w:t>
      </w:r>
      <w:r w:rsidR="00E07F07" w:rsidRPr="0006214B">
        <w:t xml:space="preserve">, </w:t>
      </w:r>
      <w:r>
        <w:t xml:space="preserve">vol. </w:t>
      </w:r>
      <w:r w:rsidR="00E07F07" w:rsidRPr="0006214B">
        <w:t xml:space="preserve">20, </w:t>
      </w:r>
      <w:r>
        <w:t xml:space="preserve">pp. </w:t>
      </w:r>
      <w:r w:rsidR="00E07F07" w:rsidRPr="0006214B">
        <w:t>403–430</w:t>
      </w:r>
      <w:r>
        <w:t>.</w:t>
      </w:r>
      <w:proofErr w:type="gramEnd"/>
    </w:p>
    <w:p w:rsidR="00E07F07" w:rsidRPr="0006214B" w:rsidRDefault="00CB761B" w:rsidP="00BE7A62">
      <w:pPr>
        <w:pStyle w:val="BRNormal"/>
        <w:spacing w:after="0"/>
        <w:ind w:left="709" w:hanging="709"/>
      </w:pPr>
      <w:proofErr w:type="gramStart"/>
      <w:r>
        <w:t>Hendry MJ, Barbour SL, Zettl J, Chostner V</w:t>
      </w:r>
      <w:r w:rsidR="00E07F07" w:rsidRPr="0006214B">
        <w:t xml:space="preserve"> &amp; Wassenaar</w:t>
      </w:r>
      <w:r>
        <w:t xml:space="preserve"> LI</w:t>
      </w:r>
      <w:r w:rsidR="00E07F07" w:rsidRPr="0006214B">
        <w:t xml:space="preserve"> 2011.</w:t>
      </w:r>
      <w:proofErr w:type="gramEnd"/>
      <w:r w:rsidR="00E07F07" w:rsidRPr="0006214B">
        <w:t xml:space="preserve"> </w:t>
      </w:r>
      <w:r>
        <w:t>‘</w:t>
      </w:r>
      <w:r w:rsidR="00E07F07" w:rsidRPr="0006214B">
        <w:t>Controls on the long-term downward transport of δ²H of water in a regionally extensive, two-layered aquitard system</w:t>
      </w:r>
      <w:r>
        <w:t>’,</w:t>
      </w:r>
      <w:r w:rsidR="00E07F07" w:rsidRPr="0006214B">
        <w:t xml:space="preserve"> </w:t>
      </w:r>
      <w:r w:rsidR="00E07F07" w:rsidRPr="00CB761B">
        <w:rPr>
          <w:i/>
        </w:rPr>
        <w:t>Water Resources Research</w:t>
      </w:r>
      <w:r w:rsidR="00E07F07" w:rsidRPr="0006214B">
        <w:t xml:space="preserve">, </w:t>
      </w:r>
      <w:r>
        <w:t xml:space="preserve">vol. </w:t>
      </w:r>
      <w:r w:rsidR="00E07F07" w:rsidRPr="0006214B">
        <w:t>47, W06505.</w:t>
      </w:r>
    </w:p>
    <w:p w:rsidR="00E07F07" w:rsidRPr="0006214B" w:rsidRDefault="00CB761B" w:rsidP="00BE7A62">
      <w:pPr>
        <w:pStyle w:val="BRNormal"/>
        <w:spacing w:after="0"/>
        <w:ind w:left="709" w:hanging="709"/>
      </w:pPr>
      <w:proofErr w:type="gramStart"/>
      <w:r>
        <w:t>Hendry MJ, Kelln CJ, Wassenaar LI &amp; Shaw J</w:t>
      </w:r>
      <w:r w:rsidR="00E07F07" w:rsidRPr="0006214B">
        <w:t xml:space="preserve"> 2004.</w:t>
      </w:r>
      <w:proofErr w:type="gramEnd"/>
      <w:r w:rsidR="00E07F07" w:rsidRPr="0006214B">
        <w:t xml:space="preserve"> </w:t>
      </w:r>
      <w:r>
        <w:t>‘</w:t>
      </w:r>
      <w:r w:rsidR="00E07F07" w:rsidRPr="0006214B">
        <w:t>Characterizing the hydrogeology of a complex clay-rich aquitard system using detailed vertical profiles of the stable isotopes of water</w:t>
      </w:r>
      <w:r>
        <w:t xml:space="preserve">’, </w:t>
      </w:r>
      <w:r w:rsidR="00E07F07" w:rsidRPr="00CB761B">
        <w:rPr>
          <w:i/>
        </w:rPr>
        <w:t>Journal of Hydrology</w:t>
      </w:r>
      <w:r w:rsidR="00E07F07" w:rsidRPr="0006214B">
        <w:t xml:space="preserve">, </w:t>
      </w:r>
      <w:r>
        <w:t xml:space="preserve">vol. </w:t>
      </w:r>
      <w:r w:rsidR="00E07F07" w:rsidRPr="0006214B">
        <w:t xml:space="preserve">293, </w:t>
      </w:r>
      <w:r>
        <w:t xml:space="preserve">pp. </w:t>
      </w:r>
      <w:r w:rsidR="00E07F07" w:rsidRPr="0006214B">
        <w:t>47-56.</w:t>
      </w:r>
    </w:p>
    <w:p w:rsidR="00E07F07" w:rsidRPr="0006214B" w:rsidRDefault="00CB761B" w:rsidP="00BE7A62">
      <w:pPr>
        <w:pStyle w:val="BRNormal"/>
        <w:spacing w:after="0"/>
        <w:ind w:left="709" w:hanging="709"/>
      </w:pPr>
      <w:r>
        <w:t>Hendry MJ, Kotzer TG &amp; Solomon DK</w:t>
      </w:r>
      <w:r w:rsidR="00E07F07" w:rsidRPr="0006214B">
        <w:t xml:space="preserve"> 2005. </w:t>
      </w:r>
      <w:r>
        <w:t>‘</w:t>
      </w:r>
      <w:r w:rsidR="00E07F07" w:rsidRPr="0006214B">
        <w:t>Sources of radiogenic helium in a clay till aquitard and its use to evaluate the timing of geologic events</w:t>
      </w:r>
      <w:r>
        <w:t>’,</w:t>
      </w:r>
      <w:r w:rsidR="00E07F07" w:rsidRPr="0006214B">
        <w:t xml:space="preserve"> </w:t>
      </w:r>
      <w:r w:rsidR="00E07F07" w:rsidRPr="00CB761B">
        <w:rPr>
          <w:i/>
        </w:rPr>
        <w:t xml:space="preserve">Geochimica </w:t>
      </w:r>
      <w:proofErr w:type="gramStart"/>
      <w:r w:rsidR="00E07F07" w:rsidRPr="00CB761B">
        <w:rPr>
          <w:i/>
        </w:rPr>
        <w:t>et</w:t>
      </w:r>
      <w:proofErr w:type="gramEnd"/>
      <w:r w:rsidR="00E07F07" w:rsidRPr="00CB761B">
        <w:rPr>
          <w:i/>
        </w:rPr>
        <w:t xml:space="preserve"> Cosmochimica Acta</w:t>
      </w:r>
      <w:r w:rsidR="00E07F07" w:rsidRPr="0006214B">
        <w:t xml:space="preserve">, </w:t>
      </w:r>
      <w:r>
        <w:t xml:space="preserve">vol. </w:t>
      </w:r>
      <w:r w:rsidR="00E07F07" w:rsidRPr="0006214B">
        <w:t xml:space="preserve">69, </w:t>
      </w:r>
      <w:r>
        <w:t xml:space="preserve">pp. </w:t>
      </w:r>
      <w:r w:rsidR="00E07F07" w:rsidRPr="0006214B">
        <w:t>475-483.</w:t>
      </w:r>
    </w:p>
    <w:p w:rsidR="00E07F07" w:rsidRPr="0006214B" w:rsidRDefault="00CB761B" w:rsidP="00BE7A62">
      <w:pPr>
        <w:pStyle w:val="BRNormal"/>
        <w:spacing w:after="0"/>
        <w:ind w:left="709" w:hanging="709"/>
      </w:pPr>
      <w:proofErr w:type="gramStart"/>
      <w:r>
        <w:t>Hendry M</w:t>
      </w:r>
      <w:r w:rsidR="00E07F07" w:rsidRPr="0006214B">
        <w:t>J</w:t>
      </w:r>
      <w:r>
        <w:t xml:space="preserve"> &amp; Wassenaar LI</w:t>
      </w:r>
      <w:r w:rsidR="00E07F07" w:rsidRPr="0006214B">
        <w:t xml:space="preserve"> 1999.</w:t>
      </w:r>
      <w:proofErr w:type="gramEnd"/>
      <w:r w:rsidR="00E07F07" w:rsidRPr="0006214B">
        <w:t xml:space="preserve"> </w:t>
      </w:r>
      <w:proofErr w:type="gramStart"/>
      <w:r>
        <w:t>‘</w:t>
      </w:r>
      <w:r w:rsidR="00E07F07" w:rsidRPr="0006214B">
        <w:t>Implications of the distribution of δD in pore waters for groundwater flow and the timing of geologic events in a thick aquitard system</w:t>
      </w:r>
      <w:r>
        <w:t>’,</w:t>
      </w:r>
      <w:r w:rsidR="00E07F07" w:rsidRPr="0006214B">
        <w:t xml:space="preserve"> </w:t>
      </w:r>
      <w:r w:rsidR="00E07F07" w:rsidRPr="00CB761B">
        <w:rPr>
          <w:i/>
        </w:rPr>
        <w:t>Water</w:t>
      </w:r>
      <w:r w:rsidR="00E07F07" w:rsidRPr="0006214B">
        <w:t xml:space="preserve"> </w:t>
      </w:r>
      <w:r w:rsidR="00E07F07" w:rsidRPr="00CB761B">
        <w:rPr>
          <w:i/>
        </w:rPr>
        <w:t>Resources Research</w:t>
      </w:r>
      <w:r w:rsidR="00E07F07" w:rsidRPr="0006214B">
        <w:t xml:space="preserve">, </w:t>
      </w:r>
      <w:r>
        <w:t xml:space="preserve">vol. </w:t>
      </w:r>
      <w:r w:rsidR="00E07F07" w:rsidRPr="0006214B">
        <w:t xml:space="preserve">35, </w:t>
      </w:r>
      <w:r>
        <w:t xml:space="preserve">pp. </w:t>
      </w:r>
      <w:r w:rsidR="00E07F07" w:rsidRPr="0006214B">
        <w:t>1751-1760.</w:t>
      </w:r>
      <w:proofErr w:type="gramEnd"/>
    </w:p>
    <w:p w:rsidR="00E07F07" w:rsidRPr="0006214B" w:rsidRDefault="002F0B30" w:rsidP="00BE7A62">
      <w:pPr>
        <w:pStyle w:val="BRNormal"/>
        <w:spacing w:after="0"/>
        <w:ind w:left="709" w:hanging="709"/>
      </w:pPr>
      <w:proofErr w:type="gramStart"/>
      <w:r>
        <w:lastRenderedPageBreak/>
        <w:t>Hendry MJ &amp; Wassenaar LI</w:t>
      </w:r>
      <w:r w:rsidR="00E07F07" w:rsidRPr="0006214B">
        <w:t xml:space="preserve"> 2009.</w:t>
      </w:r>
      <w:proofErr w:type="gramEnd"/>
      <w:r w:rsidR="00E07F07" w:rsidRPr="0006214B">
        <w:t xml:space="preserve"> </w:t>
      </w:r>
      <w:proofErr w:type="gramStart"/>
      <w:r>
        <w:t>‘</w:t>
      </w:r>
      <w:r w:rsidR="00E07F07" w:rsidRPr="0006214B">
        <w:t>Inferring Heterogeneity in Aquitards Using High-Resolution δD and δ18O Profiles</w:t>
      </w:r>
      <w:r>
        <w:t>’,</w:t>
      </w:r>
      <w:r w:rsidR="00E07F07" w:rsidRPr="0006214B">
        <w:t xml:space="preserve"> </w:t>
      </w:r>
      <w:r w:rsidR="00E07F07" w:rsidRPr="002F0B30">
        <w:rPr>
          <w:i/>
        </w:rPr>
        <w:t>Ground Water</w:t>
      </w:r>
      <w:r w:rsidR="00E07F07" w:rsidRPr="0006214B">
        <w:t xml:space="preserve">, </w:t>
      </w:r>
      <w:r>
        <w:t xml:space="preserve">vol. </w:t>
      </w:r>
      <w:r w:rsidR="00E07F07" w:rsidRPr="0006214B">
        <w:t xml:space="preserve">47, </w:t>
      </w:r>
      <w:r>
        <w:t xml:space="preserve">pp. </w:t>
      </w:r>
      <w:r w:rsidR="00E07F07" w:rsidRPr="0006214B">
        <w:t>639-645.</w:t>
      </w:r>
      <w:proofErr w:type="gramEnd"/>
    </w:p>
    <w:p w:rsidR="00E07F07" w:rsidRPr="0006214B" w:rsidRDefault="002F0B30" w:rsidP="00BE7A62">
      <w:pPr>
        <w:pStyle w:val="BRNormal"/>
        <w:spacing w:after="0"/>
        <w:ind w:left="709" w:hanging="709"/>
      </w:pPr>
      <w:proofErr w:type="gramStart"/>
      <w:r>
        <w:t>Hendry MJ, Wassenaar LI &amp; Kotzer T</w:t>
      </w:r>
      <w:r w:rsidR="00E07F07" w:rsidRPr="0006214B">
        <w:t xml:space="preserve"> 2000.</w:t>
      </w:r>
      <w:proofErr w:type="gramEnd"/>
      <w:r w:rsidR="00E07F07" w:rsidRPr="0006214B">
        <w:t xml:space="preserve"> </w:t>
      </w:r>
      <w:proofErr w:type="gramStart"/>
      <w:r>
        <w:t>‘</w:t>
      </w:r>
      <w:r w:rsidR="00E07F07" w:rsidRPr="0006214B">
        <w:t>Chloride and chlorine isotopes (36Cl and δ37Cl) as tracers of solute migration in a thick, clay-rich aquitard system</w:t>
      </w:r>
      <w:r>
        <w:t>’,</w:t>
      </w:r>
      <w:r w:rsidR="00E07F07" w:rsidRPr="0006214B">
        <w:t xml:space="preserve"> </w:t>
      </w:r>
      <w:r w:rsidR="00E07F07" w:rsidRPr="002F0B30">
        <w:rPr>
          <w:i/>
        </w:rPr>
        <w:t>Water Resources</w:t>
      </w:r>
      <w:r w:rsidR="00E07F07" w:rsidRPr="0006214B">
        <w:t xml:space="preserve"> </w:t>
      </w:r>
      <w:r w:rsidR="00E07F07" w:rsidRPr="002F0B30">
        <w:rPr>
          <w:i/>
        </w:rPr>
        <w:t>Research</w:t>
      </w:r>
      <w:r w:rsidR="00E07F07" w:rsidRPr="0006214B">
        <w:t xml:space="preserve">, </w:t>
      </w:r>
      <w:r>
        <w:t xml:space="preserve">vol. </w:t>
      </w:r>
      <w:r w:rsidR="00E07F07" w:rsidRPr="0006214B">
        <w:t xml:space="preserve">36, </w:t>
      </w:r>
      <w:r>
        <w:t xml:space="preserve">pp. </w:t>
      </w:r>
      <w:r w:rsidR="00E07F07" w:rsidRPr="0006214B">
        <w:t>285-296.</w:t>
      </w:r>
      <w:proofErr w:type="gramEnd"/>
    </w:p>
    <w:p w:rsidR="00E07F07" w:rsidRPr="0006214B" w:rsidRDefault="002F0B30" w:rsidP="00BE7A62">
      <w:pPr>
        <w:pStyle w:val="BRNormal"/>
        <w:spacing w:after="0"/>
        <w:ind w:left="709" w:hanging="709"/>
      </w:pPr>
      <w:r>
        <w:t>Hennig A 2005.</w:t>
      </w:r>
      <w:r w:rsidR="00E07F07" w:rsidRPr="0006214B">
        <w:t xml:space="preserve"> </w:t>
      </w:r>
      <w:r w:rsidR="00E07F07" w:rsidRPr="002F0B30">
        <w:rPr>
          <w:i/>
        </w:rPr>
        <w:t>A summary of the Southern Eromanga and Surat Basins of the Great Artesian Basin</w:t>
      </w:r>
      <w:r w:rsidR="00E07F07" w:rsidRPr="0006214B">
        <w:t xml:space="preserve">. </w:t>
      </w:r>
      <w:proofErr w:type="gramStart"/>
      <w:r w:rsidR="00E07F07" w:rsidRPr="0006214B">
        <w:t>Cooperative Research Centre for Greenhouse Gas Technologies, Publication RPT05-0024.</w:t>
      </w:r>
      <w:proofErr w:type="gramEnd"/>
    </w:p>
    <w:p w:rsidR="00E07F07" w:rsidRPr="0006214B" w:rsidRDefault="002F0B30" w:rsidP="00BE7A62">
      <w:pPr>
        <w:pStyle w:val="BRNormal"/>
        <w:spacing w:after="0"/>
        <w:ind w:left="709" w:hanging="709"/>
      </w:pPr>
      <w:r>
        <w:t>Hennig</w:t>
      </w:r>
      <w:r w:rsidR="00E07F07" w:rsidRPr="0006214B">
        <w:t xml:space="preserve"> A, Und</w:t>
      </w:r>
      <w:r>
        <w:t>erschultz J, Johnson L, Otto C &amp; Trefry C 2006.</w:t>
      </w:r>
      <w:r w:rsidR="00E07F07" w:rsidRPr="0006214B">
        <w:t xml:space="preserve"> </w:t>
      </w:r>
      <w:r w:rsidR="00E07F07" w:rsidRPr="002F0B30">
        <w:rPr>
          <w:i/>
        </w:rPr>
        <w:t>Hydrodynamic Characterisation of the Triassic Showgrounds Aquifer at the Wunger Ridge Site in Queensland: Assessing Suitability for CO2 Sequestration</w:t>
      </w:r>
      <w:r w:rsidR="00E07F07" w:rsidRPr="0006214B">
        <w:t xml:space="preserve">. </w:t>
      </w:r>
      <w:proofErr w:type="gramStart"/>
      <w:r w:rsidR="00E07F07" w:rsidRPr="0006214B">
        <w:t>Appendix 10.6.3 of report no.RPT05-0225.</w:t>
      </w:r>
      <w:proofErr w:type="gramEnd"/>
      <w:r w:rsidR="00E07F07" w:rsidRPr="0006214B">
        <w:t xml:space="preserve"> </w:t>
      </w:r>
      <w:proofErr w:type="gramStart"/>
      <w:r w:rsidR="00E07F07" w:rsidRPr="0006214B">
        <w:t>Cooperative Research Centre for Greenhouse Gas Technologies, Canberra.</w:t>
      </w:r>
      <w:proofErr w:type="gramEnd"/>
      <w:r w:rsidR="00E07F07" w:rsidRPr="0006214B">
        <w:t xml:space="preserve"> Report Number RPT06-0036.</w:t>
      </w:r>
    </w:p>
    <w:p w:rsidR="00E07F07" w:rsidRPr="0006214B" w:rsidRDefault="002F0B30" w:rsidP="00BE7A62">
      <w:pPr>
        <w:pStyle w:val="BRNormal"/>
        <w:spacing w:after="0"/>
        <w:ind w:left="709" w:hanging="709"/>
      </w:pPr>
      <w:proofErr w:type="gramStart"/>
      <w:r>
        <w:t>Herczeg A &amp; Edmunds WM</w:t>
      </w:r>
      <w:r w:rsidR="00E07F07" w:rsidRPr="0006214B">
        <w:t xml:space="preserve"> 2000.</w:t>
      </w:r>
      <w:proofErr w:type="gramEnd"/>
      <w:r w:rsidR="00E07F07" w:rsidRPr="0006214B">
        <w:t xml:space="preserve"> </w:t>
      </w:r>
      <w:r>
        <w:t>‘</w:t>
      </w:r>
      <w:r w:rsidR="00E07F07" w:rsidRPr="0006214B">
        <w:t>Inorganic Ions as Tracers</w:t>
      </w:r>
      <w:r>
        <w:t>’</w:t>
      </w:r>
      <w:r w:rsidR="00E07F07" w:rsidRPr="0006214B">
        <w:t xml:space="preserve"> In: C</w:t>
      </w:r>
      <w:r>
        <w:t>ook</w:t>
      </w:r>
      <w:r w:rsidR="00E07F07" w:rsidRPr="0006214B">
        <w:t xml:space="preserve"> PG &amp; H</w:t>
      </w:r>
      <w:r>
        <w:t>erczeg</w:t>
      </w:r>
      <w:r w:rsidR="00E07F07" w:rsidRPr="0006214B">
        <w:t xml:space="preserve"> A</w:t>
      </w:r>
      <w:r>
        <w:t xml:space="preserve"> </w:t>
      </w:r>
      <w:r w:rsidR="00E07F07" w:rsidRPr="0006214B">
        <w:t xml:space="preserve">(eds.) </w:t>
      </w:r>
      <w:r w:rsidR="00E07F07" w:rsidRPr="002F0B30">
        <w:rPr>
          <w:i/>
        </w:rPr>
        <w:t>Environmental Tracers in Subsurface Hydrogeology</w:t>
      </w:r>
      <w:r w:rsidR="00E07F07" w:rsidRPr="0006214B">
        <w:t>. Boston: Kluwer Academic Publishers.</w:t>
      </w:r>
    </w:p>
    <w:p w:rsidR="00E07F07" w:rsidRPr="0006214B" w:rsidRDefault="00E07F07" w:rsidP="00BE7A62">
      <w:pPr>
        <w:pStyle w:val="BRNormal"/>
        <w:spacing w:after="0"/>
        <w:ind w:left="709" w:hanging="709"/>
      </w:pPr>
      <w:proofErr w:type="gramStart"/>
      <w:r w:rsidRPr="0006214B">
        <w:t xml:space="preserve">Herczeg AL, Torgersen T, Chivas AR </w:t>
      </w:r>
      <w:r w:rsidR="002F0B30">
        <w:t xml:space="preserve">&amp; Habermehl MA </w:t>
      </w:r>
      <w:r w:rsidRPr="0006214B">
        <w:t>1991</w:t>
      </w:r>
      <w:r w:rsidR="002F0B30">
        <w:t>.</w:t>
      </w:r>
      <w:proofErr w:type="gramEnd"/>
      <w:r w:rsidRPr="0006214B">
        <w:t xml:space="preserve"> </w:t>
      </w:r>
      <w:proofErr w:type="gramStart"/>
      <w:r w:rsidRPr="0006214B">
        <w:t xml:space="preserve">‘Geochemistry of ground waters from the Great Artesian Basin, Australia’, </w:t>
      </w:r>
      <w:r w:rsidRPr="002F0B30">
        <w:rPr>
          <w:i/>
        </w:rPr>
        <w:t>Journal of Hydrology</w:t>
      </w:r>
      <w:r w:rsidRPr="0006214B">
        <w:t>, vol.126, pp.225-245.</w:t>
      </w:r>
      <w:proofErr w:type="gramEnd"/>
    </w:p>
    <w:p w:rsidR="00F54DAA" w:rsidRPr="0006214B" w:rsidRDefault="002F0B30" w:rsidP="00BE7A62">
      <w:pPr>
        <w:pStyle w:val="BRNormal"/>
        <w:spacing w:after="0"/>
        <w:ind w:left="709" w:hanging="709"/>
      </w:pPr>
      <w:r>
        <w:t>Herczeg A</w:t>
      </w:r>
      <w:r w:rsidR="003614FB" w:rsidRPr="0006214B">
        <w:t xml:space="preserve"> </w:t>
      </w:r>
      <w:r>
        <w:t>&amp; Love</w:t>
      </w:r>
      <w:r w:rsidR="003614FB" w:rsidRPr="0006214B">
        <w:t xml:space="preserve"> </w:t>
      </w:r>
      <w:proofErr w:type="gramStart"/>
      <w:r w:rsidR="003614FB" w:rsidRPr="0006214B">
        <w:t>A</w:t>
      </w:r>
      <w:proofErr w:type="gramEnd"/>
      <w:r>
        <w:t xml:space="preserve"> </w:t>
      </w:r>
      <w:r w:rsidR="003614FB" w:rsidRPr="0006214B">
        <w:t xml:space="preserve">2007. </w:t>
      </w:r>
      <w:r w:rsidR="003614FB" w:rsidRPr="002F0B30">
        <w:rPr>
          <w:i/>
        </w:rPr>
        <w:t>Review of recharge mechanisms for the Great Artesian Basin</w:t>
      </w:r>
      <w:r w:rsidR="003614FB" w:rsidRPr="0006214B">
        <w:t>. Report to the Great Artesian Basin Coordinating Committee under the auspices of a Consultancy Agreement: Commonwealth Dept of Environment and Water Resources, Canberra.CSIRO Water for a Healthy Country National Research Flagship report. Adelaide: CSIRO</w:t>
      </w:r>
    </w:p>
    <w:p w:rsidR="00E07F07" w:rsidRPr="0006214B" w:rsidRDefault="002F0B30" w:rsidP="00BE7A62">
      <w:pPr>
        <w:pStyle w:val="BRNormal"/>
        <w:spacing w:after="0"/>
        <w:ind w:left="709" w:hanging="709"/>
      </w:pPr>
      <w:proofErr w:type="gramStart"/>
      <w:r>
        <w:t>Hillier JR 2010.</w:t>
      </w:r>
      <w:proofErr w:type="gramEnd"/>
      <w:r w:rsidR="00E07F07" w:rsidRPr="0006214B">
        <w:t xml:space="preserve"> </w:t>
      </w:r>
      <w:r w:rsidR="00E07F07" w:rsidRPr="002F0B30">
        <w:rPr>
          <w:i/>
        </w:rPr>
        <w:t>Groundwater connections between the Walloon Coal Measures and the Alluvium of the Condamine River</w:t>
      </w:r>
      <w:r w:rsidR="00E07F07" w:rsidRPr="0006214B">
        <w:t>, report for Cent</w:t>
      </w:r>
      <w:r>
        <w:t>ral Downs Irrigators Ltd, 23p, (</w:t>
      </w:r>
      <w:r w:rsidR="005B1E64" w:rsidRPr="009308A0">
        <w:t>http://www.cdil.com.au/documents/JHillierfinaldoc.pdf</w:t>
      </w:r>
      <w:r w:rsidR="005B1E64">
        <w:t xml:space="preserve"> [accessed 23 April 2014]</w:t>
      </w:r>
      <w:r>
        <w:t>)</w:t>
      </w:r>
      <w:r w:rsidR="00E07F07" w:rsidRPr="0006214B">
        <w:t>.</w:t>
      </w:r>
    </w:p>
    <w:p w:rsidR="00E07F07" w:rsidRPr="0006214B" w:rsidRDefault="00E07F07" w:rsidP="00BE7A62">
      <w:pPr>
        <w:pStyle w:val="BRNormal"/>
        <w:spacing w:after="0"/>
        <w:ind w:left="709" w:hanging="709"/>
      </w:pPr>
      <w:proofErr w:type="gramStart"/>
      <w:r w:rsidRPr="0006214B">
        <w:t xml:space="preserve">Hillis RR, </w:t>
      </w:r>
      <w:r w:rsidR="005B1E64">
        <w:t>Enever JR &amp; Reynolds SD 1999.</w:t>
      </w:r>
      <w:proofErr w:type="gramEnd"/>
      <w:r w:rsidRPr="0006214B">
        <w:t xml:space="preserve"> </w:t>
      </w:r>
      <w:proofErr w:type="gramStart"/>
      <w:r w:rsidRPr="0006214B">
        <w:t xml:space="preserve">‘In situ stress field of Eastern Australia’, </w:t>
      </w:r>
      <w:r w:rsidRPr="005B1E64">
        <w:rPr>
          <w:i/>
        </w:rPr>
        <w:t>Australian Journal of Earth Sciences</w:t>
      </w:r>
      <w:r w:rsidRPr="0006214B">
        <w:t>, vol.46, pp.813-825.</w:t>
      </w:r>
      <w:proofErr w:type="gramEnd"/>
    </w:p>
    <w:p w:rsidR="00E07F07" w:rsidRPr="0006214B" w:rsidRDefault="005B1E64" w:rsidP="00BE7A62">
      <w:pPr>
        <w:pStyle w:val="BRNormal"/>
        <w:spacing w:after="0"/>
        <w:ind w:left="709" w:hanging="709"/>
      </w:pPr>
      <w:proofErr w:type="gramStart"/>
      <w:r>
        <w:t>Hillis RR, Meyer JJ</w:t>
      </w:r>
      <w:r w:rsidR="00E07F07" w:rsidRPr="0006214B">
        <w:t xml:space="preserve"> </w:t>
      </w:r>
      <w:r>
        <w:t>&amp; Reynolds SD 1998.</w:t>
      </w:r>
      <w:proofErr w:type="gramEnd"/>
      <w:r w:rsidR="00E07F07" w:rsidRPr="0006214B">
        <w:t xml:space="preserve"> </w:t>
      </w:r>
      <w:proofErr w:type="gramStart"/>
      <w:r w:rsidR="00E07F07" w:rsidRPr="0006214B">
        <w:t xml:space="preserve">‘The Australian stress map’, </w:t>
      </w:r>
      <w:r w:rsidR="00E07F07" w:rsidRPr="005B1E64">
        <w:rPr>
          <w:i/>
        </w:rPr>
        <w:t>Exploration</w:t>
      </w:r>
      <w:r w:rsidR="00E07F07" w:rsidRPr="0006214B">
        <w:t xml:space="preserve"> </w:t>
      </w:r>
      <w:r w:rsidR="00E07F07" w:rsidRPr="005B1E64">
        <w:rPr>
          <w:i/>
        </w:rPr>
        <w:t>Geophysics</w:t>
      </w:r>
      <w:r w:rsidR="00E07F07" w:rsidRPr="0006214B">
        <w:t>, vol. 29, pp.420-427.</w:t>
      </w:r>
      <w:proofErr w:type="gramEnd"/>
      <w:r w:rsidR="00E21F7B" w:rsidRPr="0006214B">
        <w:t xml:space="preserve"> (www.asprg.adelaide.edu.au/asm).</w:t>
      </w:r>
    </w:p>
    <w:p w:rsidR="00E07F07" w:rsidRPr="0006214B" w:rsidRDefault="00E07F07" w:rsidP="00BE7A62">
      <w:pPr>
        <w:pStyle w:val="BRNormal"/>
        <w:spacing w:after="0"/>
        <w:ind w:left="709" w:hanging="709"/>
      </w:pPr>
      <w:proofErr w:type="gramStart"/>
      <w:r w:rsidRPr="0006214B">
        <w:t xml:space="preserve">Hillis RR </w:t>
      </w:r>
      <w:r w:rsidR="005B1E64">
        <w:t>&amp; Reynolds SD 2003.</w:t>
      </w:r>
      <w:proofErr w:type="gramEnd"/>
      <w:r w:rsidRPr="0006214B">
        <w:t xml:space="preserve"> ‘Chapter 4: In situ stress field of Australia’, in: Hillis </w:t>
      </w:r>
      <w:r w:rsidR="005B1E64">
        <w:t>&amp;</w:t>
      </w:r>
      <w:r w:rsidRPr="0006214B">
        <w:t xml:space="preserve"> Muller (</w:t>
      </w:r>
      <w:proofErr w:type="gramStart"/>
      <w:r w:rsidRPr="0006214B">
        <w:t>eds</w:t>
      </w:r>
      <w:proofErr w:type="gramEnd"/>
      <w:r w:rsidRPr="0006214B">
        <w:t xml:space="preserve">) </w:t>
      </w:r>
      <w:r w:rsidRPr="005B1E64">
        <w:rPr>
          <w:i/>
        </w:rPr>
        <w:t>Evolution and dynamics of the Australian plate</w:t>
      </w:r>
      <w:r w:rsidRPr="0006214B">
        <w:t>, Geological Society of Australia Special Publication 22, pp.43-52.</w:t>
      </w:r>
    </w:p>
    <w:p w:rsidR="00E07F07" w:rsidRPr="0006214B" w:rsidRDefault="00E07F07" w:rsidP="00BE7A62">
      <w:pPr>
        <w:pStyle w:val="BRNormal"/>
        <w:spacing w:after="0"/>
        <w:ind w:left="709" w:hanging="709"/>
      </w:pPr>
      <w:proofErr w:type="gramStart"/>
      <w:r w:rsidRPr="0006214B">
        <w:t xml:space="preserve">Hitchon B </w:t>
      </w:r>
      <w:r w:rsidR="005B1E64">
        <w:t>&amp; Hays J 1971.</w:t>
      </w:r>
      <w:proofErr w:type="gramEnd"/>
      <w:r w:rsidRPr="0006214B">
        <w:t xml:space="preserve"> ‘Hydrodynamics and hydrocarbon occurrences Surat Basin, Queensland, Australia’, </w:t>
      </w:r>
      <w:r w:rsidRPr="005B1E64">
        <w:rPr>
          <w:i/>
        </w:rPr>
        <w:t>Water Resources Research</w:t>
      </w:r>
      <w:r w:rsidRPr="0006214B">
        <w:t xml:space="preserve">, </w:t>
      </w:r>
      <w:proofErr w:type="gramStart"/>
      <w:r w:rsidRPr="0006214B">
        <w:t>vol.7(</w:t>
      </w:r>
      <w:proofErr w:type="gramEnd"/>
      <w:r w:rsidRPr="0006214B">
        <w:t>3), pp.658-676.</w:t>
      </w:r>
    </w:p>
    <w:p w:rsidR="00E07F07" w:rsidRPr="0006214B" w:rsidRDefault="005B1E64" w:rsidP="00BE7A62">
      <w:pPr>
        <w:pStyle w:val="BRNormal"/>
        <w:spacing w:after="0"/>
        <w:ind w:left="709" w:hanging="709"/>
      </w:pPr>
      <w:proofErr w:type="gramStart"/>
      <w:r>
        <w:t>Hodgkinson J 2008.</w:t>
      </w:r>
      <w:proofErr w:type="gramEnd"/>
      <w:r w:rsidR="00E07F07" w:rsidRPr="0006214B">
        <w:t xml:space="preserve"> </w:t>
      </w:r>
      <w:proofErr w:type="gramStart"/>
      <w:r w:rsidR="00E07F07" w:rsidRPr="005B1E64">
        <w:rPr>
          <w:i/>
        </w:rPr>
        <w:t>Queensland coal inventory</w:t>
      </w:r>
      <w:r w:rsidR="00E07F07" w:rsidRPr="0006214B">
        <w:t>.</w:t>
      </w:r>
      <w:proofErr w:type="gramEnd"/>
      <w:r w:rsidR="00E07F07" w:rsidRPr="0006214B">
        <w:t xml:space="preserve"> </w:t>
      </w:r>
      <w:proofErr w:type="gramStart"/>
      <w:r w:rsidR="00E07F07" w:rsidRPr="0006214B">
        <w:t>Geological Survey of Queensland.</w:t>
      </w:r>
      <w:proofErr w:type="gramEnd"/>
    </w:p>
    <w:p w:rsidR="00E07F07" w:rsidRPr="0006214B" w:rsidRDefault="00E07F07" w:rsidP="00BE7A62">
      <w:pPr>
        <w:pStyle w:val="BRNormal"/>
        <w:spacing w:after="0"/>
        <w:ind w:left="709" w:hanging="709"/>
      </w:pPr>
      <w:proofErr w:type="gramStart"/>
      <w:r w:rsidRPr="0006214B">
        <w:t xml:space="preserve">Hodgkinson J </w:t>
      </w:r>
      <w:r w:rsidR="005B1E64">
        <w:t>&amp;</w:t>
      </w:r>
      <w:r w:rsidRPr="0006214B">
        <w:t xml:space="preserve"> Gri</w:t>
      </w:r>
      <w:r w:rsidR="005B1E64">
        <w:t>gorescu M 2012.</w:t>
      </w:r>
      <w:proofErr w:type="gramEnd"/>
      <w:r w:rsidRPr="0006214B">
        <w:t xml:space="preserve"> </w:t>
      </w:r>
      <w:proofErr w:type="gramStart"/>
      <w:r w:rsidRPr="0006214B">
        <w:t xml:space="preserve">‘Background research for selection of potential geostorage targets - case studies from the Surat Basin, Queensland’, </w:t>
      </w:r>
      <w:r w:rsidRPr="005B1E64">
        <w:rPr>
          <w:i/>
        </w:rPr>
        <w:t>Australian Journal of Earth Sciences</w:t>
      </w:r>
      <w:r w:rsidRPr="0006214B">
        <w:t>, DOI:10.1080/08120099.2012.662913.</w:t>
      </w:r>
      <w:proofErr w:type="gramEnd"/>
    </w:p>
    <w:p w:rsidR="00E07F07" w:rsidRPr="0006214B" w:rsidRDefault="005B1E64" w:rsidP="00BE7A62">
      <w:pPr>
        <w:pStyle w:val="BRNormal"/>
        <w:spacing w:after="0"/>
        <w:ind w:left="709" w:hanging="709"/>
      </w:pPr>
      <w:proofErr w:type="gramStart"/>
      <w:r>
        <w:t>Hodgkinson J, Hortle A &amp; McKillop M 2010.</w:t>
      </w:r>
      <w:proofErr w:type="gramEnd"/>
      <w:r w:rsidR="00E07F07" w:rsidRPr="0006214B">
        <w:t xml:space="preserve"> </w:t>
      </w:r>
      <w:proofErr w:type="gramStart"/>
      <w:r w:rsidR="00E07F07" w:rsidRPr="0006214B">
        <w:t>‘The application of hydrodynamic analysis in the assessment of regional aquifers for carbon geostorage: Preliminary results for the Surat Basin, Queensland</w:t>
      </w:r>
      <w:r>
        <w:t>’</w:t>
      </w:r>
      <w:r w:rsidR="00E07F07" w:rsidRPr="0006214B">
        <w:t xml:space="preserve">, </w:t>
      </w:r>
      <w:r w:rsidR="00E07F07" w:rsidRPr="005B1E64">
        <w:rPr>
          <w:i/>
        </w:rPr>
        <w:t>Australian Petroleum Production and Exploration Association Journal</w:t>
      </w:r>
      <w:r w:rsidR="00E07F07" w:rsidRPr="0006214B">
        <w:t>, vol.</w:t>
      </w:r>
      <w:r>
        <w:t xml:space="preserve"> </w:t>
      </w:r>
      <w:r w:rsidR="00E07F07" w:rsidRPr="0006214B">
        <w:t>50, pp.</w:t>
      </w:r>
      <w:r>
        <w:t xml:space="preserve"> </w:t>
      </w:r>
      <w:r w:rsidR="00E07F07" w:rsidRPr="0006214B">
        <w:t>445-462.</w:t>
      </w:r>
      <w:proofErr w:type="gramEnd"/>
    </w:p>
    <w:p w:rsidR="00E07F07" w:rsidRPr="0006214B" w:rsidRDefault="00E07F07" w:rsidP="00BE7A62">
      <w:pPr>
        <w:pStyle w:val="BRNormal"/>
        <w:spacing w:after="0"/>
        <w:ind w:left="709" w:hanging="709"/>
      </w:pPr>
      <w:r w:rsidRPr="0006214B">
        <w:t>Hodgkinson J, Preda M</w:t>
      </w:r>
      <w:r w:rsidR="005B1E64">
        <w:t xml:space="preserve">, Hortle A, McKillop M, Dixon O &amp; Foster L 2009. </w:t>
      </w:r>
      <w:r w:rsidRPr="005B1E64">
        <w:rPr>
          <w:i/>
        </w:rPr>
        <w:t xml:space="preserve">The potential impact of carbon dioxide injection on freshwater aquifers: </w:t>
      </w:r>
      <w:proofErr w:type="gramStart"/>
      <w:r w:rsidRPr="005B1E64">
        <w:rPr>
          <w:i/>
        </w:rPr>
        <w:t>The</w:t>
      </w:r>
      <w:proofErr w:type="gramEnd"/>
      <w:r w:rsidRPr="005B1E64">
        <w:rPr>
          <w:i/>
        </w:rPr>
        <w:t xml:space="preserve"> Surat and Eromanga Basins in Queensland</w:t>
      </w:r>
      <w:r w:rsidRPr="0006214B">
        <w:t>, Draper J (ed), report for the Department of Employment, Economic Development and Innovation, Qld, 151p.</w:t>
      </w:r>
    </w:p>
    <w:p w:rsidR="00E07F07" w:rsidRPr="0006214B" w:rsidRDefault="00E07F07" w:rsidP="00BE7A62">
      <w:pPr>
        <w:pStyle w:val="BRNormal"/>
        <w:spacing w:after="0"/>
        <w:ind w:left="709" w:hanging="709"/>
      </w:pPr>
      <w:r w:rsidRPr="0006214B">
        <w:t xml:space="preserve">Hoffmann K, Totterdell J, Dixon </w:t>
      </w:r>
      <w:r w:rsidR="005B1E64">
        <w:t>O, Simpson G, Brakel A, Wells A</w:t>
      </w:r>
      <w:r w:rsidRPr="0006214B">
        <w:t xml:space="preserve"> </w:t>
      </w:r>
      <w:r w:rsidR="005B1E64">
        <w:t xml:space="preserve">&amp; Mckellar J </w:t>
      </w:r>
      <w:r w:rsidRPr="0006214B">
        <w:t>2009</w:t>
      </w:r>
      <w:r w:rsidR="005B1E64">
        <w:t>.</w:t>
      </w:r>
      <w:r w:rsidRPr="0006214B">
        <w:t xml:space="preserve"> </w:t>
      </w:r>
      <w:proofErr w:type="gramStart"/>
      <w:r w:rsidRPr="0006214B">
        <w:t xml:space="preserve">‘Sequence stratigraphy of Jurassic strata in the lower Surat Basin succession, Queensland’, </w:t>
      </w:r>
      <w:r w:rsidRPr="005B1E64">
        <w:rPr>
          <w:i/>
        </w:rPr>
        <w:t>Australian Journal of Earth Sciences</w:t>
      </w:r>
      <w:r w:rsidRPr="0006214B">
        <w:t>, vol.56, pp.461-476.</w:t>
      </w:r>
      <w:proofErr w:type="gramEnd"/>
    </w:p>
    <w:p w:rsidR="00E07F07" w:rsidRPr="0006214B" w:rsidRDefault="00E07F07" w:rsidP="00BE7A62">
      <w:pPr>
        <w:pStyle w:val="BRNormal"/>
        <w:spacing w:after="0"/>
        <w:ind w:left="709" w:hanging="709"/>
      </w:pPr>
      <w:proofErr w:type="gramStart"/>
      <w:r w:rsidRPr="0006214B">
        <w:lastRenderedPageBreak/>
        <w:t>Holland</w:t>
      </w:r>
      <w:r w:rsidR="005B1E64">
        <w:t xml:space="preserve"> J, Applegate J</w:t>
      </w:r>
      <w:r w:rsidRPr="0006214B">
        <w:t xml:space="preserve"> </w:t>
      </w:r>
      <w:r w:rsidR="005B1E64">
        <w:t>&amp; Bocking M 2008.</w:t>
      </w:r>
      <w:proofErr w:type="gramEnd"/>
      <w:r w:rsidRPr="0006214B">
        <w:t xml:space="preserve"> </w:t>
      </w:r>
      <w:r w:rsidR="005B1E64">
        <w:t>‘</w:t>
      </w:r>
      <w:r w:rsidRPr="0006214B">
        <w:t>Recent coalbed methane exploration in the Galilee Basin, Queensland, Australia</w:t>
      </w:r>
      <w:r w:rsidR="005B1E64">
        <w:t>’,</w:t>
      </w:r>
      <w:r w:rsidRPr="0006214B">
        <w:t xml:space="preserve"> </w:t>
      </w:r>
      <w:r w:rsidRPr="005B1E64">
        <w:rPr>
          <w:i/>
        </w:rPr>
        <w:t>International coalbed and shale gas symposium 2008</w:t>
      </w:r>
      <w:r w:rsidRPr="0006214B">
        <w:t xml:space="preserve">, </w:t>
      </w:r>
      <w:r w:rsidR="005B1E64">
        <w:t xml:space="preserve">pp. </w:t>
      </w:r>
      <w:r w:rsidRPr="0006214B">
        <w:t>1-14.</w:t>
      </w:r>
    </w:p>
    <w:p w:rsidR="00E07F07" w:rsidRPr="0006214B" w:rsidRDefault="005B1E64" w:rsidP="00BE7A62">
      <w:pPr>
        <w:pStyle w:val="BRNormal"/>
        <w:spacing w:after="0"/>
        <w:ind w:left="709" w:hanging="709"/>
      </w:pPr>
      <w:proofErr w:type="gramStart"/>
      <w:r>
        <w:t>Hopkins B 1996.</w:t>
      </w:r>
      <w:proofErr w:type="gramEnd"/>
      <w:r w:rsidR="00E07F07" w:rsidRPr="0006214B">
        <w:t xml:space="preserve"> </w:t>
      </w:r>
      <w:proofErr w:type="gramStart"/>
      <w:r w:rsidR="00E07F07" w:rsidRPr="005B1E64">
        <w:rPr>
          <w:i/>
        </w:rPr>
        <w:t>Modelling the impacts of irrigation pumping from the Great Artesian Basin intake beds</w:t>
      </w:r>
      <w:r w:rsidR="00E07F07" w:rsidRPr="0006214B">
        <w:t>, Department of Land and Water Conservation, NSW.</w:t>
      </w:r>
      <w:proofErr w:type="gramEnd"/>
    </w:p>
    <w:p w:rsidR="00E07F07" w:rsidRPr="0006214B" w:rsidRDefault="005B1E64" w:rsidP="00BE7A62">
      <w:pPr>
        <w:pStyle w:val="BRNormal"/>
        <w:spacing w:after="0"/>
        <w:ind w:left="709" w:hanging="709"/>
      </w:pPr>
      <w:proofErr w:type="gramStart"/>
      <w:r>
        <w:t>Huysmans M &amp; Dassargues A 2005.</w:t>
      </w:r>
      <w:proofErr w:type="gramEnd"/>
      <w:r w:rsidR="00E07F07" w:rsidRPr="0006214B">
        <w:t xml:space="preserve"> </w:t>
      </w:r>
      <w:r>
        <w:t>‘</w:t>
      </w:r>
      <w:r w:rsidR="00E07F07" w:rsidRPr="0006214B">
        <w:t>Review of the use of Peclet numbers to determine the relative importance of advection and diffusion in low permeability environments</w:t>
      </w:r>
      <w:r>
        <w:t>’,</w:t>
      </w:r>
      <w:r w:rsidR="00E07F07" w:rsidRPr="0006214B">
        <w:t xml:space="preserve"> </w:t>
      </w:r>
      <w:r w:rsidR="00E07F07" w:rsidRPr="005B1E64">
        <w:rPr>
          <w:i/>
        </w:rPr>
        <w:t>Hydrogeology Journal</w:t>
      </w:r>
      <w:r w:rsidR="00E07F07" w:rsidRPr="0006214B">
        <w:t xml:space="preserve">, </w:t>
      </w:r>
      <w:r>
        <w:t xml:space="preserve">vol. </w:t>
      </w:r>
      <w:r w:rsidR="00E07F07" w:rsidRPr="0006214B">
        <w:t xml:space="preserve">13, </w:t>
      </w:r>
      <w:r>
        <w:t xml:space="preserve">pp. </w:t>
      </w:r>
      <w:r w:rsidR="00E07F07" w:rsidRPr="0006214B">
        <w:t>895-904</w:t>
      </w:r>
      <w:r>
        <w:t>.</w:t>
      </w:r>
    </w:p>
    <w:p w:rsidR="00E07F07" w:rsidRPr="0006214B" w:rsidRDefault="005B1E64" w:rsidP="00BE7A62">
      <w:pPr>
        <w:pStyle w:val="BRNormal"/>
        <w:spacing w:after="0"/>
        <w:ind w:left="709" w:hanging="709"/>
      </w:pPr>
      <w:proofErr w:type="gramStart"/>
      <w:r>
        <w:t>Itasca Denver 2011.</w:t>
      </w:r>
      <w:proofErr w:type="gramEnd"/>
      <w:r w:rsidR="00E07F07" w:rsidRPr="0006214B">
        <w:t xml:space="preserve"> </w:t>
      </w:r>
      <w:r w:rsidR="00E07F07" w:rsidRPr="005B1E64">
        <w:rPr>
          <w:i/>
        </w:rPr>
        <w:t>Groundwater flow model update and revised inflow predictions in support of underground mining at Ernest Henry Mine</w:t>
      </w:r>
      <w:r w:rsidR="00E07F07" w:rsidRPr="0006214B">
        <w:t>, Itasca Denver report to Xstrata Copper - Ernest Henry Mining.</w:t>
      </w:r>
    </w:p>
    <w:p w:rsidR="00E07F07" w:rsidRPr="0006214B" w:rsidRDefault="005B1E64" w:rsidP="00BE7A62">
      <w:pPr>
        <w:pStyle w:val="BRNormal"/>
        <w:spacing w:after="0"/>
        <w:ind w:left="709" w:hanging="709"/>
      </w:pPr>
      <w:proofErr w:type="gramStart"/>
      <w:r>
        <w:t>Jackson KS, Horvath</w:t>
      </w:r>
      <w:r w:rsidR="00E07F07" w:rsidRPr="0006214B">
        <w:t xml:space="preserve"> Z </w:t>
      </w:r>
      <w:r>
        <w:t xml:space="preserve">&amp; Hawkins PJ </w:t>
      </w:r>
      <w:r w:rsidR="00E07F07" w:rsidRPr="0006214B">
        <w:t>1981</w:t>
      </w:r>
      <w:r>
        <w:t>.</w:t>
      </w:r>
      <w:proofErr w:type="gramEnd"/>
      <w:r w:rsidR="00E07F07" w:rsidRPr="0006214B">
        <w:t xml:space="preserve"> </w:t>
      </w:r>
      <w:proofErr w:type="gramStart"/>
      <w:r>
        <w:t>‘</w:t>
      </w:r>
      <w:r w:rsidR="00E07F07" w:rsidRPr="0006214B">
        <w:t>An assessment of the petroleum prospects for the Galilee Basin, Queensland</w:t>
      </w:r>
      <w:r>
        <w:t xml:space="preserve">’, </w:t>
      </w:r>
      <w:r w:rsidR="00E07F07" w:rsidRPr="005B1E64">
        <w:rPr>
          <w:i/>
        </w:rPr>
        <w:t>The APEA Journal</w:t>
      </w:r>
      <w:r w:rsidR="00E07F07" w:rsidRPr="0006214B">
        <w:t>, v</w:t>
      </w:r>
      <w:r>
        <w:t>ol. 21(</w:t>
      </w:r>
      <w:r w:rsidR="00E07F07" w:rsidRPr="0006214B">
        <w:t>1</w:t>
      </w:r>
      <w:r>
        <w:t>)</w:t>
      </w:r>
      <w:r w:rsidR="00E07F07" w:rsidRPr="0006214B">
        <w:t>, pp</w:t>
      </w:r>
      <w:r>
        <w:t>.</w:t>
      </w:r>
      <w:r w:rsidR="00E07F07" w:rsidRPr="0006214B">
        <w:t xml:space="preserve"> 172-186.</w:t>
      </w:r>
      <w:proofErr w:type="gramEnd"/>
    </w:p>
    <w:p w:rsidR="00E07F07" w:rsidRPr="0006214B" w:rsidRDefault="005B1E64" w:rsidP="00BE7A62">
      <w:pPr>
        <w:pStyle w:val="BRNormal"/>
        <w:spacing w:after="0"/>
        <w:ind w:left="709" w:hanging="709"/>
      </w:pPr>
      <w:r>
        <w:t>James AR, Hawke AE &amp; Cox ME 2011.</w:t>
      </w:r>
      <w:r w:rsidR="00E07F07" w:rsidRPr="0006214B">
        <w:t xml:space="preserve"> </w:t>
      </w:r>
      <w:r w:rsidR="00E07F07" w:rsidRPr="005B1E64">
        <w:rPr>
          <w:i/>
        </w:rPr>
        <w:t>Arrow Regional Basin Model: 3D Visualisation of Hydrogeology of the Surat-Clarence Moreton System, Stage 2</w:t>
      </w:r>
      <w:r w:rsidR="00E07F07" w:rsidRPr="0006214B">
        <w:t xml:space="preserve">, Groundwater Visualisation System (GVS) 3D model and documentation produced for Arrow Energy Ltd, Queensland University of Technology, Brisbane, </w:t>
      </w:r>
      <w:proofErr w:type="gramStart"/>
      <w:r w:rsidR="00E07F07" w:rsidRPr="0006214B">
        <w:t>Qld</w:t>
      </w:r>
      <w:proofErr w:type="gramEnd"/>
      <w:r w:rsidR="00E07F07" w:rsidRPr="0006214B">
        <w:t>.</w:t>
      </w:r>
    </w:p>
    <w:p w:rsidR="00E07F07" w:rsidRPr="0006214B" w:rsidRDefault="005B1E64" w:rsidP="00BE7A62">
      <w:pPr>
        <w:pStyle w:val="BRNormal"/>
        <w:spacing w:after="0"/>
        <w:ind w:left="709" w:hanging="709"/>
      </w:pPr>
      <w:proofErr w:type="gramStart"/>
      <w:r>
        <w:t>Javandel I, Tsang CF, Witherspoon PA</w:t>
      </w:r>
      <w:r w:rsidR="00E07F07" w:rsidRPr="0006214B">
        <w:t xml:space="preserve"> &amp; Morganwal</w:t>
      </w:r>
      <w:r>
        <w:t>p D 1988.</w:t>
      </w:r>
      <w:proofErr w:type="gramEnd"/>
      <w:r>
        <w:t xml:space="preserve"> </w:t>
      </w:r>
      <w:proofErr w:type="gramStart"/>
      <w:r>
        <w:t>‘</w:t>
      </w:r>
      <w:r w:rsidR="00E07F07" w:rsidRPr="0006214B">
        <w:t>Hydrologic detection of abandoned wells near proposed injection wells for hazardous waste disposal</w:t>
      </w:r>
      <w:r>
        <w:t>’,</w:t>
      </w:r>
      <w:r w:rsidR="00E07F07" w:rsidRPr="0006214B">
        <w:t xml:space="preserve"> </w:t>
      </w:r>
      <w:r w:rsidR="00E07F07" w:rsidRPr="005B1E64">
        <w:rPr>
          <w:i/>
        </w:rPr>
        <w:t>Water</w:t>
      </w:r>
      <w:r w:rsidR="00E07F07" w:rsidRPr="0006214B">
        <w:t xml:space="preserve"> </w:t>
      </w:r>
      <w:r w:rsidR="00E07F07" w:rsidRPr="005B1E64">
        <w:rPr>
          <w:i/>
        </w:rPr>
        <w:t>Resources Research</w:t>
      </w:r>
      <w:r w:rsidR="00E07F07" w:rsidRPr="0006214B">
        <w:t xml:space="preserve">, </w:t>
      </w:r>
      <w:r>
        <w:t xml:space="preserve">vol. </w:t>
      </w:r>
      <w:r w:rsidR="00E07F07" w:rsidRPr="0006214B">
        <w:t xml:space="preserve">24, </w:t>
      </w:r>
      <w:r>
        <w:t xml:space="preserve">pp. </w:t>
      </w:r>
      <w:r w:rsidR="00E07F07" w:rsidRPr="0006214B">
        <w:t>261-270.</w:t>
      </w:r>
      <w:proofErr w:type="gramEnd"/>
    </w:p>
    <w:p w:rsidR="00E07F07" w:rsidRPr="0006214B" w:rsidRDefault="005B1E64" w:rsidP="00BE7A62">
      <w:pPr>
        <w:pStyle w:val="BRNormal"/>
        <w:spacing w:after="0"/>
        <w:ind w:left="709" w:hanging="709"/>
      </w:pPr>
      <w:proofErr w:type="gramStart"/>
      <w:r>
        <w:t>JBT 2010.</w:t>
      </w:r>
      <w:proofErr w:type="gramEnd"/>
      <w:r>
        <w:t xml:space="preserve"> </w:t>
      </w:r>
      <w:proofErr w:type="gramStart"/>
      <w:r>
        <w:rPr>
          <w:i/>
        </w:rPr>
        <w:t>Alpha Coal Project – groundwater technical r</w:t>
      </w:r>
      <w:r w:rsidR="00E07F07" w:rsidRPr="005B1E64">
        <w:rPr>
          <w:i/>
        </w:rPr>
        <w:t>eport</w:t>
      </w:r>
      <w:r>
        <w:t>.</w:t>
      </w:r>
      <w:proofErr w:type="gramEnd"/>
      <w:r>
        <w:t xml:space="preserve"> </w:t>
      </w:r>
      <w:r w:rsidR="00E07F07" w:rsidRPr="0006214B">
        <w:t>Report prepared by JPT (September 2010) for Hancock Prospecting Pty Ltd as part of Alpha Coal Project Environmental Impact Statement.</w:t>
      </w:r>
    </w:p>
    <w:p w:rsidR="00E07F07" w:rsidRPr="0006214B" w:rsidRDefault="005B1E64" w:rsidP="00BE7A62">
      <w:pPr>
        <w:pStyle w:val="BRNormal"/>
        <w:spacing w:after="0"/>
        <w:ind w:left="709" w:hanging="709"/>
      </w:pPr>
      <w:proofErr w:type="gramStart"/>
      <w:r>
        <w:t xml:space="preserve">Jeffrey RG &amp; Settari A </w:t>
      </w:r>
      <w:r w:rsidR="00E07F07" w:rsidRPr="0006214B">
        <w:t>1995.</w:t>
      </w:r>
      <w:proofErr w:type="gramEnd"/>
      <w:r w:rsidR="00E07F07" w:rsidRPr="0006214B">
        <w:t xml:space="preserve"> </w:t>
      </w:r>
      <w:r>
        <w:t>‘</w:t>
      </w:r>
      <w:r w:rsidR="00E07F07" w:rsidRPr="0006214B">
        <w:t>A comparison of hydraulic fracture field experiments, including mineback geometry data, with numerical fracture model simulations, SPE 30508</w:t>
      </w:r>
      <w:r>
        <w:t>’,</w:t>
      </w:r>
      <w:r w:rsidR="00E07F07" w:rsidRPr="0006214B">
        <w:t xml:space="preserve"> </w:t>
      </w:r>
      <w:r w:rsidR="00E07F07" w:rsidRPr="005B1E64">
        <w:rPr>
          <w:i/>
        </w:rPr>
        <w:t>SPE Annual Technical Conference &amp; Exhibition</w:t>
      </w:r>
      <w:r>
        <w:t>,</w:t>
      </w:r>
      <w:r w:rsidR="00E07F07" w:rsidRPr="0006214B">
        <w:t xml:space="preserve"> </w:t>
      </w:r>
      <w:r>
        <w:t>Dallas</w:t>
      </w:r>
      <w:r w:rsidR="00E07F07" w:rsidRPr="0006214B">
        <w:t xml:space="preserve"> TX, 22-25 October</w:t>
      </w:r>
      <w:r>
        <w:t xml:space="preserve"> 1995, </w:t>
      </w:r>
      <w:r w:rsidR="00E07F07" w:rsidRPr="0006214B">
        <w:t>Society of Petroleum Engineers.</w:t>
      </w:r>
    </w:p>
    <w:p w:rsidR="00E07F07" w:rsidRPr="0006214B" w:rsidRDefault="005B1E64" w:rsidP="00BE7A62">
      <w:pPr>
        <w:pStyle w:val="BRNormal"/>
        <w:spacing w:after="0"/>
        <w:ind w:left="709" w:hanging="709"/>
      </w:pPr>
      <w:r>
        <w:t>Josh M, Esteban L, Delle Piane C, Sarout J, Dewhurst DN &amp; Clennell MB</w:t>
      </w:r>
      <w:r w:rsidR="00E07F07" w:rsidRPr="0006214B">
        <w:t xml:space="preserve"> 2012. </w:t>
      </w:r>
      <w:proofErr w:type="gramStart"/>
      <w:r>
        <w:t>‘</w:t>
      </w:r>
      <w:r w:rsidR="00E07F07" w:rsidRPr="0006214B">
        <w:t>Laboratory characterisation of shale properties</w:t>
      </w:r>
      <w:r>
        <w:t>’,</w:t>
      </w:r>
      <w:r w:rsidR="00E07F07" w:rsidRPr="0006214B">
        <w:t xml:space="preserve"> </w:t>
      </w:r>
      <w:r w:rsidR="00E07F07" w:rsidRPr="005B1E64">
        <w:rPr>
          <w:i/>
        </w:rPr>
        <w:t>Journal of Petroleum Science and Engineering</w:t>
      </w:r>
      <w:r w:rsidR="00E07F07" w:rsidRPr="0006214B">
        <w:t xml:space="preserve">, </w:t>
      </w:r>
      <w:r>
        <w:t xml:space="preserve">vol. </w:t>
      </w:r>
      <w:r w:rsidR="00E07F07" w:rsidRPr="0006214B">
        <w:t xml:space="preserve">88–89, </w:t>
      </w:r>
      <w:r>
        <w:t xml:space="preserve">pp. </w:t>
      </w:r>
      <w:r w:rsidR="00E07F07" w:rsidRPr="0006214B">
        <w:t>107-124.</w:t>
      </w:r>
      <w:proofErr w:type="gramEnd"/>
    </w:p>
    <w:p w:rsidR="00E07F07" w:rsidRPr="0006214B" w:rsidRDefault="005B1E64" w:rsidP="00BE7A62">
      <w:pPr>
        <w:pStyle w:val="BRNormal"/>
        <w:spacing w:after="0"/>
        <w:ind w:left="709" w:hanging="709"/>
      </w:pPr>
      <w:r>
        <w:t>Keller CK, van der Kamp G &amp; Cherry JA</w:t>
      </w:r>
      <w:r w:rsidR="00E07F07" w:rsidRPr="0006214B">
        <w:t xml:space="preserve"> 1988. </w:t>
      </w:r>
      <w:proofErr w:type="gramStart"/>
      <w:r w:rsidR="00E07F07" w:rsidRPr="0006214B">
        <w:t>Hydrogeology of two Saskatchewan tills, I. Fractures, bulk permeability, and spatial variability of downward flow.</w:t>
      </w:r>
      <w:proofErr w:type="gramEnd"/>
      <w:r w:rsidR="00E07F07" w:rsidRPr="0006214B">
        <w:t xml:space="preserve"> Journal of Hydrology, 101, 97-121.</w:t>
      </w:r>
    </w:p>
    <w:p w:rsidR="00E07F07" w:rsidRPr="0006214B" w:rsidRDefault="001435CC" w:rsidP="00BE7A62">
      <w:pPr>
        <w:pStyle w:val="BRNormal"/>
        <w:spacing w:after="0"/>
        <w:ind w:left="709" w:hanging="709"/>
      </w:pPr>
      <w:r>
        <w:t>Keller CK, van der Kamp G &amp; Cherry JA</w:t>
      </w:r>
      <w:r w:rsidR="00E07F07" w:rsidRPr="0006214B">
        <w:t xml:space="preserve"> 1989. </w:t>
      </w:r>
      <w:proofErr w:type="gramStart"/>
      <w:r>
        <w:t>‘</w:t>
      </w:r>
      <w:r w:rsidR="00E07F07" w:rsidRPr="0006214B">
        <w:t>A multiscale study of the permeability of a thick clayey till</w:t>
      </w:r>
      <w:r>
        <w:t>’,</w:t>
      </w:r>
      <w:r w:rsidR="00E07F07" w:rsidRPr="0006214B">
        <w:t xml:space="preserve"> </w:t>
      </w:r>
      <w:r w:rsidR="00E07F07" w:rsidRPr="001435CC">
        <w:rPr>
          <w:i/>
        </w:rPr>
        <w:t>Water Resources Research</w:t>
      </w:r>
      <w:r w:rsidR="00E07F07" w:rsidRPr="0006214B">
        <w:t xml:space="preserve">, </w:t>
      </w:r>
      <w:r>
        <w:t xml:space="preserve">vol. </w:t>
      </w:r>
      <w:r w:rsidR="00E07F07" w:rsidRPr="0006214B">
        <w:t xml:space="preserve">25, </w:t>
      </w:r>
      <w:r>
        <w:t xml:space="preserve">pp. </w:t>
      </w:r>
      <w:r w:rsidR="00E07F07" w:rsidRPr="0006214B">
        <w:t>2299-2317.</w:t>
      </w:r>
      <w:proofErr w:type="gramEnd"/>
    </w:p>
    <w:p w:rsidR="00E07F07" w:rsidRPr="0006214B" w:rsidRDefault="00E07F07" w:rsidP="00BE7A62">
      <w:pPr>
        <w:pStyle w:val="BRNormal"/>
        <w:spacing w:after="0"/>
        <w:ind w:left="709" w:hanging="709"/>
      </w:pPr>
      <w:r w:rsidRPr="0006214B">
        <w:t xml:space="preserve">Kellett JR, Ransley TR, Coram J, Jaycock J, Barclay DF, McMahon GA, Foster LM </w:t>
      </w:r>
      <w:r w:rsidR="001435CC">
        <w:t xml:space="preserve">&amp; Hillier JR </w:t>
      </w:r>
      <w:r w:rsidRPr="0006214B">
        <w:t>2003</w:t>
      </w:r>
      <w:r w:rsidR="001435CC">
        <w:t xml:space="preserve">. </w:t>
      </w:r>
      <w:r w:rsidRPr="001435CC">
        <w:rPr>
          <w:i/>
        </w:rPr>
        <w:t>Groundwater Recharge in the Great Artesian Basin Intake Beds, Queensland</w:t>
      </w:r>
      <w:r w:rsidRPr="0006214B">
        <w:t>, final report for the NHT Project #982713 Sustainable Groundwater Use in the GAB Intake Beds, Queensland, Department of Natural Resources and Mines, Qld.</w:t>
      </w:r>
    </w:p>
    <w:p w:rsidR="00E07F07" w:rsidRPr="0006214B" w:rsidRDefault="001435CC" w:rsidP="00BE7A62">
      <w:pPr>
        <w:pStyle w:val="BRNormal"/>
        <w:spacing w:after="0"/>
        <w:ind w:left="709" w:hanging="709"/>
      </w:pPr>
      <w:proofErr w:type="gramStart"/>
      <w:r>
        <w:t>Kenyon</w:t>
      </w:r>
      <w:r w:rsidR="00E07F07" w:rsidRPr="0006214B">
        <w:t xml:space="preserve"> </w:t>
      </w:r>
      <w:r>
        <w:t>B, Kleinberg R, Straley C, Gubelin G &amp; Morriss C</w:t>
      </w:r>
      <w:r w:rsidR="00E07F07" w:rsidRPr="0006214B">
        <w:t xml:space="preserve"> 1995.</w:t>
      </w:r>
      <w:proofErr w:type="gramEnd"/>
      <w:r w:rsidR="00E07F07" w:rsidRPr="0006214B">
        <w:t xml:space="preserve"> </w:t>
      </w:r>
      <w:proofErr w:type="gramStart"/>
      <w:r>
        <w:t>‘</w:t>
      </w:r>
      <w:r w:rsidR="00E07F07" w:rsidRPr="0006214B">
        <w:t>Nuclear magnetic resonance imaging - technology for the 21st century</w:t>
      </w:r>
      <w:r>
        <w:t>’,</w:t>
      </w:r>
      <w:r w:rsidR="00E07F07" w:rsidRPr="0006214B">
        <w:t xml:space="preserve"> </w:t>
      </w:r>
      <w:r w:rsidR="00E07F07" w:rsidRPr="001435CC">
        <w:rPr>
          <w:i/>
        </w:rPr>
        <w:t>Oilfield Review</w:t>
      </w:r>
      <w:r w:rsidR="00E07F07" w:rsidRPr="0006214B">
        <w:t>.</w:t>
      </w:r>
      <w:proofErr w:type="gramEnd"/>
      <w:r w:rsidR="00E07F07" w:rsidRPr="0006214B">
        <w:t xml:space="preserve"> Schlumberger Ltd.</w:t>
      </w:r>
    </w:p>
    <w:p w:rsidR="00E07F07" w:rsidRPr="0006214B" w:rsidRDefault="001435CC" w:rsidP="00BE7A62">
      <w:pPr>
        <w:pStyle w:val="BRNormal"/>
        <w:spacing w:after="0"/>
        <w:ind w:left="709" w:hanging="709"/>
      </w:pPr>
      <w:r>
        <w:t xml:space="preserve">Klinkenberg LJ 1941. </w:t>
      </w:r>
      <w:proofErr w:type="gramStart"/>
      <w:r w:rsidR="00E07F07" w:rsidRPr="001435CC">
        <w:rPr>
          <w:i/>
        </w:rPr>
        <w:t>The permeability of porous media to liquid and gases</w:t>
      </w:r>
      <w:r w:rsidR="00E07F07" w:rsidRPr="0006214B">
        <w:t>.</w:t>
      </w:r>
      <w:proofErr w:type="gramEnd"/>
      <w:r w:rsidR="00E07F07" w:rsidRPr="0006214B">
        <w:t xml:space="preserve"> Drilling and Production Practice, American Petroleum Institute, 200-213.</w:t>
      </w:r>
    </w:p>
    <w:p w:rsidR="00E07F07" w:rsidRPr="0006214B" w:rsidRDefault="001435CC" w:rsidP="00BE7A62">
      <w:pPr>
        <w:pStyle w:val="BRNormal"/>
        <w:spacing w:after="0"/>
        <w:ind w:left="709" w:hanging="709"/>
      </w:pPr>
      <w:r>
        <w:t xml:space="preserve">Klohn Crippen Berger </w:t>
      </w:r>
      <w:r w:rsidR="00E07F07" w:rsidRPr="0006214B">
        <w:t>2011</w:t>
      </w:r>
      <w:r>
        <w:t>.</w:t>
      </w:r>
      <w:r w:rsidR="00E07F07" w:rsidRPr="0006214B">
        <w:t xml:space="preserve"> </w:t>
      </w:r>
      <w:r w:rsidR="00E07F07" w:rsidRPr="001435CC">
        <w:rPr>
          <w:i/>
        </w:rPr>
        <w:t>Injection of coal seam gas water into the Central Condamine Alluvium: Technical feasibility Assessment</w:t>
      </w:r>
      <w:r w:rsidR="00E07F07" w:rsidRPr="0006214B">
        <w:t>, final report for the Healthy HeadWaters Coal Seam Gas Water Feasibility Study, Department of Environment and Resource Management, Qld, 126p.</w:t>
      </w:r>
    </w:p>
    <w:p w:rsidR="00E07F07" w:rsidRPr="0006214B" w:rsidRDefault="001435CC" w:rsidP="00BE7A62">
      <w:pPr>
        <w:pStyle w:val="BRNormal"/>
        <w:spacing w:after="0"/>
        <w:ind w:left="709" w:hanging="709"/>
      </w:pPr>
      <w:proofErr w:type="gramStart"/>
      <w:r>
        <w:t>Korsch RJ, Boreham CJ, Totterdell JM, Shaw RD &amp; Nicoll MG 1998.</w:t>
      </w:r>
      <w:proofErr w:type="gramEnd"/>
      <w:r w:rsidR="00E07F07" w:rsidRPr="0006214B">
        <w:t xml:space="preserve"> </w:t>
      </w:r>
      <w:proofErr w:type="gramStart"/>
      <w:r w:rsidR="00E07F07" w:rsidRPr="0006214B">
        <w:t xml:space="preserve">‘Development and petroleum resource evaluation of the Bowen, Gunnedah and Surat Basins, eastern Australia’, </w:t>
      </w:r>
      <w:r w:rsidR="00E07F07" w:rsidRPr="001435CC">
        <w:rPr>
          <w:i/>
        </w:rPr>
        <w:t>The APPEA Journal</w:t>
      </w:r>
      <w:r w:rsidR="00E07F07" w:rsidRPr="0006214B">
        <w:t xml:space="preserve">, </w:t>
      </w:r>
      <w:r>
        <w:t xml:space="preserve">vol. </w:t>
      </w:r>
      <w:r w:rsidR="00E07F07" w:rsidRPr="0006214B">
        <w:t xml:space="preserve">38(1), </w:t>
      </w:r>
      <w:r>
        <w:t xml:space="preserve">pp. </w:t>
      </w:r>
      <w:r w:rsidR="00E07F07" w:rsidRPr="0006214B">
        <w:t>199-237.</w:t>
      </w:r>
      <w:proofErr w:type="gramEnd"/>
      <w:r w:rsidR="00E07F07" w:rsidRPr="0006214B">
        <w:t xml:space="preserve"> </w:t>
      </w:r>
    </w:p>
    <w:p w:rsidR="00E07F07" w:rsidRPr="0006214B" w:rsidRDefault="001435CC" w:rsidP="00BE7A62">
      <w:pPr>
        <w:pStyle w:val="BRNormal"/>
        <w:spacing w:after="0"/>
        <w:ind w:left="709" w:hanging="709"/>
      </w:pPr>
      <w:proofErr w:type="gramStart"/>
      <w:r>
        <w:lastRenderedPageBreak/>
        <w:t>Kresic N</w:t>
      </w:r>
      <w:r w:rsidR="00E07F07" w:rsidRPr="0006214B">
        <w:t xml:space="preserve"> 2007.</w:t>
      </w:r>
      <w:proofErr w:type="gramEnd"/>
      <w:r w:rsidR="00E07F07" w:rsidRPr="0006214B">
        <w:t xml:space="preserve"> </w:t>
      </w:r>
      <w:proofErr w:type="gramStart"/>
      <w:r w:rsidR="00E07F07" w:rsidRPr="001435CC">
        <w:rPr>
          <w:i/>
        </w:rPr>
        <w:t>Hydrogeology and groundwater modeling</w:t>
      </w:r>
      <w:r w:rsidR="00E07F07" w:rsidRPr="0006214B">
        <w:t>, Boca Raton, CRC Press.</w:t>
      </w:r>
      <w:proofErr w:type="gramEnd"/>
    </w:p>
    <w:p w:rsidR="00E07F07" w:rsidRPr="0006214B" w:rsidRDefault="001435CC" w:rsidP="00BE7A62">
      <w:pPr>
        <w:pStyle w:val="BRNormal"/>
        <w:spacing w:after="0"/>
        <w:ind w:left="709" w:hanging="709"/>
      </w:pPr>
      <w:r>
        <w:t>Krieg GW 1989.</w:t>
      </w:r>
      <w:r w:rsidR="00E07F07" w:rsidRPr="0006214B">
        <w:t xml:space="preserve"> ‘Geology’, in: Zeidler W and Ponder WF (</w:t>
      </w:r>
      <w:proofErr w:type="gramStart"/>
      <w:r w:rsidR="00E07F07" w:rsidRPr="0006214B">
        <w:t>eds</w:t>
      </w:r>
      <w:proofErr w:type="gramEnd"/>
      <w:r w:rsidR="00E07F07" w:rsidRPr="0006214B">
        <w:t xml:space="preserve">) </w:t>
      </w:r>
      <w:r w:rsidR="00E07F07" w:rsidRPr="001435CC">
        <w:rPr>
          <w:i/>
        </w:rPr>
        <w:t>Natural History of Dalhousie Springs</w:t>
      </w:r>
      <w:r w:rsidR="00E07F07" w:rsidRPr="0006214B">
        <w:t>, South Australian Museum, Adelaide, SA, pp.19-26.</w:t>
      </w:r>
    </w:p>
    <w:p w:rsidR="00E07F07" w:rsidRPr="0006214B" w:rsidRDefault="001435CC" w:rsidP="00BE7A62">
      <w:pPr>
        <w:pStyle w:val="BRNormal"/>
        <w:spacing w:after="0"/>
        <w:ind w:left="709" w:hanging="709"/>
      </w:pPr>
      <w:proofErr w:type="gramStart"/>
      <w:r>
        <w:t>Krishnamurthy J, Mani A, Jayaraman V &amp; Manivel M</w:t>
      </w:r>
      <w:r w:rsidR="00E07F07" w:rsidRPr="0006214B">
        <w:t xml:space="preserve"> 2000.</w:t>
      </w:r>
      <w:proofErr w:type="gramEnd"/>
      <w:r w:rsidR="00E07F07" w:rsidRPr="0006214B">
        <w:t xml:space="preserve"> </w:t>
      </w:r>
      <w:r>
        <w:t>‘</w:t>
      </w:r>
      <w:r w:rsidR="00E07F07" w:rsidRPr="0006214B">
        <w:t>Groundwater resources development in hard rock terrain - an approach using remote sensing and GIS techniques</w:t>
      </w:r>
      <w:r>
        <w:t>’,</w:t>
      </w:r>
      <w:r w:rsidR="00E07F07" w:rsidRPr="0006214B">
        <w:t xml:space="preserve"> </w:t>
      </w:r>
      <w:r w:rsidR="00E07F07" w:rsidRPr="001435CC">
        <w:rPr>
          <w:i/>
        </w:rPr>
        <w:t>International Journal of Applied Earth Observation and Geoinformation</w:t>
      </w:r>
      <w:r w:rsidR="00E07F07" w:rsidRPr="0006214B">
        <w:t xml:space="preserve">, </w:t>
      </w:r>
      <w:r>
        <w:t xml:space="preserve">vol. </w:t>
      </w:r>
      <w:r w:rsidR="00E07F07" w:rsidRPr="0006214B">
        <w:t xml:space="preserve">2, </w:t>
      </w:r>
      <w:r>
        <w:t xml:space="preserve">pp. </w:t>
      </w:r>
      <w:r w:rsidR="00E07F07" w:rsidRPr="0006214B">
        <w:t>204-215.</w:t>
      </w:r>
    </w:p>
    <w:p w:rsidR="00E07F07" w:rsidRPr="0006214B" w:rsidRDefault="001435CC" w:rsidP="00BE7A62">
      <w:pPr>
        <w:pStyle w:val="BRNormal"/>
        <w:spacing w:after="0"/>
        <w:ind w:left="709" w:hanging="709"/>
      </w:pPr>
      <w:r>
        <w:t>Lackey</w:t>
      </w:r>
      <w:r w:rsidR="00E07F07" w:rsidRPr="0006214B">
        <w:t xml:space="preserve"> O</w:t>
      </w:r>
      <w:r>
        <w:t>, Myers WF, Christopherson TC &amp; Gottula JJ</w:t>
      </w:r>
      <w:r w:rsidR="00E07F07" w:rsidRPr="0006214B">
        <w:t xml:space="preserve"> 2009. </w:t>
      </w:r>
      <w:r w:rsidR="00E07F07" w:rsidRPr="001435CC">
        <w:rPr>
          <w:i/>
        </w:rPr>
        <w:t>Nebraska Grout Task Force In-Situ Study of Grout Material 2001-2006 and 2007 Dye Tests</w:t>
      </w:r>
      <w:r w:rsidR="00E07F07" w:rsidRPr="0006214B">
        <w:t>, University of Nebraska-Lincoln, Institute of Agriculture &amp; Natural Resources, Conservation &amp; Survey Division.</w:t>
      </w:r>
    </w:p>
    <w:p w:rsidR="00E07F07" w:rsidRPr="0006214B" w:rsidRDefault="001435CC" w:rsidP="00BE7A62">
      <w:pPr>
        <w:pStyle w:val="BRNormal"/>
        <w:spacing w:after="0"/>
        <w:ind w:left="709" w:hanging="709"/>
      </w:pPr>
      <w:proofErr w:type="gramStart"/>
      <w:r>
        <w:t>Lacombe S, Sudicky EA, Frape SK &amp; Unger AJA</w:t>
      </w:r>
      <w:r w:rsidR="00E07F07" w:rsidRPr="0006214B">
        <w:t xml:space="preserve"> 1995.</w:t>
      </w:r>
      <w:proofErr w:type="gramEnd"/>
      <w:r w:rsidR="00E07F07" w:rsidRPr="0006214B">
        <w:t xml:space="preserve"> </w:t>
      </w:r>
      <w:proofErr w:type="gramStart"/>
      <w:r>
        <w:t>‘</w:t>
      </w:r>
      <w:r w:rsidR="00E07F07" w:rsidRPr="0006214B">
        <w:t>Influence of leaky boreholes on cross-formational groundwater flow and contaminant transport</w:t>
      </w:r>
      <w:r>
        <w:t>’,</w:t>
      </w:r>
      <w:r w:rsidR="00E07F07" w:rsidRPr="0006214B">
        <w:t xml:space="preserve"> </w:t>
      </w:r>
      <w:r w:rsidR="00E07F07" w:rsidRPr="001435CC">
        <w:rPr>
          <w:i/>
        </w:rPr>
        <w:t>Water Resources</w:t>
      </w:r>
      <w:r w:rsidR="00E07F07" w:rsidRPr="0006214B">
        <w:t xml:space="preserve"> </w:t>
      </w:r>
      <w:r w:rsidR="00E07F07" w:rsidRPr="001435CC">
        <w:rPr>
          <w:i/>
        </w:rPr>
        <w:t>Research</w:t>
      </w:r>
      <w:r w:rsidR="00E07F07" w:rsidRPr="0006214B">
        <w:t xml:space="preserve">, </w:t>
      </w:r>
      <w:r>
        <w:t xml:space="preserve">vol. </w:t>
      </w:r>
      <w:r w:rsidR="00E07F07" w:rsidRPr="0006214B">
        <w:t xml:space="preserve">31, </w:t>
      </w:r>
      <w:r>
        <w:t xml:space="preserve">pp. </w:t>
      </w:r>
      <w:r w:rsidR="00E07F07" w:rsidRPr="0006214B">
        <w:t>1871-1882.</w:t>
      </w:r>
      <w:proofErr w:type="gramEnd"/>
    </w:p>
    <w:p w:rsidR="00E07F07" w:rsidRPr="0006214B" w:rsidRDefault="0059439B" w:rsidP="00BE7A62">
      <w:pPr>
        <w:pStyle w:val="BRNormal"/>
        <w:spacing w:after="0"/>
        <w:ind w:left="709" w:hanging="709"/>
      </w:pPr>
      <w:r>
        <w:t>Leap DI 2007.</w:t>
      </w:r>
      <w:r w:rsidR="00E07F07" w:rsidRPr="0006214B">
        <w:t xml:space="preserve"> </w:t>
      </w:r>
      <w:r>
        <w:t>‘</w:t>
      </w:r>
      <w:r w:rsidR="00E07F07" w:rsidRPr="0006214B">
        <w:t>Chapter 2: Geological occurrence of groundwater</w:t>
      </w:r>
      <w:r>
        <w:t>’ In: Delleur JW</w:t>
      </w:r>
      <w:r w:rsidR="00E07F07" w:rsidRPr="0006214B">
        <w:t xml:space="preserve"> (Ed.) </w:t>
      </w:r>
      <w:r w:rsidR="00E07F07" w:rsidRPr="0059439B">
        <w:rPr>
          <w:i/>
        </w:rPr>
        <w:t>Handbook of groundwater engineering</w:t>
      </w:r>
      <w:r w:rsidR="00E07F07" w:rsidRPr="0006214B">
        <w:t xml:space="preserve">. Second Edition CRC Press, 59 </w:t>
      </w:r>
    </w:p>
    <w:p w:rsidR="00E07F07" w:rsidRPr="0006214B" w:rsidRDefault="0059439B" w:rsidP="00BE7A62">
      <w:pPr>
        <w:pStyle w:val="BRNormal"/>
        <w:spacing w:after="0"/>
        <w:ind w:left="709" w:hanging="709"/>
      </w:pPr>
      <w:proofErr w:type="gramStart"/>
      <w:r>
        <w:t>Leith B</w:t>
      </w:r>
      <w:r w:rsidR="00E07F07" w:rsidRPr="0006214B">
        <w:t xml:space="preserve"> 2011.</w:t>
      </w:r>
      <w:proofErr w:type="gramEnd"/>
      <w:r w:rsidR="00E07F07" w:rsidRPr="0006214B">
        <w:t xml:space="preserve"> </w:t>
      </w:r>
      <w:r>
        <w:rPr>
          <w:i/>
        </w:rPr>
        <w:t>Hydraulic fracturing: the state of the s</w:t>
      </w:r>
      <w:r w:rsidR="00E07F07" w:rsidRPr="0059439B">
        <w:rPr>
          <w:i/>
        </w:rPr>
        <w:t>cience</w:t>
      </w:r>
      <w:r w:rsidR="00E07F07" w:rsidRPr="0006214B">
        <w:t xml:space="preserve">. U.S. Department of the Interior, U.S. Geological Survey, (presentation previously available on the USGS website, accessed: </w:t>
      </w:r>
      <w:r>
        <w:t xml:space="preserve">2 </w:t>
      </w:r>
      <w:r w:rsidR="00E07F07" w:rsidRPr="0006214B">
        <w:t>July 2012).</w:t>
      </w:r>
    </w:p>
    <w:p w:rsidR="00E07F07" w:rsidRPr="0006214B" w:rsidRDefault="0059439B" w:rsidP="00BE7A62">
      <w:pPr>
        <w:pStyle w:val="BRNormal"/>
        <w:spacing w:after="0"/>
        <w:ind w:left="709" w:hanging="709"/>
      </w:pPr>
      <w:proofErr w:type="gramStart"/>
      <w:r>
        <w:t>Löfgren M, Crawford J &amp; Elert M</w:t>
      </w:r>
      <w:r w:rsidR="00E07F07" w:rsidRPr="0006214B">
        <w:t xml:space="preserve"> 2007.</w:t>
      </w:r>
      <w:proofErr w:type="gramEnd"/>
      <w:r w:rsidR="00E07F07" w:rsidRPr="0006214B">
        <w:t xml:space="preserve"> </w:t>
      </w:r>
      <w:r w:rsidR="00E07F07" w:rsidRPr="0059439B">
        <w:rPr>
          <w:i/>
        </w:rPr>
        <w:t xml:space="preserve">Tracer tests- possibilities and limitations. </w:t>
      </w:r>
      <w:proofErr w:type="gramStart"/>
      <w:r w:rsidR="00E07F07" w:rsidRPr="0059439B">
        <w:rPr>
          <w:i/>
        </w:rPr>
        <w:t>Experience from SKB fieldwork: 1977-2007.</w:t>
      </w:r>
      <w:proofErr w:type="gramEnd"/>
      <w:r w:rsidR="00E07F07" w:rsidRPr="0006214B">
        <w:t xml:space="preserve"> SKB Report R-07-39. Stockholm.</w:t>
      </w:r>
    </w:p>
    <w:p w:rsidR="00E07F07" w:rsidRPr="0006214B" w:rsidRDefault="00E07F07" w:rsidP="00BE7A62">
      <w:pPr>
        <w:pStyle w:val="BRNormal"/>
        <w:spacing w:after="0"/>
        <w:ind w:left="709" w:hanging="709"/>
      </w:pPr>
      <w:proofErr w:type="gramStart"/>
      <w:r w:rsidRPr="0006214B">
        <w:t xml:space="preserve">Longworth &amp; McKenzie </w:t>
      </w:r>
      <w:r w:rsidR="0059439B">
        <w:t>1984.</w:t>
      </w:r>
      <w:proofErr w:type="gramEnd"/>
      <w:r w:rsidR="0059439B">
        <w:t xml:space="preserve"> </w:t>
      </w:r>
      <w:r w:rsidRPr="0059439B">
        <w:rPr>
          <w:i/>
        </w:rPr>
        <w:t>Report on Geotechnical and Groundwater Investigation (1984) Area 2, ATP245C</w:t>
      </w:r>
      <w:r w:rsidRPr="0006214B">
        <w:t>, Alpha Queensland for Bridge Oil Limited. Report Reference UGT0115/KDS/ejw</w:t>
      </w:r>
      <w:r w:rsidR="0059439B">
        <w:t>.</w:t>
      </w:r>
    </w:p>
    <w:p w:rsidR="00E07F07" w:rsidRPr="0006214B" w:rsidRDefault="00E07F07" w:rsidP="00BE7A62">
      <w:pPr>
        <w:pStyle w:val="BRNormal"/>
        <w:spacing w:after="0"/>
        <w:ind w:left="709" w:hanging="709"/>
      </w:pPr>
      <w:r w:rsidRPr="0006214B">
        <w:t xml:space="preserve">Love AJ, Herczeg AL, Sampson L, Cresswell RG </w:t>
      </w:r>
      <w:r w:rsidR="0059439B">
        <w:t>&amp; Fifield LK 2000.</w:t>
      </w:r>
      <w:r w:rsidRPr="0006214B">
        <w:t xml:space="preserve"> </w:t>
      </w:r>
      <w:proofErr w:type="gramStart"/>
      <w:r w:rsidRPr="0006214B">
        <w:t xml:space="preserve">‘Sources of chloride and implications for 36Cl dating of old groundwater, southwestern Great Artesian Basin, Australia’, </w:t>
      </w:r>
      <w:r w:rsidRPr="0059439B">
        <w:rPr>
          <w:i/>
        </w:rPr>
        <w:t>Water Resources Research</w:t>
      </w:r>
      <w:r w:rsidRPr="0006214B">
        <w:t>, vol.36, pp.1561-1574.</w:t>
      </w:r>
      <w:proofErr w:type="gramEnd"/>
    </w:p>
    <w:p w:rsidR="00E07F07" w:rsidRPr="0006214B" w:rsidRDefault="00E07F07" w:rsidP="00BE7A62">
      <w:pPr>
        <w:pStyle w:val="BRNormal"/>
        <w:spacing w:after="0"/>
        <w:ind w:left="709" w:hanging="709"/>
      </w:pPr>
      <w:r w:rsidRPr="0006214B">
        <w:t>Love AJ, Sh</w:t>
      </w:r>
      <w:r w:rsidR="0059439B">
        <w:t>and P, Crossey L, Harrington GA</w:t>
      </w:r>
      <w:r w:rsidRPr="0006214B">
        <w:t xml:space="preserve"> </w:t>
      </w:r>
      <w:r w:rsidR="0059439B">
        <w:t>&amp; Roussea-Guetin P (</w:t>
      </w:r>
      <w:proofErr w:type="gramStart"/>
      <w:r w:rsidR="0059439B">
        <w:t>eds</w:t>
      </w:r>
      <w:proofErr w:type="gramEnd"/>
      <w:r w:rsidR="0059439B">
        <w:t xml:space="preserve">) </w:t>
      </w:r>
      <w:r w:rsidRPr="0006214B">
        <w:t>2012</w:t>
      </w:r>
      <w:r w:rsidR="0059439B">
        <w:t>.</w:t>
      </w:r>
      <w:r w:rsidRPr="0006214B">
        <w:t xml:space="preserve"> </w:t>
      </w:r>
      <w:r w:rsidR="0059439B">
        <w:t>‘</w:t>
      </w:r>
      <w:r w:rsidRPr="0006214B">
        <w:t>Volume 3: Groundwater discharge of the western Great Artesian Basin, Australia in South Australia and the Northern Territory</w:t>
      </w:r>
      <w:r w:rsidR="0059439B">
        <w:t>’</w:t>
      </w:r>
      <w:r w:rsidRPr="0006214B">
        <w:t>, f</w:t>
      </w:r>
      <w:r w:rsidR="0059439B">
        <w:t xml:space="preserve">rom the report for the project </w:t>
      </w:r>
      <w:r w:rsidRPr="0059439B">
        <w:rPr>
          <w:i/>
        </w:rPr>
        <w:t>Allocating Water and Maintaining Springs in the Great Artesian Basin</w:t>
      </w:r>
      <w:r w:rsidRPr="0006214B">
        <w:t>, National Water Commission, Canberra, ACT.</w:t>
      </w:r>
    </w:p>
    <w:p w:rsidR="00E07F07" w:rsidRPr="0006214B" w:rsidRDefault="00E07F07" w:rsidP="00BE7A62">
      <w:pPr>
        <w:pStyle w:val="BRNormal"/>
        <w:spacing w:after="0"/>
        <w:ind w:left="709" w:hanging="709"/>
      </w:pPr>
      <w:r w:rsidRPr="0006214B">
        <w:t xml:space="preserve">Mahara Y, Habermehl MA, Hasegawa T, Nakata K, Ransley TR, Hatano T, Mizuochi Y, Kobayashi H, Ninomiya A, Senior BR, Yasuda H </w:t>
      </w:r>
      <w:r w:rsidR="0059439B">
        <w:t xml:space="preserve">&amp; Ohta T </w:t>
      </w:r>
      <w:r w:rsidRPr="0006214B">
        <w:t>2009</w:t>
      </w:r>
      <w:r w:rsidR="0059439B">
        <w:t>.</w:t>
      </w:r>
      <w:r w:rsidRPr="0006214B">
        <w:t xml:space="preserve"> ‘Groundwater dating by estimation of groundwater flow velocity and dissolved 4He accumulation rate calibrated by 36Cl in the Great Artesian Basin, Australia’, </w:t>
      </w:r>
      <w:r w:rsidRPr="0059439B">
        <w:rPr>
          <w:i/>
        </w:rPr>
        <w:t>Earth and Planetary Science Letters</w:t>
      </w:r>
      <w:r w:rsidR="0059439B">
        <w:t>,</w:t>
      </w:r>
      <w:r w:rsidRPr="0006214B">
        <w:t xml:space="preserve"> vol.</w:t>
      </w:r>
      <w:r w:rsidR="0059439B">
        <w:t xml:space="preserve"> </w:t>
      </w:r>
      <w:r w:rsidRPr="0006214B">
        <w:t>287, pp.</w:t>
      </w:r>
      <w:r w:rsidR="0059439B">
        <w:t xml:space="preserve"> </w:t>
      </w:r>
      <w:r w:rsidRPr="0006214B">
        <w:t>43-56.</w:t>
      </w:r>
    </w:p>
    <w:p w:rsidR="00E07F07" w:rsidRPr="0006214B" w:rsidRDefault="00ED0884" w:rsidP="00BE7A62">
      <w:pPr>
        <w:pStyle w:val="BRNormal"/>
        <w:spacing w:after="0"/>
        <w:ind w:left="709" w:hanging="709"/>
      </w:pPr>
      <w:r>
        <w:t>Majer EL, Baria R, Stark M, Oates S, Bommer J, Smith B &amp; Asanuma H</w:t>
      </w:r>
      <w:r w:rsidR="00E07F07" w:rsidRPr="0006214B">
        <w:t xml:space="preserve"> 2007. </w:t>
      </w:r>
      <w:r>
        <w:t>‘</w:t>
      </w:r>
      <w:r w:rsidR="00E07F07" w:rsidRPr="0006214B">
        <w:t>Induced seismicity associated with enhanced geothermal systems</w:t>
      </w:r>
      <w:r>
        <w:t>’,</w:t>
      </w:r>
      <w:r w:rsidR="00E07F07" w:rsidRPr="0006214B">
        <w:t xml:space="preserve"> </w:t>
      </w:r>
      <w:r w:rsidR="00E07F07" w:rsidRPr="00ED0884">
        <w:rPr>
          <w:i/>
        </w:rPr>
        <w:t>Geothermics</w:t>
      </w:r>
      <w:r w:rsidR="00E07F07" w:rsidRPr="0006214B">
        <w:t xml:space="preserve">, </w:t>
      </w:r>
      <w:r>
        <w:t xml:space="preserve">vol. </w:t>
      </w:r>
      <w:r w:rsidR="00E07F07" w:rsidRPr="0006214B">
        <w:t xml:space="preserve">36, </w:t>
      </w:r>
      <w:r>
        <w:t xml:space="preserve">pp. </w:t>
      </w:r>
      <w:r w:rsidR="00E07F07" w:rsidRPr="0006214B">
        <w:t>185-222.</w:t>
      </w:r>
    </w:p>
    <w:p w:rsidR="00E07F07" w:rsidRPr="0006214B" w:rsidRDefault="00ED0884" w:rsidP="00BE7A62">
      <w:pPr>
        <w:pStyle w:val="BRNormal"/>
        <w:spacing w:after="0"/>
        <w:ind w:left="709" w:hanging="709"/>
      </w:pPr>
      <w:proofErr w:type="gramStart"/>
      <w:r>
        <w:t>Mallett CW, Pattison C, McLennan T, Balfe P &amp; Sullivan D 1995.</w:t>
      </w:r>
      <w:proofErr w:type="gramEnd"/>
      <w:r w:rsidR="00E07F07" w:rsidRPr="0006214B">
        <w:t xml:space="preserve"> </w:t>
      </w:r>
      <w:r>
        <w:t>‘</w:t>
      </w:r>
      <w:r w:rsidR="00E07F07" w:rsidRPr="0006214B">
        <w:t>Bowen Basin</w:t>
      </w:r>
      <w:r>
        <w:t>’,</w:t>
      </w:r>
      <w:r w:rsidR="00E07F07" w:rsidRPr="0006214B">
        <w:t xml:space="preserve"> In </w:t>
      </w:r>
      <w:r w:rsidR="00E07F07" w:rsidRPr="00ED0884">
        <w:rPr>
          <w:i/>
        </w:rPr>
        <w:t>Geology</w:t>
      </w:r>
      <w:r w:rsidR="00E07F07" w:rsidRPr="0006214B">
        <w:t xml:space="preserve"> </w:t>
      </w:r>
      <w:r w:rsidR="00E07F07" w:rsidRPr="00ED0884">
        <w:rPr>
          <w:i/>
        </w:rPr>
        <w:t>of Australian Coal Basins</w:t>
      </w:r>
      <w:r w:rsidR="00E07F07" w:rsidRPr="0006214B">
        <w:t xml:space="preserve">, CR </w:t>
      </w:r>
      <w:r>
        <w:t>Ward, HJ Harrington, CW Mallett</w:t>
      </w:r>
      <w:r w:rsidR="00E07F07" w:rsidRPr="0006214B">
        <w:t xml:space="preserve"> </w:t>
      </w:r>
      <w:r>
        <w:t>&amp; JW Beeston</w:t>
      </w:r>
      <w:r w:rsidR="00E07F07" w:rsidRPr="0006214B">
        <w:t xml:space="preserve"> </w:t>
      </w:r>
      <w:r>
        <w:t>(</w:t>
      </w:r>
      <w:r w:rsidR="00E07F07" w:rsidRPr="0006214B">
        <w:t>eds.</w:t>
      </w:r>
      <w:r>
        <w:t>)</w:t>
      </w:r>
      <w:r w:rsidR="00E07F07" w:rsidRPr="0006214B">
        <w:t>, Geological Society of Australia Special Publication 1, Sydney, 299-339.</w:t>
      </w:r>
    </w:p>
    <w:p w:rsidR="00E07F07" w:rsidRPr="0006214B" w:rsidRDefault="00150A15" w:rsidP="00BE7A62">
      <w:pPr>
        <w:pStyle w:val="BRNormal"/>
        <w:spacing w:after="0"/>
        <w:ind w:left="709" w:hanging="709"/>
      </w:pPr>
      <w:r w:rsidRPr="0006214B">
        <w:t>Marl</w:t>
      </w:r>
      <w:r w:rsidR="00ED0884">
        <w:t>er J</w:t>
      </w:r>
      <w:r w:rsidRPr="0006214B">
        <w:t xml:space="preserve"> &amp; Ge</w:t>
      </w:r>
      <w:r w:rsidR="00ED0884">
        <w:t xml:space="preserve"> S 2003</w:t>
      </w:r>
      <w:r w:rsidR="00E07F07" w:rsidRPr="0006214B">
        <w:t xml:space="preserve"> </w:t>
      </w:r>
      <w:r w:rsidR="00ED0884">
        <w:t>‘</w:t>
      </w:r>
      <w:r w:rsidR="00E07F07" w:rsidRPr="0006214B">
        <w:t>The permeability of the Elkhorn fault zone, South Park, Colorado</w:t>
      </w:r>
      <w:r w:rsidR="00ED0884">
        <w:t>’,</w:t>
      </w:r>
      <w:r w:rsidR="00E07F07" w:rsidRPr="0006214B">
        <w:t xml:space="preserve"> </w:t>
      </w:r>
      <w:r w:rsidR="00E07F07" w:rsidRPr="00ED0884">
        <w:rPr>
          <w:i/>
        </w:rPr>
        <w:t>Ground Water</w:t>
      </w:r>
      <w:r w:rsidR="00E07F07" w:rsidRPr="0006214B">
        <w:t xml:space="preserve">, </w:t>
      </w:r>
      <w:r w:rsidR="00ED0884">
        <w:t xml:space="preserve">vol. </w:t>
      </w:r>
      <w:r w:rsidR="00E07F07" w:rsidRPr="0006214B">
        <w:t xml:space="preserve">41, </w:t>
      </w:r>
      <w:r w:rsidR="00ED0884">
        <w:t xml:space="preserve">pp. </w:t>
      </w:r>
      <w:r w:rsidR="00E07F07" w:rsidRPr="0006214B">
        <w:t>321-332.</w:t>
      </w:r>
    </w:p>
    <w:p w:rsidR="00E07F07" w:rsidRPr="0006214B" w:rsidRDefault="00ED0884" w:rsidP="00BE7A62">
      <w:pPr>
        <w:pStyle w:val="BRNormal"/>
        <w:spacing w:after="0"/>
        <w:ind w:left="709" w:hanging="709"/>
      </w:pPr>
      <w:proofErr w:type="gramStart"/>
      <w:r>
        <w:t>Marsh C, Rawsthorn K, Causebrook R, Kalinowski A</w:t>
      </w:r>
      <w:r w:rsidR="00E07F07" w:rsidRPr="0006214B">
        <w:t xml:space="preserve"> </w:t>
      </w:r>
      <w:r>
        <w:t>&amp; Newlands I 2008.</w:t>
      </w:r>
      <w:proofErr w:type="gramEnd"/>
      <w:r>
        <w:t xml:space="preserve"> </w:t>
      </w:r>
      <w:proofErr w:type="gramStart"/>
      <w:r>
        <w:rPr>
          <w:i/>
        </w:rPr>
        <w:t>A geological r</w:t>
      </w:r>
      <w:r w:rsidR="00E07F07" w:rsidRPr="00ED0884">
        <w:rPr>
          <w:i/>
        </w:rPr>
        <w:t>eview of the</w:t>
      </w:r>
      <w:r>
        <w:rPr>
          <w:i/>
        </w:rPr>
        <w:t xml:space="preserve"> Galilee Basin, Queensland for possible storage of carbon d</w:t>
      </w:r>
      <w:r w:rsidR="00E07F07" w:rsidRPr="00ED0884">
        <w:rPr>
          <w:i/>
        </w:rPr>
        <w:t>ioxide</w:t>
      </w:r>
      <w:r w:rsidR="00E07F07" w:rsidRPr="0006214B">
        <w:t>.</w:t>
      </w:r>
      <w:proofErr w:type="gramEnd"/>
      <w:r w:rsidR="00E07F07" w:rsidRPr="0006214B">
        <w:t xml:space="preserve">  </w:t>
      </w:r>
      <w:proofErr w:type="gramStart"/>
      <w:r w:rsidR="00E07F07" w:rsidRPr="0006214B">
        <w:t>Cooperative Research Centre for Greenhouse Gas Technologies, Canberra, Australia, CO2CRC Publication Number RPT08-0983.</w:t>
      </w:r>
      <w:proofErr w:type="gramEnd"/>
      <w:r w:rsidR="00E07F07" w:rsidRPr="0006214B">
        <w:t xml:space="preserve"> 91pp.</w:t>
      </w:r>
    </w:p>
    <w:p w:rsidR="00E07F07" w:rsidRPr="0006214B" w:rsidRDefault="00ED0884" w:rsidP="00BE7A62">
      <w:pPr>
        <w:pStyle w:val="BRNormal"/>
        <w:spacing w:after="0"/>
        <w:ind w:left="709" w:hanging="709"/>
      </w:pPr>
      <w:proofErr w:type="gramStart"/>
      <w:r>
        <w:t>Matthews I 1997.</w:t>
      </w:r>
      <w:proofErr w:type="gramEnd"/>
      <w:r w:rsidR="00E07F07" w:rsidRPr="0006214B">
        <w:t xml:space="preserve"> </w:t>
      </w:r>
      <w:r w:rsidR="00E07F07" w:rsidRPr="00ED0884">
        <w:rPr>
          <w:i/>
        </w:rPr>
        <w:t>Hydrogeology of the Great Artesian Basin in the Northern Territory</w:t>
      </w:r>
      <w:r w:rsidR="00E07F07" w:rsidRPr="0006214B">
        <w:t>, report no. 52/96A, Department of Lands, Environment and Planning, Darwin, NT.</w:t>
      </w:r>
    </w:p>
    <w:p w:rsidR="00E07F07" w:rsidRPr="0006214B" w:rsidRDefault="00ED0884" w:rsidP="00BE7A62">
      <w:pPr>
        <w:pStyle w:val="BRNormal"/>
        <w:spacing w:after="0"/>
        <w:ind w:left="709" w:hanging="709"/>
      </w:pPr>
      <w:proofErr w:type="gramStart"/>
      <w:r>
        <w:lastRenderedPageBreak/>
        <w:t>MatrixPlus 2009.</w:t>
      </w:r>
      <w:proofErr w:type="gramEnd"/>
      <w:r w:rsidR="00E07F07" w:rsidRPr="0006214B">
        <w:t xml:space="preserve"> </w:t>
      </w:r>
      <w:proofErr w:type="gramStart"/>
      <w:r w:rsidR="00E07F07" w:rsidRPr="0006214B">
        <w:t>‘Groundwater (deep aquifer modell</w:t>
      </w:r>
      <w:r w:rsidR="00F87DE2">
        <w:t xml:space="preserve">ing) for Santos </w:t>
      </w:r>
      <w:r w:rsidR="00F87DE2" w:rsidRPr="0006214B">
        <w:t>G</w:t>
      </w:r>
      <w:r w:rsidR="00F87DE2">
        <w:t xml:space="preserve">ladstone </w:t>
      </w:r>
      <w:r w:rsidR="00E07F07" w:rsidRPr="0006214B">
        <w:t xml:space="preserve">LNG Environmental Impact Statement’, report for the </w:t>
      </w:r>
      <w:r w:rsidR="00E07F07" w:rsidRPr="00ED0884">
        <w:rPr>
          <w:i/>
        </w:rPr>
        <w:t>Gladstone Curtis LNG Environmental Impact Statement</w:t>
      </w:r>
      <w:r w:rsidR="00E07F07" w:rsidRPr="0006214B">
        <w:t>, 145</w:t>
      </w:r>
      <w:r>
        <w:t xml:space="preserve"> p.</w:t>
      </w:r>
      <w:proofErr w:type="gramEnd"/>
    </w:p>
    <w:p w:rsidR="00E07F07" w:rsidRPr="0006214B" w:rsidRDefault="00ED0884" w:rsidP="00BE7A62">
      <w:pPr>
        <w:pStyle w:val="BRNormal"/>
        <w:spacing w:after="0"/>
        <w:ind w:left="709" w:hanging="709"/>
      </w:pPr>
      <w:r>
        <w:t>Mazurek M, Alt-Epping P, Bath A, Gimmi T, Niklaus Waber H, Buschaert S, Cannière P</w:t>
      </w:r>
      <w:r w:rsidR="00E07F07" w:rsidRPr="0006214B">
        <w:t>D</w:t>
      </w:r>
      <w:r>
        <w:t>, Craen MD, Gautschi A, Savoye S, Vinsot A</w:t>
      </w:r>
      <w:r w:rsidR="00E07F07" w:rsidRPr="0006214B">
        <w:t>, W</w:t>
      </w:r>
      <w:r>
        <w:t>emaere I &amp; Wouters L</w:t>
      </w:r>
      <w:r w:rsidR="00E07F07" w:rsidRPr="0006214B">
        <w:t xml:space="preserve"> 2011. </w:t>
      </w:r>
      <w:r>
        <w:t>‘</w:t>
      </w:r>
      <w:r w:rsidR="00E07F07" w:rsidRPr="0006214B">
        <w:t>Natural tracer profiles across argillaceous formations</w:t>
      </w:r>
      <w:r>
        <w:t>’,</w:t>
      </w:r>
      <w:r w:rsidR="00E07F07" w:rsidRPr="0006214B">
        <w:t xml:space="preserve"> </w:t>
      </w:r>
      <w:r w:rsidR="00E07F07" w:rsidRPr="00ED0884">
        <w:rPr>
          <w:i/>
        </w:rPr>
        <w:t>Applied Geochemistry</w:t>
      </w:r>
      <w:r w:rsidR="00E07F07" w:rsidRPr="0006214B">
        <w:t xml:space="preserve">, </w:t>
      </w:r>
      <w:r>
        <w:t xml:space="preserve">vol. </w:t>
      </w:r>
      <w:r w:rsidR="00E07F07" w:rsidRPr="0006214B">
        <w:t xml:space="preserve">26, </w:t>
      </w:r>
      <w:r>
        <w:t xml:space="preserve">pp. </w:t>
      </w:r>
      <w:r w:rsidR="00E07F07" w:rsidRPr="0006214B">
        <w:t>1035-1064.</w:t>
      </w:r>
    </w:p>
    <w:p w:rsidR="00E07F07" w:rsidRPr="0006214B" w:rsidRDefault="00E07F07" w:rsidP="00BE7A62">
      <w:pPr>
        <w:pStyle w:val="BRNormal"/>
        <w:spacing w:after="0"/>
        <w:ind w:left="709" w:hanging="709"/>
      </w:pPr>
      <w:r w:rsidRPr="0006214B">
        <w:t xml:space="preserve">McMahon GA, Ransley T, Barclay DF, Coram J, Foster L, Hillier J </w:t>
      </w:r>
      <w:r w:rsidR="00ED0884">
        <w:t xml:space="preserve">&amp; Kellett J </w:t>
      </w:r>
      <w:r w:rsidRPr="0006214B">
        <w:t>2002</w:t>
      </w:r>
      <w:r w:rsidR="00ED0884">
        <w:t>.</w:t>
      </w:r>
      <w:r w:rsidRPr="0006214B">
        <w:t xml:space="preserve"> ‘Aquifer recharge in the Great Artesian Basin, Queensland’, </w:t>
      </w:r>
      <w:r w:rsidRPr="00ED0884">
        <w:rPr>
          <w:i/>
        </w:rPr>
        <w:t xml:space="preserve">Proceedings of the International Association of Hydrogeologists International </w:t>
      </w:r>
      <w:proofErr w:type="gramStart"/>
      <w:r w:rsidRPr="00ED0884">
        <w:rPr>
          <w:i/>
        </w:rPr>
        <w:t>Conference  ‘Balancing</w:t>
      </w:r>
      <w:proofErr w:type="gramEnd"/>
      <w:r w:rsidRPr="00ED0884">
        <w:rPr>
          <w:i/>
        </w:rPr>
        <w:t xml:space="preserve"> the Groundwater Budget’</w:t>
      </w:r>
      <w:r w:rsidRPr="0006214B">
        <w:t>, Darwin, NT.</w:t>
      </w:r>
    </w:p>
    <w:p w:rsidR="00E07F07" w:rsidRPr="0006214B" w:rsidRDefault="00ED0884" w:rsidP="00BE7A62">
      <w:pPr>
        <w:pStyle w:val="BRNormal"/>
        <w:spacing w:after="0"/>
        <w:ind w:left="709" w:hanging="709"/>
      </w:pPr>
      <w:r>
        <w:t>Medeiros WE, Do Nascimento AF, Alves Da Silva FC, Destro N &amp; Demétrio JGA</w:t>
      </w:r>
      <w:r w:rsidR="00E07F07" w:rsidRPr="0006214B">
        <w:t xml:space="preserve"> 2010. </w:t>
      </w:r>
      <w:proofErr w:type="gramStart"/>
      <w:r>
        <w:t>‘</w:t>
      </w:r>
      <w:r w:rsidR="00E07F07" w:rsidRPr="0006214B">
        <w:t>Evidence of hydraulic connectivity across deformation bands from field pumping tests: Two examples from Tucano Basin, NE Brazil</w:t>
      </w:r>
      <w:r>
        <w:t>’,</w:t>
      </w:r>
      <w:r w:rsidR="00E07F07" w:rsidRPr="0006214B">
        <w:t xml:space="preserve"> </w:t>
      </w:r>
      <w:r w:rsidR="00E07F07" w:rsidRPr="00ED0884">
        <w:rPr>
          <w:i/>
        </w:rPr>
        <w:t>Journal of Structural Geology</w:t>
      </w:r>
      <w:r w:rsidR="00E07F07" w:rsidRPr="0006214B">
        <w:t xml:space="preserve">, </w:t>
      </w:r>
      <w:r>
        <w:t xml:space="preserve">vol. </w:t>
      </w:r>
      <w:r w:rsidR="00E07F07" w:rsidRPr="0006214B">
        <w:t xml:space="preserve">32, </w:t>
      </w:r>
      <w:r>
        <w:t xml:space="preserve">pp. </w:t>
      </w:r>
      <w:r w:rsidR="00E07F07" w:rsidRPr="0006214B">
        <w:t>1783-1791.</w:t>
      </w:r>
      <w:proofErr w:type="gramEnd"/>
    </w:p>
    <w:p w:rsidR="00E07F07" w:rsidRPr="0006214B" w:rsidRDefault="00ED0884" w:rsidP="00BE7A62">
      <w:pPr>
        <w:pStyle w:val="BRNormal"/>
        <w:spacing w:after="0"/>
        <w:ind w:left="709" w:hanging="709"/>
      </w:pPr>
      <w:r>
        <w:t>Meizner OE</w:t>
      </w:r>
      <w:r w:rsidR="00E07F07" w:rsidRPr="0006214B">
        <w:t xml:space="preserve"> 1928. </w:t>
      </w:r>
      <w:proofErr w:type="gramStart"/>
      <w:r>
        <w:t>‘</w:t>
      </w:r>
      <w:r w:rsidR="00E07F07" w:rsidRPr="0006214B">
        <w:t>Compressibility and elasticity of artesian aquifers</w:t>
      </w:r>
      <w:r>
        <w:t>’,</w:t>
      </w:r>
      <w:r w:rsidR="00E07F07" w:rsidRPr="0006214B">
        <w:t xml:space="preserve"> </w:t>
      </w:r>
      <w:r w:rsidR="00E07F07" w:rsidRPr="00ED0884">
        <w:rPr>
          <w:i/>
        </w:rPr>
        <w:t>Economic Geology</w:t>
      </w:r>
      <w:r w:rsidR="00E07F07" w:rsidRPr="0006214B">
        <w:t xml:space="preserve">, </w:t>
      </w:r>
      <w:r>
        <w:t xml:space="preserve">vol. </w:t>
      </w:r>
      <w:r w:rsidR="00E07F07" w:rsidRPr="0006214B">
        <w:t xml:space="preserve">23, </w:t>
      </w:r>
      <w:r>
        <w:t xml:space="preserve">pp. </w:t>
      </w:r>
      <w:r w:rsidR="00E07F07" w:rsidRPr="0006214B">
        <w:t>263-291.</w:t>
      </w:r>
      <w:proofErr w:type="gramEnd"/>
    </w:p>
    <w:p w:rsidR="00E07F07" w:rsidRPr="0006214B" w:rsidRDefault="00ED0884" w:rsidP="00BE7A62">
      <w:pPr>
        <w:pStyle w:val="BRNormal"/>
        <w:spacing w:after="0"/>
        <w:ind w:left="709" w:hanging="709"/>
      </w:pPr>
      <w:proofErr w:type="gramStart"/>
      <w:r>
        <w:t>Merrick NP 2001.</w:t>
      </w:r>
      <w:proofErr w:type="gramEnd"/>
      <w:r w:rsidR="00E07F07" w:rsidRPr="0006214B">
        <w:t xml:space="preserve"> </w:t>
      </w:r>
      <w:r w:rsidR="00E07F07" w:rsidRPr="00ED0884">
        <w:rPr>
          <w:i/>
        </w:rPr>
        <w:t>Lower Namoi groundwater flow model: Calibration 1980-1998</w:t>
      </w:r>
      <w:r w:rsidR="00E07F07" w:rsidRPr="0006214B">
        <w:t>, report for Department of Land and Water Conservation NSW, project no. C99/44/001, Insearch Ltd, Sydney, NSW.</w:t>
      </w:r>
    </w:p>
    <w:p w:rsidR="00E07F07" w:rsidRPr="0006214B" w:rsidRDefault="00ED0884" w:rsidP="00BE7A62">
      <w:pPr>
        <w:pStyle w:val="BRNormal"/>
        <w:spacing w:after="0"/>
        <w:ind w:left="709" w:hanging="709"/>
      </w:pPr>
      <w:r>
        <w:t>Mikkelsen PE &amp; Green GE</w:t>
      </w:r>
      <w:r w:rsidR="00E07F07" w:rsidRPr="0006214B">
        <w:t xml:space="preserve"> 2003. </w:t>
      </w:r>
      <w:proofErr w:type="gramStart"/>
      <w:r w:rsidR="00E07F07" w:rsidRPr="00ED0884">
        <w:rPr>
          <w:i/>
        </w:rPr>
        <w:t>Piezometers in fully grouted boreholes</w:t>
      </w:r>
      <w:r w:rsidR="00E07F07" w:rsidRPr="0006214B">
        <w:t>.</w:t>
      </w:r>
      <w:proofErr w:type="gramEnd"/>
      <w:r w:rsidR="00E07F07" w:rsidRPr="0006214B">
        <w:t xml:space="preserve"> Symposium on Field Measurements in Geomechanics, Oslo, Norway, September, 1-10.</w:t>
      </w:r>
    </w:p>
    <w:p w:rsidR="00E07F07" w:rsidRPr="0006214B" w:rsidRDefault="00ED0884" w:rsidP="00BE7A62">
      <w:pPr>
        <w:pStyle w:val="BRNormal"/>
        <w:spacing w:after="0"/>
        <w:ind w:left="709" w:hanging="709"/>
      </w:pPr>
      <w:proofErr w:type="gramStart"/>
      <w:r>
        <w:t>Mildren SD, Hillis</w:t>
      </w:r>
      <w:r w:rsidR="00E07F07" w:rsidRPr="0006214B">
        <w:t xml:space="preserve"> RR </w:t>
      </w:r>
      <w:r>
        <w:t>&amp; Kaldi J 2002.</w:t>
      </w:r>
      <w:proofErr w:type="gramEnd"/>
      <w:r w:rsidR="00E07F07" w:rsidRPr="0006214B">
        <w:t xml:space="preserve"> </w:t>
      </w:r>
      <w:proofErr w:type="gramStart"/>
      <w:r w:rsidR="00E07F07" w:rsidRPr="0006214B">
        <w:t xml:space="preserve">‘Calibrating predictions of fault seal reactivation in the Timor Sea’, </w:t>
      </w:r>
      <w:r w:rsidR="00E07F07" w:rsidRPr="00ED0884">
        <w:rPr>
          <w:i/>
        </w:rPr>
        <w:t>Australian Petroleum Production and Exploration Association Journal</w:t>
      </w:r>
      <w:r w:rsidR="00E07F07" w:rsidRPr="0006214B">
        <w:t>, vol.</w:t>
      </w:r>
      <w:r>
        <w:t xml:space="preserve"> </w:t>
      </w:r>
      <w:r w:rsidR="00E07F07" w:rsidRPr="0006214B">
        <w:t>42, pp.</w:t>
      </w:r>
      <w:r>
        <w:t xml:space="preserve"> </w:t>
      </w:r>
      <w:r w:rsidR="00E07F07" w:rsidRPr="0006214B">
        <w:t>187-202.</w:t>
      </w:r>
      <w:proofErr w:type="gramEnd"/>
    </w:p>
    <w:p w:rsidR="00E07F07" w:rsidRPr="0006214B" w:rsidRDefault="00ED0884" w:rsidP="00BE7A62">
      <w:pPr>
        <w:pStyle w:val="BRNormal"/>
        <w:spacing w:after="0"/>
        <w:ind w:left="709" w:hanging="709"/>
      </w:pPr>
      <w:proofErr w:type="gramStart"/>
      <w:r>
        <w:t>Moya C 2011.</w:t>
      </w:r>
      <w:proofErr w:type="gramEnd"/>
      <w:r w:rsidR="00E07F07" w:rsidRPr="0006214B">
        <w:t xml:space="preserve"> </w:t>
      </w:r>
      <w:r w:rsidR="00E07F07" w:rsidRPr="00ED0884">
        <w:rPr>
          <w:i/>
        </w:rPr>
        <w:t>Hydrostratigraphic and hydrochemical characterisation of aquifers, aquitards and coal seams in the Galilee and Eromanga basins, Central Queensland, Australia</w:t>
      </w:r>
      <w:r w:rsidR="00E07F07" w:rsidRPr="0006214B">
        <w:t xml:space="preserve">. </w:t>
      </w:r>
      <w:proofErr w:type="gramStart"/>
      <w:r w:rsidR="00E07F07" w:rsidRPr="0006214B">
        <w:t>Confirmation of Candidature report (including literature review for Doctor of Philosophy).</w:t>
      </w:r>
      <w:proofErr w:type="gramEnd"/>
    </w:p>
    <w:p w:rsidR="00E07F07" w:rsidRPr="0006214B" w:rsidRDefault="00ED0884" w:rsidP="00BE7A62">
      <w:pPr>
        <w:pStyle w:val="BRNormal"/>
        <w:spacing w:after="0"/>
        <w:ind w:left="709" w:hanging="709"/>
      </w:pPr>
      <w:r>
        <w:t>Moya D, Cox M</w:t>
      </w:r>
      <w:proofErr w:type="gramStart"/>
      <w:r>
        <w:t>,  Raiber</w:t>
      </w:r>
      <w:proofErr w:type="gramEnd"/>
      <w:r>
        <w:t xml:space="preserve"> M</w:t>
      </w:r>
      <w:r w:rsidR="00E07F07" w:rsidRPr="0006214B">
        <w:t xml:space="preserve"> </w:t>
      </w:r>
      <w:r>
        <w:t xml:space="preserve">&amp; Taulis M 2012. </w:t>
      </w:r>
      <w:proofErr w:type="gramStart"/>
      <w:r w:rsidR="00E07F07" w:rsidRPr="00ED0884">
        <w:rPr>
          <w:i/>
        </w:rPr>
        <w:t>Preliminary Hydrochemical-Geological Assessment of the Galilee and Eromanga Basin Groundwaters, Queensland</w:t>
      </w:r>
      <w:r>
        <w:t>.</w:t>
      </w:r>
      <w:proofErr w:type="gramEnd"/>
      <w:r>
        <w:t xml:space="preserve"> </w:t>
      </w:r>
      <w:r w:rsidR="00E07F07" w:rsidRPr="0006214B">
        <w:t xml:space="preserve">Poster presented at the 34th International Geological Conference, Brisbane, </w:t>
      </w:r>
      <w:proofErr w:type="gramStart"/>
      <w:r w:rsidR="00E07F07" w:rsidRPr="0006214B">
        <w:t>5</w:t>
      </w:r>
      <w:proofErr w:type="gramEnd"/>
      <w:r w:rsidR="00E07F07" w:rsidRPr="0006214B">
        <w:t>-10 August 2012.</w:t>
      </w:r>
    </w:p>
    <w:p w:rsidR="00E07F07" w:rsidRPr="0006214B" w:rsidRDefault="005434AB" w:rsidP="00BE7A62">
      <w:pPr>
        <w:pStyle w:val="BRNormal"/>
        <w:spacing w:after="0"/>
        <w:ind w:left="709" w:hanging="709"/>
      </w:pPr>
      <w:proofErr w:type="gramStart"/>
      <w:r>
        <w:t>Mullen IC, Wilkinson KE, Cresswell RG &amp; Kellett J</w:t>
      </w:r>
      <w:r w:rsidR="00E07F07" w:rsidRPr="0006214B">
        <w:t xml:space="preserve"> 2007.</w:t>
      </w:r>
      <w:proofErr w:type="gramEnd"/>
      <w:r w:rsidR="00E07F07" w:rsidRPr="0006214B">
        <w:t xml:space="preserve"> </w:t>
      </w:r>
      <w:proofErr w:type="gramStart"/>
      <w:r>
        <w:t>‘</w:t>
      </w:r>
      <w:r w:rsidR="00E07F07" w:rsidRPr="0006214B">
        <w:t>Three-dimensional mapping of salt stores in the Murray-Darling Basin, Australia: 2. Calculating landscape salt loads from airborne electromagnetic and laboratory data</w:t>
      </w:r>
      <w:r>
        <w:t>’,</w:t>
      </w:r>
      <w:r w:rsidR="00E07F07" w:rsidRPr="0006214B">
        <w:t xml:space="preserve"> </w:t>
      </w:r>
      <w:r w:rsidR="00E07F07" w:rsidRPr="005434AB">
        <w:rPr>
          <w:i/>
        </w:rPr>
        <w:t>International Journal of Applied Earth</w:t>
      </w:r>
      <w:r w:rsidR="00E07F07" w:rsidRPr="0006214B">
        <w:t xml:space="preserve"> </w:t>
      </w:r>
      <w:r w:rsidR="00E07F07" w:rsidRPr="005434AB">
        <w:rPr>
          <w:i/>
        </w:rPr>
        <w:t>Observation and Geoinformation</w:t>
      </w:r>
      <w:r w:rsidR="00E07F07" w:rsidRPr="0006214B">
        <w:t xml:space="preserve">, </w:t>
      </w:r>
      <w:r>
        <w:t xml:space="preserve">vol. </w:t>
      </w:r>
      <w:r w:rsidR="00E07F07" w:rsidRPr="0006214B">
        <w:t xml:space="preserve">9, </w:t>
      </w:r>
      <w:r>
        <w:t xml:space="preserve">pp. </w:t>
      </w:r>
      <w:r w:rsidR="00E07F07" w:rsidRPr="0006214B">
        <w:t>103-115.</w:t>
      </w:r>
      <w:proofErr w:type="gramEnd"/>
    </w:p>
    <w:p w:rsidR="00E07F07" w:rsidRPr="0006214B" w:rsidRDefault="005434AB" w:rsidP="00BE7A62">
      <w:pPr>
        <w:pStyle w:val="BRNormal"/>
        <w:spacing w:after="0"/>
        <w:ind w:left="709" w:hanging="709"/>
      </w:pPr>
      <w:proofErr w:type="gramStart"/>
      <w:r>
        <w:t>Müller RD, Dyksterhuis S &amp; Rey P</w:t>
      </w:r>
      <w:r w:rsidR="00E07F07" w:rsidRPr="0006214B">
        <w:t xml:space="preserve"> 2012.</w:t>
      </w:r>
      <w:proofErr w:type="gramEnd"/>
      <w:r w:rsidR="00E07F07" w:rsidRPr="0006214B">
        <w:t xml:space="preserve"> </w:t>
      </w:r>
      <w:proofErr w:type="gramStart"/>
      <w:r>
        <w:t>‘</w:t>
      </w:r>
      <w:r w:rsidR="00E07F07" w:rsidRPr="0006214B">
        <w:t>Australian paleo-stress fields and tectonic reactivation over the past 100 Ma</w:t>
      </w:r>
      <w:r>
        <w:t>’,</w:t>
      </w:r>
      <w:r w:rsidR="00E07F07" w:rsidRPr="0006214B">
        <w:t xml:space="preserve"> </w:t>
      </w:r>
      <w:r w:rsidR="00E07F07" w:rsidRPr="005434AB">
        <w:rPr>
          <w:i/>
        </w:rPr>
        <w:t>Australian Journal of Earth Sciences</w:t>
      </w:r>
      <w:r w:rsidR="00E07F07" w:rsidRPr="0006214B">
        <w:t xml:space="preserve">, </w:t>
      </w:r>
      <w:r>
        <w:t xml:space="preserve">vol. </w:t>
      </w:r>
      <w:r w:rsidR="00E07F07" w:rsidRPr="0006214B">
        <w:t xml:space="preserve">59, </w:t>
      </w:r>
      <w:r>
        <w:t xml:space="preserve">pp. </w:t>
      </w:r>
      <w:r w:rsidR="00E07F07" w:rsidRPr="0006214B">
        <w:t>13-28.</w:t>
      </w:r>
      <w:proofErr w:type="gramEnd"/>
    </w:p>
    <w:p w:rsidR="00E07F07" w:rsidRPr="0006214B" w:rsidRDefault="005434AB" w:rsidP="00BE7A62">
      <w:pPr>
        <w:pStyle w:val="BRNormal"/>
        <w:spacing w:after="0"/>
        <w:ind w:left="709" w:hanging="709"/>
      </w:pPr>
      <w:proofErr w:type="gramStart"/>
      <w:r>
        <w:t>Narashimhan TN &amp; Goyal K 1984.</w:t>
      </w:r>
      <w:proofErr w:type="gramEnd"/>
      <w:r w:rsidR="00E07F07" w:rsidRPr="0006214B">
        <w:t xml:space="preserve"> </w:t>
      </w:r>
      <w:r w:rsidR="00E07F07" w:rsidRPr="005434AB">
        <w:rPr>
          <w:i/>
        </w:rPr>
        <w:t>Subsidence due to geothermal fluid withdrawal</w:t>
      </w:r>
      <w:r>
        <w:rPr>
          <w:i/>
        </w:rPr>
        <w:t>,</w:t>
      </w:r>
      <w:r>
        <w:t xml:space="preserve"> I</w:t>
      </w:r>
      <w:r w:rsidR="00E07F07" w:rsidRPr="0006214B">
        <w:t>n</w:t>
      </w:r>
      <w:r>
        <w:t>:</w:t>
      </w:r>
      <w:r w:rsidR="00E07F07" w:rsidRPr="0006214B">
        <w:t xml:space="preserve"> Man-Induced Land Subsidence Reviews in Engineering Geology, VI, 35-66 </w:t>
      </w:r>
    </w:p>
    <w:p w:rsidR="00E07F07" w:rsidRPr="0006214B" w:rsidRDefault="005434AB" w:rsidP="00BE7A62">
      <w:pPr>
        <w:pStyle w:val="BRNormal"/>
        <w:spacing w:after="0"/>
        <w:ind w:left="709" w:hanging="709"/>
      </w:pPr>
      <w:proofErr w:type="gramStart"/>
      <w:r>
        <w:t>Neuman SP &amp; Witherspoon PA</w:t>
      </w:r>
      <w:r w:rsidR="00E07F07" w:rsidRPr="0006214B">
        <w:t xml:space="preserve"> 1969a.</w:t>
      </w:r>
      <w:proofErr w:type="gramEnd"/>
      <w:r w:rsidR="00E07F07" w:rsidRPr="0006214B">
        <w:t xml:space="preserve"> </w:t>
      </w:r>
      <w:proofErr w:type="gramStart"/>
      <w:r>
        <w:t>‘</w:t>
      </w:r>
      <w:r w:rsidR="00E07F07" w:rsidRPr="0006214B">
        <w:t>Applicability of current theories of flow in leaky aquifers</w:t>
      </w:r>
      <w:r>
        <w:t>’,</w:t>
      </w:r>
      <w:r w:rsidR="00E07F07" w:rsidRPr="0006214B">
        <w:t xml:space="preserve"> </w:t>
      </w:r>
      <w:r w:rsidR="00E07F07" w:rsidRPr="005434AB">
        <w:rPr>
          <w:i/>
        </w:rPr>
        <w:t>Water Resources Research</w:t>
      </w:r>
      <w:r w:rsidR="00E07F07" w:rsidRPr="0006214B">
        <w:t xml:space="preserve">, </w:t>
      </w:r>
      <w:r>
        <w:t xml:space="preserve">vol. </w:t>
      </w:r>
      <w:r w:rsidR="00E07F07" w:rsidRPr="0006214B">
        <w:t xml:space="preserve">5, </w:t>
      </w:r>
      <w:r>
        <w:t xml:space="preserve">pp. </w:t>
      </w:r>
      <w:r w:rsidR="00E07F07" w:rsidRPr="0006214B">
        <w:t>817-829.</w:t>
      </w:r>
      <w:proofErr w:type="gramEnd"/>
    </w:p>
    <w:p w:rsidR="00E07F07" w:rsidRPr="0006214B" w:rsidRDefault="005434AB" w:rsidP="00BE7A62">
      <w:pPr>
        <w:pStyle w:val="BRNormal"/>
        <w:spacing w:after="0"/>
        <w:ind w:left="709" w:hanging="709"/>
      </w:pPr>
      <w:proofErr w:type="gramStart"/>
      <w:r>
        <w:t>Neuman SP &amp; Witherspoon PA</w:t>
      </w:r>
      <w:r w:rsidR="00E07F07" w:rsidRPr="0006214B">
        <w:t xml:space="preserve"> 1969b.</w:t>
      </w:r>
      <w:proofErr w:type="gramEnd"/>
      <w:r w:rsidR="00E07F07" w:rsidRPr="0006214B">
        <w:t xml:space="preserve"> </w:t>
      </w:r>
      <w:proofErr w:type="gramStart"/>
      <w:r>
        <w:t>‘</w:t>
      </w:r>
      <w:r w:rsidR="00E07F07" w:rsidRPr="0006214B">
        <w:t>Theory of flow in a confined two-aquifer system</w:t>
      </w:r>
      <w:r>
        <w:t>’,</w:t>
      </w:r>
      <w:r w:rsidR="00E07F07" w:rsidRPr="0006214B">
        <w:t xml:space="preserve"> </w:t>
      </w:r>
      <w:r w:rsidR="00E07F07" w:rsidRPr="005434AB">
        <w:rPr>
          <w:i/>
        </w:rPr>
        <w:t>Water Resources Research</w:t>
      </w:r>
      <w:r w:rsidR="00E07F07" w:rsidRPr="0006214B">
        <w:t xml:space="preserve">, </w:t>
      </w:r>
      <w:r>
        <w:t xml:space="preserve">vol. </w:t>
      </w:r>
      <w:r w:rsidR="00E07F07" w:rsidRPr="0006214B">
        <w:t xml:space="preserve">5, </w:t>
      </w:r>
      <w:r>
        <w:t xml:space="preserve">pp. </w:t>
      </w:r>
      <w:r w:rsidR="00E07F07" w:rsidRPr="0006214B">
        <w:t>803-816.</w:t>
      </w:r>
      <w:proofErr w:type="gramEnd"/>
    </w:p>
    <w:p w:rsidR="00E07F07" w:rsidRPr="0006214B" w:rsidRDefault="005434AB" w:rsidP="00BE7A62">
      <w:pPr>
        <w:pStyle w:val="BRNormal"/>
        <w:spacing w:after="0"/>
        <w:ind w:left="709" w:hanging="709"/>
      </w:pPr>
      <w:r>
        <w:t>Neuzil CE</w:t>
      </w:r>
      <w:r w:rsidR="00E07F07" w:rsidRPr="0006214B">
        <w:t xml:space="preserve"> 1986. </w:t>
      </w:r>
      <w:r>
        <w:t>‘</w:t>
      </w:r>
      <w:r w:rsidR="00E07F07" w:rsidRPr="0006214B">
        <w:t xml:space="preserve">Groundwater Flow </w:t>
      </w:r>
      <w:proofErr w:type="gramStart"/>
      <w:r w:rsidR="00E07F07" w:rsidRPr="0006214B">
        <w:t>In</w:t>
      </w:r>
      <w:proofErr w:type="gramEnd"/>
      <w:r w:rsidR="00E07F07" w:rsidRPr="0006214B">
        <w:t xml:space="preserve"> Low-Permeability Environments</w:t>
      </w:r>
      <w:r>
        <w:t>’,</w:t>
      </w:r>
      <w:r w:rsidRPr="005434AB">
        <w:rPr>
          <w:i/>
        </w:rPr>
        <w:t xml:space="preserve"> Water Resources Research</w:t>
      </w:r>
      <w:r w:rsidR="00E07F07" w:rsidRPr="0006214B">
        <w:t xml:space="preserve">, </w:t>
      </w:r>
      <w:r>
        <w:t xml:space="preserve">vol. </w:t>
      </w:r>
      <w:r w:rsidR="00E07F07" w:rsidRPr="0006214B">
        <w:t xml:space="preserve">22, </w:t>
      </w:r>
      <w:r>
        <w:t xml:space="preserve">pp. </w:t>
      </w:r>
      <w:r w:rsidR="00E07F07" w:rsidRPr="0006214B">
        <w:t>1163-1195.</w:t>
      </w:r>
    </w:p>
    <w:p w:rsidR="00E07F07" w:rsidRPr="0006214B" w:rsidRDefault="005434AB" w:rsidP="00BE7A62">
      <w:pPr>
        <w:pStyle w:val="BRNormal"/>
        <w:spacing w:after="0"/>
        <w:ind w:left="709" w:hanging="709"/>
      </w:pPr>
      <w:r>
        <w:t>Neuzil CE.</w:t>
      </w:r>
      <w:r w:rsidR="00E07F07" w:rsidRPr="0006214B">
        <w:t xml:space="preserve">1994. </w:t>
      </w:r>
      <w:r>
        <w:t>‘</w:t>
      </w:r>
      <w:r w:rsidR="00E07F07" w:rsidRPr="0006214B">
        <w:t>How Permeable Are Clays And Shales?</w:t>
      </w:r>
      <w:proofErr w:type="gramStart"/>
      <w:r>
        <w:t>’,</w:t>
      </w:r>
      <w:proofErr w:type="gramEnd"/>
      <w:r>
        <w:t xml:space="preserve"> </w:t>
      </w:r>
      <w:r w:rsidR="00E07F07" w:rsidRPr="005434AB">
        <w:rPr>
          <w:i/>
        </w:rPr>
        <w:t>Water Resources Research</w:t>
      </w:r>
      <w:r w:rsidR="00E07F07" w:rsidRPr="0006214B">
        <w:t xml:space="preserve">, </w:t>
      </w:r>
      <w:r>
        <w:t xml:space="preserve">vol. pp. </w:t>
      </w:r>
      <w:r w:rsidR="00E07F07" w:rsidRPr="0006214B">
        <w:t>145-150.</w:t>
      </w:r>
    </w:p>
    <w:p w:rsidR="003A0D3E" w:rsidRPr="0006214B" w:rsidRDefault="005434AB" w:rsidP="00BE7A62">
      <w:pPr>
        <w:pStyle w:val="BRNormal"/>
        <w:spacing w:after="0"/>
        <w:ind w:left="709" w:hanging="709"/>
      </w:pPr>
      <w:proofErr w:type="gramStart"/>
      <w:r>
        <w:lastRenderedPageBreak/>
        <w:t>NGWA 2014.</w:t>
      </w:r>
      <w:proofErr w:type="gramEnd"/>
      <w:r w:rsidR="003A0D3E" w:rsidRPr="0006214B">
        <w:t xml:space="preserve"> </w:t>
      </w:r>
      <w:proofErr w:type="gramStart"/>
      <w:r w:rsidR="003A0D3E" w:rsidRPr="005434AB">
        <w:rPr>
          <w:i/>
        </w:rPr>
        <w:t>National Groundwater Association</w:t>
      </w:r>
      <w:r w:rsidR="003A0D3E" w:rsidRPr="0006214B">
        <w:t xml:space="preserve"> webpage, </w:t>
      </w:r>
      <w:r>
        <w:t>(</w:t>
      </w:r>
      <w:hyperlink r:id="rId106" w:history="1">
        <w:r w:rsidR="003A0D3E" w:rsidRPr="0006214B">
          <w:t>http://www.ngwa.org/Fundamentals/use/Pages/Groundwater-facts.aspx</w:t>
        </w:r>
      </w:hyperlink>
      <w:r>
        <w:t xml:space="preserve"> [accessed 13 January 2014])</w:t>
      </w:r>
      <w:r w:rsidR="003A0D3E" w:rsidRPr="0006214B">
        <w:t>.</w:t>
      </w:r>
      <w:proofErr w:type="gramEnd"/>
    </w:p>
    <w:p w:rsidR="00E07F07" w:rsidRPr="0006214B" w:rsidRDefault="005434AB" w:rsidP="00BE7A62">
      <w:pPr>
        <w:pStyle w:val="BRNormal"/>
        <w:spacing w:after="0"/>
        <w:ind w:left="709" w:hanging="709"/>
      </w:pPr>
      <w:proofErr w:type="gramStart"/>
      <w:r>
        <w:t>Nicholson C &amp; Wesson RL</w:t>
      </w:r>
      <w:r w:rsidR="00E07F07" w:rsidRPr="0006214B">
        <w:t xml:space="preserve"> 1990.</w:t>
      </w:r>
      <w:proofErr w:type="gramEnd"/>
      <w:r w:rsidR="00E07F07" w:rsidRPr="0006214B">
        <w:t xml:space="preserve"> </w:t>
      </w:r>
      <w:r w:rsidR="00E07F07" w:rsidRPr="005434AB">
        <w:rPr>
          <w:i/>
        </w:rPr>
        <w:t>Earthquake hazard associated with deep well injection</w:t>
      </w:r>
      <w:r>
        <w:rPr>
          <w:i/>
        </w:rPr>
        <w:t>,</w:t>
      </w:r>
      <w:r w:rsidR="00E07F07" w:rsidRPr="0006214B">
        <w:t xml:space="preserve"> </w:t>
      </w:r>
      <w:r>
        <w:t>a</w:t>
      </w:r>
      <w:r w:rsidR="00E07F07" w:rsidRPr="0006214B">
        <w:t xml:space="preserve"> report to the U.S. Environmental Protection Agency. </w:t>
      </w:r>
      <w:proofErr w:type="gramStart"/>
      <w:r w:rsidR="00E07F07" w:rsidRPr="0006214B">
        <w:t>U.S. Geological Survey Bulletin 1951.</w:t>
      </w:r>
      <w:proofErr w:type="gramEnd"/>
      <w:r w:rsidR="00E07F07" w:rsidRPr="0006214B">
        <w:t xml:space="preserve"> United States Geological Survey.</w:t>
      </w:r>
    </w:p>
    <w:p w:rsidR="00E07F07" w:rsidRPr="0006214B" w:rsidRDefault="005434AB" w:rsidP="00BE7A62">
      <w:pPr>
        <w:pStyle w:val="BRNormal"/>
        <w:spacing w:after="0"/>
        <w:ind w:left="709" w:hanging="709"/>
      </w:pPr>
      <w:proofErr w:type="gramStart"/>
      <w:r>
        <w:t>Nielsen PE &amp; Hanson ME.</w:t>
      </w:r>
      <w:r w:rsidR="00E07F07" w:rsidRPr="0006214B">
        <w:t>1987.</w:t>
      </w:r>
      <w:proofErr w:type="gramEnd"/>
      <w:r w:rsidR="00E07F07" w:rsidRPr="0006214B">
        <w:t xml:space="preserve"> </w:t>
      </w:r>
      <w:proofErr w:type="gramStart"/>
      <w:r w:rsidR="00E07F07" w:rsidRPr="005434AB">
        <w:rPr>
          <w:i/>
        </w:rPr>
        <w:t>Analysis and implications of three fracture treatments in coals at the USX Rock Creek site near Birmingham, Alabama.</w:t>
      </w:r>
      <w:proofErr w:type="gramEnd"/>
      <w:r w:rsidR="00E07F07" w:rsidRPr="005434AB">
        <w:rPr>
          <w:i/>
        </w:rPr>
        <w:t xml:space="preserve"> </w:t>
      </w:r>
      <w:proofErr w:type="gramStart"/>
      <w:r w:rsidR="00E07F07" w:rsidRPr="005434AB">
        <w:rPr>
          <w:i/>
        </w:rPr>
        <w:t>1987</w:t>
      </w:r>
      <w:r w:rsidR="00E07F07" w:rsidRPr="0006214B">
        <w:t xml:space="preserve"> Coalbed Methane Symposium, Tu</w:t>
      </w:r>
      <w:r>
        <w:t>scaloosa, AL (Nov. 16-19, 1987)</w:t>
      </w:r>
      <w:r w:rsidR="00E07F07" w:rsidRPr="0006214B">
        <w:t>.</w:t>
      </w:r>
      <w:proofErr w:type="gramEnd"/>
    </w:p>
    <w:p w:rsidR="00E07F07" w:rsidRPr="0006214B" w:rsidRDefault="005434AB" w:rsidP="00BE7A62">
      <w:pPr>
        <w:pStyle w:val="BRNormal"/>
        <w:spacing w:after="0"/>
        <w:ind w:left="709" w:hanging="709"/>
      </w:pPr>
      <w:proofErr w:type="gramStart"/>
      <w:r>
        <w:t>Nimmo JR</w:t>
      </w:r>
      <w:r w:rsidR="00E07F07" w:rsidRPr="0006214B">
        <w:t xml:space="preserve"> </w:t>
      </w:r>
      <w:r>
        <w:t>&amp; Mello KA 1991.</w:t>
      </w:r>
      <w:proofErr w:type="gramEnd"/>
      <w:r>
        <w:t xml:space="preserve"> </w:t>
      </w:r>
      <w:proofErr w:type="gramStart"/>
      <w:r>
        <w:t>‘</w:t>
      </w:r>
      <w:r w:rsidR="00E07F07" w:rsidRPr="0006214B">
        <w:t>Centrifugal Techniques for Measuring S</w:t>
      </w:r>
      <w:r>
        <w:t>aturated Hydraulic Conductivity’</w:t>
      </w:r>
      <w:r w:rsidR="00E07F07" w:rsidRPr="0006214B">
        <w:t xml:space="preserve">, </w:t>
      </w:r>
      <w:r w:rsidR="00E07F07" w:rsidRPr="005434AB">
        <w:rPr>
          <w:i/>
        </w:rPr>
        <w:t>Water Resources Research</w:t>
      </w:r>
      <w:r w:rsidR="00E07F07" w:rsidRPr="0006214B">
        <w:t xml:space="preserve">, </w:t>
      </w:r>
      <w:r>
        <w:t xml:space="preserve">vol. </w:t>
      </w:r>
      <w:r w:rsidR="00E07F07" w:rsidRPr="0006214B">
        <w:t xml:space="preserve">27, </w:t>
      </w:r>
      <w:r>
        <w:t xml:space="preserve">pp. </w:t>
      </w:r>
      <w:r w:rsidR="00E07F07" w:rsidRPr="0006214B">
        <w:t>1263-1269.</w:t>
      </w:r>
      <w:proofErr w:type="gramEnd"/>
    </w:p>
    <w:p w:rsidR="00E07F07" w:rsidRPr="0006214B" w:rsidRDefault="005434AB" w:rsidP="00BE7A62">
      <w:pPr>
        <w:pStyle w:val="BRNormal"/>
        <w:spacing w:after="0"/>
        <w:ind w:left="709" w:hanging="709"/>
      </w:pPr>
      <w:proofErr w:type="gramStart"/>
      <w:r>
        <w:t>Nordqvist R, Hjerne C &amp; Andersson</w:t>
      </w:r>
      <w:r w:rsidR="00E07F07" w:rsidRPr="0006214B">
        <w:t xml:space="preserve"> P 2012.</w:t>
      </w:r>
      <w:proofErr w:type="gramEnd"/>
      <w:r w:rsidR="00E07F07" w:rsidRPr="0006214B">
        <w:t xml:space="preserve"> </w:t>
      </w:r>
      <w:r>
        <w:t>‘</w:t>
      </w:r>
      <w:r w:rsidR="00E07F07" w:rsidRPr="0006214B">
        <w:t>Single-well and large-scale cross-hole tracer experiments in fractured rocks at two sites in Sweden</w:t>
      </w:r>
      <w:r>
        <w:t>’,</w:t>
      </w:r>
      <w:r w:rsidR="00E07F07" w:rsidRPr="0006214B">
        <w:t xml:space="preserve"> </w:t>
      </w:r>
      <w:r w:rsidR="00E07F07" w:rsidRPr="005434AB">
        <w:rPr>
          <w:i/>
        </w:rPr>
        <w:t>Hydrogeology Journal</w:t>
      </w:r>
      <w:r w:rsidR="00E07F07" w:rsidRPr="0006214B">
        <w:t xml:space="preserve">, </w:t>
      </w:r>
      <w:r>
        <w:t xml:space="preserve">vol. </w:t>
      </w:r>
      <w:r w:rsidR="00E07F07" w:rsidRPr="0006214B">
        <w:t xml:space="preserve">20, </w:t>
      </w:r>
      <w:r>
        <w:t xml:space="preserve">pp. </w:t>
      </w:r>
      <w:r w:rsidR="00E07F07" w:rsidRPr="0006214B">
        <w:t>519-531.</w:t>
      </w:r>
    </w:p>
    <w:p w:rsidR="00E07F07" w:rsidRPr="0006214B" w:rsidRDefault="005434AB" w:rsidP="00BE7A62">
      <w:pPr>
        <w:pStyle w:val="BRNormal"/>
        <w:spacing w:after="0"/>
        <w:ind w:left="709" w:hanging="709"/>
      </w:pPr>
      <w:proofErr w:type="gramStart"/>
      <w:r>
        <w:t>Novakowski KS &amp; Sudicky EA 2007.</w:t>
      </w:r>
      <w:proofErr w:type="gramEnd"/>
      <w:r w:rsidR="00E07F07" w:rsidRPr="0006214B">
        <w:t xml:space="preserve"> </w:t>
      </w:r>
      <w:r>
        <w:t>‘</w:t>
      </w:r>
      <w:r w:rsidR="00E07F07" w:rsidRPr="0006214B">
        <w:t>Chapter 20: Groundwater flow and solute transport in fractured media</w:t>
      </w:r>
      <w:r>
        <w:t>’</w:t>
      </w:r>
      <w:r w:rsidR="00E07F07" w:rsidRPr="0006214B">
        <w:t xml:space="preserve"> I</w:t>
      </w:r>
      <w:r>
        <w:t>n: Delleur JW (e</w:t>
      </w:r>
      <w:r w:rsidR="00E07F07" w:rsidRPr="0006214B">
        <w:t xml:space="preserve">d.) </w:t>
      </w:r>
      <w:proofErr w:type="gramStart"/>
      <w:r>
        <w:rPr>
          <w:i/>
        </w:rPr>
        <w:t>The</w:t>
      </w:r>
      <w:proofErr w:type="gramEnd"/>
      <w:r>
        <w:rPr>
          <w:i/>
        </w:rPr>
        <w:t xml:space="preserve"> h</w:t>
      </w:r>
      <w:r w:rsidR="00E07F07" w:rsidRPr="005434AB">
        <w:rPr>
          <w:i/>
        </w:rPr>
        <w:t>andbook of groundwater engineering</w:t>
      </w:r>
      <w:r>
        <w:t xml:space="preserve">. </w:t>
      </w:r>
      <w:proofErr w:type="gramStart"/>
      <w:r>
        <w:t>Second Edition CRC Press, 43.</w:t>
      </w:r>
      <w:proofErr w:type="gramEnd"/>
    </w:p>
    <w:p w:rsidR="00E07F07" w:rsidRPr="0006214B" w:rsidRDefault="005434AB" w:rsidP="00BE7A62">
      <w:pPr>
        <w:pStyle w:val="BRNormal"/>
        <w:spacing w:after="0"/>
        <w:ind w:left="709" w:hanging="709"/>
      </w:pPr>
      <w:r>
        <w:t>Novakowski KS, Lapcevic PA &amp; Sudicky EA</w:t>
      </w:r>
      <w:r w:rsidR="00E07F07" w:rsidRPr="0006214B">
        <w:t xml:space="preserve"> 2006. </w:t>
      </w:r>
      <w:r>
        <w:t xml:space="preserve">‘Groundwater flow </w:t>
      </w:r>
      <w:proofErr w:type="gramStart"/>
      <w:r>
        <w:t>And</w:t>
      </w:r>
      <w:proofErr w:type="gramEnd"/>
      <w:r>
        <w:t xml:space="preserve"> solute transport in fractured m</w:t>
      </w:r>
      <w:r w:rsidR="00E07F07" w:rsidRPr="0006214B">
        <w:t>edia</w:t>
      </w:r>
      <w:r>
        <w:t>’. In: Delleur JW</w:t>
      </w:r>
      <w:r w:rsidR="00E07F07" w:rsidRPr="0006214B">
        <w:t xml:space="preserve"> (ed.) </w:t>
      </w:r>
      <w:proofErr w:type="gramStart"/>
      <w:r w:rsidR="00E07F07" w:rsidRPr="005434AB">
        <w:rPr>
          <w:i/>
        </w:rPr>
        <w:t>The</w:t>
      </w:r>
      <w:proofErr w:type="gramEnd"/>
      <w:r w:rsidR="00E07F07" w:rsidRPr="005434AB">
        <w:rPr>
          <w:i/>
        </w:rPr>
        <w:t xml:space="preserve"> handbook of groundwater engineering</w:t>
      </w:r>
      <w:r w:rsidR="00E07F07" w:rsidRPr="0006214B">
        <w:t>. Boca Raton: CRC Press LLC.</w:t>
      </w:r>
    </w:p>
    <w:p w:rsidR="00E07F07" w:rsidRPr="0006214B" w:rsidRDefault="005434AB" w:rsidP="00BE7A62">
      <w:pPr>
        <w:pStyle w:val="BRNormal"/>
        <w:spacing w:after="0"/>
        <w:ind w:left="709" w:hanging="709"/>
      </w:pPr>
      <w:proofErr w:type="gramStart"/>
      <w:r>
        <w:t>Noy DJ, Holloway S, Chadwick RA, Williams JDO, Hannis SA &amp; Lahann RW</w:t>
      </w:r>
      <w:r w:rsidR="00E07F07" w:rsidRPr="0006214B">
        <w:t xml:space="preserve"> 2012.</w:t>
      </w:r>
      <w:proofErr w:type="gramEnd"/>
      <w:r w:rsidR="00E07F07" w:rsidRPr="0006214B">
        <w:t xml:space="preserve"> </w:t>
      </w:r>
      <w:proofErr w:type="gramStart"/>
      <w:r>
        <w:t>‘</w:t>
      </w:r>
      <w:r w:rsidR="00E07F07" w:rsidRPr="0006214B">
        <w:t>Modelling large-scale carbon dioxide injection into the Bunter Sandstone in the UK Southern North Sea</w:t>
      </w:r>
      <w:r>
        <w:t>’,</w:t>
      </w:r>
      <w:r w:rsidR="00E07F07" w:rsidRPr="0006214B">
        <w:t xml:space="preserve"> </w:t>
      </w:r>
      <w:r w:rsidR="00E07F07" w:rsidRPr="005434AB">
        <w:rPr>
          <w:i/>
        </w:rPr>
        <w:t>International Journal of Greenhouse Gas Control</w:t>
      </w:r>
      <w:r w:rsidR="00E07F07" w:rsidRPr="0006214B">
        <w:t xml:space="preserve">, </w:t>
      </w:r>
      <w:r>
        <w:t xml:space="preserve">vol. </w:t>
      </w:r>
      <w:r w:rsidR="00E07F07" w:rsidRPr="0006214B">
        <w:t xml:space="preserve">9, </w:t>
      </w:r>
      <w:r>
        <w:t xml:space="preserve">pp. </w:t>
      </w:r>
      <w:r w:rsidR="00E07F07" w:rsidRPr="0006214B">
        <w:t>220-233.</w:t>
      </w:r>
      <w:proofErr w:type="gramEnd"/>
    </w:p>
    <w:p w:rsidR="00E07F07" w:rsidRPr="0006214B" w:rsidRDefault="00E07F07" w:rsidP="00BE7A62">
      <w:pPr>
        <w:pStyle w:val="BRNormal"/>
        <w:spacing w:after="0"/>
        <w:ind w:left="709" w:hanging="709"/>
      </w:pPr>
      <w:proofErr w:type="gramStart"/>
      <w:r w:rsidRPr="0006214B">
        <w:t>NRC 2010.</w:t>
      </w:r>
      <w:proofErr w:type="gramEnd"/>
      <w:r w:rsidRPr="0006214B">
        <w:t xml:space="preserve"> </w:t>
      </w:r>
      <w:r w:rsidR="005434AB">
        <w:rPr>
          <w:i/>
        </w:rPr>
        <w:t>Management and effects of coalbed methane produced waters in the w</w:t>
      </w:r>
      <w:r w:rsidRPr="005434AB">
        <w:rPr>
          <w:i/>
        </w:rPr>
        <w:t>estern United States, Washington, D.C</w:t>
      </w:r>
      <w:r w:rsidRPr="0006214B">
        <w:t>, National Research Council of the National Academies.</w:t>
      </w:r>
    </w:p>
    <w:p w:rsidR="00E07F07" w:rsidRPr="0006214B" w:rsidRDefault="00E07F07" w:rsidP="00BE7A62">
      <w:pPr>
        <w:pStyle w:val="BRNormal"/>
        <w:spacing w:after="0"/>
        <w:ind w:left="709" w:hanging="709"/>
      </w:pPr>
      <w:proofErr w:type="gramStart"/>
      <w:r w:rsidRPr="0006214B">
        <w:t>NRC 2012.</w:t>
      </w:r>
      <w:proofErr w:type="gramEnd"/>
      <w:r w:rsidRPr="0006214B">
        <w:t xml:space="preserve"> </w:t>
      </w:r>
      <w:proofErr w:type="gramStart"/>
      <w:r w:rsidR="005434AB">
        <w:rPr>
          <w:i/>
        </w:rPr>
        <w:t>Induced seismicity p</w:t>
      </w:r>
      <w:r w:rsidRPr="005434AB">
        <w:rPr>
          <w:i/>
        </w:rPr>
        <w:t>otentia</w:t>
      </w:r>
      <w:r w:rsidR="005434AB">
        <w:rPr>
          <w:i/>
        </w:rPr>
        <w:t>l in energy t</w:t>
      </w:r>
      <w:r w:rsidRPr="005434AB">
        <w:rPr>
          <w:i/>
        </w:rPr>
        <w:t>echnologies</w:t>
      </w:r>
      <w:r w:rsidRPr="0006214B">
        <w:t>.</w:t>
      </w:r>
      <w:proofErr w:type="gramEnd"/>
      <w:r w:rsidRPr="0006214B">
        <w:t xml:space="preserve"> </w:t>
      </w:r>
      <w:proofErr w:type="gramStart"/>
      <w:r w:rsidRPr="0006214B">
        <w:t>Pre</w:t>
      </w:r>
      <w:r w:rsidR="005434AB">
        <w:t>-publication version - s</w:t>
      </w:r>
      <w:r w:rsidRPr="0006214B">
        <w:t>ubject to revision.</w:t>
      </w:r>
      <w:proofErr w:type="gramEnd"/>
      <w:r w:rsidRPr="0006214B">
        <w:t xml:space="preserve"> Washington, D.C.: National Research Council of the National Academies.</w:t>
      </w:r>
    </w:p>
    <w:p w:rsidR="00E07F07" w:rsidRPr="0006214B" w:rsidRDefault="006B5DF8" w:rsidP="00BE7A62">
      <w:pPr>
        <w:pStyle w:val="BRNormal"/>
        <w:spacing w:after="0"/>
        <w:ind w:left="709" w:hanging="709"/>
      </w:pPr>
      <w:r>
        <w:t>Olgers F 1970.</w:t>
      </w:r>
      <w:r w:rsidR="00E07F07" w:rsidRPr="0006214B">
        <w:t xml:space="preserve"> </w:t>
      </w:r>
      <w:r>
        <w:rPr>
          <w:i/>
        </w:rPr>
        <w:t>1:250,000 geological series – explanatory n</w:t>
      </w:r>
      <w:r w:rsidR="00E07F07" w:rsidRPr="006B5DF8">
        <w:rPr>
          <w:i/>
        </w:rPr>
        <w:t>otes</w:t>
      </w:r>
      <w:r w:rsidR="00E07F07" w:rsidRPr="0006214B">
        <w:t>, Buchanan, Queensland, Sheet SF/55-6, Bureau of Mineral Resources, Geology and Geophysics, Canberra.</w:t>
      </w:r>
    </w:p>
    <w:p w:rsidR="00E07F07" w:rsidRPr="0006214B" w:rsidRDefault="006B5DF8" w:rsidP="00BE7A62">
      <w:pPr>
        <w:pStyle w:val="BRNormal"/>
        <w:spacing w:after="0"/>
        <w:ind w:left="709" w:hanging="709"/>
      </w:pPr>
      <w:proofErr w:type="gramStart"/>
      <w:r>
        <w:t>Olson RK &amp; Grigg MW</w:t>
      </w:r>
      <w:r w:rsidR="00E07F07" w:rsidRPr="0006214B">
        <w:t xml:space="preserve"> 2008.</w:t>
      </w:r>
      <w:proofErr w:type="gramEnd"/>
      <w:r w:rsidR="00E07F07" w:rsidRPr="0006214B">
        <w:t xml:space="preserve"> </w:t>
      </w:r>
      <w:proofErr w:type="gramStart"/>
      <w:r w:rsidR="00E07F07" w:rsidRPr="00FC1D6B">
        <w:rPr>
          <w:i/>
        </w:rPr>
        <w:t>Mercury Injection Capillary Pressure (MICP) A Useful Tool for Improved Understanding of Porosity and Matrix Permeability Distributions in Shale Reservoirs</w:t>
      </w:r>
      <w:r w:rsidR="00E07F07" w:rsidRPr="0006214B">
        <w:t>.</w:t>
      </w:r>
      <w:proofErr w:type="gramEnd"/>
      <w:r w:rsidR="00E07F07" w:rsidRPr="0006214B">
        <w:t xml:space="preserve"> </w:t>
      </w:r>
      <w:proofErr w:type="gramStart"/>
      <w:r w:rsidR="00E07F07" w:rsidRPr="0006214B">
        <w:t>Search and Discovery Article 40322.</w:t>
      </w:r>
      <w:proofErr w:type="gramEnd"/>
      <w:r w:rsidR="00E07F07" w:rsidRPr="0006214B">
        <w:t xml:space="preserve"> October 1, 2008 ed.: American Association of Petroleum Geologists.</w:t>
      </w:r>
    </w:p>
    <w:p w:rsidR="00E07F07" w:rsidRPr="0006214B" w:rsidRDefault="00FC1D6B" w:rsidP="00BE7A62">
      <w:pPr>
        <w:pStyle w:val="BRNormal"/>
        <w:spacing w:after="0"/>
        <w:ind w:left="709" w:hanging="709"/>
      </w:pPr>
      <w:r>
        <w:t>Pan Z &amp; Connell LD</w:t>
      </w:r>
      <w:r w:rsidR="00E07F07" w:rsidRPr="0006214B">
        <w:t xml:space="preserve"> 2012. </w:t>
      </w:r>
      <w:proofErr w:type="gramStart"/>
      <w:r>
        <w:t>‘</w:t>
      </w:r>
      <w:r w:rsidR="00E07F07" w:rsidRPr="0006214B">
        <w:t>Modelling permeability for coal reservoirs: A review of analytical models and testing data</w:t>
      </w:r>
      <w:r>
        <w:t>’,</w:t>
      </w:r>
      <w:r w:rsidR="00E07F07" w:rsidRPr="0006214B">
        <w:t xml:space="preserve"> </w:t>
      </w:r>
      <w:r w:rsidR="00E07F07" w:rsidRPr="00FC1D6B">
        <w:rPr>
          <w:i/>
        </w:rPr>
        <w:t>International Journal of Coal Geology</w:t>
      </w:r>
      <w:r w:rsidR="00E07F07" w:rsidRPr="0006214B">
        <w:t xml:space="preserve">, </w:t>
      </w:r>
      <w:r>
        <w:t xml:space="preserve">vol. </w:t>
      </w:r>
      <w:r w:rsidR="00E07F07" w:rsidRPr="0006214B">
        <w:t xml:space="preserve">92, </w:t>
      </w:r>
      <w:r>
        <w:t xml:space="preserve">pp. </w:t>
      </w:r>
      <w:r w:rsidR="00E07F07" w:rsidRPr="0006214B">
        <w:t>1-44.</w:t>
      </w:r>
      <w:proofErr w:type="gramEnd"/>
    </w:p>
    <w:p w:rsidR="00E07F07" w:rsidRPr="0006214B" w:rsidRDefault="009F3C97" w:rsidP="00BE7A62">
      <w:pPr>
        <w:pStyle w:val="BRNormal"/>
        <w:spacing w:after="0"/>
        <w:ind w:left="709" w:hanging="709"/>
      </w:pPr>
      <w:proofErr w:type="gramStart"/>
      <w:r>
        <w:t>PB 2012a</w:t>
      </w:r>
      <w:r w:rsidR="00E07F07" w:rsidRPr="0006214B">
        <w:t>.</w:t>
      </w:r>
      <w:proofErr w:type="gramEnd"/>
      <w:r w:rsidR="00E07F07" w:rsidRPr="0006214B">
        <w:t xml:space="preserve"> </w:t>
      </w:r>
      <w:r w:rsidR="00E07F07" w:rsidRPr="009F3C97">
        <w:rPr>
          <w:i/>
        </w:rPr>
        <w:t>Predicted water level declines for affected aquifers – numerical groundwater flow model of ATP529P at Longreach</w:t>
      </w:r>
      <w:r>
        <w:t>, u</w:t>
      </w:r>
      <w:r w:rsidR="00E07F07" w:rsidRPr="0006214B">
        <w:t>npublished PB report for AGL Energy Limited.</w:t>
      </w:r>
    </w:p>
    <w:p w:rsidR="00E07F07" w:rsidRPr="0006214B" w:rsidRDefault="009F3C97" w:rsidP="00BE7A62">
      <w:pPr>
        <w:pStyle w:val="BRNormal"/>
        <w:spacing w:after="0"/>
        <w:ind w:left="709" w:hanging="709"/>
      </w:pPr>
      <w:proofErr w:type="gramStart"/>
      <w:r>
        <w:t>PB 2012b.</w:t>
      </w:r>
      <w:proofErr w:type="gramEnd"/>
      <w:r>
        <w:t xml:space="preserve"> </w:t>
      </w:r>
      <w:proofErr w:type="gramStart"/>
      <w:r w:rsidR="00E07F07" w:rsidRPr="009F3C97">
        <w:rPr>
          <w:i/>
        </w:rPr>
        <w:t>AGL Galilee Project – ‘Glenaras’ hydrogeochemical and isotope study</w:t>
      </w:r>
      <w:r>
        <w:rPr>
          <w:i/>
        </w:rPr>
        <w:t>,</w:t>
      </w:r>
      <w:r w:rsidR="00E07F07" w:rsidRPr="0006214B">
        <w:t xml:space="preserve"> </w:t>
      </w:r>
      <w:r>
        <w:t>u</w:t>
      </w:r>
      <w:r w:rsidR="00E07F07" w:rsidRPr="0006214B">
        <w:t>npublished PB report for AGL Energy Limited.</w:t>
      </w:r>
      <w:proofErr w:type="gramEnd"/>
    </w:p>
    <w:p w:rsidR="00E07F07" w:rsidRPr="0006214B" w:rsidRDefault="009F3C97" w:rsidP="00BE7A62">
      <w:pPr>
        <w:pStyle w:val="BRNormal"/>
        <w:spacing w:after="0"/>
        <w:ind w:left="709" w:hanging="709"/>
      </w:pPr>
      <w:r>
        <w:t>Phillips FM</w:t>
      </w:r>
      <w:r w:rsidR="00E07F07" w:rsidRPr="0006214B">
        <w:t xml:space="preserve"> 2000. </w:t>
      </w:r>
      <w:r>
        <w:t>‘</w:t>
      </w:r>
      <w:r w:rsidR="00E07F07" w:rsidRPr="0006214B">
        <w:t>Chlorine-36</w:t>
      </w:r>
      <w:r>
        <w:t>’, In: Cook PG &amp; Herczeg A</w:t>
      </w:r>
      <w:r w:rsidR="00E07F07" w:rsidRPr="0006214B">
        <w:t xml:space="preserve"> (eds.) </w:t>
      </w:r>
      <w:r w:rsidR="00E07F07" w:rsidRPr="009F3C97">
        <w:rPr>
          <w:i/>
        </w:rPr>
        <w:t>Environmental tracers in subsurface hydrogeology</w:t>
      </w:r>
      <w:r w:rsidR="00E07F07" w:rsidRPr="0006214B">
        <w:t>. Boston: Kluwer Academic Publishers.</w:t>
      </w:r>
    </w:p>
    <w:p w:rsidR="00E07F07" w:rsidRPr="0006214B" w:rsidRDefault="009F3C97" w:rsidP="00BE7A62">
      <w:pPr>
        <w:pStyle w:val="BRNormal"/>
        <w:spacing w:after="0"/>
        <w:ind w:left="709" w:hanging="709"/>
      </w:pPr>
      <w:r>
        <w:t>Piller M, Schena G, Nolich M, Favretto S, Radaelli F &amp; Rossi</w:t>
      </w:r>
      <w:r w:rsidR="00E07F07" w:rsidRPr="0006214B">
        <w:t xml:space="preserve"> E 2009. </w:t>
      </w:r>
      <w:proofErr w:type="gramStart"/>
      <w:r>
        <w:t>‘Analysis of hydraulic permeability in porous media: from high resolution x-ray tomography to direct numerical s</w:t>
      </w:r>
      <w:r w:rsidR="00E07F07" w:rsidRPr="0006214B">
        <w:t>imulation</w:t>
      </w:r>
      <w:r>
        <w:t>’,</w:t>
      </w:r>
      <w:r w:rsidR="00E07F07" w:rsidRPr="0006214B">
        <w:t xml:space="preserve"> </w:t>
      </w:r>
      <w:r w:rsidR="00E07F07" w:rsidRPr="009F3C97">
        <w:rPr>
          <w:i/>
        </w:rPr>
        <w:t>Transport in Porous Media</w:t>
      </w:r>
      <w:r w:rsidR="00E07F07" w:rsidRPr="0006214B">
        <w:t xml:space="preserve">, </w:t>
      </w:r>
      <w:r>
        <w:t xml:space="preserve">vol. </w:t>
      </w:r>
      <w:r w:rsidR="00E07F07" w:rsidRPr="0006214B">
        <w:t xml:space="preserve">80, </w:t>
      </w:r>
      <w:r>
        <w:t xml:space="preserve">pp. </w:t>
      </w:r>
      <w:r w:rsidR="00E07F07" w:rsidRPr="0006214B">
        <w:t>57-78.</w:t>
      </w:r>
      <w:proofErr w:type="gramEnd"/>
    </w:p>
    <w:p w:rsidR="00E07F07" w:rsidRPr="0006214B" w:rsidRDefault="00E07F07" w:rsidP="00BE7A62">
      <w:pPr>
        <w:pStyle w:val="BRNormal"/>
        <w:spacing w:after="0"/>
        <w:ind w:left="709" w:hanging="709"/>
      </w:pPr>
      <w:r w:rsidRPr="0006214B">
        <w:t xml:space="preserve">Quarantotto </w:t>
      </w:r>
      <w:r w:rsidR="009F3C97">
        <w:t>P 1989.</w:t>
      </w:r>
      <w:r w:rsidRPr="0006214B">
        <w:t xml:space="preserve"> </w:t>
      </w:r>
      <w:r w:rsidRPr="009F3C97">
        <w:rPr>
          <w:i/>
        </w:rPr>
        <w:t>Hydrogeology of the Surat Basin, Queensland</w:t>
      </w:r>
      <w:r w:rsidRPr="0006214B">
        <w:t xml:space="preserve">, record no. 1989/26, Geological Survey of Queensland, Brisbane, </w:t>
      </w:r>
      <w:proofErr w:type="gramStart"/>
      <w:r w:rsidRPr="0006214B">
        <w:t>Qld</w:t>
      </w:r>
      <w:proofErr w:type="gramEnd"/>
      <w:r w:rsidRPr="0006214B">
        <w:t xml:space="preserve">. </w:t>
      </w:r>
    </w:p>
    <w:p w:rsidR="00E07F07" w:rsidRPr="0006214B" w:rsidRDefault="00E07F07" w:rsidP="00BE7A62">
      <w:pPr>
        <w:pStyle w:val="BRNormal"/>
        <w:spacing w:after="0"/>
        <w:ind w:left="709" w:hanging="709"/>
      </w:pPr>
      <w:proofErr w:type="gramStart"/>
      <w:r w:rsidRPr="0006214B">
        <w:t xml:space="preserve">QCGI </w:t>
      </w:r>
      <w:r w:rsidR="009F3C97">
        <w:t>2009</w:t>
      </w:r>
      <w:r w:rsidR="00807362" w:rsidRPr="0006214B">
        <w:t>.</w:t>
      </w:r>
      <w:proofErr w:type="gramEnd"/>
      <w:r w:rsidRPr="0006214B">
        <w:t xml:space="preserve"> </w:t>
      </w:r>
      <w:r w:rsidRPr="009F3C97">
        <w:rPr>
          <w:i/>
        </w:rPr>
        <w:t>Potential for carbon geostorage in the Taroom Trough, Roma Shelf and the Surat, Eromanga and Galilee Basin</w:t>
      </w:r>
      <w:r w:rsidRPr="0006214B">
        <w:t xml:space="preserve">, Preliminary report </w:t>
      </w:r>
      <w:r w:rsidR="00807362" w:rsidRPr="0006214B">
        <w:t xml:space="preserve">prepared by Queensland Carbon Geostorage Initiative (QCGI) </w:t>
      </w:r>
      <w:r w:rsidRPr="0006214B">
        <w:t xml:space="preserve">to Geological Survey of Queensland. </w:t>
      </w:r>
    </w:p>
    <w:p w:rsidR="00E07F07" w:rsidRPr="0006214B" w:rsidRDefault="009F3C97" w:rsidP="00BE7A62">
      <w:pPr>
        <w:pStyle w:val="BRNormal"/>
        <w:spacing w:after="0"/>
        <w:ind w:left="709" w:hanging="709"/>
      </w:pPr>
      <w:proofErr w:type="gramStart"/>
      <w:r>
        <w:lastRenderedPageBreak/>
        <w:t>QGC 2009.</w:t>
      </w:r>
      <w:proofErr w:type="gramEnd"/>
      <w:r w:rsidR="00E07F07" w:rsidRPr="0006214B">
        <w:t xml:space="preserve"> ‘Chapter 10: Groundwater’</w:t>
      </w:r>
      <w:r w:rsidR="00661ABC" w:rsidRPr="0006214B">
        <w:t xml:space="preserve"> by Queensland Gas Company Ltd (QGC)</w:t>
      </w:r>
      <w:r w:rsidR="00E07F07" w:rsidRPr="0006214B">
        <w:t xml:space="preserve">, in: </w:t>
      </w:r>
      <w:r w:rsidR="00E07F07" w:rsidRPr="009F3C97">
        <w:rPr>
          <w:i/>
        </w:rPr>
        <w:t>Queensland Curtis LNG Environmental Impact Statement: Volume 3</w:t>
      </w:r>
      <w:r>
        <w:t>.</w:t>
      </w:r>
    </w:p>
    <w:p w:rsidR="00E07F07" w:rsidRPr="0006214B" w:rsidRDefault="009F3C97" w:rsidP="00BE7A62">
      <w:pPr>
        <w:pStyle w:val="BRNormal"/>
        <w:spacing w:after="0"/>
        <w:ind w:left="709" w:hanging="709"/>
      </w:pPr>
      <w:proofErr w:type="gramStart"/>
      <w:r>
        <w:t>Queensland Government 2012.</w:t>
      </w:r>
      <w:proofErr w:type="gramEnd"/>
      <w:r>
        <w:t xml:space="preserve"> </w:t>
      </w:r>
      <w:proofErr w:type="gramStart"/>
      <w:r w:rsidRPr="009F3C97">
        <w:rPr>
          <w:i/>
        </w:rPr>
        <w:t>Alpha Coal Project.</w:t>
      </w:r>
      <w:proofErr w:type="gramEnd"/>
      <w:r w:rsidRPr="009F3C97">
        <w:rPr>
          <w:i/>
        </w:rPr>
        <w:t xml:space="preserve"> </w:t>
      </w:r>
      <w:r w:rsidR="00E07F07" w:rsidRPr="0006214B">
        <w:t xml:space="preserve">Coordinator-General’s Evaluation Report on the </w:t>
      </w:r>
      <w:r>
        <w:t>environmental impact statement.</w:t>
      </w:r>
      <w:r w:rsidR="00E07F07" w:rsidRPr="0006214B">
        <w:t xml:space="preserve"> May 2012.</w:t>
      </w:r>
    </w:p>
    <w:p w:rsidR="00E07F07" w:rsidRPr="0006214B" w:rsidRDefault="00E07F07" w:rsidP="00BE7A62">
      <w:pPr>
        <w:pStyle w:val="BRNormal"/>
        <w:spacing w:after="0"/>
        <w:ind w:left="709" w:hanging="709"/>
      </w:pPr>
      <w:proofErr w:type="gramStart"/>
      <w:r w:rsidRPr="0006214B">
        <w:t>QWC 2012a</w:t>
      </w:r>
      <w:r w:rsidR="004E5011" w:rsidRPr="0006214B">
        <w:t>.</w:t>
      </w:r>
      <w:proofErr w:type="gramEnd"/>
      <w:r w:rsidRPr="0006214B">
        <w:t xml:space="preserve"> </w:t>
      </w:r>
      <w:r w:rsidRPr="009F3C97">
        <w:rPr>
          <w:i/>
        </w:rPr>
        <w:t>Draft Underground Water Impact Report: Surat Cumulative Management Area, Consultation Draft</w:t>
      </w:r>
      <w:r w:rsidRPr="0006214B">
        <w:t>,</w:t>
      </w:r>
      <w:r w:rsidR="004E5011" w:rsidRPr="0006214B">
        <w:t xml:space="preserve"> Queensland Water Commission (QWC),</w:t>
      </w:r>
      <w:r w:rsidRPr="0006214B">
        <w:t xml:space="preserve"> May 2012. </w:t>
      </w:r>
    </w:p>
    <w:p w:rsidR="00E07F07" w:rsidRPr="0006214B" w:rsidRDefault="00E07F07" w:rsidP="00BE7A62">
      <w:pPr>
        <w:pStyle w:val="BRNormal"/>
        <w:spacing w:after="0"/>
        <w:ind w:left="709" w:hanging="709"/>
      </w:pPr>
      <w:proofErr w:type="gramStart"/>
      <w:r w:rsidRPr="0006214B">
        <w:t>QWC</w:t>
      </w:r>
      <w:r w:rsidR="009F3C97">
        <w:t xml:space="preserve"> </w:t>
      </w:r>
      <w:r w:rsidRPr="0006214B">
        <w:t>2012b</w:t>
      </w:r>
      <w:r w:rsidR="004E5011" w:rsidRPr="0006214B">
        <w:t>.</w:t>
      </w:r>
      <w:proofErr w:type="gramEnd"/>
      <w:r w:rsidRPr="0006214B">
        <w:t xml:space="preserve"> </w:t>
      </w:r>
      <w:r w:rsidRPr="009F3C97">
        <w:rPr>
          <w:i/>
        </w:rPr>
        <w:t>Hydrogeology of the Surat Cumulative Management Area</w:t>
      </w:r>
      <w:r w:rsidRPr="0006214B">
        <w:t xml:space="preserve">, </w:t>
      </w:r>
      <w:r w:rsidR="004E5011" w:rsidRPr="0006214B">
        <w:t xml:space="preserve">Queensland Water Commission (QWC), </w:t>
      </w:r>
      <w:r w:rsidRPr="0006214B">
        <w:t xml:space="preserve">May 2012.  </w:t>
      </w:r>
    </w:p>
    <w:p w:rsidR="00E07F07" w:rsidRPr="0006214B" w:rsidRDefault="00E07F07" w:rsidP="00BE7A62">
      <w:pPr>
        <w:pStyle w:val="BRNormal"/>
        <w:spacing w:after="0"/>
        <w:ind w:left="709" w:hanging="709"/>
      </w:pPr>
      <w:proofErr w:type="gramStart"/>
      <w:r w:rsidRPr="0006214B">
        <w:t xml:space="preserve">QWC </w:t>
      </w:r>
      <w:r w:rsidR="009F3C97">
        <w:t>2012c</w:t>
      </w:r>
      <w:r w:rsidR="004E5011" w:rsidRPr="0006214B">
        <w:t>.</w:t>
      </w:r>
      <w:proofErr w:type="gramEnd"/>
      <w:r w:rsidRPr="0006214B">
        <w:t xml:space="preserve"> </w:t>
      </w:r>
      <w:proofErr w:type="gramStart"/>
      <w:r w:rsidRPr="009F3C97">
        <w:rPr>
          <w:i/>
        </w:rPr>
        <w:t>Su</w:t>
      </w:r>
      <w:r w:rsidR="009F3C97">
        <w:rPr>
          <w:i/>
        </w:rPr>
        <w:t>rat Cumulative Management Area groundwater model r</w:t>
      </w:r>
      <w:r w:rsidRPr="009F3C97">
        <w:rPr>
          <w:i/>
        </w:rPr>
        <w:t>eport</w:t>
      </w:r>
      <w:r w:rsidRPr="0006214B">
        <w:t xml:space="preserve">, </w:t>
      </w:r>
      <w:r w:rsidR="004E5011" w:rsidRPr="0006214B">
        <w:t xml:space="preserve">Queensland Water Commission (QWC), </w:t>
      </w:r>
      <w:r w:rsidRPr="0006214B">
        <w:t>May 2012.</w:t>
      </w:r>
      <w:proofErr w:type="gramEnd"/>
      <w:r w:rsidRPr="0006214B">
        <w:t xml:space="preserve"> </w:t>
      </w:r>
    </w:p>
    <w:p w:rsidR="00E07F07" w:rsidRPr="0006214B" w:rsidRDefault="00E07F07" w:rsidP="00BE7A62">
      <w:pPr>
        <w:pStyle w:val="BRNormal"/>
        <w:spacing w:after="0"/>
        <w:ind w:left="709" w:hanging="709"/>
      </w:pPr>
      <w:r w:rsidRPr="0006214B">
        <w:t xml:space="preserve">QWC </w:t>
      </w:r>
      <w:r w:rsidR="009F3C97">
        <w:t>2012d</w:t>
      </w:r>
      <w:r w:rsidR="004E5011" w:rsidRPr="0006214B">
        <w:t>.</w:t>
      </w:r>
      <w:r w:rsidRPr="0006214B">
        <w:t xml:space="preserve"> </w:t>
      </w:r>
      <w:proofErr w:type="gramStart"/>
      <w:r w:rsidRPr="009F3C97">
        <w:rPr>
          <w:i/>
        </w:rPr>
        <w:t>Inventory of groundwater monitoring in the Surat Cumulative Management Area</w:t>
      </w:r>
      <w:r w:rsidRPr="0006214B">
        <w:t xml:space="preserve">, </w:t>
      </w:r>
      <w:r w:rsidR="004E5011" w:rsidRPr="0006214B">
        <w:t xml:space="preserve">Queensland Water Commission (QWC), </w:t>
      </w:r>
      <w:r w:rsidRPr="0006214B">
        <w:t>May 2012.</w:t>
      </w:r>
      <w:proofErr w:type="gramEnd"/>
      <w:r w:rsidRPr="0006214B">
        <w:t xml:space="preserve"> </w:t>
      </w:r>
    </w:p>
    <w:p w:rsidR="00E07F07" w:rsidRPr="0006214B" w:rsidRDefault="00E07F07" w:rsidP="00BE7A62">
      <w:pPr>
        <w:pStyle w:val="BRNormal"/>
        <w:spacing w:after="0"/>
        <w:ind w:left="709" w:hanging="709"/>
      </w:pPr>
      <w:r w:rsidRPr="0006214B">
        <w:t xml:space="preserve">Radke BM, Ferguson J, Cresswell RG, Ransley TR </w:t>
      </w:r>
      <w:r w:rsidR="009F3C97">
        <w:t>&amp; Habermehl MA 2000.</w:t>
      </w:r>
      <w:r w:rsidRPr="0006214B">
        <w:t xml:space="preserve"> </w:t>
      </w:r>
      <w:r w:rsidRPr="009F3C97">
        <w:rPr>
          <w:i/>
        </w:rPr>
        <w:t>Hydrochemistry and implied hydrodynamics of the Cadna-Owie- Hooray aquifer, Great Artesian Basin</w:t>
      </w:r>
      <w:r w:rsidRPr="0006214B">
        <w:t>, Bureau of Rural Sciences, Canberra, ACT.</w:t>
      </w:r>
    </w:p>
    <w:p w:rsidR="00E07F07" w:rsidRPr="0006214B" w:rsidRDefault="009F3C97" w:rsidP="00BE7A62">
      <w:pPr>
        <w:pStyle w:val="BRNormal"/>
        <w:spacing w:after="0"/>
        <w:ind w:left="709" w:hanging="709"/>
      </w:pPr>
      <w:proofErr w:type="gramStart"/>
      <w:r>
        <w:t>Rawsthorn K, Marsh C</w:t>
      </w:r>
      <w:r w:rsidR="00E07F07" w:rsidRPr="0006214B">
        <w:t xml:space="preserve"> </w:t>
      </w:r>
      <w:r>
        <w:t>&amp; Causebrook R 2009.</w:t>
      </w:r>
      <w:proofErr w:type="gramEnd"/>
      <w:r>
        <w:t xml:space="preserve"> </w:t>
      </w:r>
      <w:proofErr w:type="gramStart"/>
      <w:r w:rsidR="00E07F07" w:rsidRPr="009F3C97">
        <w:rPr>
          <w:i/>
        </w:rPr>
        <w:t>Buildin</w:t>
      </w:r>
      <w:r w:rsidR="00C71F86" w:rsidRPr="009F3C97">
        <w:rPr>
          <w:i/>
        </w:rPr>
        <w:t>g a Geological Model of the Tri</w:t>
      </w:r>
      <w:r w:rsidR="00E07F07" w:rsidRPr="009F3C97">
        <w:rPr>
          <w:i/>
        </w:rPr>
        <w:t>assic Clematis Sandstone of the Aramac Trough in the Galilee Basin, Queensland</w:t>
      </w:r>
      <w:r w:rsidR="00E07F07" w:rsidRPr="0006214B">
        <w:t>.</w:t>
      </w:r>
      <w:proofErr w:type="gramEnd"/>
      <w:r w:rsidR="00E07F07" w:rsidRPr="0006214B">
        <w:t xml:space="preserve">  </w:t>
      </w:r>
      <w:proofErr w:type="gramStart"/>
      <w:r w:rsidR="00E07F07" w:rsidRPr="0006214B">
        <w:t>Cooperative Research Centre for Greenhouse Gas Technologies, Canberra, Australia, CO2CRC Publication Number RPT08-0999.</w:t>
      </w:r>
      <w:proofErr w:type="gramEnd"/>
      <w:r w:rsidR="00E07F07" w:rsidRPr="0006214B">
        <w:t xml:space="preserve"> 38pp.</w:t>
      </w:r>
    </w:p>
    <w:p w:rsidR="00E07F07" w:rsidRPr="0006214B" w:rsidRDefault="009F3C97" w:rsidP="00BE7A62">
      <w:pPr>
        <w:pStyle w:val="BRNormal"/>
        <w:spacing w:after="0"/>
        <w:ind w:left="709" w:hanging="709"/>
      </w:pPr>
      <w:r>
        <w:t>Remenda VH, van der Kamp G &amp; Cherry JA</w:t>
      </w:r>
      <w:r w:rsidR="00E07F07" w:rsidRPr="0006214B">
        <w:t xml:space="preserve"> 1996. </w:t>
      </w:r>
      <w:proofErr w:type="gramStart"/>
      <w:r>
        <w:t>‘</w:t>
      </w:r>
      <w:r w:rsidR="00E07F07" w:rsidRPr="0006214B">
        <w:t>Use of vertical profiles of δ18O to constrain estimates of hydraulic conductivity in a thick, unfractured aquitard</w:t>
      </w:r>
      <w:r>
        <w:t>’,</w:t>
      </w:r>
      <w:r w:rsidR="00E07F07" w:rsidRPr="0006214B">
        <w:t xml:space="preserve"> </w:t>
      </w:r>
      <w:r w:rsidR="00E07F07" w:rsidRPr="009F3C97">
        <w:rPr>
          <w:i/>
        </w:rPr>
        <w:t>Water Resources Research</w:t>
      </w:r>
      <w:r w:rsidR="00E07F07" w:rsidRPr="0006214B">
        <w:t xml:space="preserve">, </w:t>
      </w:r>
      <w:r>
        <w:t xml:space="preserve">vol. </w:t>
      </w:r>
      <w:r w:rsidR="00E07F07" w:rsidRPr="0006214B">
        <w:t xml:space="preserve">32, </w:t>
      </w:r>
      <w:r>
        <w:t xml:space="preserve">pp. </w:t>
      </w:r>
      <w:r w:rsidR="00E07F07" w:rsidRPr="0006214B">
        <w:t>2979-2987.</w:t>
      </w:r>
      <w:proofErr w:type="gramEnd"/>
    </w:p>
    <w:p w:rsidR="00E07F07" w:rsidRPr="0006214B" w:rsidRDefault="009F3C97" w:rsidP="00BE7A62">
      <w:pPr>
        <w:pStyle w:val="BRNormal"/>
        <w:spacing w:after="0"/>
        <w:ind w:left="709" w:hanging="709"/>
      </w:pPr>
      <w:proofErr w:type="gramStart"/>
      <w:r>
        <w:t>Rennard P &amp; Allard D</w:t>
      </w:r>
      <w:r w:rsidR="00E07F07" w:rsidRPr="0006214B">
        <w:t xml:space="preserve"> 201</w:t>
      </w:r>
      <w:r>
        <w:t>1</w:t>
      </w:r>
      <w:r w:rsidR="00E07F07" w:rsidRPr="0006214B">
        <w:t>.</w:t>
      </w:r>
      <w:proofErr w:type="gramEnd"/>
      <w:r w:rsidR="00E07F07" w:rsidRPr="0006214B">
        <w:t xml:space="preserve"> </w:t>
      </w:r>
      <w:r>
        <w:t>‘</w:t>
      </w:r>
      <w:r w:rsidR="00E07F07" w:rsidRPr="0006214B">
        <w:t>Connectivity metrics for subsurface flow and transport</w:t>
      </w:r>
      <w:r>
        <w:t>’,</w:t>
      </w:r>
      <w:r w:rsidR="00E07F07" w:rsidRPr="0006214B">
        <w:t xml:space="preserve"> </w:t>
      </w:r>
      <w:r w:rsidR="00E07F07" w:rsidRPr="009F3C97">
        <w:rPr>
          <w:i/>
        </w:rPr>
        <w:t>Advances in Water Resources</w:t>
      </w:r>
      <w:r w:rsidR="00E07F07" w:rsidRPr="0006214B">
        <w:t xml:space="preserve">, </w:t>
      </w:r>
      <w:r>
        <w:t>(in press).</w:t>
      </w:r>
    </w:p>
    <w:p w:rsidR="00E07F07" w:rsidRPr="0006214B" w:rsidRDefault="009F3C97" w:rsidP="00BE7A62">
      <w:pPr>
        <w:pStyle w:val="BRNormal"/>
        <w:spacing w:after="0"/>
        <w:ind w:left="709" w:hanging="709"/>
      </w:pPr>
      <w:r>
        <w:t>Riese WC, Pelzmann WL &amp; Snyder GT</w:t>
      </w:r>
      <w:r w:rsidR="00E07F07" w:rsidRPr="0006214B">
        <w:t xml:space="preserve"> 2005. </w:t>
      </w:r>
      <w:r>
        <w:t>‘</w:t>
      </w:r>
      <w:r w:rsidR="00E07F07" w:rsidRPr="0006214B">
        <w:t>New insights on the hydroc</w:t>
      </w:r>
      <w:r w:rsidR="003A0D3E" w:rsidRPr="0006214B">
        <w:t>arbon system of the Fruitland Fo</w:t>
      </w:r>
      <w:r>
        <w:t>rmation coal beds, northern San Juan Ba</w:t>
      </w:r>
      <w:r w:rsidR="00E07F07" w:rsidRPr="0006214B">
        <w:t>sin, Colorado and New Mexico, USA</w:t>
      </w:r>
      <w:r>
        <w:t>’,</w:t>
      </w:r>
      <w:r w:rsidR="00E07F07" w:rsidRPr="0006214B">
        <w:t xml:space="preserve"> </w:t>
      </w:r>
      <w:r w:rsidR="00E07F07" w:rsidRPr="00856458">
        <w:rPr>
          <w:i/>
        </w:rPr>
        <w:t>GSA S</w:t>
      </w:r>
      <w:r w:rsidR="00856458">
        <w:rPr>
          <w:i/>
        </w:rPr>
        <w:t>p</w:t>
      </w:r>
      <w:r w:rsidR="00E07F07" w:rsidRPr="00856458">
        <w:rPr>
          <w:i/>
        </w:rPr>
        <w:t>ecial Papers</w:t>
      </w:r>
      <w:r w:rsidR="00E07F07" w:rsidRPr="0006214B">
        <w:t xml:space="preserve">, </w:t>
      </w:r>
      <w:r w:rsidR="00856458">
        <w:t xml:space="preserve">vol. </w:t>
      </w:r>
      <w:r w:rsidR="00E07F07" w:rsidRPr="0006214B">
        <w:t xml:space="preserve">387, </w:t>
      </w:r>
      <w:r w:rsidR="00856458">
        <w:t xml:space="preserve">pp. </w:t>
      </w:r>
      <w:r w:rsidR="00E07F07" w:rsidRPr="0006214B">
        <w:t>73-111.</w:t>
      </w:r>
    </w:p>
    <w:p w:rsidR="00E07F07" w:rsidRPr="0006214B" w:rsidRDefault="00856458" w:rsidP="00BE7A62">
      <w:pPr>
        <w:pStyle w:val="BRNormal"/>
        <w:spacing w:after="0"/>
        <w:ind w:left="709" w:hanging="709"/>
      </w:pPr>
      <w:proofErr w:type="gramStart"/>
      <w:r>
        <w:t>RLMS 2009.</w:t>
      </w:r>
      <w:proofErr w:type="gramEnd"/>
      <w:r>
        <w:t xml:space="preserve"> </w:t>
      </w:r>
      <w:proofErr w:type="gramStart"/>
      <w:r w:rsidR="00E07F07" w:rsidRPr="00856458">
        <w:rPr>
          <w:i/>
        </w:rPr>
        <w:t>Galilee Basin – historical perspective and future challenges</w:t>
      </w:r>
      <w:r w:rsidR="00E07F07" w:rsidRPr="0006214B">
        <w:t>.</w:t>
      </w:r>
      <w:proofErr w:type="gramEnd"/>
      <w:r w:rsidR="00E07F07" w:rsidRPr="0006214B">
        <w:t xml:space="preserve"> Presentation to QLD/NT PESA by</w:t>
      </w:r>
      <w:r>
        <w:t xml:space="preserve"> Sue Slater, 18 February 2009. </w:t>
      </w:r>
    </w:p>
    <w:p w:rsidR="00E07F07" w:rsidRPr="0006214B" w:rsidRDefault="00856458" w:rsidP="00BE7A62">
      <w:pPr>
        <w:pStyle w:val="BRNormal"/>
        <w:spacing w:after="0"/>
        <w:ind w:left="709" w:hanging="709"/>
      </w:pPr>
      <w:proofErr w:type="gramStart"/>
      <w:r>
        <w:t>Roshan H &amp; Oeser M 2012.</w:t>
      </w:r>
      <w:proofErr w:type="gramEnd"/>
      <w:r w:rsidR="00E07F07" w:rsidRPr="0006214B">
        <w:t xml:space="preserve"> </w:t>
      </w:r>
      <w:r>
        <w:t>‘</w:t>
      </w:r>
      <w:r w:rsidR="00E07F07" w:rsidRPr="0006214B">
        <w:t>A non-isothermal constitutive model for chemically active elastoplastic rocks</w:t>
      </w:r>
      <w:r>
        <w:t>’</w:t>
      </w:r>
      <w:r w:rsidR="00E07F07" w:rsidRPr="0006214B">
        <w:t xml:space="preserve">, </w:t>
      </w:r>
      <w:r w:rsidR="00E07F07" w:rsidRPr="00856458">
        <w:rPr>
          <w:i/>
        </w:rPr>
        <w:t>Rock Mechanics and Rock Engineering</w:t>
      </w:r>
      <w:r w:rsidR="00E07F07" w:rsidRPr="0006214B">
        <w:t xml:space="preserve">, </w:t>
      </w:r>
      <w:r>
        <w:t xml:space="preserve">vol. </w:t>
      </w:r>
      <w:r w:rsidR="00E07F07" w:rsidRPr="0006214B">
        <w:t xml:space="preserve">45, </w:t>
      </w:r>
      <w:r>
        <w:t xml:space="preserve">pp. </w:t>
      </w:r>
      <w:r w:rsidR="00E07F07" w:rsidRPr="0006214B">
        <w:t>336-374, doi: 10.1007/s00603-011-0204-z</w:t>
      </w:r>
    </w:p>
    <w:p w:rsidR="00E07F07" w:rsidRPr="0006214B" w:rsidRDefault="00856458" w:rsidP="00BE7A62">
      <w:pPr>
        <w:pStyle w:val="BRNormal"/>
        <w:spacing w:after="0"/>
        <w:ind w:left="709" w:hanging="709"/>
      </w:pPr>
      <w:r>
        <w:t>Ross J 2010. ‘</w:t>
      </w:r>
      <w:r w:rsidR="00E07F07" w:rsidRPr="0006214B">
        <w:t>The Nebraska Grout Study</w:t>
      </w:r>
      <w:r>
        <w:t>’,</w:t>
      </w:r>
      <w:r w:rsidR="00E07F07" w:rsidRPr="0006214B">
        <w:t xml:space="preserve"> </w:t>
      </w:r>
      <w:r w:rsidR="00E07F07" w:rsidRPr="00856458">
        <w:rPr>
          <w:i/>
        </w:rPr>
        <w:t>Water Well Journal</w:t>
      </w:r>
      <w:r w:rsidR="00E07F07" w:rsidRPr="0006214B">
        <w:t xml:space="preserve">, </w:t>
      </w:r>
      <w:r>
        <w:t xml:space="preserve">November 2010, pp. </w:t>
      </w:r>
      <w:r w:rsidR="00E07F07" w:rsidRPr="0006214B">
        <w:t>25-31.</w:t>
      </w:r>
    </w:p>
    <w:p w:rsidR="00E07F07" w:rsidRPr="0006214B" w:rsidRDefault="00856458" w:rsidP="00BE7A62">
      <w:pPr>
        <w:pStyle w:val="BRNormal"/>
        <w:spacing w:after="0"/>
        <w:ind w:left="709" w:hanging="709"/>
      </w:pPr>
      <w:proofErr w:type="gramStart"/>
      <w:r>
        <w:t>RPS 2011.</w:t>
      </w:r>
      <w:proofErr w:type="gramEnd"/>
      <w:r>
        <w:t xml:space="preserve"> </w:t>
      </w:r>
      <w:proofErr w:type="gramStart"/>
      <w:r>
        <w:rPr>
          <w:i/>
        </w:rPr>
        <w:t>Galilee Basin - Galilee Basin hydrogeological investigations b</w:t>
      </w:r>
      <w:r w:rsidR="00E07F07" w:rsidRPr="00856458">
        <w:rPr>
          <w:i/>
        </w:rPr>
        <w:t>riefing to RAPAD Longreach</w:t>
      </w:r>
      <w:r w:rsidR="00E07F07" w:rsidRPr="0006214B">
        <w:t>, 16 May 2011.</w:t>
      </w:r>
      <w:proofErr w:type="gramEnd"/>
      <w:r w:rsidR="00E07F07" w:rsidRPr="0006214B">
        <w:t xml:space="preserve"> </w:t>
      </w:r>
    </w:p>
    <w:p w:rsidR="00E07F07" w:rsidRPr="0006214B" w:rsidRDefault="00856458" w:rsidP="00BE7A62">
      <w:pPr>
        <w:pStyle w:val="BRNormal"/>
        <w:spacing w:after="0"/>
        <w:ind w:left="709" w:hanging="709"/>
      </w:pPr>
      <w:proofErr w:type="gramStart"/>
      <w:r>
        <w:t>RPS 2012</w:t>
      </w:r>
      <w:r w:rsidR="00E07F07" w:rsidRPr="0006214B">
        <w:t>.</w:t>
      </w:r>
      <w:proofErr w:type="gramEnd"/>
      <w:r w:rsidR="00E07F07" w:rsidRPr="0006214B">
        <w:t xml:space="preserve"> </w:t>
      </w:r>
      <w:r w:rsidR="00E07F07" w:rsidRPr="00856458">
        <w:rPr>
          <w:i/>
        </w:rPr>
        <w:t>Galilee Basin, Report on the Hydrogeological Investigations</w:t>
      </w:r>
      <w:r w:rsidR="00E07F07" w:rsidRPr="0006214B">
        <w:t xml:space="preserve">, RPS Australia East Pty Ltd report prepared for RLMS. </w:t>
      </w:r>
      <w:proofErr w:type="gramStart"/>
      <w:r w:rsidR="00E07F07" w:rsidRPr="0006214B">
        <w:t>Under preparation, as at March 2012.</w:t>
      </w:r>
      <w:proofErr w:type="gramEnd"/>
    </w:p>
    <w:p w:rsidR="00E07F07" w:rsidRPr="0006214B" w:rsidRDefault="00856458" w:rsidP="00BE7A62">
      <w:pPr>
        <w:pStyle w:val="BRNormal"/>
        <w:spacing w:after="0"/>
        <w:ind w:left="709" w:hanging="709"/>
      </w:pPr>
      <w:r>
        <w:t>Rust PPK 1994.</w:t>
      </w:r>
      <w:r w:rsidR="00E07F07" w:rsidRPr="0006214B">
        <w:t xml:space="preserve"> </w:t>
      </w:r>
      <w:r w:rsidR="00E07F07" w:rsidRPr="00856458">
        <w:rPr>
          <w:i/>
        </w:rPr>
        <w:t>Cannington Project regional groundwater investigation for borefield development: Numerical modelling</w:t>
      </w:r>
      <w:r w:rsidR="00E07F07" w:rsidRPr="0006214B">
        <w:t>, Rust PPK report to BHP Billiton, Townsville, Qld.</w:t>
      </w:r>
    </w:p>
    <w:p w:rsidR="00E07F07" w:rsidRPr="0006214B" w:rsidRDefault="00856458" w:rsidP="00BE7A62">
      <w:pPr>
        <w:pStyle w:val="BRNormal"/>
        <w:spacing w:after="0"/>
        <w:ind w:left="709" w:hanging="709"/>
      </w:pPr>
      <w:r>
        <w:t>Rust PPK 1995.</w:t>
      </w:r>
      <w:r w:rsidR="00E07F07" w:rsidRPr="0006214B">
        <w:t xml:space="preserve"> ‘Groundwater’, appendix C in: </w:t>
      </w:r>
      <w:r w:rsidR="00E07F07" w:rsidRPr="00856458">
        <w:rPr>
          <w:i/>
        </w:rPr>
        <w:t>Ernest Henry Project impact assessment study, Supplementary, Volume 3</w:t>
      </w:r>
      <w:r w:rsidR="00E07F07" w:rsidRPr="0006214B">
        <w:t>, RUST PPK on behalf of Ernest Henry Mining, Brisbane, Qld.</w:t>
      </w:r>
    </w:p>
    <w:p w:rsidR="00E07F07" w:rsidRPr="0006214B" w:rsidRDefault="00856458" w:rsidP="00BE7A62">
      <w:pPr>
        <w:pStyle w:val="BRNormal"/>
        <w:spacing w:after="0"/>
        <w:ind w:left="709" w:hanging="709"/>
      </w:pPr>
      <w:r>
        <w:t>Santos 2009.</w:t>
      </w:r>
      <w:r w:rsidR="00E07F07" w:rsidRPr="0006214B">
        <w:t xml:space="preserve"> </w:t>
      </w:r>
      <w:proofErr w:type="gramStart"/>
      <w:r w:rsidR="00E07F07" w:rsidRPr="00856458">
        <w:rPr>
          <w:i/>
        </w:rPr>
        <w:t>G</w:t>
      </w:r>
      <w:r w:rsidR="00F87DE2" w:rsidRPr="00856458">
        <w:rPr>
          <w:i/>
        </w:rPr>
        <w:t xml:space="preserve">landstone </w:t>
      </w:r>
      <w:r w:rsidR="00E07F07" w:rsidRPr="00856458">
        <w:rPr>
          <w:i/>
        </w:rPr>
        <w:t>LNG Environmental Impact Statement – Shallow Groundwater</w:t>
      </w:r>
      <w:r w:rsidR="00E07F07" w:rsidRPr="0006214B">
        <w:t>.</w:t>
      </w:r>
      <w:proofErr w:type="gramEnd"/>
      <w:r w:rsidR="00E07F07" w:rsidRPr="0006214B">
        <w:t xml:space="preserve"> </w:t>
      </w:r>
      <w:proofErr w:type="gramStart"/>
      <w:r w:rsidR="00E07F07" w:rsidRPr="0006214B">
        <w:t>Final Report.</w:t>
      </w:r>
      <w:proofErr w:type="gramEnd"/>
    </w:p>
    <w:p w:rsidR="00E07F07" w:rsidRPr="0006214B" w:rsidRDefault="00856458" w:rsidP="00BE7A62">
      <w:pPr>
        <w:pStyle w:val="BRNormal"/>
        <w:spacing w:after="0"/>
        <w:ind w:left="709" w:hanging="709"/>
      </w:pPr>
      <w:r>
        <w:t>Scott S, Beeston J</w:t>
      </w:r>
      <w:r w:rsidR="00E07F07" w:rsidRPr="0006214B">
        <w:t xml:space="preserve"> </w:t>
      </w:r>
      <w:r>
        <w:t xml:space="preserve">&amp; Carr </w:t>
      </w:r>
      <w:proofErr w:type="gramStart"/>
      <w:r>
        <w:t>A</w:t>
      </w:r>
      <w:proofErr w:type="gramEnd"/>
      <w:r>
        <w:t xml:space="preserve"> 1995</w:t>
      </w:r>
      <w:r w:rsidR="00E07F07" w:rsidRPr="0006214B">
        <w:t xml:space="preserve">. </w:t>
      </w:r>
      <w:r w:rsidR="00E07F07" w:rsidRPr="00856458">
        <w:rPr>
          <w:i/>
        </w:rPr>
        <w:t>Galilee Basin</w:t>
      </w:r>
      <w:r w:rsidR="00E07F07" w:rsidRPr="0006214B">
        <w:t xml:space="preserve">, </w:t>
      </w:r>
      <w:r>
        <w:t>(</w:t>
      </w:r>
      <w:r w:rsidR="00E07F07" w:rsidRPr="0006214B">
        <w:t>ed.</w:t>
      </w:r>
      <w:r>
        <w:t>)</w:t>
      </w:r>
      <w:r w:rsidR="00E07F07" w:rsidRPr="0006214B">
        <w:t xml:space="preserve"> </w:t>
      </w:r>
      <w:r>
        <w:t>CR Ward, HJ Harrington, CW Mallet &amp; JW</w:t>
      </w:r>
      <w:r w:rsidR="00E07F07" w:rsidRPr="0006214B">
        <w:t xml:space="preserve"> Beeston, pp 341-352. </w:t>
      </w:r>
      <w:proofErr w:type="gramStart"/>
      <w:r w:rsidR="00E07F07" w:rsidRPr="0006214B">
        <w:t>Geological Society of Australia-Coal Geology Group, Brisbane.</w:t>
      </w:r>
      <w:proofErr w:type="gramEnd"/>
    </w:p>
    <w:p w:rsidR="00E07F07" w:rsidRPr="0006214B" w:rsidRDefault="00856458" w:rsidP="00BE7A62">
      <w:pPr>
        <w:pStyle w:val="BRNormal"/>
        <w:spacing w:after="0"/>
        <w:ind w:left="709" w:hanging="709"/>
      </w:pPr>
      <w:proofErr w:type="gramStart"/>
      <w:r>
        <w:t>Seaton WJ &amp; Burbey TJ</w:t>
      </w:r>
      <w:r w:rsidR="00E07F07" w:rsidRPr="0006214B">
        <w:t xml:space="preserve"> 2005.</w:t>
      </w:r>
      <w:r>
        <w:t>’</w:t>
      </w:r>
      <w:proofErr w:type="gramEnd"/>
      <w:r w:rsidR="00E07F07" w:rsidRPr="0006214B">
        <w:t xml:space="preserve"> </w:t>
      </w:r>
      <w:proofErr w:type="gramStart"/>
      <w:r w:rsidR="00E07F07" w:rsidRPr="0006214B">
        <w:t>Influence of ancient thrust faults on the hydrogeology of the Blue Ridge province</w:t>
      </w:r>
      <w:r>
        <w:t>’,</w:t>
      </w:r>
      <w:r w:rsidR="00E07F07" w:rsidRPr="0006214B">
        <w:t xml:space="preserve"> </w:t>
      </w:r>
      <w:r w:rsidR="00E07F07" w:rsidRPr="00856458">
        <w:rPr>
          <w:i/>
        </w:rPr>
        <w:t>Ground Water</w:t>
      </w:r>
      <w:r w:rsidR="00E07F07" w:rsidRPr="0006214B">
        <w:t xml:space="preserve">, </w:t>
      </w:r>
      <w:r>
        <w:t xml:space="preserve">vol. </w:t>
      </w:r>
      <w:r w:rsidR="00E07F07" w:rsidRPr="0006214B">
        <w:t xml:space="preserve">43, </w:t>
      </w:r>
      <w:r>
        <w:t xml:space="preserve">pp. </w:t>
      </w:r>
      <w:r w:rsidR="00E07F07" w:rsidRPr="0006214B">
        <w:t>301-313.</w:t>
      </w:r>
      <w:proofErr w:type="gramEnd"/>
    </w:p>
    <w:p w:rsidR="00E07F07" w:rsidRPr="0006214B" w:rsidRDefault="00856458" w:rsidP="00BE7A62">
      <w:pPr>
        <w:pStyle w:val="BRNormal"/>
        <w:spacing w:after="0"/>
        <w:ind w:left="709" w:hanging="709"/>
      </w:pPr>
      <w:proofErr w:type="gramStart"/>
      <w:r>
        <w:t>Seidel GE 1978.</w:t>
      </w:r>
      <w:proofErr w:type="gramEnd"/>
      <w:r w:rsidR="00E07F07" w:rsidRPr="0006214B">
        <w:t xml:space="preserve"> </w:t>
      </w:r>
      <w:proofErr w:type="gramStart"/>
      <w:r w:rsidR="00E07F07" w:rsidRPr="00856458">
        <w:rPr>
          <w:i/>
        </w:rPr>
        <w:t>Hydraulic calibration of the GABHYD model of the Great Artesian Basin</w:t>
      </w:r>
      <w:r w:rsidR="00E07F07" w:rsidRPr="0006214B">
        <w:t>, Bureau of Mineral Resources, Geology and Geophysics Record 1978/12, Canberra, ACT.</w:t>
      </w:r>
      <w:proofErr w:type="gramEnd"/>
    </w:p>
    <w:p w:rsidR="00E07F07" w:rsidRPr="0006214B" w:rsidRDefault="00856458" w:rsidP="00BE7A62">
      <w:pPr>
        <w:pStyle w:val="BRNormal"/>
        <w:spacing w:after="0"/>
        <w:ind w:left="709" w:hanging="709"/>
      </w:pPr>
      <w:proofErr w:type="gramStart"/>
      <w:r>
        <w:lastRenderedPageBreak/>
        <w:t>Senior DA 1972.</w:t>
      </w:r>
      <w:proofErr w:type="gramEnd"/>
      <w:r w:rsidR="00E07F07" w:rsidRPr="0006214B">
        <w:t xml:space="preserve"> </w:t>
      </w:r>
      <w:r w:rsidR="00E07F07" w:rsidRPr="00856458">
        <w:rPr>
          <w:i/>
        </w:rPr>
        <w:t>Jericho, Queensland, 1:250 000 geological series map</w:t>
      </w:r>
      <w:r w:rsidR="00E07F07" w:rsidRPr="0006214B">
        <w:t xml:space="preserve">. Sheet SF/55-14, 1st </w:t>
      </w:r>
      <w:proofErr w:type="gramStart"/>
      <w:r w:rsidR="00E07F07" w:rsidRPr="0006214B">
        <w:t>edition.,</w:t>
      </w:r>
      <w:proofErr w:type="gramEnd"/>
      <w:r w:rsidR="00E07F07" w:rsidRPr="0006214B">
        <w:t xml:space="preserve"> Bureau of Mineral Resources, Australia</w:t>
      </w:r>
    </w:p>
    <w:p w:rsidR="00E07F07" w:rsidRPr="0006214B" w:rsidRDefault="00856458" w:rsidP="00BE7A62">
      <w:pPr>
        <w:pStyle w:val="BRNormal"/>
        <w:spacing w:after="0"/>
        <w:ind w:left="709" w:hanging="709"/>
      </w:pPr>
      <w:proofErr w:type="gramStart"/>
      <w:r>
        <w:t>Sener E</w:t>
      </w:r>
      <w:r w:rsidR="00E07F07" w:rsidRPr="0006214B">
        <w:t>, Dav</w:t>
      </w:r>
      <w:r>
        <w:t>raz A &amp; Ozcelik M</w:t>
      </w:r>
      <w:r w:rsidR="00E07F07" w:rsidRPr="0006214B">
        <w:t xml:space="preserve"> 2005.</w:t>
      </w:r>
      <w:proofErr w:type="gramEnd"/>
      <w:r w:rsidR="00E07F07" w:rsidRPr="0006214B">
        <w:t xml:space="preserve"> </w:t>
      </w:r>
      <w:proofErr w:type="gramStart"/>
      <w:r>
        <w:t>‘</w:t>
      </w:r>
      <w:r w:rsidR="00E07F07" w:rsidRPr="0006214B">
        <w:t>An integration of GIS and remote sensing in groundwater investigations: a case study in Burdur, Turkey</w:t>
      </w:r>
      <w:r>
        <w:t>’,</w:t>
      </w:r>
      <w:r w:rsidR="00E07F07" w:rsidRPr="0006214B">
        <w:t xml:space="preserve"> </w:t>
      </w:r>
      <w:r w:rsidR="00E07F07" w:rsidRPr="00856458">
        <w:rPr>
          <w:i/>
        </w:rPr>
        <w:t>Hydrogeology Journal</w:t>
      </w:r>
      <w:r w:rsidR="00E07F07" w:rsidRPr="0006214B">
        <w:t xml:space="preserve">, </w:t>
      </w:r>
      <w:r>
        <w:t xml:space="preserve">vol. </w:t>
      </w:r>
      <w:r w:rsidR="00E07F07" w:rsidRPr="0006214B">
        <w:t xml:space="preserve">13, </w:t>
      </w:r>
      <w:r>
        <w:t xml:space="preserve">pp. </w:t>
      </w:r>
      <w:r w:rsidR="00E07F07" w:rsidRPr="0006214B">
        <w:t>826-834.</w:t>
      </w:r>
      <w:proofErr w:type="gramEnd"/>
    </w:p>
    <w:p w:rsidR="00E07F07" w:rsidRPr="0006214B" w:rsidRDefault="00856458" w:rsidP="00BE7A62">
      <w:pPr>
        <w:pStyle w:val="BRNormal"/>
        <w:spacing w:after="0"/>
        <w:ind w:left="709" w:hanging="709"/>
      </w:pPr>
      <w:proofErr w:type="gramStart"/>
      <w:r>
        <w:t>Shaban A, Khawlie M &amp; Abdallah C</w:t>
      </w:r>
      <w:r w:rsidR="00E07F07" w:rsidRPr="0006214B">
        <w:t xml:space="preserve"> 2006.</w:t>
      </w:r>
      <w:proofErr w:type="gramEnd"/>
      <w:r w:rsidR="00E07F07" w:rsidRPr="0006214B">
        <w:t xml:space="preserve"> </w:t>
      </w:r>
      <w:proofErr w:type="gramStart"/>
      <w:r>
        <w:t>‘</w:t>
      </w:r>
      <w:r w:rsidR="00E07F07" w:rsidRPr="0006214B">
        <w:t>Use of remote sensing and GIS to determine recharge potential zones: the case of Occidental Lebanon</w:t>
      </w:r>
      <w:r>
        <w:t>’,</w:t>
      </w:r>
      <w:r w:rsidR="00E07F07" w:rsidRPr="0006214B">
        <w:t xml:space="preserve"> </w:t>
      </w:r>
      <w:r w:rsidR="00E07F07" w:rsidRPr="00856458">
        <w:rPr>
          <w:i/>
        </w:rPr>
        <w:t>Hydrogeology Journal</w:t>
      </w:r>
      <w:r w:rsidR="00E07F07" w:rsidRPr="0006214B">
        <w:t xml:space="preserve">, </w:t>
      </w:r>
      <w:r>
        <w:t xml:space="preserve">vol. </w:t>
      </w:r>
      <w:r w:rsidR="00E07F07" w:rsidRPr="0006214B">
        <w:t xml:space="preserve">14, </w:t>
      </w:r>
      <w:r>
        <w:t xml:space="preserve">pp. </w:t>
      </w:r>
      <w:r w:rsidR="00E07F07" w:rsidRPr="0006214B">
        <w:t>433-443.</w:t>
      </w:r>
      <w:proofErr w:type="gramEnd"/>
    </w:p>
    <w:p w:rsidR="00E07F07" w:rsidRPr="0006214B" w:rsidRDefault="00856458" w:rsidP="00BE7A62">
      <w:pPr>
        <w:pStyle w:val="BRNormal"/>
        <w:spacing w:after="0"/>
        <w:ind w:left="709" w:hanging="709"/>
      </w:pPr>
      <w:proofErr w:type="gramStart"/>
      <w:r>
        <w:t>Siemon B, Christiansen AV &amp; Auken E</w:t>
      </w:r>
      <w:r w:rsidR="00E07F07" w:rsidRPr="0006214B">
        <w:t xml:space="preserve"> 2009.</w:t>
      </w:r>
      <w:proofErr w:type="gramEnd"/>
      <w:r w:rsidR="00E07F07" w:rsidRPr="0006214B">
        <w:t xml:space="preserve"> </w:t>
      </w:r>
      <w:proofErr w:type="gramStart"/>
      <w:r>
        <w:t>‘</w:t>
      </w:r>
      <w:r w:rsidR="00E07F07" w:rsidRPr="0006214B">
        <w:t>A review of helicopter-borne electromagnetic methods for groundwater exploration</w:t>
      </w:r>
      <w:r>
        <w:t>’,</w:t>
      </w:r>
      <w:r w:rsidR="00E07F07" w:rsidRPr="0006214B">
        <w:t xml:space="preserve"> </w:t>
      </w:r>
      <w:r w:rsidR="00E07F07" w:rsidRPr="00856458">
        <w:rPr>
          <w:i/>
        </w:rPr>
        <w:t>Near Surface Geophysics</w:t>
      </w:r>
      <w:r w:rsidR="00E07F07" w:rsidRPr="0006214B">
        <w:t xml:space="preserve">, </w:t>
      </w:r>
      <w:r>
        <w:t xml:space="preserve">2009, pp. </w:t>
      </w:r>
      <w:r w:rsidR="00E07F07" w:rsidRPr="0006214B">
        <w:t>629-646.</w:t>
      </w:r>
      <w:proofErr w:type="gramEnd"/>
    </w:p>
    <w:p w:rsidR="00E07F07" w:rsidRPr="0006214B" w:rsidRDefault="00856458" w:rsidP="00BE7A62">
      <w:pPr>
        <w:pStyle w:val="BRNormal"/>
        <w:spacing w:after="0"/>
        <w:ind w:left="709" w:hanging="709"/>
      </w:pPr>
      <w:r>
        <w:t>Siemon B, Steuer A, Ullmann A, Vasterling M &amp; Voß W</w:t>
      </w:r>
      <w:r w:rsidR="00E07F07" w:rsidRPr="0006214B">
        <w:t xml:space="preserve"> 2011. </w:t>
      </w:r>
      <w:proofErr w:type="gramStart"/>
      <w:r>
        <w:t>‘</w:t>
      </w:r>
      <w:r w:rsidR="00E07F07" w:rsidRPr="0006214B">
        <w:t>Application of frequency-domain helicopter-borne electromagnetics for groundwater exploration in urban areas</w:t>
      </w:r>
      <w:r>
        <w:t>’</w:t>
      </w:r>
      <w:r w:rsidR="00E07F07" w:rsidRPr="0006214B">
        <w:t>.</w:t>
      </w:r>
      <w:proofErr w:type="gramEnd"/>
      <w:r w:rsidR="00E07F07" w:rsidRPr="0006214B">
        <w:t xml:space="preserve"> </w:t>
      </w:r>
      <w:r w:rsidR="00E07F07" w:rsidRPr="00856458">
        <w:rPr>
          <w:i/>
        </w:rPr>
        <w:t>Physics and Chemistry of the Earth</w:t>
      </w:r>
      <w:r w:rsidR="00E07F07" w:rsidRPr="0006214B">
        <w:t>, Parts A/B/C, 36, 1373-1385.</w:t>
      </w:r>
    </w:p>
    <w:p w:rsidR="00E07F07" w:rsidRPr="0006214B" w:rsidRDefault="00856458" w:rsidP="00BE7A62">
      <w:pPr>
        <w:pStyle w:val="BRNormal"/>
        <w:spacing w:after="0"/>
        <w:ind w:left="709" w:hanging="709"/>
      </w:pPr>
      <w:proofErr w:type="gramStart"/>
      <w:r>
        <w:t>SKM 2009</w:t>
      </w:r>
      <w:r w:rsidR="00E07F07" w:rsidRPr="0006214B">
        <w:t>.</w:t>
      </w:r>
      <w:proofErr w:type="gramEnd"/>
      <w:r w:rsidR="00E07F07" w:rsidRPr="0006214B">
        <w:t xml:space="preserve"> </w:t>
      </w:r>
      <w:r w:rsidR="00E07F07" w:rsidRPr="00856458">
        <w:rPr>
          <w:i/>
        </w:rPr>
        <w:t>Galilee Coal Project Groundwater Impact Assessment - Galilee Basin</w:t>
      </w:r>
      <w:r w:rsidR="00E07F07" w:rsidRPr="0006214B">
        <w:t xml:space="preserve">, Unpublished report </w:t>
      </w:r>
      <w:r w:rsidR="00FD05CB" w:rsidRPr="0006214B">
        <w:t xml:space="preserve">prepared by Sinclair Knight Merz (SKM) </w:t>
      </w:r>
      <w:r w:rsidR="00E07F07" w:rsidRPr="0006214B">
        <w:t>for Warratah Coal Inc.</w:t>
      </w:r>
    </w:p>
    <w:p w:rsidR="00E07F07" w:rsidRPr="0006214B" w:rsidRDefault="00856458" w:rsidP="00BE7A62">
      <w:pPr>
        <w:pStyle w:val="BRNormal"/>
        <w:spacing w:after="0"/>
        <w:ind w:left="709" w:hanging="709"/>
      </w:pPr>
      <w:proofErr w:type="gramStart"/>
      <w:r>
        <w:t xml:space="preserve">SKM </w:t>
      </w:r>
      <w:r w:rsidR="00E07F07" w:rsidRPr="0006214B">
        <w:t>2010</w:t>
      </w:r>
      <w:r>
        <w:t>.</w:t>
      </w:r>
      <w:proofErr w:type="gramEnd"/>
      <w:r w:rsidR="00E07F07" w:rsidRPr="0006214B">
        <w:t xml:space="preserve"> </w:t>
      </w:r>
      <w:r w:rsidR="00E07F07" w:rsidRPr="00856458">
        <w:rPr>
          <w:i/>
        </w:rPr>
        <w:t>Prominent Hill Mine groundwater model update (PH5),</w:t>
      </w:r>
      <w:r w:rsidR="00E07F07" w:rsidRPr="0006214B">
        <w:t xml:space="preserve"> </w:t>
      </w:r>
      <w:r w:rsidR="00FD05CB" w:rsidRPr="0006214B">
        <w:t xml:space="preserve">report prepared by </w:t>
      </w:r>
      <w:r w:rsidR="00E07F07" w:rsidRPr="0006214B">
        <w:t>Sinclair Knight Merz</w:t>
      </w:r>
      <w:r w:rsidR="00FD05CB" w:rsidRPr="0006214B">
        <w:t xml:space="preserve"> (SKM)</w:t>
      </w:r>
      <w:r w:rsidR="00E07F07" w:rsidRPr="0006214B">
        <w:t xml:space="preserve"> on behalf of OZ Minerals Pty Ltd.</w:t>
      </w:r>
    </w:p>
    <w:p w:rsidR="00E07F07" w:rsidRPr="0006214B" w:rsidRDefault="00DC79D2" w:rsidP="00BE7A62">
      <w:pPr>
        <w:pStyle w:val="BRNormal"/>
        <w:spacing w:after="0"/>
        <w:ind w:left="709" w:hanging="709"/>
      </w:pPr>
      <w:proofErr w:type="gramStart"/>
      <w:r w:rsidRPr="0006214B">
        <w:t>Small</w:t>
      </w:r>
      <w:r w:rsidR="003A0D3E" w:rsidRPr="0006214B">
        <w:t xml:space="preserve"> M</w:t>
      </w:r>
      <w:r w:rsidR="00E07F07" w:rsidRPr="0006214B">
        <w:t xml:space="preserve"> 2004.</w:t>
      </w:r>
      <w:proofErr w:type="gramEnd"/>
      <w:r w:rsidR="00E07F07" w:rsidRPr="0006214B">
        <w:t xml:space="preserve"> </w:t>
      </w:r>
      <w:r w:rsidR="000163AE">
        <w:t>‘</w:t>
      </w:r>
      <w:r w:rsidR="00E07F07" w:rsidRPr="0006214B">
        <w:t>The value of information for conflict resolution</w:t>
      </w:r>
      <w:r w:rsidR="000163AE">
        <w:t>’,</w:t>
      </w:r>
      <w:r w:rsidR="00E07F07" w:rsidRPr="0006214B">
        <w:t xml:space="preserve"> In: L</w:t>
      </w:r>
      <w:r w:rsidR="000163AE">
        <w:t>inkov</w:t>
      </w:r>
      <w:r w:rsidR="00E07F07" w:rsidRPr="0006214B">
        <w:t xml:space="preserve"> I &amp; R</w:t>
      </w:r>
      <w:r w:rsidR="000163AE">
        <w:t>amadan</w:t>
      </w:r>
      <w:r w:rsidR="00E07F07" w:rsidRPr="0006214B">
        <w:t xml:space="preserve"> A (eds.) </w:t>
      </w:r>
      <w:r w:rsidR="00E07F07" w:rsidRPr="000163AE">
        <w:rPr>
          <w:i/>
        </w:rPr>
        <w:t>Comparative risk assessment and environmental decision making</w:t>
      </w:r>
      <w:r w:rsidR="00E07F07" w:rsidRPr="0006214B">
        <w:t xml:space="preserve">. Netherlands: Kluwer Academic Publishers </w:t>
      </w:r>
    </w:p>
    <w:p w:rsidR="00E07F07" w:rsidRPr="0006214B" w:rsidRDefault="000163AE" w:rsidP="00BE7A62">
      <w:pPr>
        <w:pStyle w:val="BRNormal"/>
        <w:spacing w:after="0"/>
        <w:ind w:left="709" w:hanging="709"/>
      </w:pPr>
      <w:r>
        <w:t>Smerdon BD, Harrington GA, Gardner WP &amp; Smith LA 2012.</w:t>
      </w:r>
      <w:r w:rsidR="00E07F07" w:rsidRPr="0006214B">
        <w:t xml:space="preserve"> </w:t>
      </w:r>
      <w:r w:rsidR="00E07F07" w:rsidRPr="000163AE">
        <w:rPr>
          <w:i/>
        </w:rPr>
        <w:t>Using in-situ pore pressure to constrain the permeability of a major confining layer in the Great Artesian Basin</w:t>
      </w:r>
      <w:r>
        <w:rPr>
          <w:i/>
        </w:rPr>
        <w:t>,</w:t>
      </w:r>
      <w:r w:rsidR="00E07F07" w:rsidRPr="0006214B">
        <w:t xml:space="preserve"> IAH 2012 Congress, Niagara Falls, Canada, </w:t>
      </w:r>
    </w:p>
    <w:p w:rsidR="00E07F07" w:rsidRPr="0006214B" w:rsidRDefault="00E07F07" w:rsidP="00BE7A62">
      <w:pPr>
        <w:pStyle w:val="BRNormal"/>
        <w:spacing w:after="0"/>
        <w:ind w:left="709" w:hanging="709"/>
      </w:pPr>
      <w:proofErr w:type="gramStart"/>
      <w:r w:rsidRPr="0006214B">
        <w:t xml:space="preserve">Smith AJ </w:t>
      </w:r>
      <w:r w:rsidR="000163AE">
        <w:t xml:space="preserve">&amp; Welsh WD </w:t>
      </w:r>
      <w:r w:rsidRPr="0006214B">
        <w:t>2011</w:t>
      </w:r>
      <w:r w:rsidR="000163AE">
        <w:t>.</w:t>
      </w:r>
      <w:proofErr w:type="gramEnd"/>
      <w:r w:rsidRPr="0006214B">
        <w:t xml:space="preserve"> </w:t>
      </w:r>
      <w:r w:rsidRPr="000163AE">
        <w:rPr>
          <w:i/>
        </w:rPr>
        <w:t xml:space="preserve">Review of groundwater models and modelling methodologies for the Great Artesian Basin: </w:t>
      </w:r>
      <w:proofErr w:type="gramStart"/>
      <w:r w:rsidRPr="000163AE">
        <w:rPr>
          <w:i/>
        </w:rPr>
        <w:t>A</w:t>
      </w:r>
      <w:proofErr w:type="gramEnd"/>
      <w:r w:rsidRPr="000163AE">
        <w:rPr>
          <w:i/>
        </w:rPr>
        <w:t xml:space="preserve"> technical report to the Australian Government from the CSIRO Great Artesian Basin Water Resource Assessment</w:t>
      </w:r>
      <w:r w:rsidRPr="0006214B">
        <w:t>, CSIRO Water for a Healthy Country Flagship, Canberra, ACT.</w:t>
      </w:r>
    </w:p>
    <w:p w:rsidR="00EC0BF5" w:rsidRPr="0006214B" w:rsidRDefault="00EC0BF5" w:rsidP="00BE7A62">
      <w:pPr>
        <w:pStyle w:val="BRNormal"/>
        <w:spacing w:after="0"/>
        <w:ind w:left="709" w:hanging="709"/>
      </w:pPr>
      <w:proofErr w:type="gramStart"/>
      <w:r w:rsidRPr="0006214B">
        <w:t>SARIG 2014.</w:t>
      </w:r>
      <w:proofErr w:type="gramEnd"/>
      <w:r w:rsidRPr="0006214B">
        <w:t xml:space="preserve"> </w:t>
      </w:r>
      <w:proofErr w:type="gramStart"/>
      <w:r w:rsidRPr="000163AE">
        <w:rPr>
          <w:i/>
        </w:rPr>
        <w:t>South Australian Resources Information Geoserver</w:t>
      </w:r>
      <w:r w:rsidRPr="0006214B">
        <w:t>, South Australian Department for Manufacturing, Innovation, Trade, Resources and Energy (http://www.minerals.dmitre.sa.gov.au/sarighelp/home [accessed 9 April 2014]).</w:t>
      </w:r>
      <w:proofErr w:type="gramEnd"/>
    </w:p>
    <w:p w:rsidR="00E07F07" w:rsidRPr="0006214B" w:rsidRDefault="000163AE" w:rsidP="00BE7A62">
      <w:pPr>
        <w:pStyle w:val="BRNormal"/>
        <w:spacing w:after="0"/>
        <w:ind w:left="709" w:hanging="709"/>
      </w:pPr>
      <w:proofErr w:type="gramStart"/>
      <w:r>
        <w:t>Spitz K</w:t>
      </w:r>
      <w:r w:rsidR="00E07F07" w:rsidRPr="0006214B">
        <w:t xml:space="preserve"> </w:t>
      </w:r>
      <w:r>
        <w:t xml:space="preserve">&amp; </w:t>
      </w:r>
      <w:r w:rsidR="00E07F07" w:rsidRPr="0006214B">
        <w:t>Moreno</w:t>
      </w:r>
      <w:r>
        <w:t xml:space="preserve"> J</w:t>
      </w:r>
      <w:r w:rsidR="00E07F07" w:rsidRPr="0006214B">
        <w:t xml:space="preserve"> 1996.</w:t>
      </w:r>
      <w:proofErr w:type="gramEnd"/>
      <w:r w:rsidR="00E07F07" w:rsidRPr="0006214B">
        <w:t xml:space="preserve"> </w:t>
      </w:r>
      <w:proofErr w:type="gramStart"/>
      <w:r w:rsidR="00E07F07" w:rsidRPr="000163AE">
        <w:rPr>
          <w:i/>
        </w:rPr>
        <w:t>A practical guide to groundwater and solute transport modeling</w:t>
      </w:r>
      <w:r w:rsidR="00E07F07" w:rsidRPr="0006214B">
        <w:t>.</w:t>
      </w:r>
      <w:proofErr w:type="gramEnd"/>
      <w:r w:rsidR="00E07F07" w:rsidRPr="0006214B">
        <w:t xml:space="preserve"> </w:t>
      </w:r>
      <w:proofErr w:type="gramStart"/>
      <w:r w:rsidR="00E07F07" w:rsidRPr="0006214B">
        <w:t>Wiley.</w:t>
      </w:r>
      <w:proofErr w:type="gramEnd"/>
      <w:r w:rsidR="00E07F07" w:rsidRPr="0006214B">
        <w:t xml:space="preserve"> ISBN: 978-0-471-13687-3.</w:t>
      </w:r>
    </w:p>
    <w:p w:rsidR="00E07F07" w:rsidRPr="0006214B" w:rsidRDefault="00E07F07" w:rsidP="00BE7A62">
      <w:pPr>
        <w:pStyle w:val="BRNormal"/>
        <w:spacing w:after="0"/>
        <w:ind w:left="709" w:hanging="709"/>
      </w:pPr>
      <w:proofErr w:type="gramStart"/>
      <w:r w:rsidRPr="0006214B">
        <w:t xml:space="preserve">SRK 2008, </w:t>
      </w:r>
      <w:r w:rsidRPr="000163AE">
        <w:rPr>
          <w:i/>
        </w:rPr>
        <w:t>Bowen and Surat Basins Regional Structural Framework Study</w:t>
      </w:r>
      <w:r w:rsidRPr="0006214B">
        <w:t>.</w:t>
      </w:r>
      <w:proofErr w:type="gramEnd"/>
      <w:r w:rsidR="006C0BB0" w:rsidRPr="0006214B">
        <w:t xml:space="preserve"> </w:t>
      </w:r>
      <w:proofErr w:type="gramStart"/>
      <w:r w:rsidR="006C0BB0" w:rsidRPr="0006214B">
        <w:t>SRK Consulting.</w:t>
      </w:r>
      <w:proofErr w:type="gramEnd"/>
    </w:p>
    <w:p w:rsidR="00E07F07" w:rsidRPr="0006214B" w:rsidRDefault="000163AE" w:rsidP="00BE7A62">
      <w:pPr>
        <w:pStyle w:val="BRNormal"/>
        <w:spacing w:after="0"/>
        <w:ind w:left="709" w:hanging="709"/>
      </w:pPr>
      <w:proofErr w:type="gramStart"/>
      <w:r>
        <w:t xml:space="preserve">Sudicky EA, Unger AJA &amp; Lacombe S </w:t>
      </w:r>
      <w:r w:rsidR="00E07F07" w:rsidRPr="0006214B">
        <w:t>1995.</w:t>
      </w:r>
      <w:proofErr w:type="gramEnd"/>
      <w:r w:rsidR="00E07F07" w:rsidRPr="0006214B">
        <w:t xml:space="preserve"> </w:t>
      </w:r>
      <w:r>
        <w:t>‘</w:t>
      </w:r>
      <w:r w:rsidR="00E07F07" w:rsidRPr="0006214B">
        <w:t>A noniterative technique for the direct implementation of well bore boundary conditions in three-dimensional heterogeneous formations</w:t>
      </w:r>
      <w:r>
        <w:t>’,</w:t>
      </w:r>
      <w:r w:rsidR="00E07F07" w:rsidRPr="0006214B">
        <w:t xml:space="preserve"> </w:t>
      </w:r>
      <w:r w:rsidR="00E07F07" w:rsidRPr="000163AE">
        <w:rPr>
          <w:i/>
        </w:rPr>
        <w:t>Water Resources Research</w:t>
      </w:r>
      <w:r w:rsidR="00E07F07" w:rsidRPr="0006214B">
        <w:t xml:space="preserve">, </w:t>
      </w:r>
      <w:r>
        <w:t xml:space="preserve">vol. </w:t>
      </w:r>
      <w:r w:rsidR="00E07F07" w:rsidRPr="0006214B">
        <w:t xml:space="preserve">31, </w:t>
      </w:r>
      <w:r>
        <w:t xml:space="preserve">pp. </w:t>
      </w:r>
      <w:r w:rsidR="00E07F07" w:rsidRPr="0006214B">
        <w:t>411-415.</w:t>
      </w:r>
    </w:p>
    <w:p w:rsidR="008734C3" w:rsidRPr="0006214B" w:rsidRDefault="009F2AAD" w:rsidP="00BE7A62">
      <w:pPr>
        <w:pStyle w:val="BRNormal"/>
        <w:spacing w:after="0"/>
        <w:ind w:left="709" w:hanging="709"/>
      </w:pPr>
      <w:proofErr w:type="gramStart"/>
      <w:r>
        <w:t>SWS</w:t>
      </w:r>
      <w:r w:rsidR="00057668">
        <w:t xml:space="preserve"> </w:t>
      </w:r>
      <w:r>
        <w:t>2011.</w:t>
      </w:r>
      <w:proofErr w:type="gramEnd"/>
      <w:r w:rsidR="008734C3" w:rsidRPr="0006214B">
        <w:t xml:space="preserve"> ‘Groundwater modelling of the Surat Basin’, prepared by Schlumberger Water Service</w:t>
      </w:r>
      <w:r>
        <w:t>s (SWS), appendix B in: Coffey 2012.</w:t>
      </w:r>
      <w:r w:rsidR="008734C3" w:rsidRPr="0006214B">
        <w:t xml:space="preserve"> </w:t>
      </w:r>
      <w:r w:rsidR="008734C3" w:rsidRPr="00057668">
        <w:rPr>
          <w:i/>
        </w:rPr>
        <w:t>Appendix G: Arrow Energy Surat gas project groundwater impact assessment report</w:t>
      </w:r>
      <w:r w:rsidR="008734C3" w:rsidRPr="0006214B">
        <w:t>, in: Arrow Energy, Surat Gas Project Environmental Impa</w:t>
      </w:r>
      <w:r w:rsidR="00057668">
        <w:t>ct Statement: Volume 3.</w:t>
      </w:r>
    </w:p>
    <w:p w:rsidR="008734C3" w:rsidRPr="0006214B" w:rsidRDefault="00057668" w:rsidP="00BE7A62">
      <w:pPr>
        <w:pStyle w:val="BRNormal"/>
        <w:spacing w:after="0"/>
        <w:ind w:left="709" w:hanging="709"/>
      </w:pPr>
      <w:proofErr w:type="gramStart"/>
      <w:r>
        <w:t>SWS  2012</w:t>
      </w:r>
      <w:proofErr w:type="gramEnd"/>
      <w:r>
        <w:t>.</w:t>
      </w:r>
      <w:r w:rsidR="008734C3" w:rsidRPr="0006214B">
        <w:t xml:space="preserve"> </w:t>
      </w:r>
      <w:r w:rsidR="008734C3" w:rsidRPr="00057668">
        <w:rPr>
          <w:i/>
        </w:rPr>
        <w:t>Namoi catchment water study independent expert final study report</w:t>
      </w:r>
      <w:r w:rsidR="008734C3" w:rsidRPr="0006214B">
        <w:t>, report for Department of Trade and Investment, Regional Infrastructure and Services, NSW, Schlumberger Water S</w:t>
      </w:r>
      <w:r>
        <w:t>ervices (SWS), Perth, WA, 129p. (</w:t>
      </w:r>
      <w:r w:rsidRPr="00057668">
        <w:t>http://www.namoicatchmentwaterstudy.com.au/client_images/1085523.pdf</w:t>
      </w:r>
      <w:r>
        <w:t xml:space="preserve"> [accessed 24 April 2014])</w:t>
      </w:r>
      <w:r w:rsidR="008734C3" w:rsidRPr="0006214B">
        <w:t>.</w:t>
      </w:r>
    </w:p>
    <w:p w:rsidR="00E07F07" w:rsidRPr="0006214B" w:rsidRDefault="00057668" w:rsidP="00BE7A62">
      <w:pPr>
        <w:pStyle w:val="BRNormal"/>
        <w:spacing w:after="0"/>
        <w:ind w:left="709" w:hanging="709"/>
      </w:pPr>
      <w:proofErr w:type="gramStart"/>
      <w:r>
        <w:t>Timms W, Acworth RI, Jankowski J &amp; Lawson S</w:t>
      </w:r>
      <w:r w:rsidR="00E07F07" w:rsidRPr="0006214B">
        <w:t xml:space="preserve"> 2000.</w:t>
      </w:r>
      <w:proofErr w:type="gramEnd"/>
      <w:r w:rsidR="00E07F07" w:rsidRPr="0006214B">
        <w:t xml:space="preserve"> </w:t>
      </w:r>
      <w:r>
        <w:t>‘</w:t>
      </w:r>
      <w:r w:rsidR="00E07F07" w:rsidRPr="0006214B">
        <w:t>Groundwater quality trends related to aquitard salt storage in the Lower Murrumbidgee alluvium, Australia</w:t>
      </w:r>
      <w:r>
        <w:t>’, In Sililo et al. (e</w:t>
      </w:r>
      <w:r w:rsidR="00E07F07" w:rsidRPr="0006214B">
        <w:t xml:space="preserve">ds.) </w:t>
      </w:r>
      <w:r w:rsidR="00E07F07" w:rsidRPr="00057668">
        <w:rPr>
          <w:i/>
        </w:rPr>
        <w:t xml:space="preserve">Groundwater: </w:t>
      </w:r>
      <w:r>
        <w:rPr>
          <w:i/>
        </w:rPr>
        <w:t>p</w:t>
      </w:r>
      <w:r w:rsidR="00E07F07" w:rsidRPr="00057668">
        <w:rPr>
          <w:i/>
        </w:rPr>
        <w:t>ast</w:t>
      </w:r>
      <w:r>
        <w:rPr>
          <w:i/>
        </w:rPr>
        <w:t xml:space="preserve"> achievements and future c</w:t>
      </w:r>
      <w:r w:rsidR="00E07F07" w:rsidRPr="00057668">
        <w:rPr>
          <w:i/>
        </w:rPr>
        <w:t>hallenges</w:t>
      </w:r>
      <w:r w:rsidR="00E07F07" w:rsidRPr="0006214B">
        <w:t>, Balkema, Rotterdam, Netherlands, pp. 655-660.</w:t>
      </w:r>
    </w:p>
    <w:p w:rsidR="00E07F07" w:rsidRPr="0006214B" w:rsidRDefault="00057668" w:rsidP="00BE7A62">
      <w:pPr>
        <w:pStyle w:val="BRNormal"/>
        <w:spacing w:after="0"/>
        <w:ind w:left="709" w:hanging="709"/>
      </w:pPr>
      <w:proofErr w:type="gramStart"/>
      <w:r>
        <w:t>Timms W &amp; Acworth R</w:t>
      </w:r>
      <w:r w:rsidR="00E07F07" w:rsidRPr="0006214B">
        <w:t xml:space="preserve"> 2005.</w:t>
      </w:r>
      <w:proofErr w:type="gramEnd"/>
      <w:r w:rsidR="00E07F07" w:rsidRPr="0006214B">
        <w:t xml:space="preserve"> </w:t>
      </w:r>
      <w:proofErr w:type="gramStart"/>
      <w:r>
        <w:t>‘</w:t>
      </w:r>
      <w:r w:rsidR="00E07F07" w:rsidRPr="0006214B">
        <w:t>Propagation of pressure change through thick clay sequences: an example from Liverpool Plains, NSW, Australia</w:t>
      </w:r>
      <w:r>
        <w:t>’,</w:t>
      </w:r>
      <w:r w:rsidR="00E07F07" w:rsidRPr="0006214B">
        <w:t xml:space="preserve"> </w:t>
      </w:r>
      <w:r w:rsidR="00E07F07" w:rsidRPr="00057668">
        <w:rPr>
          <w:i/>
        </w:rPr>
        <w:t>Hydrogeology Journal</w:t>
      </w:r>
      <w:r w:rsidR="00E07F07" w:rsidRPr="0006214B">
        <w:t xml:space="preserve">, </w:t>
      </w:r>
      <w:r>
        <w:t xml:space="preserve">vol. </w:t>
      </w:r>
      <w:r w:rsidR="00E07F07" w:rsidRPr="0006214B">
        <w:t xml:space="preserve">13, </w:t>
      </w:r>
      <w:r>
        <w:t xml:space="preserve">pp. </w:t>
      </w:r>
      <w:r w:rsidR="00E07F07" w:rsidRPr="0006214B">
        <w:t>858-870.</w:t>
      </w:r>
      <w:proofErr w:type="gramEnd"/>
    </w:p>
    <w:p w:rsidR="00E07F07" w:rsidRPr="0006214B" w:rsidRDefault="00057668" w:rsidP="00BE7A62">
      <w:pPr>
        <w:pStyle w:val="BRNormal"/>
        <w:spacing w:after="0"/>
        <w:ind w:left="709" w:hanging="709"/>
      </w:pPr>
      <w:proofErr w:type="gramStart"/>
      <w:r>
        <w:lastRenderedPageBreak/>
        <w:t>Timms WA &amp; Hendry MJ</w:t>
      </w:r>
      <w:r w:rsidR="00E07F07" w:rsidRPr="0006214B">
        <w:t xml:space="preserve"> 2008.</w:t>
      </w:r>
      <w:proofErr w:type="gramEnd"/>
      <w:r w:rsidR="00E07F07" w:rsidRPr="0006214B">
        <w:t xml:space="preserve"> </w:t>
      </w:r>
      <w:proofErr w:type="gramStart"/>
      <w:r>
        <w:t>‘</w:t>
      </w:r>
      <w:r w:rsidR="00E07F07" w:rsidRPr="0006214B">
        <w:t>Long-term reactive solute transport in an aquitard using a centrifuge model</w:t>
      </w:r>
      <w:r>
        <w:t>’,</w:t>
      </w:r>
      <w:r w:rsidR="00E07F07" w:rsidRPr="0006214B">
        <w:t xml:space="preserve"> </w:t>
      </w:r>
      <w:r w:rsidR="00E07F07" w:rsidRPr="00057668">
        <w:rPr>
          <w:i/>
        </w:rPr>
        <w:t>Ground Water</w:t>
      </w:r>
      <w:r w:rsidR="00E07F07" w:rsidRPr="0006214B">
        <w:t xml:space="preserve">, </w:t>
      </w:r>
      <w:r>
        <w:t xml:space="preserve">vol. </w:t>
      </w:r>
      <w:r w:rsidR="00E07F07" w:rsidRPr="0006214B">
        <w:t xml:space="preserve">46, </w:t>
      </w:r>
      <w:r>
        <w:t xml:space="preserve">pp. </w:t>
      </w:r>
      <w:r w:rsidR="00E07F07" w:rsidRPr="0006214B">
        <w:t>616-628.</w:t>
      </w:r>
      <w:proofErr w:type="gramEnd"/>
    </w:p>
    <w:p w:rsidR="00E07F07" w:rsidRPr="0006214B" w:rsidRDefault="00057668" w:rsidP="00BE7A62">
      <w:pPr>
        <w:pStyle w:val="BRNormal"/>
        <w:spacing w:after="0"/>
        <w:ind w:left="709" w:hanging="709"/>
      </w:pPr>
      <w:proofErr w:type="gramStart"/>
      <w:r>
        <w:t>Timms</w:t>
      </w:r>
      <w:r w:rsidR="00A97EF6" w:rsidRPr="0006214B">
        <w:t xml:space="preserve"> </w:t>
      </w:r>
      <w:r>
        <w:t>W, Acworth I, Hartland A</w:t>
      </w:r>
      <w:r w:rsidR="00A97EF6" w:rsidRPr="0006214B">
        <w:t xml:space="preserve"> </w:t>
      </w:r>
      <w:r>
        <w:t>&amp; Laurence D 2012.</w:t>
      </w:r>
      <w:proofErr w:type="gramEnd"/>
      <w:r>
        <w:t xml:space="preserve"> ‘</w:t>
      </w:r>
      <w:r w:rsidR="00A97EF6" w:rsidRPr="0006214B">
        <w:t>Leading practices for assessing the integrity of confining strata: application to mini</w:t>
      </w:r>
      <w:r>
        <w:t>ng and coal-seam gas extraction’</w:t>
      </w:r>
      <w:r w:rsidR="00A97EF6" w:rsidRPr="0006214B">
        <w:t xml:space="preserve"> in </w:t>
      </w:r>
      <w:r w:rsidR="00A97EF6" w:rsidRPr="00057668">
        <w:rPr>
          <w:i/>
        </w:rPr>
        <w:t>International Mine Water Association Conference</w:t>
      </w:r>
      <w:r w:rsidR="00A97EF6" w:rsidRPr="0006214B">
        <w:t>, Bunbury, West Australia, 30 September - 4 October 2012</w:t>
      </w:r>
    </w:p>
    <w:p w:rsidR="00E07F07" w:rsidRPr="0006214B" w:rsidRDefault="00E07F07" w:rsidP="00BE7A62">
      <w:pPr>
        <w:pStyle w:val="BRNormal"/>
        <w:spacing w:after="0"/>
        <w:ind w:left="709" w:hanging="709"/>
      </w:pPr>
      <w:r w:rsidRPr="0006214B">
        <w:t xml:space="preserve">Torgersen T, Habermehl MA, Phillips FM, Elmore D, Kubik P, Jones BG, Hemmick T </w:t>
      </w:r>
      <w:r w:rsidR="00057668">
        <w:t xml:space="preserve">&amp; Gove HE </w:t>
      </w:r>
      <w:r w:rsidRPr="0006214B">
        <w:t>1991</w:t>
      </w:r>
      <w:r w:rsidR="00057668">
        <w:t>.</w:t>
      </w:r>
      <w:r w:rsidRPr="0006214B">
        <w:t xml:space="preserve"> </w:t>
      </w:r>
      <w:proofErr w:type="gramStart"/>
      <w:r w:rsidRPr="0006214B">
        <w:t xml:space="preserve">‘Chlorine-36 dating of very old groundwater 3: Further studies in the Great Artesian Basin, Australia’, </w:t>
      </w:r>
      <w:r w:rsidRPr="00057668">
        <w:rPr>
          <w:i/>
        </w:rPr>
        <w:t>Water Resources Research</w:t>
      </w:r>
      <w:r w:rsidRPr="0006214B">
        <w:t>, vol.</w:t>
      </w:r>
      <w:r w:rsidR="00057668">
        <w:t xml:space="preserve"> </w:t>
      </w:r>
      <w:r w:rsidRPr="0006214B">
        <w:t>27, pp.</w:t>
      </w:r>
      <w:r w:rsidR="00057668">
        <w:t xml:space="preserve"> </w:t>
      </w:r>
      <w:r w:rsidRPr="0006214B">
        <w:t>3201-3213.</w:t>
      </w:r>
      <w:proofErr w:type="gramEnd"/>
    </w:p>
    <w:p w:rsidR="00E07F07" w:rsidRPr="0006214B" w:rsidRDefault="00E07F07" w:rsidP="00BE7A62">
      <w:pPr>
        <w:pStyle w:val="BRNormal"/>
        <w:spacing w:after="0"/>
        <w:ind w:left="709" w:hanging="709"/>
      </w:pPr>
      <w:proofErr w:type="gramStart"/>
      <w:r w:rsidRPr="0006214B">
        <w:t>Tracy</w:t>
      </w:r>
      <w:r w:rsidR="00057668">
        <w:t xml:space="preserve"> MR &amp; Direen NG</w:t>
      </w:r>
      <w:r w:rsidRPr="0006214B">
        <w:t xml:space="preserve"> 2002.</w:t>
      </w:r>
      <w:proofErr w:type="gramEnd"/>
      <w:r w:rsidRPr="0006214B">
        <w:t xml:space="preserve"> </w:t>
      </w:r>
      <w:r w:rsidR="00057668">
        <w:t>‘</w:t>
      </w:r>
      <w:r w:rsidRPr="0006214B">
        <w:t>Gravity</w:t>
      </w:r>
      <w:r w:rsidR="00057668">
        <w:t>’,</w:t>
      </w:r>
      <w:r w:rsidRPr="0006214B">
        <w:t xml:space="preserve"> In: P</w:t>
      </w:r>
      <w:r w:rsidR="004A7DA9">
        <w:t>app</w:t>
      </w:r>
      <w:r w:rsidRPr="0006214B">
        <w:t xml:space="preserve"> E. (ed.) </w:t>
      </w:r>
      <w:r w:rsidRPr="004A7DA9">
        <w:rPr>
          <w:i/>
        </w:rPr>
        <w:t>Geophysical and remote sensing methods for regolith exploration</w:t>
      </w:r>
      <w:r w:rsidRPr="0006214B">
        <w:t xml:space="preserve">. </w:t>
      </w:r>
      <w:proofErr w:type="gramStart"/>
      <w:r w:rsidRPr="0006214B">
        <w:t>Cooperative Research Centre for Landscape Environments and Mineral Exploration, Open File Report 144.</w:t>
      </w:r>
      <w:proofErr w:type="gramEnd"/>
    </w:p>
    <w:p w:rsidR="00E07F07" w:rsidRPr="0006214B" w:rsidRDefault="004A7DA9" w:rsidP="00BE7A62">
      <w:pPr>
        <w:pStyle w:val="BRNormal"/>
        <w:spacing w:after="0"/>
        <w:ind w:left="709" w:hanging="709"/>
      </w:pPr>
      <w:r>
        <w:t>Ungemach P 1975.</w:t>
      </w:r>
      <w:r w:rsidR="00E07F07" w:rsidRPr="0006214B">
        <w:t xml:space="preserve"> </w:t>
      </w:r>
      <w:r w:rsidR="00E07F07" w:rsidRPr="004A7DA9">
        <w:rPr>
          <w:i/>
        </w:rPr>
        <w:t>Great Artesian Basin groundwater project - explanatory note on digital model package</w:t>
      </w:r>
      <w:r w:rsidR="00E07F07" w:rsidRPr="0006214B">
        <w:t>, Great Artesian Basin simulation model (GABSIM), Bureau of Mineral Resources, Geology and Geophysics, record 1975/169, Canberra, ACT.</w:t>
      </w:r>
    </w:p>
    <w:p w:rsidR="00E07F07" w:rsidRPr="0006214B" w:rsidRDefault="00E07F07" w:rsidP="00BE7A62">
      <w:pPr>
        <w:pStyle w:val="BRNormal"/>
        <w:spacing w:after="0"/>
        <w:ind w:left="709" w:hanging="709"/>
      </w:pPr>
      <w:proofErr w:type="gramStart"/>
      <w:r w:rsidRPr="0006214B">
        <w:t xml:space="preserve">URS </w:t>
      </w:r>
      <w:r w:rsidR="004A7DA9">
        <w:t>2009a.</w:t>
      </w:r>
      <w:proofErr w:type="gramEnd"/>
      <w:r w:rsidRPr="0006214B">
        <w:t xml:space="preserve"> ‘Final report: G</w:t>
      </w:r>
      <w:r w:rsidR="00F87DE2">
        <w:t xml:space="preserve">ladstone </w:t>
      </w:r>
      <w:r w:rsidRPr="0006214B">
        <w:t>LNG Environmental Impact Statement: Shallow Groundwater’, report</w:t>
      </w:r>
      <w:r w:rsidR="004A7DA9">
        <w:t xml:space="preserve"> no. 42626220, in: URS 2009.</w:t>
      </w:r>
      <w:r w:rsidR="00F87DE2">
        <w:t xml:space="preserve"> </w:t>
      </w:r>
      <w:r w:rsidR="00F87DE2" w:rsidRPr="004A7DA9">
        <w:rPr>
          <w:i/>
        </w:rPr>
        <w:t xml:space="preserve">Gladstone </w:t>
      </w:r>
      <w:r w:rsidRPr="004A7DA9">
        <w:rPr>
          <w:i/>
        </w:rPr>
        <w:t>LNG project: Environmental impact statement,</w:t>
      </w:r>
      <w:r w:rsidRPr="0006214B">
        <w:t xml:space="preserve"> 148p. + </w:t>
      </w:r>
      <w:proofErr w:type="gramStart"/>
      <w:r w:rsidRPr="0006214B">
        <w:t>appendices</w:t>
      </w:r>
      <w:proofErr w:type="gramEnd"/>
      <w:r w:rsidRPr="0006214B">
        <w:t>, &lt;http://www.glng.com.au/Content.aspx?p=90&gt;.</w:t>
      </w:r>
    </w:p>
    <w:p w:rsidR="00E07F07" w:rsidRPr="0006214B" w:rsidRDefault="00E07F07" w:rsidP="00BE7A62">
      <w:pPr>
        <w:pStyle w:val="BRNormal"/>
        <w:spacing w:after="0"/>
        <w:ind w:left="709" w:hanging="709"/>
      </w:pPr>
      <w:r w:rsidRPr="0006214B">
        <w:t>URS (2009b) ‘Section 6: Coal seam gas field environmental values and management of impacts; Section 6.6:</w:t>
      </w:r>
      <w:r w:rsidR="00F87DE2">
        <w:t xml:space="preserve"> Groundwater’, in: URS (2009), </w:t>
      </w:r>
      <w:r w:rsidR="00F87DE2" w:rsidRPr="0006214B">
        <w:t>G</w:t>
      </w:r>
      <w:r w:rsidR="00F87DE2">
        <w:t xml:space="preserve">ladstone </w:t>
      </w:r>
      <w:r w:rsidRPr="0006214B">
        <w:t xml:space="preserve">LNG project: Environmental impact </w:t>
      </w:r>
      <w:r w:rsidR="004A7DA9">
        <w:t xml:space="preserve">statement, 148p. + </w:t>
      </w:r>
      <w:proofErr w:type="gramStart"/>
      <w:r w:rsidR="004A7DA9">
        <w:t>appendices</w:t>
      </w:r>
      <w:proofErr w:type="gramEnd"/>
      <w:r w:rsidR="004A7DA9">
        <w:t>.</w:t>
      </w:r>
    </w:p>
    <w:p w:rsidR="00E07F07" w:rsidRPr="0006214B" w:rsidRDefault="00E07F07" w:rsidP="00BE7A62">
      <w:pPr>
        <w:pStyle w:val="BRNormal"/>
        <w:spacing w:after="0"/>
        <w:ind w:left="709" w:hanging="709"/>
      </w:pPr>
      <w:proofErr w:type="gramStart"/>
      <w:r w:rsidRPr="0006214B">
        <w:t>US DO</w:t>
      </w:r>
      <w:r w:rsidR="00136EB5" w:rsidRPr="0006214B">
        <w:t xml:space="preserve">E </w:t>
      </w:r>
      <w:r w:rsidR="00E36200" w:rsidRPr="0006214B">
        <w:t>un</w:t>
      </w:r>
      <w:r w:rsidR="00136EB5" w:rsidRPr="0006214B">
        <w:t>date</w:t>
      </w:r>
      <w:r w:rsidR="00E36200" w:rsidRPr="0006214B">
        <w:t>d</w:t>
      </w:r>
      <w:r w:rsidRPr="0006214B">
        <w:t>.</w:t>
      </w:r>
      <w:proofErr w:type="gramEnd"/>
      <w:r w:rsidRPr="0006214B">
        <w:t xml:space="preserve"> </w:t>
      </w:r>
      <w:proofErr w:type="gramStart"/>
      <w:r w:rsidRPr="004A7DA9">
        <w:rPr>
          <w:i/>
        </w:rPr>
        <w:t>Hydraulic fracturing white paper</w:t>
      </w:r>
      <w:r w:rsidRPr="0006214B">
        <w:t>.</w:t>
      </w:r>
      <w:proofErr w:type="gramEnd"/>
      <w:r w:rsidRPr="0006214B">
        <w:t xml:space="preserve"> United States Department of Energy (provided as Appendix </w:t>
      </w:r>
      <w:proofErr w:type="gramStart"/>
      <w:r w:rsidRPr="0006214B">
        <w:t>A</w:t>
      </w:r>
      <w:proofErr w:type="gramEnd"/>
      <w:r w:rsidRPr="0006214B">
        <w:t xml:space="preserve"> in US EPA 2004).</w:t>
      </w:r>
    </w:p>
    <w:p w:rsidR="00E07F07" w:rsidRPr="0006214B" w:rsidRDefault="00E07F07" w:rsidP="00BE7A62">
      <w:pPr>
        <w:pStyle w:val="BRNormal"/>
        <w:spacing w:after="0"/>
        <w:ind w:left="709" w:hanging="709"/>
      </w:pPr>
      <w:proofErr w:type="gramStart"/>
      <w:r w:rsidRPr="0006214B">
        <w:t>US EPA 2004.</w:t>
      </w:r>
      <w:proofErr w:type="gramEnd"/>
      <w:r w:rsidRPr="0006214B">
        <w:t xml:space="preserve"> </w:t>
      </w:r>
      <w:r w:rsidRPr="004A7DA9">
        <w:rPr>
          <w:i/>
        </w:rPr>
        <w:t>Evaluation of impacts to underground sources of drinking water by hydraulic fracturing of boalbed methane reservoirs</w:t>
      </w:r>
      <w:r w:rsidRPr="0006214B">
        <w:t>, EPA 816-R-04-003. United States Environmental Protection Agency: Washington, DC.</w:t>
      </w:r>
    </w:p>
    <w:p w:rsidR="00E07F07" w:rsidRPr="0006214B" w:rsidRDefault="00E07F07" w:rsidP="00BE7A62">
      <w:pPr>
        <w:pStyle w:val="BRNormal"/>
        <w:spacing w:after="0"/>
        <w:ind w:left="709" w:hanging="709"/>
      </w:pPr>
      <w:proofErr w:type="gramStart"/>
      <w:r w:rsidRPr="0006214B">
        <w:t>USQ 2011</w:t>
      </w:r>
      <w:r w:rsidR="00307AE2" w:rsidRPr="0006214B">
        <w:t>.</w:t>
      </w:r>
      <w:proofErr w:type="gramEnd"/>
      <w:r w:rsidR="00D12864" w:rsidRPr="0006214B">
        <w:t xml:space="preserve"> </w:t>
      </w:r>
      <w:r w:rsidR="00D12864" w:rsidRPr="004A7DA9">
        <w:rPr>
          <w:i/>
        </w:rPr>
        <w:t>Preliminary assessment of cumulative drawdown impacts in the Surat Basin associated with the coal seam gas industry: Investigation of parameters and featrues for a regional model of Surat Basin coal seam gas developments</w:t>
      </w:r>
      <w:r w:rsidR="00307AE2" w:rsidRPr="0006214B">
        <w:t>, University of Southern Queensland (USQ)</w:t>
      </w:r>
      <w:r w:rsidR="00D12864" w:rsidRPr="0006214B">
        <w:t xml:space="preserve"> </w:t>
      </w:r>
      <w:r w:rsidR="004A7DA9">
        <w:t>(</w:t>
      </w:r>
      <w:r w:rsidR="00D12864" w:rsidRPr="00A4654F">
        <w:t>http://eprints.usq.edu.au/19462/1/USQ_SuratBasin_PrelimAssessment_2011_PV.pdf</w:t>
      </w:r>
      <w:r w:rsidR="004A7DA9">
        <w:t xml:space="preserve"> [accessed 24 April 2014]).</w:t>
      </w:r>
    </w:p>
    <w:p w:rsidR="00E07F07" w:rsidRPr="0006214B" w:rsidRDefault="00E07F07" w:rsidP="00BE7A62">
      <w:pPr>
        <w:pStyle w:val="BRNormal"/>
        <w:spacing w:after="0"/>
        <w:ind w:left="709" w:hanging="709"/>
      </w:pPr>
      <w:r w:rsidRPr="0006214B">
        <w:t>Varma S, Hodgkinson J, Langhi L, Ciftci B, Harris B, and Undershultz J (2011) Basin resource management for carbon storage: A literature review, CSIRO Earth Science and Resource Engineering, Kensington, WA, 80p.</w:t>
      </w:r>
    </w:p>
    <w:p w:rsidR="00E07F07" w:rsidRPr="0006214B" w:rsidRDefault="004A7DA9" w:rsidP="00BE7A62">
      <w:pPr>
        <w:pStyle w:val="BRNormal"/>
        <w:spacing w:after="0"/>
        <w:ind w:left="709" w:hanging="709"/>
      </w:pPr>
      <w:proofErr w:type="gramStart"/>
      <w:r>
        <w:t>van</w:t>
      </w:r>
      <w:proofErr w:type="gramEnd"/>
      <w:r>
        <w:t xml:space="preserve"> Bergen F, Pagnier H &amp; Krzystolik P</w:t>
      </w:r>
      <w:r w:rsidR="00E07F07" w:rsidRPr="0006214B">
        <w:t xml:space="preserve"> 2006. </w:t>
      </w:r>
      <w:proofErr w:type="gramStart"/>
      <w:r>
        <w:t>‘</w:t>
      </w:r>
      <w:r w:rsidR="00E07F07" w:rsidRPr="0006214B">
        <w:t>Field experiment of enhanced coalbed methane-CO2 in the upper Silesian basin of Poland</w:t>
      </w:r>
      <w:r>
        <w:t>’,</w:t>
      </w:r>
      <w:r w:rsidR="00E07F07" w:rsidRPr="0006214B">
        <w:t xml:space="preserve"> </w:t>
      </w:r>
      <w:r w:rsidR="00E07F07" w:rsidRPr="004A7DA9">
        <w:rPr>
          <w:i/>
        </w:rPr>
        <w:t>Environmental Geosciences</w:t>
      </w:r>
      <w:r w:rsidR="00E07F07" w:rsidRPr="0006214B">
        <w:t xml:space="preserve">, </w:t>
      </w:r>
      <w:r>
        <w:t xml:space="preserve">vol. </w:t>
      </w:r>
      <w:r w:rsidR="00E07F07" w:rsidRPr="0006214B">
        <w:t xml:space="preserve">13, </w:t>
      </w:r>
      <w:r>
        <w:t xml:space="preserve">pp. </w:t>
      </w:r>
      <w:r w:rsidR="00E07F07" w:rsidRPr="0006214B">
        <w:t>201-224.</w:t>
      </w:r>
      <w:proofErr w:type="gramEnd"/>
    </w:p>
    <w:p w:rsidR="00E07F07" w:rsidRPr="0006214B" w:rsidRDefault="004A7DA9" w:rsidP="00BE7A62">
      <w:pPr>
        <w:pStyle w:val="BRNormal"/>
        <w:spacing w:after="0"/>
        <w:ind w:left="709" w:hanging="709"/>
      </w:pPr>
      <w:proofErr w:type="gramStart"/>
      <w:r>
        <w:t>van</w:t>
      </w:r>
      <w:proofErr w:type="gramEnd"/>
      <w:r>
        <w:t xml:space="preserve"> der Kamp G</w:t>
      </w:r>
      <w:r w:rsidR="00E07F07" w:rsidRPr="0006214B">
        <w:t xml:space="preserve"> 2001. </w:t>
      </w:r>
      <w:proofErr w:type="gramStart"/>
      <w:r>
        <w:t>‘</w:t>
      </w:r>
      <w:r w:rsidR="00E07F07" w:rsidRPr="0006214B">
        <w:t>Methods for determining the in situ hydraulic conductivity of shallow aquitards – an overview</w:t>
      </w:r>
      <w:r>
        <w:t>’,</w:t>
      </w:r>
      <w:r w:rsidR="00E07F07" w:rsidRPr="0006214B">
        <w:t xml:space="preserve"> </w:t>
      </w:r>
      <w:r w:rsidR="00E07F07" w:rsidRPr="004A7DA9">
        <w:rPr>
          <w:i/>
        </w:rPr>
        <w:t>Hydrogeology Journal</w:t>
      </w:r>
      <w:r w:rsidR="00E07F07" w:rsidRPr="0006214B">
        <w:t xml:space="preserve">, </w:t>
      </w:r>
      <w:r>
        <w:t xml:space="preserve">vol. </w:t>
      </w:r>
      <w:r w:rsidR="00E07F07" w:rsidRPr="0006214B">
        <w:t xml:space="preserve">9, </w:t>
      </w:r>
      <w:r>
        <w:t xml:space="preserve">pp. </w:t>
      </w:r>
      <w:r w:rsidR="00E07F07" w:rsidRPr="0006214B">
        <w:t>5-16.</w:t>
      </w:r>
      <w:proofErr w:type="gramEnd"/>
    </w:p>
    <w:p w:rsidR="00E07F07" w:rsidRPr="0006214B" w:rsidRDefault="00E07F07" w:rsidP="00BE7A62">
      <w:pPr>
        <w:pStyle w:val="BRNormal"/>
        <w:spacing w:after="0"/>
        <w:ind w:left="709" w:hanging="709"/>
      </w:pPr>
      <w:proofErr w:type="gramStart"/>
      <w:r w:rsidRPr="0006214B">
        <w:t>van</w:t>
      </w:r>
      <w:proofErr w:type="gramEnd"/>
      <w:r w:rsidRPr="0006214B">
        <w:t xml:space="preserve"> der Kamp G</w:t>
      </w:r>
      <w:r w:rsidR="004A7DA9">
        <w:t xml:space="preserve"> &amp; Gale JE</w:t>
      </w:r>
      <w:r w:rsidRPr="0006214B">
        <w:t xml:space="preserve"> 1983. </w:t>
      </w:r>
      <w:proofErr w:type="gramStart"/>
      <w:r w:rsidR="004A7DA9">
        <w:t>‘</w:t>
      </w:r>
      <w:r w:rsidRPr="0006214B">
        <w:t>Theory of Earth tide and barometric effects in porous formations with compressible grains</w:t>
      </w:r>
      <w:r w:rsidR="004A7DA9">
        <w:t>’,</w:t>
      </w:r>
      <w:r w:rsidRPr="0006214B">
        <w:t xml:space="preserve"> </w:t>
      </w:r>
      <w:r w:rsidRPr="004A7DA9">
        <w:rPr>
          <w:i/>
        </w:rPr>
        <w:t>Water Resources Research</w:t>
      </w:r>
      <w:r w:rsidRPr="0006214B">
        <w:t xml:space="preserve">, </w:t>
      </w:r>
      <w:r w:rsidR="004A7DA9">
        <w:t xml:space="preserve">vol. </w:t>
      </w:r>
      <w:r w:rsidRPr="0006214B">
        <w:t xml:space="preserve">19, </w:t>
      </w:r>
      <w:r w:rsidR="004A7DA9">
        <w:t xml:space="preserve">pp. </w:t>
      </w:r>
      <w:r w:rsidRPr="0006214B">
        <w:t>538-544.</w:t>
      </w:r>
      <w:proofErr w:type="gramEnd"/>
    </w:p>
    <w:p w:rsidR="00E07F07" w:rsidRPr="0006214B" w:rsidRDefault="004A7DA9" w:rsidP="00BE7A62">
      <w:pPr>
        <w:pStyle w:val="BRNormal"/>
        <w:spacing w:after="0"/>
        <w:ind w:left="709" w:hanging="709"/>
      </w:pPr>
      <w:proofErr w:type="gramStart"/>
      <w:r>
        <w:t>van</w:t>
      </w:r>
      <w:proofErr w:type="gramEnd"/>
      <w:r>
        <w:t xml:space="preserve"> Heeswijck</w:t>
      </w:r>
      <w:r w:rsidR="00E07F07" w:rsidRPr="0006214B">
        <w:t xml:space="preserve"> A</w:t>
      </w:r>
      <w:r>
        <w:t xml:space="preserve"> </w:t>
      </w:r>
      <w:r w:rsidR="00E07F07" w:rsidRPr="0006214B">
        <w:t xml:space="preserve">2006. </w:t>
      </w:r>
      <w:r w:rsidR="00E07F07" w:rsidRPr="004A7DA9">
        <w:rPr>
          <w:i/>
        </w:rPr>
        <w:t>The structure, sedimentology, sequence stratigraphy and tectonics of the northern Drummond and Galilee Basins, Central Queensland, Australia</w:t>
      </w:r>
      <w:r w:rsidR="00E07F07" w:rsidRPr="0006214B">
        <w:t xml:space="preserve">.  </w:t>
      </w:r>
      <w:proofErr w:type="gramStart"/>
      <w:r w:rsidR="00E07F07" w:rsidRPr="0006214B">
        <w:t>PhD thesis, James Cook University.</w:t>
      </w:r>
      <w:proofErr w:type="gramEnd"/>
      <w:r>
        <w:t xml:space="preserve"> (</w:t>
      </w:r>
      <w:hyperlink r:id="rId107" w:history="1">
        <w:r w:rsidR="00E07F07" w:rsidRPr="0006214B">
          <w:t>http://eprints.jcu.edu.au/1557/</w:t>
        </w:r>
      </w:hyperlink>
      <w:r>
        <w:t xml:space="preserve"> [accessed 24 April 2014]).</w:t>
      </w:r>
    </w:p>
    <w:p w:rsidR="00E07F07" w:rsidRPr="0006214B" w:rsidRDefault="004A7DA9" w:rsidP="00BE7A62">
      <w:pPr>
        <w:pStyle w:val="BRNormal"/>
        <w:spacing w:after="0"/>
        <w:ind w:left="709" w:hanging="709"/>
      </w:pPr>
      <w:proofErr w:type="gramStart"/>
      <w:r>
        <w:t>Wassenaar LI &amp; Hendry MJ</w:t>
      </w:r>
      <w:r w:rsidR="00E07F07" w:rsidRPr="0006214B">
        <w:t xml:space="preserve"> 2000.</w:t>
      </w:r>
      <w:proofErr w:type="gramEnd"/>
      <w:r w:rsidR="00E07F07" w:rsidRPr="0006214B">
        <w:t xml:space="preserve"> </w:t>
      </w:r>
      <w:proofErr w:type="gramStart"/>
      <w:r>
        <w:t>‘</w:t>
      </w:r>
      <w:r w:rsidR="00E07F07" w:rsidRPr="0006214B">
        <w:t>Mechanisms controlling the distribution and transport of 14C in a clay-rich till aquitard</w:t>
      </w:r>
      <w:r>
        <w:t>’,</w:t>
      </w:r>
      <w:r w:rsidR="00E07F07" w:rsidRPr="0006214B">
        <w:t xml:space="preserve"> </w:t>
      </w:r>
      <w:r w:rsidR="00E07F07" w:rsidRPr="004A7DA9">
        <w:rPr>
          <w:i/>
        </w:rPr>
        <w:t>Ground Water</w:t>
      </w:r>
      <w:r w:rsidR="00E07F07" w:rsidRPr="0006214B">
        <w:t xml:space="preserve">, </w:t>
      </w:r>
      <w:r>
        <w:t xml:space="preserve">vol. </w:t>
      </w:r>
      <w:r w:rsidR="00E07F07" w:rsidRPr="0006214B">
        <w:t xml:space="preserve">38, </w:t>
      </w:r>
      <w:r>
        <w:t xml:space="preserve">pp. </w:t>
      </w:r>
      <w:r w:rsidR="00E07F07" w:rsidRPr="0006214B">
        <w:t>343-349.</w:t>
      </w:r>
      <w:proofErr w:type="gramEnd"/>
    </w:p>
    <w:p w:rsidR="00E07F07" w:rsidRPr="0006214B" w:rsidRDefault="004A7DA9" w:rsidP="00BE7A62">
      <w:pPr>
        <w:pStyle w:val="BRNormal"/>
        <w:spacing w:after="0"/>
        <w:ind w:left="709" w:hanging="709"/>
      </w:pPr>
      <w:proofErr w:type="gramStart"/>
      <w:r>
        <w:t>Watson TL &amp; Bachu S</w:t>
      </w:r>
      <w:r w:rsidR="00E07F07" w:rsidRPr="0006214B">
        <w:t xml:space="preserve"> 2009.</w:t>
      </w:r>
      <w:proofErr w:type="gramEnd"/>
      <w:r w:rsidR="00E07F07" w:rsidRPr="0006214B">
        <w:t xml:space="preserve"> </w:t>
      </w:r>
      <w:r>
        <w:t>‘</w:t>
      </w:r>
      <w:r w:rsidR="00E07F07" w:rsidRPr="0006214B">
        <w:t xml:space="preserve">Evaluation of the Potential for Gas and CO2 Leakage </w:t>
      </w:r>
      <w:proofErr w:type="gramStart"/>
      <w:r w:rsidR="00E07F07" w:rsidRPr="0006214B">
        <w:t>Along</w:t>
      </w:r>
      <w:proofErr w:type="gramEnd"/>
      <w:r w:rsidR="00E07F07" w:rsidRPr="0006214B">
        <w:t xml:space="preserve"> Wellbores</w:t>
      </w:r>
      <w:r>
        <w:t>’,</w:t>
      </w:r>
      <w:r w:rsidR="00E07F07" w:rsidRPr="0006214B">
        <w:t xml:space="preserve"> </w:t>
      </w:r>
      <w:r w:rsidR="00E07F07" w:rsidRPr="004A7DA9">
        <w:rPr>
          <w:i/>
        </w:rPr>
        <w:t>SPE Drilling &amp; Completion</w:t>
      </w:r>
      <w:r w:rsidR="00E07F07" w:rsidRPr="0006214B">
        <w:t>, pp. 115-126.</w:t>
      </w:r>
    </w:p>
    <w:p w:rsidR="00E07F07" w:rsidRPr="0006214B" w:rsidRDefault="00E07F07" w:rsidP="00BE7A62">
      <w:pPr>
        <w:pStyle w:val="BRNormal"/>
        <w:spacing w:after="0"/>
        <w:ind w:left="709" w:hanging="709"/>
      </w:pPr>
      <w:r w:rsidRPr="0006214B">
        <w:lastRenderedPageBreak/>
        <w:t xml:space="preserve">Watterson J, Walsh J, Nicol A, Nell PAR </w:t>
      </w:r>
      <w:r w:rsidR="004A7DA9">
        <w:t>&amp;</w:t>
      </w:r>
      <w:r w:rsidRPr="0006214B">
        <w:t xml:space="preserve"> Bre</w:t>
      </w:r>
      <w:r w:rsidR="004A7DA9">
        <w:t>tan PG 2000.</w:t>
      </w:r>
      <w:r w:rsidRPr="0006214B">
        <w:t xml:space="preserve"> </w:t>
      </w:r>
      <w:proofErr w:type="gramStart"/>
      <w:r w:rsidRPr="0006214B">
        <w:t xml:space="preserve">‘Geometry and origin of a polygonal fault system’, </w:t>
      </w:r>
      <w:r w:rsidRPr="004A7DA9">
        <w:rPr>
          <w:i/>
        </w:rPr>
        <w:t>Journal of the Geological Society</w:t>
      </w:r>
      <w:r w:rsidRPr="0006214B">
        <w:t>, vol.</w:t>
      </w:r>
      <w:r w:rsidR="004A7DA9">
        <w:t xml:space="preserve"> </w:t>
      </w:r>
      <w:r w:rsidRPr="0006214B">
        <w:t>157(1), pp.</w:t>
      </w:r>
      <w:r w:rsidR="004A7DA9">
        <w:t xml:space="preserve"> </w:t>
      </w:r>
      <w:r w:rsidRPr="0006214B">
        <w:t>151-162.</w:t>
      </w:r>
      <w:proofErr w:type="gramEnd"/>
    </w:p>
    <w:p w:rsidR="00E07F07" w:rsidRPr="0006214B" w:rsidRDefault="004A7DA9" w:rsidP="00BE7A62">
      <w:pPr>
        <w:pStyle w:val="BRNormal"/>
        <w:spacing w:after="0"/>
        <w:ind w:left="709" w:hanging="709"/>
      </w:pPr>
      <w:r>
        <w:t xml:space="preserve">Welsh WD </w:t>
      </w:r>
      <w:r w:rsidR="00E07F07" w:rsidRPr="0006214B">
        <w:t>2000</w:t>
      </w:r>
      <w:r>
        <w:t>.</w:t>
      </w:r>
      <w:r w:rsidR="00E07F07" w:rsidRPr="0006214B">
        <w:t xml:space="preserve"> </w:t>
      </w:r>
      <w:r w:rsidR="00E07F07" w:rsidRPr="004A7DA9">
        <w:rPr>
          <w:i/>
        </w:rPr>
        <w:t>GABFLOW: A steady state groundwater flow model of the Great Artesian Basin</w:t>
      </w:r>
      <w:r w:rsidR="00E07F07" w:rsidRPr="0006214B">
        <w:t>, Bureau of Rural Sciences, Canberra, ACT.</w:t>
      </w:r>
    </w:p>
    <w:p w:rsidR="00E07F07" w:rsidRPr="0006214B" w:rsidRDefault="004A7DA9" w:rsidP="00BE7A62">
      <w:pPr>
        <w:pStyle w:val="BRNormal"/>
        <w:spacing w:after="0"/>
        <w:ind w:left="709" w:hanging="709"/>
      </w:pPr>
      <w:r>
        <w:t>Welsh WD 2006.</w:t>
      </w:r>
      <w:r w:rsidR="00E07F07" w:rsidRPr="0006214B">
        <w:t xml:space="preserve"> </w:t>
      </w:r>
      <w:proofErr w:type="gramStart"/>
      <w:r w:rsidR="00E07F07" w:rsidRPr="004A7DA9">
        <w:rPr>
          <w:i/>
        </w:rPr>
        <w:t>Great Artesian Basin transient groundwater model</w:t>
      </w:r>
      <w:r w:rsidR="00E07F07" w:rsidRPr="0006214B">
        <w:t>, Bureau of Rural Sciences, Canberra, ACT.</w:t>
      </w:r>
      <w:proofErr w:type="gramEnd"/>
    </w:p>
    <w:p w:rsidR="00E07F07" w:rsidRPr="0006214B" w:rsidRDefault="004A7DA9" w:rsidP="00BE7A62">
      <w:pPr>
        <w:pStyle w:val="BRNormal"/>
        <w:spacing w:after="0"/>
        <w:ind w:left="709" w:hanging="709"/>
      </w:pPr>
      <w:r>
        <w:t>Welsh WD 2008.</w:t>
      </w:r>
      <w:r w:rsidR="00E07F07" w:rsidRPr="0006214B">
        <w:t xml:space="preserve"> </w:t>
      </w:r>
      <w:r w:rsidR="00E07F07" w:rsidRPr="004A7DA9">
        <w:rPr>
          <w:i/>
        </w:rPr>
        <w:t>Border Rivers groundwater modelling: Dumaresq River</w:t>
      </w:r>
      <w:r w:rsidR="00E07F07" w:rsidRPr="0006214B">
        <w:t>, report to the Australian Government from the CSIRO Murray-Darling Basin Sustainable Yields Project, CSIRO, Australia, 32pp.</w:t>
      </w:r>
    </w:p>
    <w:p w:rsidR="00E07F07" w:rsidRPr="0006214B" w:rsidRDefault="004A7DA9" w:rsidP="00BE7A62">
      <w:pPr>
        <w:pStyle w:val="BRNormal"/>
        <w:spacing w:after="0"/>
        <w:ind w:left="709" w:hanging="709"/>
      </w:pPr>
      <w:proofErr w:type="gramStart"/>
      <w:r>
        <w:t>Wilford J</w:t>
      </w:r>
      <w:r w:rsidR="00E07F07" w:rsidRPr="0006214B">
        <w:t xml:space="preserve"> 2002.</w:t>
      </w:r>
      <w:proofErr w:type="gramEnd"/>
      <w:r w:rsidR="00E07F07" w:rsidRPr="0006214B">
        <w:t xml:space="preserve"> </w:t>
      </w:r>
      <w:r>
        <w:t>‘</w:t>
      </w:r>
      <w:r w:rsidR="00E07F07" w:rsidRPr="0006214B">
        <w:t>Airborne gamma-ray spectrometry</w:t>
      </w:r>
      <w:r>
        <w:t>’,</w:t>
      </w:r>
      <w:r w:rsidR="00E07F07" w:rsidRPr="0006214B">
        <w:t xml:space="preserve"> In: P</w:t>
      </w:r>
      <w:r>
        <w:t>app</w:t>
      </w:r>
      <w:r w:rsidR="00E07F07" w:rsidRPr="0006214B">
        <w:t xml:space="preserve">, E. (ed.) </w:t>
      </w:r>
      <w:r w:rsidR="00E07F07" w:rsidRPr="004A7DA9">
        <w:rPr>
          <w:i/>
        </w:rPr>
        <w:t>Geophysical and remote sensing methods for regolith exploration.</w:t>
      </w:r>
      <w:r w:rsidR="00E07F07" w:rsidRPr="0006214B">
        <w:t xml:space="preserve"> </w:t>
      </w:r>
      <w:proofErr w:type="gramStart"/>
      <w:r w:rsidR="00E07F07" w:rsidRPr="0006214B">
        <w:t>Cooperative Research Centre for Landscape Environments and Mineral Exploration, Open File Report 144.</w:t>
      </w:r>
      <w:proofErr w:type="gramEnd"/>
    </w:p>
    <w:p w:rsidR="00327967" w:rsidRPr="0006214B" w:rsidRDefault="004A7DA9" w:rsidP="00BE7A62">
      <w:pPr>
        <w:pStyle w:val="BRNormal"/>
        <w:spacing w:after="0"/>
        <w:ind w:left="709" w:hanging="709"/>
      </w:pPr>
      <w:proofErr w:type="gramStart"/>
      <w:r>
        <w:t>WMC 2010.</w:t>
      </w:r>
      <w:proofErr w:type="gramEnd"/>
      <w:r w:rsidR="00327967" w:rsidRPr="0006214B">
        <w:t xml:space="preserve"> ‘Cannington borefield model update’, appendix R, prepared by Water Management Consultants (WMC) in: </w:t>
      </w:r>
      <w:r w:rsidR="00327967" w:rsidRPr="004A7DA9">
        <w:rPr>
          <w:i/>
        </w:rPr>
        <w:t>Cannington Life Extension Project environmental impact statement: Volume 2</w:t>
      </w:r>
      <w:r w:rsidR="00327967" w:rsidRPr="0006214B">
        <w:t>, Water Management Consultants</w:t>
      </w:r>
      <w:r>
        <w:t xml:space="preserve"> (WMC)</w:t>
      </w:r>
      <w:r w:rsidR="00327967" w:rsidRPr="0006214B">
        <w:t xml:space="preserve"> on behalf of BHP Billiton.</w:t>
      </w:r>
    </w:p>
    <w:p w:rsidR="00E07F07" w:rsidRPr="0006214B" w:rsidRDefault="00E07F07" w:rsidP="00BE7A62">
      <w:pPr>
        <w:pStyle w:val="BRNormal"/>
        <w:spacing w:after="0"/>
        <w:ind w:left="709" w:hanging="709"/>
      </w:pPr>
      <w:proofErr w:type="gramStart"/>
      <w:r w:rsidRPr="0006214B">
        <w:t>Wohling DL, Love AJ,</w:t>
      </w:r>
      <w:r w:rsidR="004A7DA9">
        <w:t xml:space="preserve"> Fulton SA, Rousseau-Gueutin P &amp; </w:t>
      </w:r>
      <w:r w:rsidRPr="0006214B">
        <w:t>De Ritter S (eds</w:t>
      </w:r>
      <w:r w:rsidR="004A7DA9">
        <w:t>.) 2012.</w:t>
      </w:r>
      <w:proofErr w:type="gramEnd"/>
      <w:r w:rsidRPr="0006214B">
        <w:t xml:space="preserve"> </w:t>
      </w:r>
      <w:r w:rsidRPr="004A7DA9">
        <w:rPr>
          <w:i/>
        </w:rPr>
        <w:t>Volume 2: Groundwater recharge, hydrodynamics and hydrochemistry of the Western Great Artesian Basin in South Australia and the Northern Territory</w:t>
      </w:r>
      <w:r w:rsidRPr="0006214B">
        <w:t>, report for the project ‘Allocating Water and Maintaining Springs in the Great Artesian Basin’, National Water Commission, Canberra, ACT.</w:t>
      </w:r>
    </w:p>
    <w:p w:rsidR="00E07F07" w:rsidRPr="0006214B" w:rsidRDefault="004A7DA9" w:rsidP="00BE7A62">
      <w:pPr>
        <w:pStyle w:val="BRNormal"/>
        <w:spacing w:after="0"/>
        <w:ind w:left="709" w:hanging="709"/>
      </w:pPr>
      <w:proofErr w:type="gramStart"/>
      <w:r>
        <w:t>Wolaver B 2012.</w:t>
      </w:r>
      <w:proofErr w:type="gramEnd"/>
      <w:r w:rsidR="00E07F07" w:rsidRPr="0006214B">
        <w:t xml:space="preserve"> ‘Chapter 6: Hydrogeology of Dalhousie Springs’, in: Love AJ, Shand P, Crossey L, Harrington GA </w:t>
      </w:r>
      <w:r>
        <w:t>&amp;</w:t>
      </w:r>
      <w:r w:rsidR="00E07F07" w:rsidRPr="0006214B">
        <w:t xml:space="preserve"> Rousseau-Gueutin P (eds</w:t>
      </w:r>
      <w:r>
        <w:t>.</w:t>
      </w:r>
      <w:r w:rsidR="00E07F07" w:rsidRPr="0006214B">
        <w:t xml:space="preserve">) </w:t>
      </w:r>
      <w:r w:rsidR="00E07F07" w:rsidRPr="004A7DA9">
        <w:rPr>
          <w:i/>
        </w:rPr>
        <w:t>Allocating Water and Maintaining Springs in the Great Artesian Basin Vol. 3: Groundwater discharge of the western Great Artesian Basin, Australia in South Australia and the Northern Territory</w:t>
      </w:r>
      <w:r w:rsidR="00E07F07" w:rsidRPr="0006214B">
        <w:t>.</w:t>
      </w:r>
    </w:p>
    <w:p w:rsidR="00E07F07" w:rsidRPr="0006214B" w:rsidRDefault="00E07F07" w:rsidP="00BE7A62">
      <w:pPr>
        <w:pStyle w:val="BRNormal"/>
        <w:spacing w:after="0"/>
        <w:ind w:left="709" w:hanging="709"/>
      </w:pPr>
      <w:r w:rsidRPr="0006214B">
        <w:t>Wolfgang</w:t>
      </w:r>
      <w:r w:rsidR="00A97EF6" w:rsidRPr="0006214B">
        <w:t xml:space="preserve"> C</w:t>
      </w:r>
      <w:r w:rsidR="004A7DA9">
        <w:t xml:space="preserve"> 2000.</w:t>
      </w:r>
      <w:r w:rsidR="00A97EF6" w:rsidRPr="0006214B">
        <w:t xml:space="preserve"> </w:t>
      </w:r>
      <w:proofErr w:type="gramStart"/>
      <w:r w:rsidR="00A97EF6" w:rsidRPr="004A7DA9">
        <w:rPr>
          <w:i/>
        </w:rPr>
        <w:t>Hydrogeology of the Pilliga Sandstone, Coonamble Embayment and water resources management</w:t>
      </w:r>
      <w:r w:rsidR="00A97EF6" w:rsidRPr="0006214B">
        <w:t>.</w:t>
      </w:r>
      <w:proofErr w:type="gramEnd"/>
      <w:r w:rsidR="00A97EF6" w:rsidRPr="0006214B">
        <w:t xml:space="preserve"> PhD Thesis, Fenner School of Environment, Australian National University</w:t>
      </w:r>
    </w:p>
    <w:p w:rsidR="00E07F07" w:rsidRPr="0006214B" w:rsidRDefault="004A7DA9" w:rsidP="00BE7A62">
      <w:pPr>
        <w:pStyle w:val="BRNormal"/>
        <w:spacing w:after="0"/>
        <w:ind w:left="709" w:hanging="709"/>
      </w:pPr>
      <w:r>
        <w:t xml:space="preserve">Woods PH </w:t>
      </w:r>
      <w:r w:rsidR="00E07F07" w:rsidRPr="0006214B">
        <w:t>1990</w:t>
      </w:r>
      <w:r>
        <w:t xml:space="preserve">. </w:t>
      </w:r>
      <w:r w:rsidR="00E07F07" w:rsidRPr="004A7DA9">
        <w:rPr>
          <w:i/>
        </w:rPr>
        <w:t>Evaporative discharge of groundwater from the margin of the Great Artesian Basin, near Lake Eyre, South Australi</w:t>
      </w:r>
      <w:r>
        <w:rPr>
          <w:i/>
        </w:rPr>
        <w:t>a</w:t>
      </w:r>
      <w:r w:rsidR="00E07F07" w:rsidRPr="0006214B">
        <w:t>, PhD thesis, Flinders University, Bedford Park, SA.</w:t>
      </w:r>
    </w:p>
    <w:p w:rsidR="00E07F07" w:rsidRPr="0006214B" w:rsidRDefault="004A7DA9" w:rsidP="00BE7A62">
      <w:pPr>
        <w:pStyle w:val="BRNormal"/>
        <w:spacing w:after="0"/>
        <w:ind w:left="709" w:hanging="709"/>
      </w:pPr>
      <w:proofErr w:type="gramStart"/>
      <w:r>
        <w:t xml:space="preserve">WorleyParsons </w:t>
      </w:r>
      <w:r w:rsidR="00E07F07" w:rsidRPr="0006214B">
        <w:t>2010a</w:t>
      </w:r>
      <w:r>
        <w:t>.</w:t>
      </w:r>
      <w:proofErr w:type="gramEnd"/>
      <w:r w:rsidR="00E07F07" w:rsidRPr="0006214B">
        <w:t xml:space="preserve"> ‘Volume 5: Attachment 21: Groundwater technical report: Gas fields’, in: </w:t>
      </w:r>
      <w:r w:rsidR="00E07F07" w:rsidRPr="00B30600">
        <w:rPr>
          <w:i/>
        </w:rPr>
        <w:t>WorleyParsons, Australia Pacific LNG Project Environmental Impact Statement</w:t>
      </w:r>
      <w:r w:rsidR="00B30600">
        <w:t>, (</w:t>
      </w:r>
      <w:r w:rsidR="00B30600" w:rsidRPr="00B30600">
        <w:t>http://www.aplng.com.au/environment/our-environmental-impact-statement</w:t>
      </w:r>
      <w:r w:rsidR="00B30600">
        <w:t xml:space="preserve"> [accessed 24 April 2014])</w:t>
      </w:r>
      <w:r w:rsidR="00E07F07" w:rsidRPr="0006214B">
        <w:t xml:space="preserve">. </w:t>
      </w:r>
    </w:p>
    <w:p w:rsidR="00E07F07" w:rsidRPr="0006214B" w:rsidRDefault="001056F6" w:rsidP="00BE7A62">
      <w:pPr>
        <w:pStyle w:val="BRNormal"/>
        <w:spacing w:after="0"/>
        <w:ind w:left="709" w:hanging="709"/>
      </w:pPr>
      <w:proofErr w:type="gramStart"/>
      <w:r>
        <w:t>Worley</w:t>
      </w:r>
      <w:r w:rsidR="00E07F07" w:rsidRPr="0006214B">
        <w:t>Parson 2010</w:t>
      </w:r>
      <w:r w:rsidR="00BA52E2" w:rsidRPr="0006214B">
        <w:t>b</w:t>
      </w:r>
      <w:r w:rsidR="00B30600">
        <w:t>.</w:t>
      </w:r>
      <w:proofErr w:type="gramEnd"/>
      <w:r w:rsidR="00E07F07" w:rsidRPr="0006214B">
        <w:t xml:space="preserve"> </w:t>
      </w:r>
      <w:r w:rsidR="00E07F07" w:rsidRPr="00B30600">
        <w:rPr>
          <w:i/>
        </w:rPr>
        <w:t>Spatial Analysis of Coal Seam Water Chemistry: Task 1: Literature Review</w:t>
      </w:r>
      <w:r w:rsidR="00E07F07" w:rsidRPr="0006214B">
        <w:t>, Prepared for Department of Environment and Resource Management, December 2010.</w:t>
      </w:r>
    </w:p>
    <w:p w:rsidR="00E07F07" w:rsidRPr="0006214B" w:rsidRDefault="00B30600" w:rsidP="00BE7A62">
      <w:pPr>
        <w:pStyle w:val="BRNormal"/>
        <w:spacing w:after="0"/>
        <w:ind w:left="709" w:hanging="709"/>
      </w:pPr>
      <w:r>
        <w:t>Wright M, Dillon P, Pavelic P</w:t>
      </w:r>
      <w:r w:rsidR="00E07F07" w:rsidRPr="0006214B">
        <w:t xml:space="preserve">, </w:t>
      </w:r>
      <w:r>
        <w:t>Peter P &amp; Nefiodovas A</w:t>
      </w:r>
      <w:r w:rsidR="00E07F07" w:rsidRPr="0006214B">
        <w:t xml:space="preserve"> 2002. </w:t>
      </w:r>
      <w:r>
        <w:t>‘</w:t>
      </w:r>
      <w:r w:rsidR="00E07F07" w:rsidRPr="0006214B">
        <w:t>Measurement of 3-D hydraulic conductivity in aquifer cores at in situ effective stresses</w:t>
      </w:r>
      <w:r>
        <w:t>’,</w:t>
      </w:r>
      <w:r w:rsidR="00E07F07" w:rsidRPr="0006214B">
        <w:t xml:space="preserve"> </w:t>
      </w:r>
      <w:r w:rsidR="00E07F07" w:rsidRPr="00B30600">
        <w:rPr>
          <w:i/>
        </w:rPr>
        <w:t>Ground Water</w:t>
      </w:r>
      <w:r w:rsidR="00E07F07" w:rsidRPr="0006214B">
        <w:t xml:space="preserve">, </w:t>
      </w:r>
      <w:r>
        <w:t xml:space="preserve">vol. </w:t>
      </w:r>
      <w:r w:rsidR="00E07F07" w:rsidRPr="0006214B">
        <w:t xml:space="preserve">40, </w:t>
      </w:r>
      <w:r>
        <w:t xml:space="preserve">pp. </w:t>
      </w:r>
      <w:r w:rsidR="00E07F07" w:rsidRPr="0006214B">
        <w:t>509-517.</w:t>
      </w:r>
    </w:p>
    <w:p w:rsidR="00E07F07" w:rsidRPr="0006214B" w:rsidRDefault="00B30600" w:rsidP="00BE7A62">
      <w:pPr>
        <w:pStyle w:val="BRNormal"/>
        <w:spacing w:after="0"/>
        <w:ind w:left="709" w:hanging="709"/>
      </w:pPr>
      <w:proofErr w:type="gramStart"/>
      <w:r>
        <w:t>Yu S, Unger AJA &amp; Parker B</w:t>
      </w:r>
      <w:r w:rsidR="00E07F07" w:rsidRPr="0006214B">
        <w:t xml:space="preserve"> 2009.</w:t>
      </w:r>
      <w:proofErr w:type="gramEnd"/>
      <w:r w:rsidR="00E07F07" w:rsidRPr="0006214B">
        <w:t xml:space="preserve"> </w:t>
      </w:r>
      <w:proofErr w:type="gramStart"/>
      <w:r>
        <w:t>‘</w:t>
      </w:r>
      <w:r w:rsidR="00E07F07" w:rsidRPr="0006214B">
        <w:t>Simulating the fate and transport of TCE from groundwater to indoor air</w:t>
      </w:r>
      <w:r>
        <w:t>’,</w:t>
      </w:r>
      <w:r w:rsidR="00E07F07" w:rsidRPr="0006214B">
        <w:t xml:space="preserve"> </w:t>
      </w:r>
      <w:r w:rsidR="00E07F07" w:rsidRPr="00B30600">
        <w:rPr>
          <w:i/>
        </w:rPr>
        <w:t>Journal of Contaminant Hydrology</w:t>
      </w:r>
      <w:r w:rsidR="00E07F07" w:rsidRPr="0006214B">
        <w:t xml:space="preserve">, </w:t>
      </w:r>
      <w:r>
        <w:t xml:space="preserve">vol. </w:t>
      </w:r>
      <w:r w:rsidR="00E07F07" w:rsidRPr="0006214B">
        <w:t xml:space="preserve">107, </w:t>
      </w:r>
      <w:r>
        <w:t xml:space="preserve">pp. </w:t>
      </w:r>
      <w:r w:rsidR="00E07F07" w:rsidRPr="0006214B">
        <w:t>140-161.</w:t>
      </w:r>
      <w:proofErr w:type="gramEnd"/>
    </w:p>
    <w:p w:rsidR="00E07F07" w:rsidRPr="00220862" w:rsidRDefault="00B30600" w:rsidP="00BE7A62">
      <w:pPr>
        <w:pStyle w:val="BRNormal"/>
        <w:spacing w:after="0"/>
        <w:ind w:left="709" w:hanging="709"/>
      </w:pPr>
      <w:proofErr w:type="gramStart"/>
      <w:r>
        <w:t>Zarrouk SJ &amp; Moore TA</w:t>
      </w:r>
      <w:r w:rsidR="00E07F07" w:rsidRPr="0006214B">
        <w:t xml:space="preserve"> 2009.</w:t>
      </w:r>
      <w:proofErr w:type="gramEnd"/>
      <w:r w:rsidR="00E07F07" w:rsidRPr="0006214B">
        <w:t xml:space="preserve"> </w:t>
      </w:r>
      <w:r>
        <w:t>‘</w:t>
      </w:r>
      <w:r w:rsidR="00E07F07" w:rsidRPr="0006214B">
        <w:t>Preliminary reservoir model of enhanced coalbed methane (ECBM) in a subbituminous coal seam, Huntly Coalfield, New Zealand</w:t>
      </w:r>
      <w:r>
        <w:t>’,</w:t>
      </w:r>
      <w:r w:rsidR="00E07F07" w:rsidRPr="0006214B">
        <w:t xml:space="preserve"> </w:t>
      </w:r>
      <w:r w:rsidR="00E07F07" w:rsidRPr="00B30600">
        <w:rPr>
          <w:i/>
        </w:rPr>
        <w:t>International Journal of Coal Geology</w:t>
      </w:r>
      <w:r w:rsidR="00E07F07" w:rsidRPr="0006214B">
        <w:t xml:space="preserve">, </w:t>
      </w:r>
      <w:r>
        <w:t xml:space="preserve">vol. </w:t>
      </w:r>
      <w:r w:rsidR="00E07F07" w:rsidRPr="0006214B">
        <w:t xml:space="preserve">77, </w:t>
      </w:r>
      <w:r>
        <w:t xml:space="preserve">pp. </w:t>
      </w:r>
      <w:r w:rsidR="00E07F07" w:rsidRPr="0006214B">
        <w:t>153-161.</w:t>
      </w:r>
    </w:p>
    <w:p w:rsidR="004B1AE9" w:rsidRDefault="004B1AE9" w:rsidP="001C3374">
      <w:r>
        <w:br w:type="page"/>
      </w:r>
    </w:p>
    <w:p w:rsidR="009947F0" w:rsidRDefault="003614FB" w:rsidP="00BE7A62">
      <w:pPr>
        <w:pStyle w:val="SummaryH1"/>
      </w:pPr>
      <w:bookmarkStart w:id="754" w:name="_Toc381961207"/>
      <w:bookmarkStart w:id="755" w:name="_Toc389055276"/>
      <w:r w:rsidRPr="003614FB">
        <w:lastRenderedPageBreak/>
        <w:t>A</w:t>
      </w:r>
      <w:r w:rsidR="00616F83">
        <w:t>ppendix</w:t>
      </w:r>
      <w:r w:rsidR="00471A93">
        <w:t xml:space="preserve"> A - a</w:t>
      </w:r>
      <w:r w:rsidR="004B12F9">
        <w:t>dditional</w:t>
      </w:r>
      <w:r w:rsidR="00616F83">
        <w:t xml:space="preserve"> </w:t>
      </w:r>
      <w:r w:rsidR="004B12F9">
        <w:t>reading</w:t>
      </w:r>
      <w:bookmarkEnd w:id="754"/>
      <w:bookmarkEnd w:id="755"/>
    </w:p>
    <w:p w:rsidR="000E240B" w:rsidRPr="008366D4" w:rsidRDefault="002F4A30" w:rsidP="00BE7A62">
      <w:pPr>
        <w:pStyle w:val="BRNormal"/>
        <w:spacing w:after="0"/>
        <w:ind w:left="709" w:hanging="709"/>
      </w:pPr>
      <w:r>
        <w:t>Al</w:t>
      </w:r>
      <w:r w:rsidRPr="0027710C">
        <w:t>-</w:t>
      </w:r>
      <w:r>
        <w:t>B</w:t>
      </w:r>
      <w:r w:rsidR="00B30600">
        <w:t>azali</w:t>
      </w:r>
      <w:r w:rsidRPr="0027710C">
        <w:t xml:space="preserve"> </w:t>
      </w:r>
      <w:r>
        <w:t>T</w:t>
      </w:r>
      <w:r w:rsidRPr="0027710C">
        <w:t xml:space="preserve">, </w:t>
      </w:r>
      <w:r>
        <w:t>Z</w:t>
      </w:r>
      <w:r w:rsidR="00B30600">
        <w:t>hang</w:t>
      </w:r>
      <w:r w:rsidRPr="0027710C">
        <w:t xml:space="preserve"> </w:t>
      </w:r>
      <w:r>
        <w:t>J</w:t>
      </w:r>
      <w:r w:rsidRPr="0027710C">
        <w:t xml:space="preserve">, </w:t>
      </w:r>
      <w:r>
        <w:t>C</w:t>
      </w:r>
      <w:r w:rsidR="00B30600">
        <w:t>henvert</w:t>
      </w:r>
      <w:r w:rsidRPr="0027710C">
        <w:t xml:space="preserve"> </w:t>
      </w:r>
      <w:r>
        <w:t>ME</w:t>
      </w:r>
      <w:r w:rsidRPr="0027710C">
        <w:t>,</w:t>
      </w:r>
      <w:r>
        <w:t xml:space="preserve"> S</w:t>
      </w:r>
      <w:r w:rsidR="00B30600">
        <w:t>harma</w:t>
      </w:r>
      <w:r w:rsidRPr="0027710C">
        <w:t xml:space="preserve"> </w:t>
      </w:r>
      <w:proofErr w:type="gramStart"/>
      <w:r w:rsidR="00B30600">
        <w:t>M</w:t>
      </w:r>
      <w:r>
        <w:t>M</w:t>
      </w:r>
      <w:r w:rsidR="000E240B" w:rsidRPr="0027710C" w:rsidDel="00C828A6">
        <w:t xml:space="preserve"> </w:t>
      </w:r>
      <w:r w:rsidR="000E240B" w:rsidRPr="0027710C">
        <w:t xml:space="preserve"> </w:t>
      </w:r>
      <w:r w:rsidR="000E240B" w:rsidRPr="008366D4">
        <w:t>2008</w:t>
      </w:r>
      <w:proofErr w:type="gramEnd"/>
      <w:r>
        <w:t>.</w:t>
      </w:r>
      <w:r w:rsidR="000E240B" w:rsidRPr="008366D4">
        <w:t xml:space="preserve"> </w:t>
      </w:r>
      <w:r w:rsidR="00B30600">
        <w:t>‘</w:t>
      </w:r>
      <w:r w:rsidR="000E240B" w:rsidRPr="008366D4">
        <w:t>Maintaining the stability of deviated and horizontal wells: Effects of mechanical, chemical and thermal phenomena on well designs</w:t>
      </w:r>
      <w:r w:rsidR="00B30600">
        <w:t>’,</w:t>
      </w:r>
      <w:r w:rsidR="000E240B" w:rsidRPr="008366D4">
        <w:t xml:space="preserve"> </w:t>
      </w:r>
      <w:r w:rsidR="000E240B" w:rsidRPr="00B30600">
        <w:rPr>
          <w:i/>
        </w:rPr>
        <w:t>Geomech Geoeng Int J</w:t>
      </w:r>
      <w:r w:rsidR="00B30600">
        <w:rPr>
          <w:i/>
        </w:rPr>
        <w:t>,</w:t>
      </w:r>
      <w:r w:rsidR="000E240B" w:rsidRPr="008366D4">
        <w:t xml:space="preserve"> </w:t>
      </w:r>
      <w:r w:rsidR="00B30600">
        <w:t xml:space="preserve">vol. </w:t>
      </w:r>
      <w:r w:rsidR="000E240B" w:rsidRPr="008366D4">
        <w:t>3</w:t>
      </w:r>
      <w:proofErr w:type="gramStart"/>
      <w:r w:rsidR="000E240B" w:rsidRPr="008366D4">
        <w:t>,</w:t>
      </w:r>
      <w:r w:rsidR="00B30600">
        <w:t>pp</w:t>
      </w:r>
      <w:proofErr w:type="gramEnd"/>
      <w:r w:rsidR="00B30600">
        <w:t xml:space="preserve">. </w:t>
      </w:r>
      <w:r w:rsidR="000E240B" w:rsidRPr="008366D4">
        <w:t>167–178</w:t>
      </w:r>
      <w:r>
        <w:t>.</w:t>
      </w:r>
    </w:p>
    <w:p w:rsidR="000E240B" w:rsidRDefault="00B30600" w:rsidP="00BE7A62">
      <w:pPr>
        <w:pStyle w:val="BRNormal"/>
        <w:spacing w:after="0"/>
        <w:ind w:left="709" w:hanging="709"/>
      </w:pPr>
      <w:r>
        <w:t>Bouzelakos S, Timms W, Rahman P, McGeeney D</w:t>
      </w:r>
      <w:r w:rsidR="000E240B" w:rsidRPr="0027710C">
        <w:t xml:space="preserve"> </w:t>
      </w:r>
      <w:r>
        <w:t>&amp; Whelan M 2013. ‘</w:t>
      </w:r>
      <w:r w:rsidR="000E240B">
        <w:t>Geotechnical centrifuge permeameter for characterizing the hydraulic integrity of partially saturated conf</w:t>
      </w:r>
      <w:r>
        <w:t>ining strata for CSG operations’</w:t>
      </w:r>
      <w:r w:rsidR="000E240B">
        <w:t xml:space="preserve"> in </w:t>
      </w:r>
      <w:r w:rsidR="000E240B" w:rsidRPr="00B30600">
        <w:rPr>
          <w:i/>
        </w:rPr>
        <w:t>Reliable Mine Water Technology</w:t>
      </w:r>
      <w:r w:rsidR="000E240B">
        <w:t>, IMWA 2013. Golden Colorado, USA.</w:t>
      </w:r>
    </w:p>
    <w:p w:rsidR="000E240B" w:rsidRDefault="000E240B" w:rsidP="00BE7A62">
      <w:pPr>
        <w:pStyle w:val="BRNormal"/>
        <w:spacing w:after="0"/>
        <w:ind w:left="709" w:hanging="709"/>
      </w:pPr>
      <w:proofErr w:type="gramStart"/>
      <w:r w:rsidRPr="00E35F47">
        <w:t xml:space="preserve">Bradbury </w:t>
      </w:r>
      <w:r w:rsidR="00B30600">
        <w:t>&amp; Muldoon</w:t>
      </w:r>
      <w:r w:rsidRPr="00E35F47">
        <w:t xml:space="preserve"> 1990.</w:t>
      </w:r>
      <w:proofErr w:type="gramEnd"/>
      <w:r w:rsidRPr="00E35F47">
        <w:t xml:space="preserve"> </w:t>
      </w:r>
      <w:proofErr w:type="gramStart"/>
      <w:r w:rsidR="00B30600">
        <w:rPr>
          <w:i/>
        </w:rPr>
        <w:t>Hydraulic conductivity determinations in unlithified glacial and fluvial m</w:t>
      </w:r>
      <w:r w:rsidRPr="00B30600">
        <w:rPr>
          <w:i/>
        </w:rPr>
        <w:t>aterials</w:t>
      </w:r>
      <w:r w:rsidR="00B30600">
        <w:rPr>
          <w:i/>
        </w:rPr>
        <w:t>.</w:t>
      </w:r>
      <w:proofErr w:type="gramEnd"/>
      <w:r w:rsidR="00B30600">
        <w:rPr>
          <w:i/>
        </w:rPr>
        <w:t xml:space="preserve"> </w:t>
      </w:r>
      <w:proofErr w:type="gramStart"/>
      <w:r w:rsidR="00B30600">
        <w:rPr>
          <w:i/>
        </w:rPr>
        <w:t>Groundwater and vadose zone m</w:t>
      </w:r>
      <w:r w:rsidRPr="00B30600">
        <w:rPr>
          <w:i/>
        </w:rPr>
        <w:t>onitoring</w:t>
      </w:r>
      <w:r w:rsidRPr="00E35F47">
        <w:t>.</w:t>
      </w:r>
      <w:proofErr w:type="gramEnd"/>
      <w:r w:rsidRPr="00E35F47">
        <w:t xml:space="preserve"> </w:t>
      </w:r>
      <w:proofErr w:type="gramStart"/>
      <w:r w:rsidRPr="00E35F47">
        <w:t>ASTM.STP 1053, American Society for Testing Materials, Philadelphia, pp. 138-151.</w:t>
      </w:r>
      <w:proofErr w:type="gramEnd"/>
    </w:p>
    <w:p w:rsidR="000E240B" w:rsidRPr="0027710C" w:rsidRDefault="000E240B" w:rsidP="00BE7A62">
      <w:pPr>
        <w:pStyle w:val="BRNormal"/>
        <w:spacing w:after="0"/>
        <w:ind w:left="709" w:hanging="709"/>
      </w:pPr>
      <w:proofErr w:type="gramStart"/>
      <w:r w:rsidRPr="00FE2F1D">
        <w:t>Brakel</w:t>
      </w:r>
      <w:r w:rsidR="00B30600">
        <w:t xml:space="preserve"> AT</w:t>
      </w:r>
      <w:r>
        <w:t xml:space="preserve">, </w:t>
      </w:r>
      <w:r w:rsidRPr="00FE2F1D">
        <w:t>Totterdell</w:t>
      </w:r>
      <w:r w:rsidR="00B30600">
        <w:t xml:space="preserve"> JM, Wells AT</w:t>
      </w:r>
      <w:r>
        <w:t xml:space="preserve"> </w:t>
      </w:r>
      <w:r w:rsidR="00B30600">
        <w:t>&amp; Nicoll MG</w:t>
      </w:r>
      <w:r>
        <w:t xml:space="preserve"> 2009.</w:t>
      </w:r>
      <w:proofErr w:type="gramEnd"/>
      <w:r>
        <w:t xml:space="preserve"> </w:t>
      </w:r>
      <w:r w:rsidR="00B30600">
        <w:t>‘</w:t>
      </w:r>
      <w:r w:rsidRPr="00FE2F1D">
        <w:t>Sequence stratigraphy and fill history of the Bowen Basin,</w:t>
      </w:r>
      <w:r>
        <w:t xml:space="preserve"> </w:t>
      </w:r>
      <w:r w:rsidRPr="00FE2F1D">
        <w:t>Queensland</w:t>
      </w:r>
      <w:r w:rsidR="00B30600">
        <w:t>’</w:t>
      </w:r>
      <w:r>
        <w:t xml:space="preserve">, </w:t>
      </w:r>
      <w:r w:rsidRPr="00B30600">
        <w:rPr>
          <w:i/>
        </w:rPr>
        <w:t>Australian Journal of Earth Sciences</w:t>
      </w:r>
      <w:r w:rsidR="00B30600">
        <w:rPr>
          <w:i/>
        </w:rPr>
        <w:t xml:space="preserve">: </w:t>
      </w:r>
      <w:proofErr w:type="gramStart"/>
      <w:r w:rsidR="00B30600">
        <w:rPr>
          <w:i/>
        </w:rPr>
        <w:t>An</w:t>
      </w:r>
      <w:proofErr w:type="gramEnd"/>
      <w:r w:rsidR="00B30600">
        <w:rPr>
          <w:i/>
        </w:rPr>
        <w:t xml:space="preserve"> International Geoscience Journal of the Geological Society of Australi</w:t>
      </w:r>
      <w:r>
        <w:t xml:space="preserve">, </w:t>
      </w:r>
      <w:r w:rsidR="00B30600">
        <w:t>vol. 56, pp. 401-432.</w:t>
      </w:r>
    </w:p>
    <w:p w:rsidR="000E240B" w:rsidRDefault="00B30600" w:rsidP="00BE7A62">
      <w:pPr>
        <w:pStyle w:val="BRNormal"/>
        <w:spacing w:after="0"/>
        <w:ind w:left="709" w:hanging="709"/>
      </w:pPr>
      <w:r>
        <w:t xml:space="preserve">Celia MA, </w:t>
      </w:r>
      <w:r w:rsidR="000E240B">
        <w:t>Bachu</w:t>
      </w:r>
      <w:r>
        <w:t xml:space="preserve"> S, </w:t>
      </w:r>
      <w:r w:rsidR="000E240B">
        <w:t>Nordbotten</w:t>
      </w:r>
      <w:r>
        <w:t xml:space="preserve"> JM, </w:t>
      </w:r>
      <w:r w:rsidR="000E240B">
        <w:t>Gasda</w:t>
      </w:r>
      <w:r>
        <w:t xml:space="preserve"> S &amp; </w:t>
      </w:r>
      <w:r w:rsidR="000E240B">
        <w:t>Dahle</w:t>
      </w:r>
      <w:r>
        <w:t xml:space="preserve"> HK</w:t>
      </w:r>
      <w:r w:rsidR="000E240B">
        <w:t xml:space="preserve"> 2004. </w:t>
      </w:r>
      <w:r>
        <w:t>‘</w:t>
      </w:r>
      <w:r w:rsidR="000E240B">
        <w:t>Quantitative estimation of CO2 leakage from geological storage: Anal</w:t>
      </w:r>
      <w:r>
        <w:t>ytical models, numerical models</w:t>
      </w:r>
      <w:r w:rsidR="000E240B">
        <w:t xml:space="preserve"> and data needs</w:t>
      </w:r>
      <w:r>
        <w:t>’</w:t>
      </w:r>
      <w:r w:rsidR="000E240B">
        <w:t xml:space="preserve">, In, </w:t>
      </w:r>
      <w:r w:rsidR="000E240B" w:rsidRPr="00B30600">
        <w:rPr>
          <w:i/>
        </w:rPr>
        <w:t>Presentations, IEA Greenhouse Gas Programme</w:t>
      </w:r>
      <w:r w:rsidR="000E240B">
        <w:t>, Cheltenham, UK</w:t>
      </w:r>
      <w:r w:rsidR="002F4A30">
        <w:t>.</w:t>
      </w:r>
    </w:p>
    <w:p w:rsidR="000E240B" w:rsidRPr="0027710C" w:rsidRDefault="00B30600" w:rsidP="00BE7A62">
      <w:pPr>
        <w:pStyle w:val="BRNormal"/>
        <w:spacing w:after="0"/>
        <w:ind w:left="709" w:hanging="709"/>
      </w:pPr>
      <w:proofErr w:type="gramStart"/>
      <w:r>
        <w:t>CWI</w:t>
      </w:r>
      <w:r w:rsidR="000E240B">
        <w:t xml:space="preserve"> 2013.</w:t>
      </w:r>
      <w:proofErr w:type="gramEnd"/>
      <w:r w:rsidR="000E240B">
        <w:t xml:space="preserve"> </w:t>
      </w:r>
      <w:r w:rsidR="000E240B" w:rsidRPr="00B30600">
        <w:rPr>
          <w:i/>
        </w:rPr>
        <w:t>Centrifuge Permeameter Facility</w:t>
      </w:r>
      <w:r w:rsidR="000E240B">
        <w:t xml:space="preserve"> [Online]. </w:t>
      </w:r>
      <w:proofErr w:type="gramStart"/>
      <w:r w:rsidR="000E240B">
        <w:t>Connected Waters Initiative, University of New South Wales.</w:t>
      </w:r>
      <w:proofErr w:type="gramEnd"/>
      <w:r>
        <w:t xml:space="preserve"> (</w:t>
      </w:r>
      <w:r w:rsidRPr="00B30600">
        <w:t>http://www.connectedwaters.unsw.edu.au/articles/2013/08/centrifuge-permeameter-facility</w:t>
      </w:r>
      <w:r>
        <w:t xml:space="preserve"> [accessed 24 Spril 2014]).</w:t>
      </w:r>
    </w:p>
    <w:p w:rsidR="000E240B" w:rsidRDefault="000E240B" w:rsidP="00BE7A62">
      <w:pPr>
        <w:pStyle w:val="BRNormal"/>
        <w:spacing w:after="0"/>
        <w:ind w:left="709" w:hanging="709"/>
      </w:pPr>
      <w:proofErr w:type="gramStart"/>
      <w:r w:rsidRPr="00665C7C">
        <w:t>Davies, Mathi</w:t>
      </w:r>
      <w:r>
        <w:t xml:space="preserve">as, Moss, Hustoft </w:t>
      </w:r>
      <w:r w:rsidR="00B30600">
        <w:t>&amp; Newport</w:t>
      </w:r>
      <w:r>
        <w:t xml:space="preserve"> 2012</w:t>
      </w:r>
      <w:r w:rsidRPr="00665C7C">
        <w:t>.</w:t>
      </w:r>
      <w:proofErr w:type="gramEnd"/>
      <w:r w:rsidRPr="00665C7C">
        <w:t xml:space="preserve"> </w:t>
      </w:r>
      <w:r w:rsidR="00B30600">
        <w:t>‘</w:t>
      </w:r>
      <w:r w:rsidRPr="00665C7C">
        <w:t>Hydraulic fractures: How far can they go?</w:t>
      </w:r>
      <w:proofErr w:type="gramStart"/>
      <w:r w:rsidR="00B30600">
        <w:t>’,</w:t>
      </w:r>
      <w:proofErr w:type="gramEnd"/>
      <w:r w:rsidRPr="00665C7C">
        <w:t xml:space="preserve"> </w:t>
      </w:r>
      <w:r w:rsidRPr="00B30600">
        <w:rPr>
          <w:i/>
        </w:rPr>
        <w:t>Marine and Petroleum Geology</w:t>
      </w:r>
      <w:r w:rsidRPr="0027710C">
        <w:t>,</w:t>
      </w:r>
      <w:r>
        <w:t xml:space="preserve"> </w:t>
      </w:r>
      <w:r w:rsidR="00B30600">
        <w:t xml:space="preserve">vol. </w:t>
      </w:r>
      <w:r>
        <w:t>37(1), pp. 1-6</w:t>
      </w:r>
      <w:r w:rsidR="002F4A30">
        <w:t>.</w:t>
      </w:r>
    </w:p>
    <w:p w:rsidR="000E240B" w:rsidRDefault="00B30600" w:rsidP="00BE7A62">
      <w:pPr>
        <w:pStyle w:val="BRNormal"/>
        <w:spacing w:after="0"/>
        <w:ind w:left="709" w:hanging="709"/>
      </w:pPr>
      <w:proofErr w:type="gramStart"/>
      <w:r>
        <w:t>Doherty J</w:t>
      </w:r>
      <w:r w:rsidR="000E240B" w:rsidRPr="0044543E">
        <w:t xml:space="preserve"> </w:t>
      </w:r>
      <w:r>
        <w:t xml:space="preserve">&amp; Welter D </w:t>
      </w:r>
      <w:r w:rsidR="000E240B" w:rsidRPr="0044543E">
        <w:t>2010.</w:t>
      </w:r>
      <w:proofErr w:type="gramEnd"/>
      <w:r w:rsidR="000E240B" w:rsidRPr="0044543E">
        <w:t xml:space="preserve"> </w:t>
      </w:r>
      <w:proofErr w:type="gramStart"/>
      <w:r>
        <w:t>‘</w:t>
      </w:r>
      <w:r w:rsidR="000E240B" w:rsidRPr="0044543E">
        <w:t>A short exploration of structural noise</w:t>
      </w:r>
      <w:r>
        <w:t>’,</w:t>
      </w:r>
      <w:r w:rsidR="000E240B" w:rsidRPr="0044543E">
        <w:t xml:space="preserve"> </w:t>
      </w:r>
      <w:r w:rsidR="000E240B" w:rsidRPr="00B30600">
        <w:rPr>
          <w:i/>
        </w:rPr>
        <w:t>Water Resources Research</w:t>
      </w:r>
      <w:r w:rsidR="000E240B" w:rsidRPr="0044543E">
        <w:t xml:space="preserve">, </w:t>
      </w:r>
      <w:r>
        <w:t>vol. 46</w:t>
      </w:r>
      <w:r w:rsidR="004957B4">
        <w:t>(5)</w:t>
      </w:r>
      <w:r w:rsidR="000E240B" w:rsidRPr="0044543E">
        <w:t>.</w:t>
      </w:r>
      <w:r w:rsidR="004957B4">
        <w:t>'</w:t>
      </w:r>
      <w:proofErr w:type="gramEnd"/>
    </w:p>
    <w:p w:rsidR="000E240B" w:rsidRDefault="000E240B" w:rsidP="00BE7A62">
      <w:pPr>
        <w:pStyle w:val="BRNormal"/>
        <w:spacing w:after="0"/>
        <w:ind w:left="709" w:hanging="709"/>
      </w:pPr>
      <w:proofErr w:type="gramStart"/>
      <w:r>
        <w:t>Heidug WK</w:t>
      </w:r>
      <w:r w:rsidR="004957B4">
        <w:t xml:space="preserve"> &amp;</w:t>
      </w:r>
      <w:r>
        <w:t xml:space="preserve"> Wong SW 1996</w:t>
      </w:r>
      <w:r w:rsidR="003E6601">
        <w:t>.</w:t>
      </w:r>
      <w:proofErr w:type="gramEnd"/>
      <w:r>
        <w:t xml:space="preserve"> </w:t>
      </w:r>
      <w:proofErr w:type="gramStart"/>
      <w:r w:rsidR="004957B4">
        <w:t>‘</w:t>
      </w:r>
      <w:r>
        <w:t>Hydration swelling of water-absorbing rocks: a constitutive model</w:t>
      </w:r>
      <w:r w:rsidR="004957B4">
        <w:t>’,</w:t>
      </w:r>
      <w:r>
        <w:t xml:space="preserve"> </w:t>
      </w:r>
      <w:r w:rsidRPr="004957B4">
        <w:rPr>
          <w:i/>
        </w:rPr>
        <w:t>Int J Numer Anal Methods Geomech</w:t>
      </w:r>
      <w:r>
        <w:t xml:space="preserve"> </w:t>
      </w:r>
      <w:r w:rsidR="004957B4">
        <w:t xml:space="preserve">vol. </w:t>
      </w:r>
      <w:r>
        <w:t>20(6)</w:t>
      </w:r>
      <w:r w:rsidR="004957B4">
        <w:t xml:space="preserve">, pp. </w:t>
      </w:r>
      <w:r>
        <w:t>403–430</w:t>
      </w:r>
      <w:r w:rsidR="002F4A30">
        <w:t>.</w:t>
      </w:r>
      <w:proofErr w:type="gramEnd"/>
    </w:p>
    <w:p w:rsidR="002F4A30" w:rsidRDefault="004957B4" w:rsidP="00BE7A62">
      <w:pPr>
        <w:pStyle w:val="BRNormal"/>
        <w:spacing w:after="0"/>
        <w:ind w:left="709" w:hanging="709"/>
      </w:pPr>
      <w:r>
        <w:t>Kiraly L</w:t>
      </w:r>
      <w:r w:rsidR="000E240B">
        <w:t xml:space="preserve"> 1975. </w:t>
      </w:r>
      <w:proofErr w:type="gramStart"/>
      <w:r>
        <w:t>‘</w:t>
      </w:r>
      <w:r w:rsidR="000E240B">
        <w:t>Rapport sur l'état actuel des connaissances dans le domaine des caractères physiques des roches karstiques [Report on the present knowledge of the physical characters of karstic rocks]</w:t>
      </w:r>
      <w:r>
        <w:t xml:space="preserve">’, </w:t>
      </w:r>
      <w:r w:rsidR="000E240B">
        <w:t xml:space="preserve">In </w:t>
      </w:r>
      <w:r w:rsidR="000E240B" w:rsidRPr="004957B4">
        <w:rPr>
          <w:i/>
        </w:rPr>
        <w:t>Hydrogeology of Karstic Terrains</w:t>
      </w:r>
      <w:r w:rsidR="000E240B">
        <w:t>.</w:t>
      </w:r>
      <w:proofErr w:type="gramEnd"/>
      <w:r w:rsidR="000E240B">
        <w:t xml:space="preserve"> (</w:t>
      </w:r>
      <w:proofErr w:type="gramStart"/>
      <w:r w:rsidR="000E240B">
        <w:t>eds</w:t>
      </w:r>
      <w:proofErr w:type="gramEnd"/>
      <w:r w:rsidR="000E240B">
        <w:t>. A. Burger, and L. Dubertret), pp. 53-67. International Association of Hydrogeologists, International Union of Geological Sciences, Paris, France.</w:t>
      </w:r>
    </w:p>
    <w:p w:rsidR="000E240B" w:rsidRDefault="004957B4" w:rsidP="00BE7A62">
      <w:pPr>
        <w:pStyle w:val="BRNormal"/>
        <w:spacing w:after="0"/>
        <w:ind w:left="709" w:hanging="709"/>
      </w:pPr>
      <w:proofErr w:type="gramStart"/>
      <w:r>
        <w:t>Lake LW</w:t>
      </w:r>
      <w:r w:rsidR="000E240B">
        <w:t xml:space="preserve"> </w:t>
      </w:r>
      <w:r>
        <w:t>&amp; Srinivasan S 2004.</w:t>
      </w:r>
      <w:proofErr w:type="gramEnd"/>
      <w:r>
        <w:t xml:space="preserve"> ‘</w:t>
      </w:r>
      <w:r w:rsidR="000E240B">
        <w:t>Statistical scale-up of reservoir proper</w:t>
      </w:r>
      <w:r>
        <w:t>ties: concepts and applications’,</w:t>
      </w:r>
      <w:r w:rsidR="000E240B">
        <w:t xml:space="preserve"> </w:t>
      </w:r>
      <w:r w:rsidR="000E240B" w:rsidRPr="004957B4">
        <w:rPr>
          <w:i/>
        </w:rPr>
        <w:t>Petroleum Science and Engineering</w:t>
      </w:r>
      <w:r w:rsidR="000E240B">
        <w:t xml:space="preserve">, </w:t>
      </w:r>
      <w:r>
        <w:t xml:space="preserve">vol. </w:t>
      </w:r>
      <w:r w:rsidR="000E240B">
        <w:t>44, pp</w:t>
      </w:r>
      <w:r>
        <w:t>.</w:t>
      </w:r>
      <w:r w:rsidR="000E240B">
        <w:t xml:space="preserve"> 27-39.</w:t>
      </w:r>
    </w:p>
    <w:p w:rsidR="000E240B" w:rsidRDefault="004957B4" w:rsidP="00BE7A62">
      <w:pPr>
        <w:pStyle w:val="BRNormal"/>
        <w:spacing w:after="0"/>
        <w:ind w:left="709" w:hanging="709"/>
      </w:pPr>
      <w:proofErr w:type="gramStart"/>
      <w:r>
        <w:t>Moore C</w:t>
      </w:r>
      <w:r w:rsidR="000E240B">
        <w:t xml:space="preserve"> </w:t>
      </w:r>
      <w:r>
        <w:t>&amp; Doherty J</w:t>
      </w:r>
      <w:r w:rsidR="000E240B">
        <w:t xml:space="preserve"> 2012.</w:t>
      </w:r>
      <w:proofErr w:type="gramEnd"/>
      <w:r w:rsidR="000E240B">
        <w:t xml:space="preserve"> </w:t>
      </w:r>
      <w:r>
        <w:t>‘</w:t>
      </w:r>
      <w:r w:rsidR="000E240B" w:rsidRPr="00C46AFD">
        <w:t>Upscaling hydraulic processes and properties to assess impacts on groundwater from coal seam gas abstractions</w:t>
      </w:r>
      <w:r>
        <w:t>’,</w:t>
      </w:r>
      <w:r w:rsidR="000E240B">
        <w:t xml:space="preserve"> in </w:t>
      </w:r>
      <w:r w:rsidR="000E240B" w:rsidRPr="004957B4">
        <w:rPr>
          <w:i/>
        </w:rPr>
        <w:t>Hydrology and Water Resources Symposium</w:t>
      </w:r>
      <w:r w:rsidR="000E240B" w:rsidRPr="0027710C">
        <w:t xml:space="preserve"> </w:t>
      </w:r>
      <w:r w:rsidR="000E240B" w:rsidRPr="004957B4">
        <w:rPr>
          <w:i/>
        </w:rPr>
        <w:t>2012</w:t>
      </w:r>
      <w:r w:rsidR="000E240B" w:rsidRPr="00C46AFD">
        <w:t>, Sydney, 19-22 November 2012</w:t>
      </w:r>
      <w:r w:rsidR="000E240B">
        <w:t xml:space="preserve">. </w:t>
      </w:r>
    </w:p>
    <w:p w:rsidR="000E240B" w:rsidRDefault="004957B4" w:rsidP="00BE7A62">
      <w:pPr>
        <w:pStyle w:val="BRNormal"/>
        <w:spacing w:after="0"/>
        <w:ind w:left="709" w:hanging="709"/>
      </w:pPr>
      <w:proofErr w:type="gramStart"/>
      <w:r>
        <w:t>Nimmo JR</w:t>
      </w:r>
      <w:r w:rsidR="000E240B" w:rsidRPr="0027710C">
        <w:t xml:space="preserve"> </w:t>
      </w:r>
      <w:r>
        <w:t>&amp; Mello KA 1991.</w:t>
      </w:r>
      <w:proofErr w:type="gramEnd"/>
      <w:r>
        <w:t xml:space="preserve"> </w:t>
      </w:r>
      <w:proofErr w:type="gramStart"/>
      <w:r>
        <w:t>‘</w:t>
      </w:r>
      <w:r w:rsidR="000E240B">
        <w:t>Centrifugal Techniques for Measuring S</w:t>
      </w:r>
      <w:r>
        <w:t>aturated Hydraulic Conductivity’</w:t>
      </w:r>
      <w:r w:rsidR="000E240B">
        <w:t xml:space="preserve">, </w:t>
      </w:r>
      <w:r w:rsidR="000E240B" w:rsidRPr="004957B4">
        <w:rPr>
          <w:i/>
        </w:rPr>
        <w:t>Water Resources Research</w:t>
      </w:r>
      <w:r w:rsidR="000E240B">
        <w:t xml:space="preserve">, </w:t>
      </w:r>
      <w:r>
        <w:t xml:space="preserve">vol. </w:t>
      </w:r>
      <w:r w:rsidR="000E240B">
        <w:t xml:space="preserve">27, </w:t>
      </w:r>
      <w:r>
        <w:t xml:space="preserve">pp. </w:t>
      </w:r>
      <w:r w:rsidR="000E240B">
        <w:t>1263-1269.</w:t>
      </w:r>
      <w:proofErr w:type="gramEnd"/>
    </w:p>
    <w:p w:rsidR="000E240B" w:rsidRDefault="000E240B" w:rsidP="00BE7A62">
      <w:pPr>
        <w:pStyle w:val="BRNormal"/>
        <w:spacing w:after="0"/>
        <w:ind w:left="709" w:hanging="709"/>
      </w:pPr>
      <w:proofErr w:type="gramStart"/>
      <w:r>
        <w:t xml:space="preserve">Ontario MoE </w:t>
      </w:r>
      <w:r w:rsidR="004957B4">
        <w:t>1996.</w:t>
      </w:r>
      <w:proofErr w:type="gramEnd"/>
      <w:r>
        <w:t xml:space="preserve"> </w:t>
      </w:r>
      <w:r w:rsidRPr="004957B4">
        <w:rPr>
          <w:i/>
        </w:rPr>
        <w:t>Guidance on Sampling and Analytical Methods for Use at Contaminated Sites in Ontario</w:t>
      </w:r>
      <w:r>
        <w:t xml:space="preserve">, </w:t>
      </w:r>
      <w:r w:rsidRPr="00DB3EC6">
        <w:t>Ontario Ministry of Environment and Energy Standards Development Branch</w:t>
      </w:r>
      <w:r w:rsidR="002F4A30">
        <w:t>.</w:t>
      </w:r>
    </w:p>
    <w:p w:rsidR="000E240B" w:rsidRDefault="009B069D" w:rsidP="00BE7A62">
      <w:pPr>
        <w:pStyle w:val="BRNormal"/>
        <w:spacing w:after="0"/>
        <w:ind w:left="709" w:hanging="709"/>
      </w:pPr>
      <w:r>
        <w:t>Osborn SG, Vengosh A, Warner NR</w:t>
      </w:r>
      <w:r w:rsidR="000E240B">
        <w:t xml:space="preserve"> </w:t>
      </w:r>
      <w:r>
        <w:t xml:space="preserve">&amp; Jackson RB 2011. </w:t>
      </w:r>
      <w:proofErr w:type="gramStart"/>
      <w:r>
        <w:t>‘</w:t>
      </w:r>
      <w:r w:rsidR="000E240B" w:rsidRPr="005761CF">
        <w:t>Methane contamination of drinking water accompanying gas</w:t>
      </w:r>
      <w:r w:rsidR="000E240B">
        <w:t>-</w:t>
      </w:r>
      <w:r w:rsidR="000E240B" w:rsidRPr="005761CF">
        <w:t>well drilling and hydraulic fracturing</w:t>
      </w:r>
      <w:r>
        <w:t>’,</w:t>
      </w:r>
      <w:r w:rsidR="000E240B" w:rsidRPr="005761CF">
        <w:t xml:space="preserve"> </w:t>
      </w:r>
      <w:r w:rsidR="000E240B" w:rsidRPr="009B069D">
        <w:rPr>
          <w:i/>
        </w:rPr>
        <w:t>PNAS Early Edition</w:t>
      </w:r>
      <w:r>
        <w:rPr>
          <w:i/>
        </w:rPr>
        <w:t>,</w:t>
      </w:r>
      <w:r w:rsidR="000E240B">
        <w:t xml:space="preserve"> </w:t>
      </w:r>
      <w:r>
        <w:t xml:space="preserve">vol. </w:t>
      </w:r>
      <w:r w:rsidR="000E240B">
        <w:t>108(37)</w:t>
      </w:r>
      <w:r>
        <w:t xml:space="preserve">, pp. </w:t>
      </w:r>
      <w:r w:rsidR="000E240B">
        <w:t>E665-E666</w:t>
      </w:r>
      <w:r w:rsidR="002F4A30">
        <w:t>.</w:t>
      </w:r>
      <w:proofErr w:type="gramEnd"/>
    </w:p>
    <w:p w:rsidR="005B4886" w:rsidRDefault="005B4886" w:rsidP="00BE7A62">
      <w:pPr>
        <w:pStyle w:val="BRNormal"/>
        <w:spacing w:after="0"/>
        <w:ind w:left="709" w:hanging="709"/>
      </w:pPr>
      <w:proofErr w:type="gramStart"/>
      <w:r>
        <w:t>Pells S</w:t>
      </w:r>
      <w:r w:rsidRPr="00136A9E">
        <w:t xml:space="preserve">E </w:t>
      </w:r>
      <w:r>
        <w:t>&amp;</w:t>
      </w:r>
      <w:r w:rsidRPr="00136A9E">
        <w:t xml:space="preserve"> Pell</w:t>
      </w:r>
      <w:r>
        <w:t>s PJN</w:t>
      </w:r>
      <w:r w:rsidRPr="00136A9E">
        <w:t xml:space="preserve"> 2012</w:t>
      </w:r>
      <w:r>
        <w:t>a.</w:t>
      </w:r>
      <w:proofErr w:type="gramEnd"/>
      <w:r w:rsidRPr="00136A9E">
        <w:t xml:space="preserve"> </w:t>
      </w:r>
      <w:proofErr w:type="gramStart"/>
      <w:r>
        <w:t>‘Impacts of l</w:t>
      </w:r>
      <w:r w:rsidRPr="00136A9E">
        <w:t xml:space="preserve">ongwall </w:t>
      </w:r>
      <w:r>
        <w:t>mining and coal seam gas extraction on groundwater r</w:t>
      </w:r>
      <w:r w:rsidRPr="00136A9E">
        <w:t>egime</w:t>
      </w:r>
      <w:r>
        <w:t>s</w:t>
      </w:r>
      <w:r w:rsidRPr="00136A9E">
        <w:t xml:space="preserve"> </w:t>
      </w:r>
      <w:r>
        <w:t>in the Sydney Basin Part 1 – theory’,</w:t>
      </w:r>
      <w:r w:rsidRPr="00136A9E">
        <w:t xml:space="preserve"> </w:t>
      </w:r>
      <w:r w:rsidRPr="005B4886">
        <w:rPr>
          <w:i/>
        </w:rPr>
        <w:t>Australian Geomechanics</w:t>
      </w:r>
      <w:r w:rsidRPr="00136A9E">
        <w:t xml:space="preserve"> </w:t>
      </w:r>
      <w:r w:rsidRPr="005B4886">
        <w:rPr>
          <w:i/>
        </w:rPr>
        <w:t>Journal</w:t>
      </w:r>
      <w:r w:rsidRPr="00136A9E">
        <w:t xml:space="preserve">, </w:t>
      </w:r>
      <w:r>
        <w:t xml:space="preserve">vol. </w:t>
      </w:r>
      <w:r w:rsidRPr="00136A9E">
        <w:t>47</w:t>
      </w:r>
      <w:r>
        <w:t xml:space="preserve">(3), pp. 36-51, </w:t>
      </w:r>
      <w:r>
        <w:lastRenderedPageBreak/>
        <w:t>(</w:t>
      </w:r>
      <w:hyperlink r:id="rId108" w:history="1">
        <w:r w:rsidRPr="0027710C">
          <w:t>http://www.pellsconsulting.com.au/selectedPapers/coalSeamGasCSG/</w:t>
        </w:r>
      </w:hyperlink>
      <w:r>
        <w:t xml:space="preserve"> [accessed 24 April 2014]).</w:t>
      </w:r>
      <w:proofErr w:type="gramEnd"/>
    </w:p>
    <w:p w:rsidR="000E240B" w:rsidRDefault="000E240B" w:rsidP="00BE7A62">
      <w:pPr>
        <w:pStyle w:val="BRNormal"/>
        <w:spacing w:after="0"/>
        <w:ind w:left="709" w:hanging="709"/>
      </w:pPr>
      <w:proofErr w:type="gramStart"/>
      <w:r w:rsidRPr="00136A9E">
        <w:t xml:space="preserve">Pells </w:t>
      </w:r>
      <w:r w:rsidR="009B069D">
        <w:t>&amp; Pells 2012</w:t>
      </w:r>
      <w:r w:rsidR="005B4886">
        <w:t>b</w:t>
      </w:r>
      <w:r w:rsidR="009B069D">
        <w:t>.</w:t>
      </w:r>
      <w:proofErr w:type="gramEnd"/>
      <w:r w:rsidR="009B069D">
        <w:t xml:space="preserve"> ‘Impacts of longwall mining and coal seam gas extraction on groundwater r</w:t>
      </w:r>
      <w:r w:rsidRPr="00136A9E">
        <w:t>egime</w:t>
      </w:r>
      <w:r w:rsidR="009B069D">
        <w:t>s in the Sydney Basin Part 2 - p</w:t>
      </w:r>
      <w:r w:rsidRPr="00136A9E">
        <w:t xml:space="preserve">ractical </w:t>
      </w:r>
      <w:r w:rsidR="009B069D">
        <w:t>applications’,</w:t>
      </w:r>
      <w:r w:rsidRPr="00136A9E">
        <w:t xml:space="preserve"> </w:t>
      </w:r>
      <w:r w:rsidRPr="009B069D">
        <w:rPr>
          <w:i/>
        </w:rPr>
        <w:t>Australian Geomechanics Journal,</w:t>
      </w:r>
      <w:r w:rsidRPr="00136A9E">
        <w:t xml:space="preserve"> </w:t>
      </w:r>
      <w:r w:rsidR="009B069D">
        <w:t>vol.</w:t>
      </w:r>
      <w:r w:rsidRPr="00136A9E">
        <w:t xml:space="preserve"> 47</w:t>
      </w:r>
      <w:r w:rsidR="005B4886">
        <w:t xml:space="preserve">(3), pp. 53-68, </w:t>
      </w:r>
      <w:r w:rsidR="009B069D">
        <w:t>(</w:t>
      </w:r>
      <w:hyperlink r:id="rId109" w:history="1">
        <w:r w:rsidRPr="0027710C">
          <w:t>http://www.pellsconsulting.com.au/selectedPapers/coalSeamGasCSG/</w:t>
        </w:r>
      </w:hyperlink>
      <w:r w:rsidR="009B069D">
        <w:t xml:space="preserve"> [accessed 24 April 2014]).</w:t>
      </w:r>
    </w:p>
    <w:p w:rsidR="000E240B" w:rsidRDefault="005B4886" w:rsidP="00BE7A62">
      <w:pPr>
        <w:pStyle w:val="BRNormal"/>
        <w:spacing w:after="0"/>
        <w:ind w:left="709" w:hanging="709"/>
      </w:pPr>
      <w:proofErr w:type="gramStart"/>
      <w:r>
        <w:t>Pinto MJ &amp; Wagner BJ</w:t>
      </w:r>
      <w:r w:rsidR="003E6601">
        <w:t xml:space="preserve"> 2</w:t>
      </w:r>
      <w:r w:rsidR="000E240B">
        <w:t>002</w:t>
      </w:r>
      <w:r w:rsidR="003E6601">
        <w:t>.</w:t>
      </w:r>
      <w:proofErr w:type="gramEnd"/>
      <w:r w:rsidR="000E240B">
        <w:t xml:space="preserve"> </w:t>
      </w:r>
      <w:proofErr w:type="gramStart"/>
      <w:r>
        <w:t>‘Designing groundwater monitoring networks for regional-scale water quality assessment: a bayesian a</w:t>
      </w:r>
      <w:r w:rsidR="000E240B" w:rsidRPr="00A556BB">
        <w:t>pproach</w:t>
      </w:r>
      <w:r>
        <w:t>’</w:t>
      </w:r>
      <w:r w:rsidR="000E240B">
        <w:t xml:space="preserve">, </w:t>
      </w:r>
      <w:r w:rsidR="000E240B" w:rsidRPr="005B4886">
        <w:rPr>
          <w:i/>
        </w:rPr>
        <w:t>American Geophysical Union, Fall Meeting 2002</w:t>
      </w:r>
      <w:r w:rsidR="000E240B" w:rsidRPr="00A556BB">
        <w:t>, abstract #H51C-08</w:t>
      </w:r>
      <w:r>
        <w:t>.</w:t>
      </w:r>
      <w:proofErr w:type="gramEnd"/>
    </w:p>
    <w:p w:rsidR="000E240B" w:rsidRDefault="005B4886" w:rsidP="00BE7A62">
      <w:pPr>
        <w:pStyle w:val="BRNormal"/>
        <w:spacing w:after="0"/>
        <w:ind w:left="709" w:hanging="709"/>
      </w:pPr>
      <w:proofErr w:type="gramStart"/>
      <w:r>
        <w:t>Rau GC</w:t>
      </w:r>
      <w:r w:rsidR="000E240B" w:rsidRPr="00926724">
        <w:t xml:space="preserve"> 2011</w:t>
      </w:r>
      <w:r w:rsidR="003E6601">
        <w:t>.</w:t>
      </w:r>
      <w:proofErr w:type="gramEnd"/>
      <w:r w:rsidR="000E240B" w:rsidRPr="00926724">
        <w:t xml:space="preserve"> </w:t>
      </w:r>
      <w:r w:rsidR="000E240B" w:rsidRPr="005B4886">
        <w:rPr>
          <w:i/>
        </w:rPr>
        <w:t>Experimental Analysis of Heat as a Tracer for the Quantiﬁcation of Thermal Dispersion and Water Flow in Sand</w:t>
      </w:r>
      <w:r w:rsidR="000E240B" w:rsidRPr="00926724">
        <w:t>, PhD thesis, 235 pp, University of New South Wales, Sydney.</w:t>
      </w:r>
    </w:p>
    <w:p w:rsidR="000E240B" w:rsidRDefault="005B4886" w:rsidP="00BE7A62">
      <w:pPr>
        <w:pStyle w:val="BRNormal"/>
        <w:spacing w:after="0"/>
        <w:ind w:left="709" w:hanging="709"/>
      </w:pPr>
      <w:proofErr w:type="gramStart"/>
      <w:r>
        <w:t>Rau GC, Anderson MS</w:t>
      </w:r>
      <w:r w:rsidR="000E240B">
        <w:t xml:space="preserve"> </w:t>
      </w:r>
      <w:r>
        <w:t>&amp; Acworth RI</w:t>
      </w:r>
      <w:r w:rsidR="000E240B">
        <w:t xml:space="preserve"> 2012a.</w:t>
      </w:r>
      <w:proofErr w:type="gramEnd"/>
      <w:r w:rsidR="000E240B">
        <w:t xml:space="preserve"> </w:t>
      </w:r>
      <w:r>
        <w:t>‘</w:t>
      </w:r>
      <w:r w:rsidR="000E240B">
        <w:t>Experimental investigation of the thermal time-series method for surface water-groundwater interactions</w:t>
      </w:r>
      <w:r>
        <w:t>’</w:t>
      </w:r>
      <w:r w:rsidR="000E240B">
        <w:t xml:space="preserve">, </w:t>
      </w:r>
      <w:r w:rsidR="000E240B" w:rsidRPr="005B4886">
        <w:rPr>
          <w:i/>
        </w:rPr>
        <w:t>Water Resources</w:t>
      </w:r>
      <w:r w:rsidR="000E240B">
        <w:t xml:space="preserve"> </w:t>
      </w:r>
      <w:r w:rsidR="000E240B" w:rsidRPr="005B4886">
        <w:rPr>
          <w:i/>
        </w:rPr>
        <w:t>Research</w:t>
      </w:r>
      <w:r w:rsidR="000E240B">
        <w:t>, Vol</w:t>
      </w:r>
      <w:r w:rsidR="000E240B" w:rsidRPr="00926724">
        <w:t xml:space="preserve">. 48, </w:t>
      </w:r>
      <w:r w:rsidR="000E240B">
        <w:t>doi</w:t>
      </w:r>
      <w:proofErr w:type="gramStart"/>
      <w:r w:rsidR="000E240B">
        <w:t>:10.1029</w:t>
      </w:r>
      <w:proofErr w:type="gramEnd"/>
      <w:r w:rsidR="000E240B">
        <w:t>/2011WR011560.</w:t>
      </w:r>
    </w:p>
    <w:p w:rsidR="000E240B" w:rsidRDefault="005B4886" w:rsidP="00BE7A62">
      <w:pPr>
        <w:pStyle w:val="BRNormal"/>
        <w:spacing w:after="0"/>
        <w:ind w:left="709" w:hanging="709"/>
      </w:pPr>
      <w:proofErr w:type="gramStart"/>
      <w:r>
        <w:t>Rau GC, Anderson MS</w:t>
      </w:r>
      <w:r w:rsidR="000E240B">
        <w:t xml:space="preserve"> </w:t>
      </w:r>
      <w:r>
        <w:t>&amp; Acworth RI</w:t>
      </w:r>
      <w:r w:rsidR="000E240B">
        <w:t xml:space="preserve"> 2012b.</w:t>
      </w:r>
      <w:proofErr w:type="gramEnd"/>
      <w:r w:rsidR="000E240B">
        <w:t xml:space="preserve"> </w:t>
      </w:r>
      <w:r>
        <w:t>‘</w:t>
      </w:r>
      <w:r w:rsidR="000E240B">
        <w:t>Experimental investigation of the thermal dispersivity term and its significance in the heat transport equation for flow in sediments</w:t>
      </w:r>
      <w:r>
        <w:t>’</w:t>
      </w:r>
      <w:r w:rsidR="000E240B">
        <w:t xml:space="preserve">, </w:t>
      </w:r>
      <w:r w:rsidR="000E240B" w:rsidRPr="005B4886">
        <w:rPr>
          <w:i/>
        </w:rPr>
        <w:t>Water Resources Research</w:t>
      </w:r>
      <w:r w:rsidR="000E240B">
        <w:t xml:space="preserve">, </w:t>
      </w:r>
      <w:r>
        <w:t>v</w:t>
      </w:r>
      <w:r w:rsidR="000E240B">
        <w:t>ol</w:t>
      </w:r>
      <w:r w:rsidR="000E240B" w:rsidRPr="00926724">
        <w:t>. 48, doi</w:t>
      </w:r>
      <w:proofErr w:type="gramStart"/>
      <w:r w:rsidR="000E240B" w:rsidRPr="00926724">
        <w:t>:10.1029</w:t>
      </w:r>
      <w:proofErr w:type="gramEnd"/>
      <w:r w:rsidR="000E240B" w:rsidRPr="00926724">
        <w:t>/2011WR011038</w:t>
      </w:r>
      <w:r w:rsidR="000E240B">
        <w:t>.</w:t>
      </w:r>
    </w:p>
    <w:p w:rsidR="003E6601" w:rsidRDefault="005B4886" w:rsidP="00BE7A62">
      <w:pPr>
        <w:pStyle w:val="BRNormal"/>
        <w:spacing w:after="0"/>
        <w:ind w:left="709" w:hanging="709"/>
      </w:pPr>
      <w:proofErr w:type="gramStart"/>
      <w:r>
        <w:t>Roshan</w:t>
      </w:r>
      <w:r w:rsidR="003E6601">
        <w:t xml:space="preserve"> H </w:t>
      </w:r>
      <w:r>
        <w:t>&amp; Oeser M 2011.</w:t>
      </w:r>
      <w:proofErr w:type="gramEnd"/>
      <w:r>
        <w:t xml:space="preserve"> </w:t>
      </w:r>
      <w:proofErr w:type="gramStart"/>
      <w:r>
        <w:t>‘</w:t>
      </w:r>
      <w:r w:rsidR="003E6601">
        <w:t>A non-isothermal constitutive model for chemic</w:t>
      </w:r>
      <w:r>
        <w:t>ally active elastoplastic rocks’</w:t>
      </w:r>
      <w:r w:rsidR="003E6601">
        <w:t xml:space="preserve">, </w:t>
      </w:r>
      <w:r w:rsidR="003E6601" w:rsidRPr="005B4886">
        <w:rPr>
          <w:i/>
        </w:rPr>
        <w:t>Rock Mechanics and Rock Engineering</w:t>
      </w:r>
      <w:r>
        <w:t>, vol. 45(3), pp. 361-374.</w:t>
      </w:r>
      <w:proofErr w:type="gramEnd"/>
    </w:p>
    <w:p w:rsidR="003E6601" w:rsidRDefault="005B4886" w:rsidP="00BE7A62">
      <w:pPr>
        <w:pStyle w:val="BRNormal"/>
        <w:spacing w:after="0"/>
        <w:ind w:left="709" w:hanging="709"/>
      </w:pPr>
      <w:proofErr w:type="gramStart"/>
      <w:r>
        <w:t>Rubin ES, Keith DW</w:t>
      </w:r>
      <w:r w:rsidR="003E6601">
        <w:t xml:space="preserve"> </w:t>
      </w:r>
      <w:r>
        <w:t>&amp; Gilboy</w:t>
      </w:r>
      <w:r w:rsidR="003E6601">
        <w:t xml:space="preserve"> C</w:t>
      </w:r>
      <w:r>
        <w:t>F (e</w:t>
      </w:r>
      <w:r w:rsidR="003E6601">
        <w:t>ds.)</w:t>
      </w:r>
      <w:r>
        <w:t xml:space="preserve"> 2004.</w:t>
      </w:r>
      <w:proofErr w:type="gramEnd"/>
      <w:r>
        <w:t xml:space="preserve"> </w:t>
      </w:r>
      <w:proofErr w:type="gramStart"/>
      <w:r>
        <w:t xml:space="preserve">‘Volume 1: Peer-Reviewed Papers and Plenary’, </w:t>
      </w:r>
      <w:r w:rsidR="003E6601" w:rsidRPr="005B4886">
        <w:rPr>
          <w:i/>
        </w:rPr>
        <w:t>Proceedings of 7th International Conference on Gree</w:t>
      </w:r>
      <w:r w:rsidRPr="005B4886">
        <w:rPr>
          <w:i/>
        </w:rPr>
        <w:t>nhouse Gas Control Technologies</w:t>
      </w:r>
      <w:r>
        <w:t>, 5 September 2004, Vancouver Canada.</w:t>
      </w:r>
      <w:proofErr w:type="gramEnd"/>
    </w:p>
    <w:p w:rsidR="000E240B" w:rsidRDefault="005B4886" w:rsidP="00BE7A62">
      <w:pPr>
        <w:pStyle w:val="BRNormal"/>
        <w:spacing w:after="0"/>
        <w:ind w:left="709" w:hanging="709"/>
      </w:pPr>
      <w:r>
        <w:t>Smerdon BD, Marston FM</w:t>
      </w:r>
      <w:r w:rsidR="00A14DC2">
        <w:t xml:space="preserve"> </w:t>
      </w:r>
      <w:r>
        <w:t>&amp; Ransley TR</w:t>
      </w:r>
      <w:r w:rsidR="00A14DC2">
        <w:t xml:space="preserve"> 2012. </w:t>
      </w:r>
      <w:r w:rsidR="00A14DC2" w:rsidRPr="005B4886">
        <w:rPr>
          <w:i/>
        </w:rPr>
        <w:t>Water resource assessment for the Great Artesian Basin</w:t>
      </w:r>
      <w:r w:rsidR="00A14DC2">
        <w:t>. Synthesis of a report to the Australian Government from the CSIRO Great Artesian Basin Water Resource Assessment.</w:t>
      </w:r>
      <w:r w:rsidR="000E240B" w:rsidRPr="00C90BE1">
        <w:t>Timms</w:t>
      </w:r>
      <w:r w:rsidR="000E240B">
        <w:t xml:space="preserve"> </w:t>
      </w:r>
      <w:r w:rsidR="000E240B" w:rsidRPr="00C90BE1">
        <w:t>W</w:t>
      </w:r>
      <w:r w:rsidR="000E240B">
        <w:t xml:space="preserve">, </w:t>
      </w:r>
      <w:r w:rsidR="000E240B" w:rsidRPr="00C90BE1">
        <w:t>Acworth</w:t>
      </w:r>
      <w:r>
        <w:t xml:space="preserve"> I</w:t>
      </w:r>
      <w:r w:rsidR="000E240B">
        <w:t>, H</w:t>
      </w:r>
      <w:r w:rsidR="000E240B" w:rsidRPr="00C90BE1">
        <w:t>artland</w:t>
      </w:r>
      <w:r>
        <w:t xml:space="preserve"> A</w:t>
      </w:r>
      <w:r w:rsidR="000E240B">
        <w:t xml:space="preserve"> </w:t>
      </w:r>
      <w:r>
        <w:t>&amp;</w:t>
      </w:r>
      <w:r w:rsidR="000E240B">
        <w:t xml:space="preserve"> </w:t>
      </w:r>
      <w:r w:rsidR="000E240B" w:rsidRPr="00C90BE1">
        <w:t>Laurence</w:t>
      </w:r>
      <w:r>
        <w:t xml:space="preserve"> D 2012. </w:t>
      </w:r>
      <w:proofErr w:type="gramStart"/>
      <w:r>
        <w:t>‘</w:t>
      </w:r>
      <w:r w:rsidR="000E240B" w:rsidRPr="00C90BE1">
        <w:t>Leading practices for assessing the integrity of confining strata:</w:t>
      </w:r>
      <w:r w:rsidR="000E240B">
        <w:t xml:space="preserve"> </w:t>
      </w:r>
      <w:r w:rsidR="000E240B" w:rsidRPr="00C90BE1">
        <w:t>application to mining and coal-seam gas extraction</w:t>
      </w:r>
      <w:r>
        <w:t>’</w:t>
      </w:r>
      <w:r w:rsidR="000E240B">
        <w:t xml:space="preserve"> in </w:t>
      </w:r>
      <w:r w:rsidR="000E240B" w:rsidRPr="005B4886">
        <w:rPr>
          <w:i/>
        </w:rPr>
        <w:t>International Mine Water Association Conference</w:t>
      </w:r>
      <w:r w:rsidR="000E240B" w:rsidRPr="00C90BE1">
        <w:t>, Bunbury, West Australia, 30 September - 4 October 2012</w:t>
      </w:r>
      <w:r w:rsidR="002F4A30">
        <w:t>.</w:t>
      </w:r>
      <w:proofErr w:type="gramEnd"/>
    </w:p>
    <w:p w:rsidR="000E240B" w:rsidRPr="00982255" w:rsidRDefault="000E240B" w:rsidP="00BE7A62">
      <w:pPr>
        <w:pStyle w:val="BRNormal"/>
        <w:spacing w:after="0"/>
        <w:ind w:left="709" w:hanging="709"/>
      </w:pPr>
      <w:proofErr w:type="gramStart"/>
      <w:r>
        <w:t>US EPA 2002</w:t>
      </w:r>
      <w:r w:rsidR="003E6601">
        <w:t>.</w:t>
      </w:r>
      <w:proofErr w:type="gramEnd"/>
      <w:r>
        <w:t xml:space="preserve"> </w:t>
      </w:r>
      <w:proofErr w:type="gramStart"/>
      <w:r w:rsidR="00982255">
        <w:rPr>
          <w:i/>
        </w:rPr>
        <w:t>Guidance on c</w:t>
      </w:r>
      <w:r w:rsidRPr="00982255">
        <w:rPr>
          <w:i/>
        </w:rPr>
        <w:t xml:space="preserve">hoosing a </w:t>
      </w:r>
      <w:r w:rsidR="00982255">
        <w:rPr>
          <w:i/>
        </w:rPr>
        <w:t>sampling design for e</w:t>
      </w:r>
      <w:r w:rsidRPr="00982255">
        <w:rPr>
          <w:i/>
        </w:rPr>
        <w:t xml:space="preserve">nvironmental </w:t>
      </w:r>
      <w:r w:rsidR="00982255">
        <w:rPr>
          <w:i/>
        </w:rPr>
        <w:t>data c</w:t>
      </w:r>
      <w:r w:rsidRPr="00982255">
        <w:rPr>
          <w:i/>
        </w:rPr>
        <w:t>ollection</w:t>
      </w:r>
      <w:r w:rsidR="00982255">
        <w:rPr>
          <w:i/>
        </w:rPr>
        <w:t xml:space="preserve">, </w:t>
      </w:r>
      <w:r w:rsidR="00982255">
        <w:t>for use in developing a Quality Assurance Project Plan.</w:t>
      </w:r>
      <w:proofErr w:type="gramEnd"/>
      <w:r w:rsidR="00982255">
        <w:t xml:space="preserve"> United States Environmental Protection Agency (US EPA), Washington DC, December 2002 (</w:t>
      </w:r>
      <w:r w:rsidR="00982255" w:rsidRPr="00982255">
        <w:t>http://www.epa.gov/quality/qs-docs/g5s-final.pdf</w:t>
      </w:r>
      <w:r w:rsidR="00982255">
        <w:t xml:space="preserve"> [accessed 24 April 2014]).</w:t>
      </w:r>
    </w:p>
    <w:p w:rsidR="000E240B" w:rsidRPr="0027710C" w:rsidRDefault="006F4D3C" w:rsidP="00BE7A62">
      <w:pPr>
        <w:pStyle w:val="BRNormal"/>
        <w:spacing w:after="0"/>
        <w:ind w:left="709" w:hanging="709"/>
      </w:pPr>
      <w:proofErr w:type="gramStart"/>
      <w:r>
        <w:t>USGS</w:t>
      </w:r>
      <w:r w:rsidR="000E240B" w:rsidRPr="0044543E">
        <w:t xml:space="preserve"> 2013.</w:t>
      </w:r>
      <w:proofErr w:type="gramEnd"/>
      <w:r w:rsidR="000E240B" w:rsidRPr="0044543E">
        <w:t xml:space="preserve"> </w:t>
      </w:r>
      <w:proofErr w:type="gramStart"/>
      <w:r w:rsidR="00982255" w:rsidRPr="00982255">
        <w:rPr>
          <w:i/>
        </w:rPr>
        <w:t>Glossary of hydrologic terms</w:t>
      </w:r>
      <w:r w:rsidR="00982255">
        <w:t xml:space="preserve">, </w:t>
      </w:r>
      <w:r w:rsidR="000E240B" w:rsidRPr="0044543E">
        <w:t>US Department of the Interior</w:t>
      </w:r>
      <w:r w:rsidR="00982255">
        <w:t>,</w:t>
      </w:r>
      <w:r w:rsidR="000E240B" w:rsidRPr="0044543E">
        <w:t xml:space="preserve"> US</w:t>
      </w:r>
      <w:r w:rsidR="00982255">
        <w:t xml:space="preserve"> Geological Survey (</w:t>
      </w:r>
      <w:hyperlink r:id="rId110" w:history="1">
        <w:r w:rsidR="000E240B" w:rsidRPr="0027710C">
          <w:t>http://or.water.usgs.gov/projs_dir/willgw/glossary.html</w:t>
        </w:r>
      </w:hyperlink>
      <w:r>
        <w:t xml:space="preserve"> [accessed 24 April 2014]).</w:t>
      </w:r>
      <w:proofErr w:type="gramEnd"/>
    </w:p>
    <w:p w:rsidR="000E240B" w:rsidRDefault="006F4D3C" w:rsidP="00BE7A62">
      <w:pPr>
        <w:pStyle w:val="BRNormal"/>
        <w:spacing w:after="0"/>
        <w:ind w:left="709" w:hanging="709"/>
      </w:pPr>
      <w:proofErr w:type="gramStart"/>
      <w:r>
        <w:t>Zhang C</w:t>
      </w:r>
      <w:r w:rsidR="000E240B">
        <w:t xml:space="preserve"> 2007</w:t>
      </w:r>
      <w:r w:rsidR="003E6601">
        <w:t>.</w:t>
      </w:r>
      <w:proofErr w:type="gramEnd"/>
      <w:r w:rsidR="000E240B">
        <w:t xml:space="preserve"> </w:t>
      </w:r>
      <w:proofErr w:type="gramStart"/>
      <w:r w:rsidR="000E240B" w:rsidRPr="006F4D3C">
        <w:rPr>
          <w:i/>
        </w:rPr>
        <w:t>Fundamentals of environmental sampling and analysis</w:t>
      </w:r>
      <w:r w:rsidR="000E240B">
        <w:t>, John Wiley and Sons Inc.</w:t>
      </w:r>
      <w:proofErr w:type="gramEnd"/>
      <w:r w:rsidR="0079449F">
        <w:t xml:space="preserve"> </w:t>
      </w:r>
    </w:p>
    <w:p w:rsidR="00471A93" w:rsidRDefault="00471A93" w:rsidP="001C3374">
      <w:pPr>
        <w:pStyle w:val="Body"/>
      </w:pPr>
    </w:p>
    <w:sectPr w:rsidR="00471A93" w:rsidSect="00654198">
      <w:headerReference w:type="default" r:id="rId111"/>
      <w:pgSz w:w="11900" w:h="16840" w:code="9"/>
      <w:pgMar w:top="1952" w:right="1418" w:bottom="1418" w:left="1418" w:header="0" w:footer="548" w:gutter="0"/>
      <w:cols w:space="284"/>
      <w:noEndnote/>
      <w:docGrid w:linePitch="326"/>
    </w:sectPr>
  </w:body>
</w:document>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4045BBA8" w15:done="0"/>
  <w15:commentEx w15:paraId="4E3CFE30" w15:done="0"/>
  <w15:commentEx w15:paraId="14F04F55" w15:done="0"/>
  <w15:commentEx w15:paraId="622025D3" w15:done="0"/>
  <w15:commentEx w15:paraId="06580777" w15:done="0"/>
  <w15:commentEx w15:paraId="1C221A09" w15:done="0"/>
  <w15:commentEx w15:paraId="7A2324B6" w15:done="0"/>
  <w15:commentEx w15:paraId="466F3540" w15:done="0"/>
  <w15:commentEx w15:paraId="32D14276" w15:done="0"/>
  <w15:commentEx w15:paraId="689996E6" w15:done="0"/>
  <w15:commentEx w15:paraId="585DE68E" w15:done="0"/>
  <w15:commentEx w15:paraId="7F27F757" w15:done="0"/>
  <w15:commentEx w15:paraId="24D4C066" w15:done="0"/>
  <w15:commentEx w15:paraId="5E655BB4" w15:done="0"/>
  <w15:commentEx w15:paraId="1079324F" w15:done="0"/>
  <w15:commentEx w15:paraId="017F7C3A" w15:done="0"/>
  <w15:commentEx w15:paraId="551BA955" w15:done="0"/>
  <w15:commentEx w15:paraId="1904CD88" w15:done="0"/>
  <w15:commentEx w15:paraId="4252E497" w15:done="0"/>
  <w15:commentEx w15:paraId="12F4118E" w15:done="0"/>
  <w15:commentEx w15:paraId="2182D260" w15:done="0"/>
  <w15:commentEx w15:paraId="70717B9D" w15:done="0"/>
  <w15:commentEx w15:paraId="6F269DE1" w15:done="0"/>
  <w15:commentEx w15:paraId="26B2534A" w15:done="0"/>
  <w15:commentEx w15:paraId="31445B12" w15:done="0"/>
  <w15:commentEx w15:paraId="6185B21F" w15:done="0"/>
  <w15:commentEx w15:paraId="1169EA6E" w15:done="0"/>
  <w15:commentEx w15:paraId="66CAA90F" w15:done="0"/>
  <w15:commentEx w15:paraId="707E9CA5" w15:done="0"/>
  <w15:commentEx w15:paraId="17038CB1" w15:done="0"/>
  <w15:commentEx w15:paraId="026156C8" w15:done="0"/>
  <w15:commentEx w15:paraId="6DD85F1B" w15:done="0"/>
  <w15:commentEx w15:paraId="3719785E" w15:done="0"/>
  <w15:commentEx w15:paraId="685405F5" w15:done="0"/>
  <w15:commentEx w15:paraId="3388A300" w15:done="0"/>
  <w15:commentEx w15:paraId="4B4A9853" w15:done="0"/>
  <w15:commentEx w15:paraId="5A3488C2" w15:done="0"/>
  <w15:commentEx w15:paraId="0E9EA839" w15:done="0"/>
  <w15:commentEx w15:paraId="5CA080D2" w15:done="0"/>
  <w15:commentEx w15:paraId="1A755961" w15:done="0"/>
  <w15:commentEx w15:paraId="05B1F5CF" w15:done="0"/>
  <w15:commentEx w15:paraId="18F58781" w15:done="0"/>
  <w15:commentEx w15:paraId="06A153FF" w15:done="0"/>
  <w15:commentEx w15:paraId="34BC118E" w15:done="0"/>
  <w15:commentEx w15:paraId="311E8A9F" w15:done="0"/>
  <w15:commentEx w15:paraId="016C1AEB" w15:done="0"/>
  <w15:commentEx w15:paraId="3C75ED26" w15:done="0"/>
  <w15:commentEx w15:paraId="3A1F75BF" w15:done="0"/>
  <w15:commentEx w15:paraId="2A8D56EF" w15:done="0"/>
  <w15:commentEx w15:paraId="79B3E75A" w15:done="0"/>
  <w15:commentEx w15:paraId="0C21D073" w15:done="0"/>
  <w15:commentEx w15:paraId="19252FAC" w15:done="0"/>
  <w15:commentEx w15:paraId="40EEA0C6" w15:done="0"/>
  <w15:commentEx w15:paraId="52E07DCA" w15:done="0"/>
  <w15:commentEx w15:paraId="3D772D11" w15:done="0"/>
  <w15:commentEx w15:paraId="2008C157" w15:done="0"/>
  <w15:commentEx w15:paraId="643B4DA0" w15:done="0"/>
  <w15:commentEx w15:paraId="521DCCF7" w15:done="0"/>
  <w15:commentEx w15:paraId="5C4CF167" w15:done="0"/>
  <w15:commentEx w15:paraId="0ED5D5D0" w15:done="0"/>
  <w15:commentEx w15:paraId="3C78346D" w15:done="0"/>
  <w15:commentEx w15:paraId="6A800559" w15:done="0"/>
  <w15:commentEx w15:paraId="4C5A19AC" w15:done="0"/>
  <w15:commentEx w15:paraId="532236AB" w15:done="0"/>
  <w15:commentEx w15:paraId="629813C3" w15:done="0"/>
  <w15:commentEx w15:paraId="7F3B1147" w15:done="0"/>
  <w15:commentEx w15:paraId="1812D126" w15:done="0"/>
  <w15:commentEx w15:paraId="24EE5820" w15:done="0"/>
  <w15:commentEx w15:paraId="66B79BBD" w15:done="0"/>
  <w15:commentEx w15:paraId="2CDE92E1" w15:done="0"/>
</w15:commentsEx>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3D5478" w:rsidRDefault="003D5478" w:rsidP="001C3374">
      <w:r>
        <w:separator/>
      </w:r>
    </w:p>
  </w:endnote>
  <w:endnote w:type="continuationSeparator" w:id="0">
    <w:p w:rsidR="003D5478" w:rsidRDefault="003D5478" w:rsidP="001C3374">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ArialMT">
    <w:altName w:val="Arial"/>
    <w:panose1 w:val="00000000000000000000"/>
    <w:charset w:val="00"/>
    <w:family w:val="auto"/>
    <w:notTrueType/>
    <w:pitch w:val="default"/>
    <w:sig w:usb0="00000003" w:usb1="00000000" w:usb2="00000000" w:usb3="00000000" w:csb0="00000001" w:csb1="00000000"/>
  </w:font>
  <w:font w:name="Calibri-Bold">
    <w:altName w:val="Calibri"/>
    <w:panose1 w:val="00000000000000000000"/>
    <w:charset w:val="4D"/>
    <w:family w:val="auto"/>
    <w:notTrueType/>
    <w:pitch w:val="default"/>
    <w:sig w:usb0="00000003" w:usb1="00000000" w:usb2="00000000" w:usb3="00000000" w:csb0="00000001" w:csb1="00000000"/>
  </w:font>
  <w:font w:name="MinionPro-Regular">
    <w:panose1 w:val="00000000000000000000"/>
    <w:charset w:val="4D"/>
    <w:family w:val="auto"/>
    <w:notTrueType/>
    <w:pitch w:val="default"/>
    <w:sig w:usb0="00000003" w:usb1="00000000" w:usb2="00000000" w:usb3="00000000" w:csb0="00000001" w:csb1="00000000"/>
  </w:font>
  <w:font w:name="Lucida Grande">
    <w:altName w:val="Times New Roman"/>
    <w:charset w:val="00"/>
    <w:family w:val="auto"/>
    <w:pitch w:val="variable"/>
    <w:sig w:usb0="00000000" w:usb1="5000A1FF" w:usb2="00000000" w:usb3="00000000" w:csb0="000001BF" w:csb1="00000000"/>
  </w:font>
  <w:font w:name="Calibri-BoldItalic">
    <w:altName w:val="Calibri"/>
    <w:panose1 w:val="00000000000000000000"/>
    <w:charset w:val="4D"/>
    <w:family w:val="auto"/>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Verdana">
    <w:panose1 w:val="020B0604030504040204"/>
    <w:charset w:val="00"/>
    <w:family w:val="swiss"/>
    <w:pitch w:val="variable"/>
    <w:sig w:usb0="A10006FF" w:usb1="4000205B" w:usb2="00000010" w:usb3="00000000" w:csb0="0000019F" w:csb1="00000000"/>
  </w:font>
  <w:font w:name="Arial Narrow">
    <w:panose1 w:val="020B0606020202030204"/>
    <w:charset w:val="00"/>
    <w:family w:val="swiss"/>
    <w:pitch w:val="variable"/>
    <w:sig w:usb0="00000287" w:usb1="00000800" w:usb2="00000000" w:usb3="00000000" w:csb0="0000009F" w:csb1="00000000"/>
  </w:font>
  <w:font w:name="Cambria Math">
    <w:panose1 w:val="02040503050406030204"/>
    <w:charset w:val="00"/>
    <w:family w:val="roman"/>
    <w:pitch w:val="variable"/>
    <w:sig w:usb0="E00002FF" w:usb1="420024FF" w:usb2="00000000" w:usb3="00000000" w:csb0="0000019F" w:csb1="00000000"/>
  </w:font>
  <w:font w:name="Arial-ItalicMT">
    <w:panose1 w:val="00000000000000000000"/>
    <w:charset w:val="00"/>
    <w:family w:val="swiss"/>
    <w:notTrueType/>
    <w:pitch w:val="default"/>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7491456"/>
      <w:docPartObj>
        <w:docPartGallery w:val="Page Numbers (Bottom of Page)"/>
        <w:docPartUnique/>
      </w:docPartObj>
    </w:sdtPr>
    <w:sdtContent>
      <w:sdt>
        <w:sdtPr>
          <w:id w:val="960151685"/>
          <w:docPartObj>
            <w:docPartGallery w:val="Page Numbers (Top of Page)"/>
            <w:docPartUnique/>
          </w:docPartObj>
        </w:sdtPr>
        <w:sdtContent>
          <w:sdt>
            <w:sdtPr>
              <w:id w:val="396480437"/>
              <w:docPartObj>
                <w:docPartGallery w:val="Page Numbers (Top of Page)"/>
                <w:docPartUnique/>
              </w:docPartObj>
            </w:sdtPr>
            <w:sdtContent>
              <w:p w:rsidR="00B45E8E" w:rsidRPr="00A1675B" w:rsidRDefault="00B45E8E" w:rsidP="00BE7A62">
                <w:pPr>
                  <w:pStyle w:val="Footer"/>
                  <w:jc w:val="center"/>
                </w:pPr>
                <w:proofErr w:type="gramStart"/>
                <w:r w:rsidRPr="005A4936">
                  <w:rPr>
                    <w:sz w:val="18"/>
                    <w:szCs w:val="18"/>
                  </w:rPr>
                  <w:t>page</w:t>
                </w:r>
                <w:proofErr w:type="gramEnd"/>
                <w:r w:rsidRPr="005A4936">
                  <w:rPr>
                    <w:sz w:val="18"/>
                    <w:szCs w:val="18"/>
                  </w:rPr>
                  <w:t xml:space="preserve"> </w:t>
                </w:r>
                <w:r w:rsidR="00E23933" w:rsidRPr="005A4936">
                  <w:rPr>
                    <w:sz w:val="18"/>
                    <w:szCs w:val="18"/>
                  </w:rPr>
                  <w:fldChar w:fldCharType="begin"/>
                </w:r>
                <w:r w:rsidRPr="005A4936">
                  <w:rPr>
                    <w:sz w:val="18"/>
                    <w:szCs w:val="18"/>
                  </w:rPr>
                  <w:instrText xml:space="preserve"> PAGE  \* Arabic </w:instrText>
                </w:r>
                <w:r w:rsidR="00E23933" w:rsidRPr="005A4936">
                  <w:rPr>
                    <w:sz w:val="18"/>
                    <w:szCs w:val="18"/>
                  </w:rPr>
                  <w:fldChar w:fldCharType="separate"/>
                </w:r>
                <w:r>
                  <w:rPr>
                    <w:noProof/>
                    <w:sz w:val="18"/>
                    <w:szCs w:val="18"/>
                  </w:rPr>
                  <w:t>4</w:t>
                </w:r>
                <w:r w:rsidR="00E23933" w:rsidRPr="005A4936">
                  <w:rPr>
                    <w:sz w:val="18"/>
                    <w:szCs w:val="18"/>
                  </w:rPr>
                  <w:fldChar w:fldCharType="end"/>
                </w:r>
                <w:r w:rsidRPr="005A4936">
                  <w:rPr>
                    <w:sz w:val="18"/>
                    <w:szCs w:val="18"/>
                  </w:rPr>
                  <w:t xml:space="preserve"> of </w:t>
                </w:r>
                <w:r w:rsidR="00E23933" w:rsidRPr="005A4936">
                  <w:rPr>
                    <w:sz w:val="18"/>
                    <w:szCs w:val="18"/>
                  </w:rPr>
                  <w:fldChar w:fldCharType="begin"/>
                </w:r>
                <w:r w:rsidRPr="005A4936">
                  <w:rPr>
                    <w:sz w:val="18"/>
                    <w:szCs w:val="18"/>
                  </w:rPr>
                  <w:instrText xml:space="preserve"> NUMPAGES  </w:instrText>
                </w:r>
                <w:r w:rsidR="00E23933" w:rsidRPr="005A4936">
                  <w:rPr>
                    <w:sz w:val="18"/>
                    <w:szCs w:val="18"/>
                  </w:rPr>
                  <w:fldChar w:fldCharType="separate"/>
                </w:r>
                <w:r>
                  <w:rPr>
                    <w:noProof/>
                    <w:sz w:val="18"/>
                    <w:szCs w:val="18"/>
                  </w:rPr>
                  <w:t>35</w:t>
                </w:r>
                <w:r w:rsidR="00E23933" w:rsidRPr="005A4936">
                  <w:rPr>
                    <w:sz w:val="18"/>
                    <w:szCs w:val="18"/>
                  </w:rPr>
                  <w:fldChar w:fldCharType="end"/>
                </w:r>
              </w:p>
            </w:sdtContent>
          </w:sdt>
        </w:sdtContent>
      </w:sdt>
    </w:sdtContent>
  </w:sdt>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987175474"/>
      <w:docPartObj>
        <w:docPartGallery w:val="Page Numbers (Bottom of Page)"/>
        <w:docPartUnique/>
      </w:docPartObj>
    </w:sdtPr>
    <w:sdtContent>
      <w:sdt>
        <w:sdtPr>
          <w:id w:val="-2099319842"/>
          <w:docPartObj>
            <w:docPartGallery w:val="Page Numbers (Top of Page)"/>
            <w:docPartUnique/>
          </w:docPartObj>
        </w:sdtPr>
        <w:sdtContent>
          <w:sdt>
            <w:sdtPr>
              <w:id w:val="112256753"/>
              <w:docPartObj>
                <w:docPartGallery w:val="Page Numbers (Bottom of Page)"/>
                <w:docPartUnique/>
              </w:docPartObj>
            </w:sdtPr>
            <w:sdtContent>
              <w:sdt>
                <w:sdtPr>
                  <w:id w:val="491762553"/>
                  <w:docPartObj>
                    <w:docPartGallery w:val="Page Numbers (Top of Page)"/>
                    <w:docPartUnique/>
                  </w:docPartObj>
                </w:sdtPr>
                <w:sdtContent>
                  <w:sdt>
                    <w:sdtPr>
                      <w:id w:val="2071225717"/>
                      <w:docPartObj>
                        <w:docPartGallery w:val="Page Numbers (Top of Page)"/>
                        <w:docPartUnique/>
                      </w:docPartObj>
                    </w:sdtPr>
                    <w:sdtContent>
                      <w:p w:rsidR="00B45E8E" w:rsidRPr="00A1675B" w:rsidRDefault="00B45E8E" w:rsidP="00BE7A62">
                        <w:pPr>
                          <w:pStyle w:val="Footer"/>
                          <w:jc w:val="center"/>
                        </w:pPr>
                        <w:proofErr w:type="gramStart"/>
                        <w:r w:rsidRPr="005A4936">
                          <w:rPr>
                            <w:sz w:val="18"/>
                            <w:szCs w:val="18"/>
                          </w:rPr>
                          <w:t>page</w:t>
                        </w:r>
                        <w:proofErr w:type="gramEnd"/>
                        <w:r w:rsidRPr="005A4936">
                          <w:rPr>
                            <w:sz w:val="18"/>
                            <w:szCs w:val="18"/>
                          </w:rPr>
                          <w:t xml:space="preserve"> </w:t>
                        </w:r>
                        <w:r w:rsidR="00E23933" w:rsidRPr="005A4936">
                          <w:rPr>
                            <w:sz w:val="18"/>
                            <w:szCs w:val="18"/>
                          </w:rPr>
                          <w:fldChar w:fldCharType="begin"/>
                        </w:r>
                        <w:r w:rsidRPr="005A4936">
                          <w:rPr>
                            <w:sz w:val="18"/>
                            <w:szCs w:val="18"/>
                          </w:rPr>
                          <w:instrText xml:space="preserve"> PAGE  \* Arabic </w:instrText>
                        </w:r>
                        <w:r w:rsidR="00E23933" w:rsidRPr="005A4936">
                          <w:rPr>
                            <w:sz w:val="18"/>
                            <w:szCs w:val="18"/>
                          </w:rPr>
                          <w:fldChar w:fldCharType="separate"/>
                        </w:r>
                        <w:r>
                          <w:rPr>
                            <w:noProof/>
                            <w:sz w:val="18"/>
                            <w:szCs w:val="18"/>
                          </w:rPr>
                          <w:t>2</w:t>
                        </w:r>
                        <w:r w:rsidR="00E23933" w:rsidRPr="005A4936">
                          <w:rPr>
                            <w:sz w:val="18"/>
                            <w:szCs w:val="18"/>
                          </w:rPr>
                          <w:fldChar w:fldCharType="end"/>
                        </w:r>
                        <w:r w:rsidRPr="005A4936">
                          <w:rPr>
                            <w:sz w:val="18"/>
                            <w:szCs w:val="18"/>
                          </w:rPr>
                          <w:t xml:space="preserve"> of </w:t>
                        </w:r>
                        <w:r w:rsidR="00E23933" w:rsidRPr="005A4936">
                          <w:rPr>
                            <w:sz w:val="18"/>
                            <w:szCs w:val="18"/>
                          </w:rPr>
                          <w:fldChar w:fldCharType="begin"/>
                        </w:r>
                        <w:r w:rsidRPr="005A4936">
                          <w:rPr>
                            <w:sz w:val="18"/>
                            <w:szCs w:val="18"/>
                          </w:rPr>
                          <w:instrText xml:space="preserve"> NUMPAGES  </w:instrText>
                        </w:r>
                        <w:r w:rsidR="00E23933" w:rsidRPr="005A4936">
                          <w:rPr>
                            <w:sz w:val="18"/>
                            <w:szCs w:val="18"/>
                          </w:rPr>
                          <w:fldChar w:fldCharType="separate"/>
                        </w:r>
                        <w:r>
                          <w:rPr>
                            <w:noProof/>
                            <w:sz w:val="18"/>
                            <w:szCs w:val="18"/>
                          </w:rPr>
                          <w:t>216</w:t>
                        </w:r>
                        <w:r w:rsidR="00E23933" w:rsidRPr="005A4936">
                          <w:rPr>
                            <w:sz w:val="18"/>
                            <w:szCs w:val="18"/>
                          </w:rPr>
                          <w:fldChar w:fldCharType="end"/>
                        </w:r>
                      </w:p>
                    </w:sdtContent>
                  </w:sdt>
                </w:sdtContent>
              </w:sdt>
            </w:sdtContent>
          </w:sdt>
        </w:sdtContent>
      </w:sdt>
    </w:sdtContent>
  </w:sdt>
  <w:p w:rsidR="00B45E8E" w:rsidRPr="00CF283E" w:rsidRDefault="00B45E8E" w:rsidP="00BE7A62">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45E8E" w:rsidRPr="00A1675B" w:rsidRDefault="00B45E8E" w:rsidP="00BE7A62">
    <w:pPr>
      <w:pStyle w:val="Footer"/>
    </w:pPr>
  </w:p>
  <w:p w:rsidR="00B45E8E" w:rsidRDefault="00B45E8E" w:rsidP="00BE7A62">
    <w:pPr>
      <w:pStyle w:val="Footer"/>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326201037"/>
      <w:docPartObj>
        <w:docPartGallery w:val="Page Numbers (Bottom of Page)"/>
        <w:docPartUnique/>
      </w:docPartObj>
    </w:sdtPr>
    <w:sdtContent>
      <w:sdt>
        <w:sdtPr>
          <w:id w:val="1295174911"/>
          <w:docPartObj>
            <w:docPartGallery w:val="Page Numbers (Top of Page)"/>
            <w:docPartUnique/>
          </w:docPartObj>
        </w:sdtPr>
        <w:sdtContent>
          <w:p w:rsidR="00B45E8E" w:rsidRDefault="00B45E8E" w:rsidP="002A5173">
            <w:pPr>
              <w:pStyle w:val="Footer"/>
              <w:jc w:val="center"/>
            </w:pPr>
            <w:r w:rsidRPr="002A5173">
              <w:rPr>
                <w:sz w:val="18"/>
                <w:szCs w:val="18"/>
              </w:rPr>
              <w:t xml:space="preserve">Page </w:t>
            </w:r>
            <w:r w:rsidR="00E23933" w:rsidRPr="002A5173">
              <w:rPr>
                <w:sz w:val="18"/>
                <w:szCs w:val="18"/>
              </w:rPr>
              <w:fldChar w:fldCharType="begin"/>
            </w:r>
            <w:r w:rsidRPr="002A5173">
              <w:rPr>
                <w:sz w:val="18"/>
                <w:szCs w:val="18"/>
              </w:rPr>
              <w:instrText xml:space="preserve"> PAGE </w:instrText>
            </w:r>
            <w:r w:rsidR="00E23933" w:rsidRPr="002A5173">
              <w:rPr>
                <w:sz w:val="18"/>
                <w:szCs w:val="18"/>
              </w:rPr>
              <w:fldChar w:fldCharType="separate"/>
            </w:r>
            <w:r>
              <w:rPr>
                <w:noProof/>
                <w:sz w:val="18"/>
                <w:szCs w:val="18"/>
              </w:rPr>
              <w:t>18</w:t>
            </w:r>
            <w:r w:rsidR="00E23933" w:rsidRPr="002A5173">
              <w:rPr>
                <w:sz w:val="18"/>
                <w:szCs w:val="18"/>
              </w:rPr>
              <w:fldChar w:fldCharType="end"/>
            </w:r>
            <w:r w:rsidRPr="002A5173">
              <w:rPr>
                <w:sz w:val="18"/>
                <w:szCs w:val="18"/>
              </w:rPr>
              <w:t xml:space="preserve"> of </w:t>
            </w:r>
            <w:r w:rsidR="00E23933" w:rsidRPr="002A5173">
              <w:rPr>
                <w:sz w:val="18"/>
                <w:szCs w:val="18"/>
              </w:rPr>
              <w:fldChar w:fldCharType="begin"/>
            </w:r>
            <w:r w:rsidRPr="002A5173">
              <w:rPr>
                <w:sz w:val="18"/>
                <w:szCs w:val="18"/>
              </w:rPr>
              <w:instrText xml:space="preserve"> NUMPAGES  </w:instrText>
            </w:r>
            <w:r w:rsidR="00E23933" w:rsidRPr="002A5173">
              <w:rPr>
                <w:sz w:val="18"/>
                <w:szCs w:val="18"/>
              </w:rPr>
              <w:fldChar w:fldCharType="separate"/>
            </w:r>
            <w:r>
              <w:rPr>
                <w:noProof/>
                <w:sz w:val="18"/>
                <w:szCs w:val="18"/>
              </w:rPr>
              <w:t>216</w:t>
            </w:r>
            <w:r w:rsidR="00E23933" w:rsidRPr="002A5173">
              <w:rPr>
                <w:sz w:val="18"/>
                <w:szCs w:val="18"/>
              </w:rPr>
              <w:fldChar w:fldCharType="end"/>
            </w:r>
          </w:p>
        </w:sdtContent>
      </w:sdt>
    </w:sdtContent>
  </w:sdt>
  <w:p w:rsidR="00B45E8E" w:rsidRPr="00152ABE" w:rsidRDefault="00B45E8E" w:rsidP="001C3374">
    <w:pPr>
      <w:pStyle w:val="Footer"/>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073197434"/>
      <w:docPartObj>
        <w:docPartGallery w:val="Page Numbers (Top of Page)"/>
        <w:docPartUnique/>
      </w:docPartObj>
    </w:sdtPr>
    <w:sdtEndPr>
      <w:rPr>
        <w:sz w:val="18"/>
        <w:szCs w:val="18"/>
      </w:rPr>
    </w:sdtEndPr>
    <w:sdtContent>
      <w:p w:rsidR="00B45E8E" w:rsidRPr="002A5173" w:rsidRDefault="00B45E8E" w:rsidP="002A5173">
        <w:pPr>
          <w:pStyle w:val="Footer"/>
          <w:jc w:val="center"/>
          <w:rPr>
            <w:sz w:val="18"/>
            <w:szCs w:val="18"/>
          </w:rPr>
        </w:pPr>
        <w:proofErr w:type="gramStart"/>
        <w:r>
          <w:rPr>
            <w:sz w:val="18"/>
            <w:szCs w:val="18"/>
          </w:rPr>
          <w:t>p</w:t>
        </w:r>
        <w:r w:rsidRPr="002A5173">
          <w:rPr>
            <w:sz w:val="18"/>
            <w:szCs w:val="18"/>
          </w:rPr>
          <w:t>age</w:t>
        </w:r>
        <w:proofErr w:type="gramEnd"/>
        <w:r w:rsidRPr="002A5173">
          <w:rPr>
            <w:sz w:val="18"/>
            <w:szCs w:val="18"/>
          </w:rPr>
          <w:t xml:space="preserve"> </w:t>
        </w:r>
        <w:r w:rsidR="00E23933" w:rsidRPr="002A5173">
          <w:rPr>
            <w:sz w:val="18"/>
            <w:szCs w:val="18"/>
          </w:rPr>
          <w:fldChar w:fldCharType="begin"/>
        </w:r>
        <w:r w:rsidRPr="002A5173">
          <w:rPr>
            <w:sz w:val="18"/>
            <w:szCs w:val="18"/>
          </w:rPr>
          <w:instrText xml:space="preserve"> PAGE </w:instrText>
        </w:r>
        <w:r w:rsidR="00E23933" w:rsidRPr="002A5173">
          <w:rPr>
            <w:sz w:val="18"/>
            <w:szCs w:val="18"/>
          </w:rPr>
          <w:fldChar w:fldCharType="separate"/>
        </w:r>
        <w:r w:rsidR="00704D86">
          <w:rPr>
            <w:noProof/>
            <w:sz w:val="18"/>
            <w:szCs w:val="18"/>
          </w:rPr>
          <w:t>27</w:t>
        </w:r>
        <w:r w:rsidR="00E23933" w:rsidRPr="002A5173">
          <w:rPr>
            <w:sz w:val="18"/>
            <w:szCs w:val="18"/>
          </w:rPr>
          <w:fldChar w:fldCharType="end"/>
        </w:r>
        <w:r w:rsidRPr="002A5173">
          <w:rPr>
            <w:sz w:val="18"/>
            <w:szCs w:val="18"/>
          </w:rPr>
          <w:t xml:space="preserve"> of </w:t>
        </w:r>
        <w:r w:rsidR="00E23933" w:rsidRPr="002A5173">
          <w:rPr>
            <w:sz w:val="18"/>
            <w:szCs w:val="18"/>
          </w:rPr>
          <w:fldChar w:fldCharType="begin"/>
        </w:r>
        <w:r w:rsidRPr="002A5173">
          <w:rPr>
            <w:sz w:val="18"/>
            <w:szCs w:val="18"/>
          </w:rPr>
          <w:instrText xml:space="preserve"> NUMPAGES  </w:instrText>
        </w:r>
        <w:r w:rsidR="00E23933" w:rsidRPr="002A5173">
          <w:rPr>
            <w:sz w:val="18"/>
            <w:szCs w:val="18"/>
          </w:rPr>
          <w:fldChar w:fldCharType="separate"/>
        </w:r>
        <w:r w:rsidR="00704D86">
          <w:rPr>
            <w:noProof/>
            <w:sz w:val="18"/>
            <w:szCs w:val="18"/>
          </w:rPr>
          <w:t>209</w:t>
        </w:r>
        <w:r w:rsidR="00E23933" w:rsidRPr="002A5173">
          <w:rPr>
            <w:sz w:val="18"/>
            <w:szCs w:val="18"/>
          </w:rPr>
          <w:fldChar w:fldCharType="end"/>
        </w:r>
      </w:p>
    </w:sdtContent>
  </w:sdt>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079041827"/>
      <w:docPartObj>
        <w:docPartGallery w:val="Page Numbers (Top of Page)"/>
        <w:docPartUnique/>
      </w:docPartObj>
    </w:sdtPr>
    <w:sdtContent>
      <w:p w:rsidR="00B45E8E" w:rsidRDefault="00B45E8E" w:rsidP="001053A1">
        <w:pPr>
          <w:pStyle w:val="Footer"/>
          <w:jc w:val="center"/>
        </w:pPr>
        <w:proofErr w:type="gramStart"/>
        <w:r>
          <w:rPr>
            <w:sz w:val="18"/>
            <w:szCs w:val="18"/>
          </w:rPr>
          <w:t>p</w:t>
        </w:r>
        <w:r w:rsidRPr="002A5173">
          <w:rPr>
            <w:sz w:val="18"/>
            <w:szCs w:val="18"/>
          </w:rPr>
          <w:t>age</w:t>
        </w:r>
        <w:proofErr w:type="gramEnd"/>
        <w:r w:rsidRPr="002A5173">
          <w:rPr>
            <w:sz w:val="18"/>
            <w:szCs w:val="18"/>
          </w:rPr>
          <w:t xml:space="preserve"> </w:t>
        </w:r>
        <w:r w:rsidR="00E23933" w:rsidRPr="002A5173">
          <w:rPr>
            <w:sz w:val="18"/>
            <w:szCs w:val="18"/>
          </w:rPr>
          <w:fldChar w:fldCharType="begin"/>
        </w:r>
        <w:r w:rsidRPr="002A5173">
          <w:rPr>
            <w:sz w:val="18"/>
            <w:szCs w:val="18"/>
          </w:rPr>
          <w:instrText xml:space="preserve"> PAGE </w:instrText>
        </w:r>
        <w:r w:rsidR="00E23933" w:rsidRPr="002A5173">
          <w:rPr>
            <w:sz w:val="18"/>
            <w:szCs w:val="18"/>
          </w:rPr>
          <w:fldChar w:fldCharType="separate"/>
        </w:r>
        <w:r w:rsidR="00704D86">
          <w:rPr>
            <w:noProof/>
            <w:sz w:val="18"/>
            <w:szCs w:val="18"/>
          </w:rPr>
          <w:t>209</w:t>
        </w:r>
        <w:r w:rsidR="00E23933" w:rsidRPr="002A5173">
          <w:rPr>
            <w:sz w:val="18"/>
            <w:szCs w:val="18"/>
          </w:rPr>
          <w:fldChar w:fldCharType="end"/>
        </w:r>
        <w:r w:rsidRPr="002A5173">
          <w:rPr>
            <w:sz w:val="18"/>
            <w:szCs w:val="18"/>
          </w:rPr>
          <w:t xml:space="preserve"> of </w:t>
        </w:r>
        <w:r w:rsidR="00E23933" w:rsidRPr="002A5173">
          <w:rPr>
            <w:sz w:val="18"/>
            <w:szCs w:val="18"/>
          </w:rPr>
          <w:fldChar w:fldCharType="begin"/>
        </w:r>
        <w:r w:rsidRPr="002A5173">
          <w:rPr>
            <w:sz w:val="18"/>
            <w:szCs w:val="18"/>
          </w:rPr>
          <w:instrText xml:space="preserve"> NUMPAGES  </w:instrText>
        </w:r>
        <w:r w:rsidR="00E23933" w:rsidRPr="002A5173">
          <w:rPr>
            <w:sz w:val="18"/>
            <w:szCs w:val="18"/>
          </w:rPr>
          <w:fldChar w:fldCharType="separate"/>
        </w:r>
        <w:r w:rsidR="00704D86">
          <w:rPr>
            <w:noProof/>
            <w:sz w:val="18"/>
            <w:szCs w:val="18"/>
          </w:rPr>
          <w:t>209</w:t>
        </w:r>
        <w:r w:rsidR="00E23933" w:rsidRPr="002A5173">
          <w:rPr>
            <w:sz w:val="18"/>
            <w:szCs w:val="18"/>
          </w:rPr>
          <w:fldChar w:fldCharType="end"/>
        </w:r>
      </w:p>
    </w:sdtContent>
  </w:sdt>
  <w:p w:rsidR="00B45E8E" w:rsidRDefault="00B45E8E" w:rsidP="001C3374">
    <w:pPr>
      <w:pStyle w:val="Footer"/>
    </w:pP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45E8E" w:rsidRDefault="00B45E8E" w:rsidP="001C3374">
    <w:pPr>
      <w:pStyle w:val="Footer"/>
    </w:pP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45E8E" w:rsidRDefault="00B45E8E" w:rsidP="001C3374">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3D5478" w:rsidRDefault="003D5478" w:rsidP="001C3374">
      <w:r>
        <w:separator/>
      </w:r>
    </w:p>
  </w:footnote>
  <w:footnote w:type="continuationSeparator" w:id="0">
    <w:p w:rsidR="003D5478" w:rsidRDefault="003D5478" w:rsidP="001C3374">
      <w:r>
        <w:continuationSeparator/>
      </w:r>
    </w:p>
  </w:footnote>
  <w:footnote w:id="1">
    <w:p w:rsidR="00B45E8E" w:rsidRPr="008734C3" w:rsidRDefault="00B45E8E">
      <w:pPr>
        <w:pStyle w:val="FootnoteText"/>
        <w:rPr>
          <w:lang w:val="en-AU"/>
        </w:rPr>
      </w:pPr>
      <w:r>
        <w:rPr>
          <w:rStyle w:val="FootnoteReference"/>
        </w:rPr>
        <w:footnoteRef/>
      </w:r>
      <w:r>
        <w:t xml:space="preserve"> </w:t>
      </w:r>
      <w:r w:rsidRPr="003614FB">
        <w:t>Queensland Petroleum Exploration Database is managed by the Geological Survey of Queensland</w:t>
      </w:r>
      <w:r>
        <w:t>,</w:t>
      </w:r>
      <w:r w:rsidRPr="003614FB">
        <w:t xml:space="preserve"> which is part of the Department of Natural Resources and Mines.</w:t>
      </w:r>
    </w:p>
  </w:footnote>
  <w:footnote w:id="2">
    <w:p w:rsidR="00B45E8E" w:rsidRPr="00FA2486" w:rsidRDefault="00B45E8E" w:rsidP="001C3374">
      <w:pPr>
        <w:pStyle w:val="FootnoteText"/>
        <w:rPr>
          <w:lang w:val="en-AU"/>
        </w:rPr>
      </w:pPr>
      <w:r>
        <w:rPr>
          <w:rStyle w:val="FootnoteReference"/>
        </w:rPr>
        <w:footnoteRef/>
      </w:r>
      <w:r>
        <w:t xml:space="preserve"> As of</w:t>
      </w:r>
      <w:r w:rsidRPr="003614FB">
        <w:t xml:space="preserve"> January 2013 the Queensland Water Commission</w:t>
      </w:r>
      <w:r>
        <w:t xml:space="preserve"> (QWC)</w:t>
      </w:r>
      <w:r w:rsidRPr="003614FB">
        <w:t xml:space="preserve"> is now known as the Office of Groundwater Impact Assessment</w:t>
      </w:r>
      <w:r>
        <w:t xml:space="preserve"> </w:t>
      </w:r>
      <w:r w:rsidRPr="003614FB">
        <w:t>(OGIA).</w:t>
      </w:r>
      <w:r>
        <w:t xml:space="preserve"> OGIA is an independent entity established under the </w:t>
      </w:r>
      <w:r w:rsidRPr="003614FB">
        <w:rPr>
          <w:i/>
        </w:rPr>
        <w:t>Water Act 2000</w:t>
      </w:r>
      <w:r>
        <w:rPr>
          <w:i/>
        </w:rPr>
        <w:t xml:space="preserve"> </w:t>
      </w:r>
      <w:r>
        <w:t>(Qld).</w:t>
      </w:r>
    </w:p>
  </w:footnote>
  <w:footnote w:id="3">
    <w:p w:rsidR="00B45E8E" w:rsidRPr="00ED2A07" w:rsidRDefault="00B45E8E" w:rsidP="001C3374">
      <w:pPr>
        <w:pStyle w:val="FootnoteText"/>
      </w:pPr>
      <w:r>
        <w:rPr>
          <w:rStyle w:val="FootnoteReference"/>
        </w:rPr>
        <w:footnoteRef/>
      </w:r>
      <w:r>
        <w:t xml:space="preserve"> </w:t>
      </w:r>
      <w:r>
        <w:rPr>
          <w:lang w:val="en-AU"/>
        </w:rPr>
        <w:t xml:space="preserve"> </w:t>
      </w:r>
      <w:r w:rsidRPr="003614FB">
        <w:t>In April 2012 the Queensland Department of Environment and Heritage Protection was established</w:t>
      </w:r>
      <w:r>
        <w:t>, replacing</w:t>
      </w:r>
      <w:r w:rsidRPr="003614FB">
        <w:t xml:space="preserve"> the former Department</w:t>
      </w:r>
      <w:r>
        <w:t xml:space="preserve"> </w:t>
      </w:r>
      <w:r w:rsidRPr="003614FB">
        <w:t>of Envir</w:t>
      </w:r>
      <w:r>
        <w:t>onment and Resource Management (DERM).</w:t>
      </w:r>
    </w:p>
  </w:footnote>
  <w:footnote w:id="4">
    <w:p w:rsidR="00B45E8E" w:rsidRPr="00CB0755" w:rsidRDefault="00B45E8E">
      <w:pPr>
        <w:pStyle w:val="FootnoteText"/>
      </w:pPr>
      <w:r w:rsidRPr="00CB0755">
        <w:rPr>
          <w:rStyle w:val="FootnoteReference"/>
          <w:vertAlign w:val="baseline"/>
        </w:rPr>
        <w:footnoteRef/>
      </w:r>
      <w:r w:rsidRPr="00CB0755">
        <w:t xml:space="preserve"> Queensland Petroleum Exploration Database contains general well history, company and Geological Survey of Queensland stratigraphic picks, drill stem tests, hydrocarbon indications, references, wireline log types, downhole temperatures, analytical results (e.g. oil, gas, pyrolysis, petrophysics, thermal maturity), and location information for over 7000 petroleum, coal seam gas and stratigraphic wells.</w:t>
      </w:r>
    </w:p>
  </w:footnote>
  <w:footnote w:id="5">
    <w:p w:rsidR="00B45E8E" w:rsidRPr="00CB0755" w:rsidRDefault="00B45E8E" w:rsidP="00CB0755">
      <w:pPr>
        <w:pStyle w:val="FootnoteText"/>
        <w:rPr>
          <w:lang w:val="en-AU"/>
        </w:rPr>
      </w:pPr>
      <w:r>
        <w:rPr>
          <w:rStyle w:val="FootnoteReference"/>
        </w:rPr>
        <w:footnoteRef/>
      </w:r>
      <w:r>
        <w:t xml:space="preserve"> </w:t>
      </w:r>
      <w:r w:rsidRPr="00CB0755">
        <w:t>PressurePlot was developed by CSIRO (CSIRO 2007) to query the PressureDB database and visualise its oil and gas data. PressureDB currently contains data for 1853 wel</w:t>
      </w:r>
      <w:r>
        <w:t>ls from basins across Australia.</w:t>
      </w:r>
    </w:p>
  </w:footnote>
  <w:footnote w:id="6">
    <w:p w:rsidR="00B45E8E" w:rsidRPr="00CB0755" w:rsidRDefault="00B45E8E" w:rsidP="00CB0755">
      <w:pPr>
        <w:pStyle w:val="FootnoteText"/>
      </w:pPr>
      <w:r w:rsidRPr="00CB0755">
        <w:rPr>
          <w:rStyle w:val="FootnoteReference"/>
          <w:vertAlign w:val="baseline"/>
        </w:rPr>
        <w:footnoteRef/>
      </w:r>
      <w:r w:rsidRPr="00CB0755">
        <w:t xml:space="preserve"> The Geological Survey of Queensland manages the collection of company exploration reports using an internet document management system called QDEX (Queensland Digital Exploration Reports system) </w:t>
      </w:r>
      <w:hyperlink r:id="rId1" w:history="1">
        <w:r w:rsidRPr="00CB0755">
          <w:t>http://mines.industry.qld.gov.au/geoscience/company-exploration-reports.htm</w:t>
        </w:r>
      </w:hyperlink>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45E8E" w:rsidRDefault="00E23933" w:rsidP="00BE7A62">
    <w:pPr>
      <w:pStyle w:val="Header"/>
    </w:pPr>
    <w:r w:rsidRPr="00E23933">
      <w:rPr>
        <w:noProof/>
      </w:rPr>
      <w:pict>
        <v:shapetype id="_x0000_t202" coordsize="21600,21600" o:spt="202" path="m,l,21600r21600,l21600,xe">
          <v:stroke joinstyle="miter"/>
          <v:path gradientshapeok="t" o:connecttype="rect"/>
        </v:shapetype>
        <v:shape id="Text Box 3" o:spid="_x0000_s2301" type="#_x0000_t202" style="position:absolute;margin-left:177.85pt;margin-top:56.2pt;width:283.75pt;height:24.45pt;z-index:251743744;visibility:visible;mso-wrap-distance-left:9pt;mso-wrap-distance-top:0;mso-wrap-distance-right:9pt;mso-wrap-distance-bottom:0;mso-position-horizontal-relative:text;mso-position-vertical-relative:text;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" filled="f" stroked="f">
          <v:textbox style="mso-next-textbox:#Text Box 3" inset="0,,0">
            <w:txbxContent>
              <w:p w:rsidR="00B45E8E" w:rsidRPr="001D04F9" w:rsidRDefault="00B45E8E" w:rsidP="00BE7A62">
                <w:pPr>
                  <w:pStyle w:val="BasicParagraph"/>
                  <w:jc w:val="right"/>
                  <w:rPr>
                    <w:rFonts w:ascii="Arial" w:hAnsi="Arial" w:cs="Arial"/>
                    <w:sz w:val="20"/>
                    <w:szCs w:val="20"/>
                  </w:rPr>
                </w:pPr>
                <w:r>
                  <w:rPr>
                    <w:rFonts w:ascii="Arial" w:hAnsi="Arial" w:cs="Arial"/>
                    <w:sz w:val="20"/>
                    <w:szCs w:val="20"/>
                  </w:rPr>
                  <w:t>Enter publication title here – use minimal capitalisation</w:t>
                </w:r>
              </w:p>
              <w:p w:rsidR="00B45E8E" w:rsidRPr="0040292A" w:rsidRDefault="00B45E8E" w:rsidP="00BE7A62"/>
            </w:txbxContent>
          </v:textbox>
        </v:shape>
      </w:pict>
    </w:r>
    <w:r w:rsidR="00B45E8E">
      <w:rPr>
        <w:noProof/>
        <w:lang w:val="en-AU" w:eastAsia="en-AU"/>
      </w:rPr>
      <w:drawing>
        <wp:anchor distT="0" distB="0" distL="114300" distR="114300" simplePos="0" relativeHeight="251742720" behindDoc="0" locked="0" layoutInCell="1" allowOverlap="1">
          <wp:simplePos x="0" y="0"/>
          <wp:positionH relativeFrom="column">
            <wp:posOffset>-976630</wp:posOffset>
          </wp:positionH>
          <wp:positionV relativeFrom="paragraph">
            <wp:posOffset>5080</wp:posOffset>
          </wp:positionV>
          <wp:extent cx="7629525" cy="872490"/>
          <wp:effectExtent l="0" t="0" r="0" b="0"/>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spread_back.jpg"/>
                  <pic:cNvPicPr/>
                </pic:nvPicPr>
                <pic:blipFill rotWithShape="1">
                  <a:blip r:embed="rId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32574"/>
                  <a:stretch/>
                </pic:blipFill>
                <pic:spPr bwMode="auto">
                  <a:xfrm>
                    <a:off x="0" y="0"/>
                    <a:ext cx="7629525" cy="87249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hdr>
</file>

<file path=word/header1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45E8E" w:rsidRDefault="000C6202" w:rsidP="002A5173">
    <w:pPr>
      <w:pStyle w:val="Header"/>
      <w:ind w:hanging="1418"/>
    </w:pPr>
    <w:r>
      <w:rPr>
        <w:noProof/>
        <w:lang w:val="en-AU" w:eastAsia="en-AU"/>
      </w:rPr>
      <w:drawing>
        <wp:anchor distT="0" distB="0" distL="114300" distR="114300" simplePos="0" relativeHeight="251649534" behindDoc="0" locked="0" layoutInCell="1" allowOverlap="1">
          <wp:simplePos x="0" y="0"/>
          <wp:positionH relativeFrom="page">
            <wp:posOffset>-69215</wp:posOffset>
          </wp:positionH>
          <wp:positionV relativeFrom="page">
            <wp:posOffset>49530</wp:posOffset>
          </wp:positionV>
          <wp:extent cx="7662545" cy="795020"/>
          <wp:effectExtent l="0" t="0" r="0" b="0"/>
          <wp:wrapSquare wrapText="bothSides"/>
          <wp:docPr id="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8039"/>
                  <a:stretch/>
                </pic:blipFill>
                <pic:spPr bwMode="auto">
                  <a:xfrm>
                    <a:off x="0" y="0"/>
                    <a:ext cx="7662545" cy="79502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00E23933">
      <w:rPr>
        <w:noProof/>
        <w:lang w:val="en-AU" w:eastAsia="en-AU"/>
      </w:rPr>
      <w:pict>
        <v:shapetype id="_x0000_t202" coordsize="21600,21600" o:spt="202" path="m,l,21600r21600,l21600,xe">
          <v:stroke joinstyle="miter"/>
          <v:path gradientshapeok="t" o:connecttype="rect"/>
        </v:shapetype>
        <v:shape id="_x0000_s2117" type="#_x0000_t202" style="position:absolute;margin-left:-7.75pt;margin-top:67.5pt;width:503.1pt;height:23.25pt;z-index:251689472;visibility:visible;mso-wrap-distance-left:9pt;mso-wrap-distance-top:0;mso-wrap-distance-right:9pt;mso-wrap-distance-bottom:0;mso-position-horizontal-relative:text;mso-position-vertical-relative:text;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" filled="f" stroked="f">
          <v:path arrowok="t"/>
          <v:textbox style="mso-next-textbox:#_x0000_s2117" inset="0,,0">
            <w:txbxContent>
              <w:p w:rsidR="00B45E8E" w:rsidRPr="00E06009" w:rsidRDefault="00B45E8E" w:rsidP="001C3374">
                <w:pPr>
                  <w:pStyle w:val="BasicParagraph"/>
                  <w:rPr>
                    <w:rFonts w:ascii="Arial" w:hAnsi="Arial" w:cs="Arial"/>
                    <w:color w:val="808080" w:themeColor="background1" w:themeShade="80"/>
                    <w:sz w:val="20"/>
                    <w:szCs w:val="20"/>
                  </w:rPr>
                </w:pPr>
                <w:r w:rsidRPr="00E06009">
                  <w:rPr>
                    <w:rFonts w:ascii="Arial" w:hAnsi="Arial" w:cs="Arial"/>
                    <w:color w:val="808080" w:themeColor="background1" w:themeShade="80"/>
                    <w:sz w:val="20"/>
                    <w:szCs w:val="20"/>
                  </w:rPr>
                  <w:t>Background review: aquifer connectivity within the Great Artesian</w:t>
                </w:r>
                <w:r>
                  <w:rPr>
                    <w:rFonts w:ascii="Arial" w:hAnsi="Arial" w:cs="Arial"/>
                    <w:color w:val="808080" w:themeColor="background1" w:themeShade="80"/>
                    <w:sz w:val="20"/>
                    <w:szCs w:val="20"/>
                  </w:rPr>
                  <w:t xml:space="preserve"> Basin</w:t>
                </w:r>
                <w:r w:rsidRPr="00E06009">
                  <w:rPr>
                    <w:rFonts w:ascii="Arial" w:hAnsi="Arial" w:cs="Arial"/>
                    <w:color w:val="808080" w:themeColor="background1" w:themeShade="80"/>
                    <w:sz w:val="20"/>
                    <w:szCs w:val="20"/>
                  </w:rPr>
                  <w:t>,</w:t>
                </w:r>
                <w:r>
                  <w:rPr>
                    <w:rFonts w:ascii="Arial" w:hAnsi="Arial" w:cs="Arial"/>
                    <w:color w:val="808080" w:themeColor="background1" w:themeShade="80"/>
                    <w:sz w:val="20"/>
                    <w:szCs w:val="20"/>
                  </w:rPr>
                  <w:t xml:space="preserve"> and Surat, Bowen and Galilee B</w:t>
                </w:r>
                <w:r w:rsidRPr="00E06009">
                  <w:rPr>
                    <w:rFonts w:ascii="Arial" w:hAnsi="Arial" w:cs="Arial"/>
                    <w:color w:val="808080" w:themeColor="background1" w:themeShade="80"/>
                    <w:sz w:val="20"/>
                    <w:szCs w:val="20"/>
                  </w:rPr>
                  <w:t>asins</w:t>
                </w:r>
              </w:p>
              <w:p w:rsidR="00B45E8E" w:rsidRDefault="00B45E8E" w:rsidP="001C3374"/>
            </w:txbxContent>
          </v:textbox>
        </v:shape>
      </w:pict>
    </w:r>
  </w:p>
</w:hdr>
</file>

<file path=word/header1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45E8E" w:rsidRDefault="00B45E8E" w:rsidP="001C3374">
    <w:pPr>
      <w:pStyle w:val="Header"/>
    </w:pPr>
    <w:r>
      <w:rPr>
        <w:noProof/>
        <w:lang w:val="en-AU" w:eastAsia="en-AU"/>
      </w:rPr>
      <w:drawing>
        <wp:anchor distT="0" distB="0" distL="114300" distR="114300" simplePos="0" relativeHeight="251661824" behindDoc="1" locked="0" layoutInCell="1" allowOverlap="1">
          <wp:simplePos x="0" y="0"/>
          <wp:positionH relativeFrom="margin">
            <wp:align>center</wp:align>
          </wp:positionH>
          <wp:positionV relativeFrom="margin">
            <wp:align>center</wp:align>
          </wp:positionV>
          <wp:extent cx="7559040" cy="10692130"/>
          <wp:effectExtent l="0" t="0" r="10160" b="1270"/>
          <wp:wrapNone/>
          <wp:docPr id="35" name="Picture 27" descr="page_spread_b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page_spread_back"/>
                  <pic:cNvPicPr>
                    <a:picLocks noChangeAspect="1" noChangeArrowheads="1"/>
                  </pic:cNvPicPr>
                </pic:nvPicPr>
                <pic:blipFill>
                  <a:blip r:embed="rId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559040" cy="10692130"/>
                  </a:xfrm>
                  <a:prstGeom prst="rect">
                    <a:avLst/>
                  </a:prstGeom>
                  <a:noFill/>
                </pic:spPr>
              </pic:pic>
            </a:graphicData>
          </a:graphic>
        </wp:anchor>
      </w:drawing>
    </w:r>
  </w:p>
</w:hdr>
</file>

<file path=word/header1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45E8E" w:rsidRDefault="00E23933" w:rsidP="002A5173">
    <w:pPr>
      <w:pStyle w:val="Header"/>
      <w:ind w:hanging="1418"/>
    </w:pPr>
    <w:r>
      <w:rPr>
        <w:noProof/>
        <w:lang w:val="en-AU" w:eastAsia="en-AU"/>
      </w:rPr>
      <w:pict>
        <v:shapetype id="_x0000_t202" coordsize="21600,21600" o:spt="202" path="m,l,21600r21600,l21600,xe">
          <v:stroke joinstyle="miter"/>
          <v:path gradientshapeok="t" o:connecttype="rect"/>
        </v:shapetype>
        <v:shape id="_x0000_s2203" type="#_x0000_t202" style="position:absolute;margin-left:190.85pt;margin-top:66pt;width:498.75pt;height:23.25pt;z-index:251721216;visibility:visible;mso-wrap-distance-left:0;mso-wrap-distance-top:0;mso-wrap-distance-right:0;mso-wrap-distance-bottom:8.5pt;mso-position-horizontal-relative:text;mso-position-vertical-relative:text;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" filled="f" stroked="f">
          <v:path arrowok="t"/>
          <v:textbox style="mso-next-textbox:#_x0000_s2203" inset="0,,0">
            <w:txbxContent>
              <w:p w:rsidR="00B45E8E" w:rsidRPr="00E06009" w:rsidRDefault="00B45E8E" w:rsidP="001C3374">
                <w:pPr>
                  <w:pStyle w:val="BasicParagraph"/>
                  <w:rPr>
                    <w:rFonts w:ascii="Arial" w:hAnsi="Arial" w:cs="Arial"/>
                    <w:color w:val="808080" w:themeColor="background1" w:themeShade="80"/>
                    <w:sz w:val="20"/>
                    <w:szCs w:val="20"/>
                  </w:rPr>
                </w:pPr>
                <w:r w:rsidRPr="00E06009">
                  <w:rPr>
                    <w:rFonts w:ascii="Arial" w:hAnsi="Arial" w:cs="Arial"/>
                    <w:color w:val="808080" w:themeColor="background1" w:themeShade="80"/>
                    <w:sz w:val="20"/>
                    <w:szCs w:val="20"/>
                  </w:rPr>
                  <w:t>Background review: aquifer connectivity within the Great Artesian</w:t>
                </w:r>
                <w:r>
                  <w:rPr>
                    <w:rFonts w:ascii="Arial" w:hAnsi="Arial" w:cs="Arial"/>
                    <w:color w:val="808080" w:themeColor="background1" w:themeShade="80"/>
                    <w:sz w:val="20"/>
                    <w:szCs w:val="20"/>
                  </w:rPr>
                  <w:t xml:space="preserve"> Basin</w:t>
                </w:r>
                <w:r w:rsidRPr="00E06009">
                  <w:rPr>
                    <w:rFonts w:ascii="Arial" w:hAnsi="Arial" w:cs="Arial"/>
                    <w:color w:val="808080" w:themeColor="background1" w:themeShade="80"/>
                    <w:sz w:val="20"/>
                    <w:szCs w:val="20"/>
                  </w:rPr>
                  <w:t>,</w:t>
                </w:r>
                <w:r>
                  <w:rPr>
                    <w:rFonts w:ascii="Arial" w:hAnsi="Arial" w:cs="Arial"/>
                    <w:color w:val="808080" w:themeColor="background1" w:themeShade="80"/>
                    <w:sz w:val="20"/>
                    <w:szCs w:val="20"/>
                  </w:rPr>
                  <w:t xml:space="preserve"> and Surat, Bowen and Galilee B</w:t>
                </w:r>
                <w:r w:rsidRPr="00E06009">
                  <w:rPr>
                    <w:rFonts w:ascii="Arial" w:hAnsi="Arial" w:cs="Arial"/>
                    <w:color w:val="808080" w:themeColor="background1" w:themeShade="80"/>
                    <w:sz w:val="20"/>
                    <w:szCs w:val="20"/>
                  </w:rPr>
                  <w:t>asins</w:t>
                </w:r>
              </w:p>
              <w:p w:rsidR="00B45E8E" w:rsidRPr="00E06009" w:rsidRDefault="00B45E8E" w:rsidP="001C3374">
                <w:pPr>
                  <w:rPr>
                    <w:color w:val="808080" w:themeColor="background1" w:themeShade="80"/>
                  </w:rPr>
                </w:pPr>
              </w:p>
            </w:txbxContent>
          </v:textbox>
          <w10:wrap type="square"/>
        </v:shape>
      </w:pict>
    </w:r>
    <w:r w:rsidR="00B45E8E">
      <w:rPr>
        <w:noProof/>
        <w:lang w:val="en-AU" w:eastAsia="en-AU"/>
      </w:rPr>
      <w:drawing>
        <wp:inline distT="0" distB="0" distL="0" distR="0">
          <wp:extent cx="10753725" cy="828348"/>
          <wp:effectExtent l="0" t="0" r="0" b="0"/>
          <wp:docPr id="39" name="Picture 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12121"/>
                  <a:stretch/>
                </pic:blipFill>
                <pic:spPr bwMode="auto">
                  <a:xfrm>
                    <a:off x="0" y="0"/>
                    <a:ext cx="10749202" cy="8280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hdr>
</file>

<file path=word/header1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45E8E" w:rsidRDefault="000C6202" w:rsidP="002A5173">
    <w:pPr>
      <w:pStyle w:val="Header"/>
      <w:ind w:hanging="1418"/>
    </w:pPr>
    <w:r>
      <w:rPr>
        <w:noProof/>
        <w:lang w:val="en-AU" w:eastAsia="en-AU"/>
      </w:rPr>
      <w:drawing>
        <wp:anchor distT="0" distB="0" distL="114300" distR="114300" simplePos="0" relativeHeight="251648509" behindDoc="0" locked="0" layoutInCell="1" allowOverlap="1">
          <wp:simplePos x="0" y="0"/>
          <wp:positionH relativeFrom="page">
            <wp:posOffset>-73572</wp:posOffset>
          </wp:positionH>
          <wp:positionV relativeFrom="page">
            <wp:posOffset>42041</wp:posOffset>
          </wp:positionV>
          <wp:extent cx="10819163" cy="756745"/>
          <wp:effectExtent l="0" t="0" r="0" b="0"/>
          <wp:wrapSquare wrapText="bothSides"/>
          <wp:docPr id="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8861"/>
                  <a:stretch/>
                </pic:blipFill>
                <pic:spPr bwMode="auto">
                  <a:xfrm>
                    <a:off x="0" y="0"/>
                    <a:ext cx="10872000" cy="760441"/>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00E23933">
      <w:rPr>
        <w:noProof/>
        <w:lang w:val="en-AU" w:eastAsia="en-AU"/>
      </w:rPr>
      <w:pict>
        <v:shapetype id="_x0000_t202" coordsize="21600,21600" o:spt="202" path="m,l,21600r21600,l21600,xe">
          <v:stroke joinstyle="miter"/>
          <v:path gradientshapeok="t" o:connecttype="rect"/>
        </v:shapetype>
        <v:shape id="_x0000_s2118" type="#_x0000_t202" style="position:absolute;margin-left:200pt;margin-top:63.75pt;width:503.1pt;height:23.25pt;z-index:251691520;visibility:visible;mso-wrap-distance-left:9pt;mso-wrap-distance-top:0;mso-wrap-distance-right:9pt;mso-wrap-distance-bottom:0;mso-position-horizontal-relative:text;mso-position-vertical-relative:text;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" filled="f" stroked="f">
          <v:path arrowok="t"/>
          <v:textbox style="mso-next-textbox:#_x0000_s2118" inset="0,,0">
            <w:txbxContent>
              <w:p w:rsidR="00B45E8E" w:rsidRPr="00E06009" w:rsidRDefault="00B45E8E" w:rsidP="001C3374">
                <w:pPr>
                  <w:pStyle w:val="BasicParagraph"/>
                  <w:rPr>
                    <w:rFonts w:ascii="Arial" w:hAnsi="Arial" w:cs="Arial"/>
                    <w:color w:val="808080" w:themeColor="background1" w:themeShade="80"/>
                    <w:sz w:val="20"/>
                    <w:szCs w:val="20"/>
                  </w:rPr>
                </w:pPr>
                <w:r w:rsidRPr="00E06009">
                  <w:rPr>
                    <w:rFonts w:ascii="Arial" w:hAnsi="Arial" w:cs="Arial"/>
                    <w:color w:val="808080" w:themeColor="background1" w:themeShade="80"/>
                    <w:sz w:val="20"/>
                    <w:szCs w:val="20"/>
                  </w:rPr>
                  <w:t>Background review: aquifer connectivity within the Great Artesian</w:t>
                </w:r>
                <w:r>
                  <w:rPr>
                    <w:rFonts w:ascii="Arial" w:hAnsi="Arial" w:cs="Arial"/>
                    <w:color w:val="808080" w:themeColor="background1" w:themeShade="80"/>
                    <w:sz w:val="20"/>
                    <w:szCs w:val="20"/>
                  </w:rPr>
                  <w:t xml:space="preserve"> Basin</w:t>
                </w:r>
                <w:r w:rsidRPr="00E06009">
                  <w:rPr>
                    <w:rFonts w:ascii="Arial" w:hAnsi="Arial" w:cs="Arial"/>
                    <w:color w:val="808080" w:themeColor="background1" w:themeShade="80"/>
                    <w:sz w:val="20"/>
                    <w:szCs w:val="20"/>
                  </w:rPr>
                  <w:t>,</w:t>
                </w:r>
                <w:r>
                  <w:rPr>
                    <w:rFonts w:ascii="Arial" w:hAnsi="Arial" w:cs="Arial"/>
                    <w:color w:val="808080" w:themeColor="background1" w:themeShade="80"/>
                    <w:sz w:val="20"/>
                    <w:szCs w:val="20"/>
                  </w:rPr>
                  <w:t xml:space="preserve"> and</w:t>
                </w:r>
                <w:r w:rsidRPr="00E06009">
                  <w:rPr>
                    <w:rFonts w:ascii="Arial" w:hAnsi="Arial" w:cs="Arial"/>
                    <w:color w:val="808080" w:themeColor="background1" w:themeShade="80"/>
                    <w:sz w:val="20"/>
                    <w:szCs w:val="20"/>
                  </w:rPr>
                  <w:t xml:space="preserve"> Surat, Bowen and Galilee basins</w:t>
                </w:r>
              </w:p>
              <w:p w:rsidR="00B45E8E" w:rsidRDefault="00B45E8E" w:rsidP="001C3374"/>
            </w:txbxContent>
          </v:textbox>
        </v:shape>
      </w:pict>
    </w:r>
  </w:p>
</w:hdr>
</file>

<file path=word/header1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45E8E" w:rsidRDefault="00E23933" w:rsidP="00995602">
    <w:pPr>
      <w:pStyle w:val="Header"/>
      <w:ind w:hanging="1418"/>
    </w:pPr>
    <w:r>
      <w:rPr>
        <w:noProof/>
        <w:lang w:val="en-AU" w:eastAsia="en-AU"/>
      </w:rPr>
      <w:pict>
        <v:shapetype id="_x0000_t202" coordsize="21600,21600" o:spt="202" path="m,l,21600r21600,l21600,xe">
          <v:stroke joinstyle="miter"/>
          <v:path gradientshapeok="t" o:connecttype="rect"/>
        </v:shapetype>
        <v:shape id="_x0000_s2204" type="#_x0000_t202" style="position:absolute;margin-left:-32.3pt;margin-top:76.5pt;width:498.75pt;height:23.25pt;z-index:251723264;visibility:visible;mso-wrap-distance-left:0;mso-wrap-distance-top:0;mso-wrap-distance-right:0;mso-wrap-distance-bottom:8.5pt;mso-position-horizontal-relative:text;mso-position-vertical-relative:text;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" filled="f" stroked="f">
          <v:path arrowok="t"/>
          <v:textbox style="mso-next-textbox:#_x0000_s2204" inset="0,,0">
            <w:txbxContent>
              <w:p w:rsidR="00B45E8E" w:rsidRPr="00E06009" w:rsidRDefault="00B45E8E" w:rsidP="001C3374">
                <w:pPr>
                  <w:pStyle w:val="BasicParagraph"/>
                  <w:rPr>
                    <w:rFonts w:ascii="Arial" w:hAnsi="Arial" w:cs="Arial"/>
                    <w:color w:val="808080" w:themeColor="background1" w:themeShade="80"/>
                    <w:sz w:val="20"/>
                    <w:szCs w:val="20"/>
                  </w:rPr>
                </w:pPr>
                <w:r w:rsidRPr="00E06009">
                  <w:rPr>
                    <w:rFonts w:ascii="Arial" w:hAnsi="Arial" w:cs="Arial"/>
                    <w:color w:val="808080" w:themeColor="background1" w:themeShade="80"/>
                    <w:sz w:val="20"/>
                    <w:szCs w:val="20"/>
                  </w:rPr>
                  <w:t>Background review: aquifer connectivity within the Great Artesian</w:t>
                </w:r>
                <w:r>
                  <w:rPr>
                    <w:rFonts w:ascii="Arial" w:hAnsi="Arial" w:cs="Arial"/>
                    <w:color w:val="808080" w:themeColor="background1" w:themeShade="80"/>
                    <w:sz w:val="20"/>
                    <w:szCs w:val="20"/>
                  </w:rPr>
                  <w:t xml:space="preserve"> Basin</w:t>
                </w:r>
                <w:r w:rsidRPr="00E06009">
                  <w:rPr>
                    <w:rFonts w:ascii="Arial" w:hAnsi="Arial" w:cs="Arial"/>
                    <w:color w:val="808080" w:themeColor="background1" w:themeShade="80"/>
                    <w:sz w:val="20"/>
                    <w:szCs w:val="20"/>
                  </w:rPr>
                  <w:t>,</w:t>
                </w:r>
                <w:r>
                  <w:rPr>
                    <w:rFonts w:ascii="Arial" w:hAnsi="Arial" w:cs="Arial"/>
                    <w:color w:val="808080" w:themeColor="background1" w:themeShade="80"/>
                    <w:sz w:val="20"/>
                    <w:szCs w:val="20"/>
                  </w:rPr>
                  <w:t xml:space="preserve"> and Surat, Bowen and Galilee B</w:t>
                </w:r>
                <w:r w:rsidRPr="00E06009">
                  <w:rPr>
                    <w:rFonts w:ascii="Arial" w:hAnsi="Arial" w:cs="Arial"/>
                    <w:color w:val="808080" w:themeColor="background1" w:themeShade="80"/>
                    <w:sz w:val="20"/>
                    <w:szCs w:val="20"/>
                  </w:rPr>
                  <w:t>asins</w:t>
                </w:r>
              </w:p>
              <w:p w:rsidR="00B45E8E" w:rsidRPr="00E06009" w:rsidRDefault="00B45E8E" w:rsidP="001C3374">
                <w:pPr>
                  <w:rPr>
                    <w:color w:val="808080" w:themeColor="background1" w:themeShade="80"/>
                  </w:rPr>
                </w:pPr>
              </w:p>
            </w:txbxContent>
          </v:textbox>
          <w10:wrap type="square"/>
        </v:shape>
      </w:pict>
    </w:r>
    <w:r w:rsidR="00B45E8E">
      <w:rPr>
        <w:noProof/>
        <w:lang w:val="en-AU" w:eastAsia="en-AU"/>
      </w:rPr>
      <w:drawing>
        <wp:inline distT="0" distB="0" distL="0" distR="0">
          <wp:extent cx="7620000" cy="914400"/>
          <wp:effectExtent l="0" t="0" r="0" b="0"/>
          <wp:docPr id="43" name="Picture 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12121"/>
                  <a:stretch/>
                </pic:blipFill>
                <pic:spPr bwMode="auto">
                  <a:xfrm>
                    <a:off x="0" y="0"/>
                    <a:ext cx="7626040" cy="91512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hdr>
</file>

<file path=word/header1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45E8E" w:rsidRDefault="00EB7F8D" w:rsidP="002A5173">
    <w:pPr>
      <w:pStyle w:val="Header"/>
      <w:ind w:hanging="1418"/>
    </w:pPr>
    <w:r>
      <w:rPr>
        <w:noProof/>
        <w:lang w:val="en-AU" w:eastAsia="en-AU"/>
      </w:rPr>
      <w:drawing>
        <wp:anchor distT="0" distB="0" distL="114300" distR="114300" simplePos="0" relativeHeight="251647484" behindDoc="0" locked="0" layoutInCell="1" allowOverlap="1">
          <wp:simplePos x="0" y="0"/>
          <wp:positionH relativeFrom="page">
            <wp:posOffset>-73025</wp:posOffset>
          </wp:positionH>
          <wp:positionV relativeFrom="page">
            <wp:posOffset>104775</wp:posOffset>
          </wp:positionV>
          <wp:extent cx="7703820" cy="777240"/>
          <wp:effectExtent l="0" t="0" r="0" b="0"/>
          <wp:wrapSquare wrapText="bothSides"/>
          <wp:docPr id="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8355"/>
                  <a:stretch/>
                </pic:blipFill>
                <pic:spPr bwMode="auto">
                  <a:xfrm>
                    <a:off x="0" y="0"/>
                    <a:ext cx="7703820" cy="77724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00E23933">
      <w:rPr>
        <w:noProof/>
        <w:lang w:val="en-AU" w:eastAsia="en-AU"/>
      </w:rPr>
      <w:pict>
        <v:shapetype id="_x0000_t202" coordsize="21600,21600" o:spt="202" path="m,l,21600r21600,l21600,xe">
          <v:stroke joinstyle="miter"/>
          <v:path gradientshapeok="t" o:connecttype="rect"/>
        </v:shapetype>
        <v:shape id="_x0000_s2120" type="#_x0000_t202" style="position:absolute;margin-left:-.25pt;margin-top:71.8pt;width:503.1pt;height:23.25pt;z-index:251693568;visibility:visible;mso-wrap-distance-left:9pt;mso-wrap-distance-top:0;mso-wrap-distance-right:9pt;mso-wrap-distance-bottom:0;mso-position-horizontal-relative:text;mso-position-vertical-relative:text;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" filled="f" stroked="f">
          <v:path arrowok="t"/>
          <v:textbox style="mso-next-textbox:#_x0000_s2120" inset="0,,0">
            <w:txbxContent>
              <w:p w:rsidR="00B45E8E" w:rsidRPr="00E06009" w:rsidRDefault="00B45E8E" w:rsidP="001C3374">
                <w:pPr>
                  <w:pStyle w:val="BasicParagraph"/>
                  <w:rPr>
                    <w:rFonts w:ascii="Arial" w:hAnsi="Arial" w:cs="Arial"/>
                    <w:color w:val="808080" w:themeColor="background1" w:themeShade="80"/>
                    <w:sz w:val="20"/>
                    <w:szCs w:val="20"/>
                  </w:rPr>
                </w:pPr>
                <w:r w:rsidRPr="00E06009">
                  <w:rPr>
                    <w:rFonts w:ascii="Arial" w:hAnsi="Arial" w:cs="Arial"/>
                    <w:color w:val="808080" w:themeColor="background1" w:themeShade="80"/>
                    <w:sz w:val="20"/>
                    <w:szCs w:val="20"/>
                  </w:rPr>
                  <w:t>Background review: aquifer connectivity within the Great Artesian</w:t>
                </w:r>
                <w:r>
                  <w:rPr>
                    <w:rFonts w:ascii="Arial" w:hAnsi="Arial" w:cs="Arial"/>
                    <w:color w:val="808080" w:themeColor="background1" w:themeShade="80"/>
                    <w:sz w:val="20"/>
                    <w:szCs w:val="20"/>
                  </w:rPr>
                  <w:t xml:space="preserve"> Basin</w:t>
                </w:r>
                <w:r w:rsidRPr="00E06009">
                  <w:rPr>
                    <w:rFonts w:ascii="Arial" w:hAnsi="Arial" w:cs="Arial"/>
                    <w:color w:val="808080" w:themeColor="background1" w:themeShade="80"/>
                    <w:sz w:val="20"/>
                    <w:szCs w:val="20"/>
                  </w:rPr>
                  <w:t>,</w:t>
                </w:r>
                <w:r>
                  <w:rPr>
                    <w:rFonts w:ascii="Arial" w:hAnsi="Arial" w:cs="Arial"/>
                    <w:color w:val="808080" w:themeColor="background1" w:themeShade="80"/>
                    <w:sz w:val="20"/>
                    <w:szCs w:val="20"/>
                  </w:rPr>
                  <w:t xml:space="preserve"> and Surat, Bowen and Galilee B</w:t>
                </w:r>
                <w:r w:rsidRPr="00E06009">
                  <w:rPr>
                    <w:rFonts w:ascii="Arial" w:hAnsi="Arial" w:cs="Arial"/>
                    <w:color w:val="808080" w:themeColor="background1" w:themeShade="80"/>
                    <w:sz w:val="20"/>
                    <w:szCs w:val="20"/>
                  </w:rPr>
                  <w:t>asins</w:t>
                </w:r>
              </w:p>
              <w:p w:rsidR="00B45E8E" w:rsidRDefault="00B45E8E" w:rsidP="001C3374"/>
            </w:txbxContent>
          </v:textbox>
        </v:shape>
      </w:pict>
    </w:r>
  </w:p>
</w:hdr>
</file>

<file path=word/header1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45E8E" w:rsidRDefault="00E23933" w:rsidP="002A5173">
    <w:pPr>
      <w:pStyle w:val="Header"/>
      <w:ind w:hanging="1418"/>
    </w:pPr>
    <w:r>
      <w:rPr>
        <w:noProof/>
        <w:lang w:val="en-AU" w:eastAsia="en-AU"/>
      </w:rPr>
      <w:pict>
        <v:shapetype id="_x0000_t202" coordsize="21600,21600" o:spt="202" path="m,l,21600r21600,l21600,xe">
          <v:stroke joinstyle="miter"/>
          <v:path gradientshapeok="t" o:connecttype="rect"/>
        </v:shapetype>
        <v:shape id="_x0000_s2121" type="#_x0000_t202" style="position:absolute;margin-left:213.6pt;margin-top:69.75pt;width:498.75pt;height:23.25pt;z-index:251695616;visibility:visible;mso-wrap-distance-left:0;mso-wrap-distance-top:0;mso-wrap-distance-right:0;mso-wrap-distance-bottom:8.5pt;mso-position-horizontal-relative:text;mso-position-vertical-relative:text;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" filled="f" stroked="f">
          <v:path arrowok="t"/>
          <v:textbox style="mso-next-textbox:#_x0000_s2121" inset="0,,0">
            <w:txbxContent>
              <w:p w:rsidR="00B45E8E" w:rsidRPr="00E06009" w:rsidRDefault="00B45E8E" w:rsidP="001C3374">
                <w:pPr>
                  <w:pStyle w:val="BasicParagraph"/>
                  <w:rPr>
                    <w:rFonts w:ascii="Arial" w:hAnsi="Arial" w:cs="Arial"/>
                    <w:color w:val="808080" w:themeColor="background1" w:themeShade="80"/>
                    <w:sz w:val="20"/>
                    <w:szCs w:val="20"/>
                  </w:rPr>
                </w:pPr>
                <w:r w:rsidRPr="00E06009">
                  <w:rPr>
                    <w:rFonts w:ascii="Arial" w:hAnsi="Arial" w:cs="Arial"/>
                    <w:color w:val="808080" w:themeColor="background1" w:themeShade="80"/>
                    <w:sz w:val="20"/>
                    <w:szCs w:val="20"/>
                  </w:rPr>
                  <w:t>Background review: aquifer connectivity within the Great Artesian</w:t>
                </w:r>
                <w:r>
                  <w:rPr>
                    <w:rFonts w:ascii="Arial" w:hAnsi="Arial" w:cs="Arial"/>
                    <w:color w:val="808080" w:themeColor="background1" w:themeShade="80"/>
                    <w:sz w:val="20"/>
                    <w:szCs w:val="20"/>
                  </w:rPr>
                  <w:t xml:space="preserve"> Basin</w:t>
                </w:r>
                <w:r w:rsidRPr="00E06009">
                  <w:rPr>
                    <w:rFonts w:ascii="Arial" w:hAnsi="Arial" w:cs="Arial"/>
                    <w:color w:val="808080" w:themeColor="background1" w:themeShade="80"/>
                    <w:sz w:val="20"/>
                    <w:szCs w:val="20"/>
                  </w:rPr>
                  <w:t>,</w:t>
                </w:r>
                <w:r>
                  <w:rPr>
                    <w:rFonts w:ascii="Arial" w:hAnsi="Arial" w:cs="Arial"/>
                    <w:color w:val="808080" w:themeColor="background1" w:themeShade="80"/>
                    <w:sz w:val="20"/>
                    <w:szCs w:val="20"/>
                  </w:rPr>
                  <w:t xml:space="preserve"> and</w:t>
                </w:r>
                <w:r w:rsidRPr="00E06009">
                  <w:rPr>
                    <w:rFonts w:ascii="Arial" w:hAnsi="Arial" w:cs="Arial"/>
                    <w:color w:val="808080" w:themeColor="background1" w:themeShade="80"/>
                    <w:sz w:val="20"/>
                    <w:szCs w:val="20"/>
                  </w:rPr>
                  <w:t xml:space="preserve"> Surat, Bowen and Galilee basins</w:t>
                </w:r>
              </w:p>
              <w:p w:rsidR="00B45E8E" w:rsidRPr="00E06009" w:rsidRDefault="00B45E8E" w:rsidP="001C3374">
                <w:pPr>
                  <w:rPr>
                    <w:color w:val="808080" w:themeColor="background1" w:themeShade="80"/>
                  </w:rPr>
                </w:pPr>
              </w:p>
            </w:txbxContent>
          </v:textbox>
          <w10:wrap type="square"/>
        </v:shape>
      </w:pict>
    </w:r>
    <w:r w:rsidR="00B45E8E">
      <w:rPr>
        <w:noProof/>
        <w:lang w:val="en-AU" w:eastAsia="en-AU"/>
      </w:rPr>
      <w:drawing>
        <wp:inline distT="0" distB="0" distL="0" distR="0">
          <wp:extent cx="10744200" cy="942975"/>
          <wp:effectExtent l="0" t="0" r="0" b="0"/>
          <wp:docPr id="46" name="Picture 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12121"/>
                  <a:stretch/>
                </pic:blipFill>
                <pic:spPr bwMode="auto">
                  <a:xfrm>
                    <a:off x="0" y="0"/>
                    <a:ext cx="10739681" cy="942578"/>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hdr>
</file>

<file path=word/header1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45E8E" w:rsidRDefault="00515CA3" w:rsidP="002A5173">
    <w:pPr>
      <w:pStyle w:val="Header"/>
      <w:ind w:hanging="1418"/>
    </w:pPr>
    <w:r>
      <w:rPr>
        <w:noProof/>
        <w:lang w:val="en-AU" w:eastAsia="en-AU"/>
      </w:rPr>
      <w:drawing>
        <wp:anchor distT="0" distB="0" distL="114300" distR="114300" simplePos="0" relativeHeight="251646459" behindDoc="0" locked="0" layoutInCell="1" allowOverlap="1">
          <wp:simplePos x="0" y="0"/>
          <wp:positionH relativeFrom="page">
            <wp:posOffset>-73025</wp:posOffset>
          </wp:positionH>
          <wp:positionV relativeFrom="page">
            <wp:posOffset>104775</wp:posOffset>
          </wp:positionV>
          <wp:extent cx="10856595" cy="746125"/>
          <wp:effectExtent l="0" t="0" r="0" b="0"/>
          <wp:wrapSquare wrapText="bothSides"/>
          <wp:docPr id="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7572"/>
                  <a:stretch/>
                </pic:blipFill>
                <pic:spPr bwMode="auto">
                  <a:xfrm>
                    <a:off x="0" y="0"/>
                    <a:ext cx="10856595" cy="74612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00E23933">
      <w:rPr>
        <w:noProof/>
        <w:lang w:val="en-AU" w:eastAsia="en-AU"/>
      </w:rPr>
      <w:pict>
        <v:shapetype id="_x0000_t202" coordsize="21600,21600" o:spt="202" path="m,l,21600r21600,l21600,xe">
          <v:stroke joinstyle="miter"/>
          <v:path gradientshapeok="t" o:connecttype="rect"/>
        </v:shapetype>
        <v:shape id="_x0000_s2205" type="#_x0000_t202" style="position:absolute;margin-left:188pt;margin-top:67.5pt;width:503.1pt;height:23.25pt;z-index:251725312;visibility:visible;mso-wrap-distance-left:9pt;mso-wrap-distance-top:0;mso-wrap-distance-right:9pt;mso-wrap-distance-bottom:0;mso-position-horizontal-relative:text;mso-position-vertical-relative:text;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" filled="f" stroked="f">
          <v:path arrowok="t"/>
          <v:textbox style="mso-next-textbox:#_x0000_s2205" inset="0,,0">
            <w:txbxContent>
              <w:p w:rsidR="00B45E8E" w:rsidRPr="00E06009" w:rsidRDefault="00B45E8E" w:rsidP="001C3374">
                <w:pPr>
                  <w:pStyle w:val="BasicParagraph"/>
                  <w:rPr>
                    <w:rFonts w:ascii="Arial" w:hAnsi="Arial" w:cs="Arial"/>
                    <w:color w:val="808080" w:themeColor="background1" w:themeShade="80"/>
                    <w:sz w:val="20"/>
                    <w:szCs w:val="20"/>
                  </w:rPr>
                </w:pPr>
                <w:r w:rsidRPr="00E06009">
                  <w:rPr>
                    <w:rFonts w:ascii="Arial" w:hAnsi="Arial" w:cs="Arial"/>
                    <w:color w:val="808080" w:themeColor="background1" w:themeShade="80"/>
                    <w:sz w:val="20"/>
                    <w:szCs w:val="20"/>
                  </w:rPr>
                  <w:t>Background review: aquifer connectivity within the Great Artesian</w:t>
                </w:r>
                <w:r>
                  <w:rPr>
                    <w:rFonts w:ascii="Arial" w:hAnsi="Arial" w:cs="Arial"/>
                    <w:color w:val="808080" w:themeColor="background1" w:themeShade="80"/>
                    <w:sz w:val="20"/>
                    <w:szCs w:val="20"/>
                  </w:rPr>
                  <w:t xml:space="preserve"> Basin</w:t>
                </w:r>
                <w:r w:rsidRPr="00E06009">
                  <w:rPr>
                    <w:rFonts w:ascii="Arial" w:hAnsi="Arial" w:cs="Arial"/>
                    <w:color w:val="808080" w:themeColor="background1" w:themeShade="80"/>
                    <w:sz w:val="20"/>
                    <w:szCs w:val="20"/>
                  </w:rPr>
                  <w:t>,</w:t>
                </w:r>
                <w:r>
                  <w:rPr>
                    <w:rFonts w:ascii="Arial" w:hAnsi="Arial" w:cs="Arial"/>
                    <w:color w:val="808080" w:themeColor="background1" w:themeShade="80"/>
                    <w:sz w:val="20"/>
                    <w:szCs w:val="20"/>
                  </w:rPr>
                  <w:t xml:space="preserve"> and Surat, Bowen and Galilee B</w:t>
                </w:r>
                <w:r w:rsidRPr="00E06009">
                  <w:rPr>
                    <w:rFonts w:ascii="Arial" w:hAnsi="Arial" w:cs="Arial"/>
                    <w:color w:val="808080" w:themeColor="background1" w:themeShade="80"/>
                    <w:sz w:val="20"/>
                    <w:szCs w:val="20"/>
                  </w:rPr>
                  <w:t>asins</w:t>
                </w:r>
              </w:p>
              <w:p w:rsidR="00B45E8E" w:rsidRDefault="00B45E8E" w:rsidP="001C3374"/>
            </w:txbxContent>
          </v:textbox>
        </v:shape>
      </w:pict>
    </w:r>
  </w:p>
</w:hdr>
</file>

<file path=word/header1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45E8E" w:rsidRDefault="00E23933" w:rsidP="002A5173">
    <w:pPr>
      <w:pStyle w:val="Header"/>
      <w:ind w:hanging="1418"/>
    </w:pPr>
    <w:r>
      <w:rPr>
        <w:noProof/>
        <w:lang w:val="en-AU" w:eastAsia="en-AU"/>
      </w:rPr>
      <w:pict>
        <v:shapetype id="_x0000_t202" coordsize="21600,21600" o:spt="202" path="m,l,21600r21600,l21600,xe">
          <v:stroke joinstyle="miter"/>
          <v:path gradientshapeok="t" o:connecttype="rect"/>
        </v:shapetype>
        <v:shape id="_x0000_s2122" type="#_x0000_t202" style="position:absolute;margin-left:-4.65pt;margin-top:69.75pt;width:498.75pt;height:23.25pt;z-index:251697664;visibility:visible;mso-wrap-distance-left:0;mso-wrap-distance-top:0;mso-wrap-distance-right:0;mso-wrap-distance-bottom:8.5pt;mso-position-horizontal-relative:text;mso-position-vertical-relative:text;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" filled="f" stroked="f">
          <v:path arrowok="t"/>
          <v:textbox style="mso-next-textbox:#_x0000_s2122" inset="0,,0">
            <w:txbxContent>
              <w:p w:rsidR="00B45E8E" w:rsidRPr="00E06009" w:rsidRDefault="00B45E8E" w:rsidP="001C3374">
                <w:pPr>
                  <w:pStyle w:val="BasicParagraph"/>
                  <w:rPr>
                    <w:rFonts w:ascii="Arial" w:hAnsi="Arial" w:cs="Arial"/>
                    <w:color w:val="808080" w:themeColor="background1" w:themeShade="80"/>
                    <w:sz w:val="20"/>
                    <w:szCs w:val="20"/>
                  </w:rPr>
                </w:pPr>
                <w:r w:rsidRPr="00E06009">
                  <w:rPr>
                    <w:rFonts w:ascii="Arial" w:hAnsi="Arial" w:cs="Arial"/>
                    <w:color w:val="808080" w:themeColor="background1" w:themeShade="80"/>
                    <w:sz w:val="20"/>
                    <w:szCs w:val="20"/>
                  </w:rPr>
                  <w:t>Background review: aquifer connectivity within the Great Artesian</w:t>
                </w:r>
                <w:r>
                  <w:rPr>
                    <w:rFonts w:ascii="Arial" w:hAnsi="Arial" w:cs="Arial"/>
                    <w:color w:val="808080" w:themeColor="background1" w:themeShade="80"/>
                    <w:sz w:val="20"/>
                    <w:szCs w:val="20"/>
                  </w:rPr>
                  <w:t xml:space="preserve"> Basin</w:t>
                </w:r>
                <w:r w:rsidRPr="00E06009">
                  <w:rPr>
                    <w:rFonts w:ascii="Arial" w:hAnsi="Arial" w:cs="Arial"/>
                    <w:color w:val="808080" w:themeColor="background1" w:themeShade="80"/>
                    <w:sz w:val="20"/>
                    <w:szCs w:val="20"/>
                  </w:rPr>
                  <w:t>,</w:t>
                </w:r>
                <w:r>
                  <w:rPr>
                    <w:rFonts w:ascii="Arial" w:hAnsi="Arial" w:cs="Arial"/>
                    <w:color w:val="808080" w:themeColor="background1" w:themeShade="80"/>
                    <w:sz w:val="20"/>
                    <w:szCs w:val="20"/>
                  </w:rPr>
                  <w:t xml:space="preserve"> and Surat, Bowen and Galilee B</w:t>
                </w:r>
                <w:r w:rsidRPr="00E06009">
                  <w:rPr>
                    <w:rFonts w:ascii="Arial" w:hAnsi="Arial" w:cs="Arial"/>
                    <w:color w:val="808080" w:themeColor="background1" w:themeShade="80"/>
                    <w:sz w:val="20"/>
                    <w:szCs w:val="20"/>
                  </w:rPr>
                  <w:t>asins</w:t>
                </w:r>
              </w:p>
              <w:p w:rsidR="00B45E8E" w:rsidRPr="00E06009" w:rsidRDefault="00B45E8E" w:rsidP="001C3374">
                <w:pPr>
                  <w:rPr>
                    <w:color w:val="808080" w:themeColor="background1" w:themeShade="80"/>
                  </w:rPr>
                </w:pPr>
              </w:p>
            </w:txbxContent>
          </v:textbox>
          <w10:wrap type="square"/>
        </v:shape>
      </w:pict>
    </w:r>
    <w:r w:rsidR="00B45E8E">
      <w:rPr>
        <w:noProof/>
        <w:lang w:val="en-AU" w:eastAsia="en-AU"/>
      </w:rPr>
      <w:drawing>
        <wp:inline distT="0" distB="0" distL="0" distR="0">
          <wp:extent cx="7591425" cy="809625"/>
          <wp:effectExtent l="0" t="0" r="0" b="0"/>
          <wp:docPr id="49" name="Picture 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12121"/>
                  <a:stretch/>
                </pic:blipFill>
                <pic:spPr bwMode="auto">
                  <a:xfrm>
                    <a:off x="0" y="0"/>
                    <a:ext cx="7588233" cy="80928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hdr>
</file>

<file path=word/header1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45E8E" w:rsidRDefault="00515CA3" w:rsidP="002A5173">
    <w:pPr>
      <w:pStyle w:val="Header"/>
      <w:ind w:hanging="1418"/>
    </w:pPr>
    <w:r>
      <w:rPr>
        <w:noProof/>
        <w:lang w:val="en-AU" w:eastAsia="en-AU"/>
      </w:rPr>
      <w:drawing>
        <wp:anchor distT="0" distB="0" distL="114300" distR="114300" simplePos="0" relativeHeight="251749888" behindDoc="0" locked="0" layoutInCell="1" allowOverlap="1">
          <wp:simplePos x="0" y="0"/>
          <wp:positionH relativeFrom="page">
            <wp:posOffset>-73572</wp:posOffset>
          </wp:positionH>
          <wp:positionV relativeFrom="page">
            <wp:posOffset>105103</wp:posOffset>
          </wp:positionV>
          <wp:extent cx="7734200" cy="756745"/>
          <wp:effectExtent l="0" t="0" r="0" b="0"/>
          <wp:wrapSquare wrapText="bothSides"/>
          <wp:docPr id="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8861"/>
                  <a:stretch/>
                </pic:blipFill>
                <pic:spPr bwMode="auto">
                  <a:xfrm>
                    <a:off x="0" y="0"/>
                    <a:ext cx="7742555" cy="757563"/>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00E23933">
      <w:rPr>
        <w:noProof/>
        <w:lang w:val="en-AU" w:eastAsia="en-AU"/>
      </w:rPr>
      <w:pict>
        <v:shapetype id="_x0000_t202" coordsize="21600,21600" o:spt="202" path="m,l,21600r21600,l21600,xe">
          <v:stroke joinstyle="miter"/>
          <v:path gradientshapeok="t" o:connecttype="rect"/>
        </v:shapetype>
        <v:shape id="_x0000_s2206" type="#_x0000_t202" style="position:absolute;margin-left:-17.5pt;margin-top:67.5pt;width:503.1pt;height:23.25pt;z-index:251750912;visibility:visible;mso-wrap-distance-left:9pt;mso-wrap-distance-top:0;mso-wrap-distance-right:9pt;mso-wrap-distance-bottom:0;mso-position-horizontal-relative:text;mso-position-vertical-relative:text;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" filled="f" stroked="f">
          <v:path arrowok="t"/>
          <v:textbox style="mso-next-textbox:#_x0000_s2206" inset="0,,0">
            <w:txbxContent>
              <w:p w:rsidR="00B45E8E" w:rsidRPr="00E06009" w:rsidRDefault="00B45E8E" w:rsidP="001C3374">
                <w:pPr>
                  <w:pStyle w:val="BasicParagraph"/>
                  <w:rPr>
                    <w:rFonts w:ascii="Arial" w:hAnsi="Arial" w:cs="Arial"/>
                    <w:color w:val="808080" w:themeColor="background1" w:themeShade="80"/>
                    <w:sz w:val="20"/>
                    <w:szCs w:val="20"/>
                  </w:rPr>
                </w:pPr>
                <w:r w:rsidRPr="00E06009">
                  <w:rPr>
                    <w:rFonts w:ascii="Arial" w:hAnsi="Arial" w:cs="Arial"/>
                    <w:color w:val="808080" w:themeColor="background1" w:themeShade="80"/>
                    <w:sz w:val="20"/>
                    <w:szCs w:val="20"/>
                  </w:rPr>
                  <w:t>Background review: aquifer connectivity within the Great Artesian</w:t>
                </w:r>
                <w:r>
                  <w:rPr>
                    <w:rFonts w:ascii="Arial" w:hAnsi="Arial" w:cs="Arial"/>
                    <w:color w:val="808080" w:themeColor="background1" w:themeShade="80"/>
                    <w:sz w:val="20"/>
                    <w:szCs w:val="20"/>
                  </w:rPr>
                  <w:t xml:space="preserve"> Basin</w:t>
                </w:r>
                <w:r w:rsidRPr="00E06009">
                  <w:rPr>
                    <w:rFonts w:ascii="Arial" w:hAnsi="Arial" w:cs="Arial"/>
                    <w:color w:val="808080" w:themeColor="background1" w:themeShade="80"/>
                    <w:sz w:val="20"/>
                    <w:szCs w:val="20"/>
                  </w:rPr>
                  <w:t>,</w:t>
                </w:r>
                <w:r>
                  <w:rPr>
                    <w:rFonts w:ascii="Arial" w:hAnsi="Arial" w:cs="Arial"/>
                    <w:color w:val="808080" w:themeColor="background1" w:themeShade="80"/>
                    <w:sz w:val="20"/>
                    <w:szCs w:val="20"/>
                  </w:rPr>
                  <w:t xml:space="preserve"> and Surat, Bowen and Galilee B</w:t>
                </w:r>
                <w:r w:rsidRPr="00E06009">
                  <w:rPr>
                    <w:rFonts w:ascii="Arial" w:hAnsi="Arial" w:cs="Arial"/>
                    <w:color w:val="808080" w:themeColor="background1" w:themeShade="80"/>
                    <w:sz w:val="20"/>
                    <w:szCs w:val="20"/>
                  </w:rPr>
                  <w:t>asins</w:t>
                </w:r>
              </w:p>
              <w:p w:rsidR="00B45E8E" w:rsidRDefault="00B45E8E" w:rsidP="001C3374"/>
            </w:txbxContent>
          </v:textbox>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45E8E" w:rsidRDefault="00E23933" w:rsidP="00BE7A62">
    <w:pPr>
      <w:pStyle w:val="Header"/>
    </w:pPr>
    <w:r w:rsidRPr="00E23933">
      <w:rPr>
        <w:noProof/>
      </w:rPr>
      <w:pict>
        <v:shapetype id="_x0000_t202" coordsize="21600,21600" o:spt="202" path="m,l,21600r21600,l21600,xe">
          <v:stroke joinstyle="miter"/>
          <v:path gradientshapeok="t" o:connecttype="rect"/>
        </v:shapetype>
        <v:shape id="_x0000_s2302" type="#_x0000_t202" style="position:absolute;margin-left:92.8pt;margin-top:61.15pt;width:367.3pt;height:24.45pt;z-index:251746816;visibility:visible;mso-wrap-distance-left:9pt;mso-wrap-distance-top:0;mso-wrap-distance-right:9pt;mso-wrap-distance-bottom:0;mso-position-horizontal-relative:text;mso-position-vertical-relative:text;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" filled="f" stroked="f">
          <v:textbox style="mso-next-textbox:#_x0000_s2302" inset="0,,0">
            <w:txbxContent>
              <w:p w:rsidR="00B45E8E" w:rsidRPr="007B11B3" w:rsidRDefault="00B45E8E" w:rsidP="00BE7A62">
                <w:pPr>
                  <w:pStyle w:val="BasicParagraph"/>
                  <w:jc w:val="right"/>
                  <w:rPr>
                    <w:rFonts w:ascii="Arial" w:hAnsi="Arial" w:cs="Arial"/>
                    <w:color w:val="808080" w:themeColor="background1" w:themeShade="80"/>
                    <w:sz w:val="20"/>
                    <w:szCs w:val="20"/>
                  </w:rPr>
                </w:pPr>
                <w:r w:rsidRPr="007B11B3">
                  <w:rPr>
                    <w:rFonts w:ascii="Arial" w:hAnsi="Arial" w:cs="Arial"/>
                    <w:color w:val="808080" w:themeColor="background1" w:themeShade="80"/>
                    <w:sz w:val="20"/>
                    <w:szCs w:val="20"/>
                  </w:rPr>
                  <w:t>Enter publication title here – use minimal capitalisation</w:t>
                </w:r>
              </w:p>
              <w:p w:rsidR="00B45E8E" w:rsidRPr="0040292A" w:rsidRDefault="00B45E8E" w:rsidP="00BE7A62"/>
            </w:txbxContent>
          </v:textbox>
        </v:shape>
      </w:pict>
    </w:r>
    <w:r w:rsidR="00B45E8E">
      <w:rPr>
        <w:noProof/>
        <w:lang w:val="en-AU" w:eastAsia="en-AU"/>
      </w:rPr>
      <w:drawing>
        <wp:anchor distT="0" distB="0" distL="114300" distR="114300" simplePos="0" relativeHeight="251745792" behindDoc="0" locked="0" layoutInCell="1" allowOverlap="1">
          <wp:simplePos x="0" y="0"/>
          <wp:positionH relativeFrom="column">
            <wp:posOffset>-900430</wp:posOffset>
          </wp:positionH>
          <wp:positionV relativeFrom="paragraph">
            <wp:posOffset>-9525</wp:posOffset>
          </wp:positionV>
          <wp:extent cx="7629525" cy="872490"/>
          <wp:effectExtent l="0" t="0" r="0" b="0"/>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spread_back.jpg"/>
                  <pic:cNvPicPr/>
                </pic:nvPicPr>
                <pic:blipFill rotWithShape="1">
                  <a:blip r:embed="rId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32574"/>
                  <a:stretch/>
                </pic:blipFill>
                <pic:spPr bwMode="auto">
                  <a:xfrm>
                    <a:off x="0" y="0"/>
                    <a:ext cx="7629525" cy="87249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hdr>
</file>

<file path=word/header2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45E8E" w:rsidRDefault="00E23933" w:rsidP="002A5173">
    <w:pPr>
      <w:pStyle w:val="Header"/>
      <w:ind w:hanging="1418"/>
    </w:pPr>
    <w:r>
      <w:rPr>
        <w:noProof/>
        <w:lang w:val="en-AU" w:eastAsia="en-AU"/>
      </w:rPr>
      <w:pict>
        <v:shapetype id="_x0000_t202" coordsize="21600,21600" o:spt="202" path="m,l,21600r21600,l21600,xe">
          <v:stroke joinstyle="miter"/>
          <v:path gradientshapeok="t" o:connecttype="rect"/>
        </v:shapetype>
        <v:shape id="_x0000_s2153" type="#_x0000_t202" style="position:absolute;margin-left:189.35pt;margin-top:68.25pt;width:498.75pt;height:23.25pt;z-index:251716096;visibility:visible;mso-wrap-distance-left:0;mso-wrap-distance-top:0;mso-wrap-distance-right:0;mso-wrap-distance-bottom:8.5pt;mso-position-horizontal-relative:text;mso-position-vertical-relative:text;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" filled="f" stroked="f">
          <v:path arrowok="t"/>
          <v:textbox style="mso-next-textbox:#_x0000_s2153" inset="0,,0">
            <w:txbxContent>
              <w:p w:rsidR="00B45E8E" w:rsidRPr="00E06009" w:rsidRDefault="00B45E8E" w:rsidP="001C3374">
                <w:pPr>
                  <w:pStyle w:val="BasicParagraph"/>
                  <w:rPr>
                    <w:rFonts w:ascii="Arial" w:hAnsi="Arial" w:cs="Arial"/>
                    <w:color w:val="808080" w:themeColor="background1" w:themeShade="80"/>
                    <w:sz w:val="20"/>
                    <w:szCs w:val="20"/>
                  </w:rPr>
                </w:pPr>
                <w:r w:rsidRPr="00E06009">
                  <w:rPr>
                    <w:rFonts w:ascii="Arial" w:hAnsi="Arial" w:cs="Arial"/>
                    <w:color w:val="808080" w:themeColor="background1" w:themeShade="80"/>
                    <w:sz w:val="20"/>
                    <w:szCs w:val="20"/>
                  </w:rPr>
                  <w:t>Background review: aquifer connectivity within the Great Artesian</w:t>
                </w:r>
                <w:r>
                  <w:rPr>
                    <w:rFonts w:ascii="Arial" w:hAnsi="Arial" w:cs="Arial"/>
                    <w:color w:val="808080" w:themeColor="background1" w:themeShade="80"/>
                    <w:sz w:val="20"/>
                    <w:szCs w:val="20"/>
                  </w:rPr>
                  <w:t xml:space="preserve"> Basin</w:t>
                </w:r>
                <w:r w:rsidRPr="00E06009">
                  <w:rPr>
                    <w:rFonts w:ascii="Arial" w:hAnsi="Arial" w:cs="Arial"/>
                    <w:color w:val="808080" w:themeColor="background1" w:themeShade="80"/>
                    <w:sz w:val="20"/>
                    <w:szCs w:val="20"/>
                  </w:rPr>
                  <w:t>,</w:t>
                </w:r>
                <w:r>
                  <w:rPr>
                    <w:rFonts w:ascii="Arial" w:hAnsi="Arial" w:cs="Arial"/>
                    <w:color w:val="808080" w:themeColor="background1" w:themeShade="80"/>
                    <w:sz w:val="20"/>
                    <w:szCs w:val="20"/>
                  </w:rPr>
                  <w:t xml:space="preserve"> and</w:t>
                </w:r>
                <w:r w:rsidRPr="00E06009">
                  <w:rPr>
                    <w:rFonts w:ascii="Arial" w:hAnsi="Arial" w:cs="Arial"/>
                    <w:color w:val="808080" w:themeColor="background1" w:themeShade="80"/>
                    <w:sz w:val="20"/>
                    <w:szCs w:val="20"/>
                  </w:rPr>
                  <w:t xml:space="preserve"> Surat, Bowen and Galilee basins</w:t>
                </w:r>
              </w:p>
              <w:p w:rsidR="00B45E8E" w:rsidRPr="00E06009" w:rsidRDefault="00B45E8E" w:rsidP="001C3374">
                <w:pPr>
                  <w:rPr>
                    <w:color w:val="808080" w:themeColor="background1" w:themeShade="80"/>
                  </w:rPr>
                </w:pPr>
              </w:p>
            </w:txbxContent>
          </v:textbox>
          <w10:wrap type="square"/>
        </v:shape>
      </w:pict>
    </w:r>
    <w:r w:rsidR="00B45E8E">
      <w:rPr>
        <w:noProof/>
        <w:lang w:val="en-AU" w:eastAsia="en-AU"/>
      </w:rPr>
      <w:drawing>
        <wp:inline distT="0" distB="0" distL="0" distR="0">
          <wp:extent cx="10734675" cy="942974"/>
          <wp:effectExtent l="0" t="0" r="0" b="0"/>
          <wp:docPr id="52" name="Picture 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12121"/>
                  <a:stretch/>
                </pic:blipFill>
                <pic:spPr bwMode="auto">
                  <a:xfrm>
                    <a:off x="0" y="0"/>
                    <a:ext cx="10730161" cy="942578"/>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hdr>
</file>

<file path=word/header2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45E8E" w:rsidRDefault="00E23933" w:rsidP="002A5173">
    <w:pPr>
      <w:pStyle w:val="Header"/>
      <w:ind w:hanging="1418"/>
    </w:pPr>
    <w:r>
      <w:rPr>
        <w:noProof/>
        <w:lang w:val="en-AU" w:eastAsia="en-AU"/>
      </w:rPr>
      <w:pict>
        <v:shapetype id="_x0000_t202" coordsize="21600,21600" o:spt="202" path="m,l,21600r21600,l21600,xe">
          <v:stroke joinstyle="miter"/>
          <v:path gradientshapeok="t" o:connecttype="rect"/>
        </v:shapetype>
        <v:shape id="_x0000_s2123" type="#_x0000_t202" style="position:absolute;margin-left:226.25pt;margin-top:72.45pt;width:503.1pt;height:23.25pt;z-index:251699712;visibility:visible;mso-wrap-distance-left:9pt;mso-wrap-distance-top:0;mso-wrap-distance-right:9pt;mso-wrap-distance-bottom:0;mso-position-horizontal-relative:text;mso-position-vertical-relative:text;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" filled="f" stroked="f">
          <v:path arrowok="t"/>
          <v:textbox style="mso-next-textbox:#_x0000_s2123" inset="0,,0">
            <w:txbxContent>
              <w:p w:rsidR="00B45E8E" w:rsidRPr="00E06009" w:rsidRDefault="00B45E8E" w:rsidP="001C3374">
                <w:pPr>
                  <w:pStyle w:val="BasicParagraph"/>
                  <w:rPr>
                    <w:rFonts w:ascii="Arial" w:hAnsi="Arial" w:cs="Arial"/>
                    <w:color w:val="808080" w:themeColor="background1" w:themeShade="80"/>
                    <w:sz w:val="20"/>
                    <w:szCs w:val="20"/>
                  </w:rPr>
                </w:pPr>
                <w:r w:rsidRPr="00E06009">
                  <w:rPr>
                    <w:rFonts w:ascii="Arial" w:hAnsi="Arial" w:cs="Arial"/>
                    <w:color w:val="808080" w:themeColor="background1" w:themeShade="80"/>
                    <w:sz w:val="20"/>
                    <w:szCs w:val="20"/>
                  </w:rPr>
                  <w:t>Background review: aquifer connectivity within the Great Artesian</w:t>
                </w:r>
                <w:r>
                  <w:rPr>
                    <w:rFonts w:ascii="Arial" w:hAnsi="Arial" w:cs="Arial"/>
                    <w:color w:val="808080" w:themeColor="background1" w:themeShade="80"/>
                    <w:sz w:val="20"/>
                    <w:szCs w:val="20"/>
                  </w:rPr>
                  <w:t xml:space="preserve"> Basin</w:t>
                </w:r>
                <w:r w:rsidRPr="00E06009">
                  <w:rPr>
                    <w:rFonts w:ascii="Arial" w:hAnsi="Arial" w:cs="Arial"/>
                    <w:color w:val="808080" w:themeColor="background1" w:themeShade="80"/>
                    <w:sz w:val="20"/>
                    <w:szCs w:val="20"/>
                  </w:rPr>
                  <w:t>,</w:t>
                </w:r>
                <w:r>
                  <w:rPr>
                    <w:rFonts w:ascii="Arial" w:hAnsi="Arial" w:cs="Arial"/>
                    <w:color w:val="808080" w:themeColor="background1" w:themeShade="80"/>
                    <w:sz w:val="20"/>
                    <w:szCs w:val="20"/>
                  </w:rPr>
                  <w:t xml:space="preserve"> and Surat, Bowen and Galilee B</w:t>
                </w:r>
                <w:r w:rsidRPr="00E06009">
                  <w:rPr>
                    <w:rFonts w:ascii="Arial" w:hAnsi="Arial" w:cs="Arial"/>
                    <w:color w:val="808080" w:themeColor="background1" w:themeShade="80"/>
                    <w:sz w:val="20"/>
                    <w:szCs w:val="20"/>
                  </w:rPr>
                  <w:t>asins</w:t>
                </w:r>
              </w:p>
              <w:p w:rsidR="00B45E8E" w:rsidRDefault="00B45E8E" w:rsidP="001C3374"/>
            </w:txbxContent>
          </v:textbox>
        </v:shape>
      </w:pict>
    </w:r>
    <w:r w:rsidR="00984C82">
      <w:rPr>
        <w:noProof/>
        <w:lang w:val="en-AU" w:eastAsia="en-AU"/>
      </w:rPr>
      <w:drawing>
        <wp:anchor distT="0" distB="0" distL="114300" distR="114300" simplePos="0" relativeHeight="251645434" behindDoc="0" locked="0" layoutInCell="1" allowOverlap="1">
          <wp:simplePos x="0" y="0"/>
          <wp:positionH relativeFrom="page">
            <wp:posOffset>-74930</wp:posOffset>
          </wp:positionH>
          <wp:positionV relativeFrom="page">
            <wp:posOffset>107315</wp:posOffset>
          </wp:positionV>
          <wp:extent cx="10832465" cy="774065"/>
          <wp:effectExtent l="0" t="0" r="0" b="0"/>
          <wp:wrapSquare wrapText="bothSides"/>
          <wp:docPr id="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6392"/>
                  <a:stretch/>
                </pic:blipFill>
                <pic:spPr bwMode="auto">
                  <a:xfrm>
                    <a:off x="0" y="0"/>
                    <a:ext cx="10832465" cy="77406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hdr>
</file>

<file path=word/header2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45E8E" w:rsidRDefault="00E23933" w:rsidP="002A5173">
    <w:pPr>
      <w:pStyle w:val="Header"/>
      <w:ind w:hanging="1418"/>
    </w:pPr>
    <w:r>
      <w:rPr>
        <w:noProof/>
        <w:lang w:val="en-AU" w:eastAsia="en-AU"/>
      </w:rPr>
      <w:pict>
        <v:shapetype id="_x0000_t202" coordsize="21600,21600" o:spt="202" path="m,l,21600r21600,l21600,xe">
          <v:stroke joinstyle="miter"/>
          <v:path gradientshapeok="t" o:connecttype="rect"/>
        </v:shapetype>
        <v:shape id="_x0000_s2154" type="#_x0000_t202" style="position:absolute;margin-left:-.9pt;margin-top:75.75pt;width:498.75pt;height:23.25pt;z-index:251718144;visibility:visible;mso-wrap-distance-left:0;mso-wrap-distance-top:0;mso-wrap-distance-right:0;mso-wrap-distance-bottom:8.5pt;mso-position-horizontal-relative:text;mso-position-vertical-relative:text;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" filled="f" stroked="f">
          <v:path arrowok="t"/>
          <v:textbox style="mso-next-textbox:#_x0000_s2154" inset="0,,0">
            <w:txbxContent>
              <w:p w:rsidR="00B45E8E" w:rsidRPr="00E06009" w:rsidRDefault="00B45E8E" w:rsidP="001C3374">
                <w:pPr>
                  <w:pStyle w:val="BasicParagraph"/>
                  <w:rPr>
                    <w:rFonts w:ascii="Arial" w:hAnsi="Arial" w:cs="Arial"/>
                    <w:color w:val="808080" w:themeColor="background1" w:themeShade="80"/>
                    <w:sz w:val="20"/>
                    <w:szCs w:val="20"/>
                  </w:rPr>
                </w:pPr>
                <w:r w:rsidRPr="00E06009">
                  <w:rPr>
                    <w:rFonts w:ascii="Arial" w:hAnsi="Arial" w:cs="Arial"/>
                    <w:color w:val="808080" w:themeColor="background1" w:themeShade="80"/>
                    <w:sz w:val="20"/>
                    <w:szCs w:val="20"/>
                  </w:rPr>
                  <w:t>Background review: aquifer connectivity within the Great Artesian</w:t>
                </w:r>
                <w:r>
                  <w:rPr>
                    <w:rFonts w:ascii="Arial" w:hAnsi="Arial" w:cs="Arial"/>
                    <w:color w:val="808080" w:themeColor="background1" w:themeShade="80"/>
                    <w:sz w:val="20"/>
                    <w:szCs w:val="20"/>
                  </w:rPr>
                  <w:t xml:space="preserve"> Basin</w:t>
                </w:r>
                <w:r w:rsidRPr="00E06009">
                  <w:rPr>
                    <w:rFonts w:ascii="Arial" w:hAnsi="Arial" w:cs="Arial"/>
                    <w:color w:val="808080" w:themeColor="background1" w:themeShade="80"/>
                    <w:sz w:val="20"/>
                    <w:szCs w:val="20"/>
                  </w:rPr>
                  <w:t>,</w:t>
                </w:r>
                <w:r>
                  <w:rPr>
                    <w:rFonts w:ascii="Arial" w:hAnsi="Arial" w:cs="Arial"/>
                    <w:color w:val="808080" w:themeColor="background1" w:themeShade="80"/>
                    <w:sz w:val="20"/>
                    <w:szCs w:val="20"/>
                  </w:rPr>
                  <w:t xml:space="preserve"> and</w:t>
                </w:r>
                <w:r w:rsidRPr="00E06009">
                  <w:rPr>
                    <w:rFonts w:ascii="Arial" w:hAnsi="Arial" w:cs="Arial"/>
                    <w:color w:val="808080" w:themeColor="background1" w:themeShade="80"/>
                    <w:sz w:val="20"/>
                    <w:szCs w:val="20"/>
                  </w:rPr>
                  <w:t xml:space="preserve"> Sur</w:t>
                </w:r>
                <w:r>
                  <w:rPr>
                    <w:rFonts w:ascii="Arial" w:hAnsi="Arial" w:cs="Arial"/>
                    <w:color w:val="808080" w:themeColor="background1" w:themeShade="80"/>
                    <w:sz w:val="20"/>
                    <w:szCs w:val="20"/>
                  </w:rPr>
                  <w:t>at, Bowen and Galilee B</w:t>
                </w:r>
                <w:r w:rsidRPr="00E06009">
                  <w:rPr>
                    <w:rFonts w:ascii="Arial" w:hAnsi="Arial" w:cs="Arial"/>
                    <w:color w:val="808080" w:themeColor="background1" w:themeShade="80"/>
                    <w:sz w:val="20"/>
                    <w:szCs w:val="20"/>
                  </w:rPr>
                  <w:t>asins</w:t>
                </w:r>
              </w:p>
              <w:p w:rsidR="00B45E8E" w:rsidRPr="00E06009" w:rsidRDefault="00B45E8E" w:rsidP="001C3374">
                <w:pPr>
                  <w:rPr>
                    <w:color w:val="808080" w:themeColor="background1" w:themeShade="80"/>
                  </w:rPr>
                </w:pPr>
              </w:p>
            </w:txbxContent>
          </v:textbox>
          <w10:wrap type="square"/>
        </v:shape>
      </w:pict>
    </w:r>
    <w:r w:rsidR="00B45E8E">
      <w:rPr>
        <w:noProof/>
        <w:lang w:val="en-AU" w:eastAsia="en-AU"/>
      </w:rPr>
      <w:drawing>
        <wp:inline distT="0" distB="0" distL="0" distR="0">
          <wp:extent cx="7581900" cy="942975"/>
          <wp:effectExtent l="0" t="0" r="0" b="0"/>
          <wp:docPr id="54" name="Picture 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12121"/>
                  <a:stretch/>
                </pic:blipFill>
                <pic:spPr bwMode="auto">
                  <a:xfrm>
                    <a:off x="0" y="0"/>
                    <a:ext cx="7578712" cy="942578"/>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hdr>
</file>

<file path=word/header2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45E8E" w:rsidRDefault="00984C82" w:rsidP="002A5173">
    <w:pPr>
      <w:pStyle w:val="Header"/>
      <w:ind w:hanging="1418"/>
    </w:pPr>
    <w:r>
      <w:rPr>
        <w:noProof/>
        <w:lang w:val="en-AU" w:eastAsia="en-AU"/>
      </w:rPr>
      <w:drawing>
        <wp:anchor distT="0" distB="0" distL="114300" distR="114300" simplePos="0" relativeHeight="251644409" behindDoc="0" locked="0" layoutInCell="1" allowOverlap="1">
          <wp:simplePos x="0" y="0"/>
          <wp:positionH relativeFrom="page">
            <wp:posOffset>-74930</wp:posOffset>
          </wp:positionH>
          <wp:positionV relativeFrom="page">
            <wp:posOffset>107315</wp:posOffset>
          </wp:positionV>
          <wp:extent cx="7680960" cy="763270"/>
          <wp:effectExtent l="0" t="0" r="0" b="0"/>
          <wp:wrapSquare wrapText="bothSides"/>
          <wp:docPr id="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7666"/>
                  <a:stretch/>
                </pic:blipFill>
                <pic:spPr bwMode="auto">
                  <a:xfrm>
                    <a:off x="0" y="0"/>
                    <a:ext cx="7680960" cy="76327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00E23933">
      <w:rPr>
        <w:noProof/>
        <w:lang w:val="en-AU" w:eastAsia="en-AU"/>
      </w:rPr>
      <w:pict>
        <v:shapetype id="_x0000_t202" coordsize="21600,21600" o:spt="202" path="m,l,21600r21600,l21600,xe">
          <v:stroke joinstyle="miter"/>
          <v:path gradientshapeok="t" o:connecttype="rect"/>
        </v:shapetype>
        <v:shape id="_x0000_s2124" type="#_x0000_t202" style="position:absolute;margin-left:-2.5pt;margin-top:67.5pt;width:503.1pt;height:23.25pt;z-index:251701760;visibility:visible;mso-wrap-distance-left:9pt;mso-wrap-distance-top:0;mso-wrap-distance-right:9pt;mso-wrap-distance-bottom:0;mso-position-horizontal-relative:text;mso-position-vertical-relative:text;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" filled="f" stroked="f">
          <v:path arrowok="t"/>
          <v:textbox style="mso-next-textbox:#_x0000_s2124" inset="0,,0">
            <w:txbxContent>
              <w:p w:rsidR="00B45E8E" w:rsidRPr="00E06009" w:rsidRDefault="00B45E8E" w:rsidP="001C3374">
                <w:pPr>
                  <w:pStyle w:val="BasicParagraph"/>
                  <w:rPr>
                    <w:rFonts w:ascii="Arial" w:hAnsi="Arial" w:cs="Arial"/>
                    <w:color w:val="808080" w:themeColor="background1" w:themeShade="80"/>
                    <w:sz w:val="20"/>
                    <w:szCs w:val="20"/>
                  </w:rPr>
                </w:pPr>
                <w:r w:rsidRPr="00E06009">
                  <w:rPr>
                    <w:rFonts w:ascii="Arial" w:hAnsi="Arial" w:cs="Arial"/>
                    <w:color w:val="808080" w:themeColor="background1" w:themeShade="80"/>
                    <w:sz w:val="20"/>
                    <w:szCs w:val="20"/>
                  </w:rPr>
                  <w:t>Background review: aquifer connectivity within the Great Artesian</w:t>
                </w:r>
                <w:r>
                  <w:rPr>
                    <w:rFonts w:ascii="Arial" w:hAnsi="Arial" w:cs="Arial"/>
                    <w:color w:val="808080" w:themeColor="background1" w:themeShade="80"/>
                    <w:sz w:val="20"/>
                    <w:szCs w:val="20"/>
                  </w:rPr>
                  <w:t xml:space="preserve"> Basin</w:t>
                </w:r>
                <w:r w:rsidRPr="00E06009">
                  <w:rPr>
                    <w:rFonts w:ascii="Arial" w:hAnsi="Arial" w:cs="Arial"/>
                    <w:color w:val="808080" w:themeColor="background1" w:themeShade="80"/>
                    <w:sz w:val="20"/>
                    <w:szCs w:val="20"/>
                  </w:rPr>
                  <w:t>,</w:t>
                </w:r>
                <w:r>
                  <w:rPr>
                    <w:rFonts w:ascii="Arial" w:hAnsi="Arial" w:cs="Arial"/>
                    <w:color w:val="808080" w:themeColor="background1" w:themeShade="80"/>
                    <w:sz w:val="20"/>
                    <w:szCs w:val="20"/>
                  </w:rPr>
                  <w:t xml:space="preserve"> and Surat, Bowen and Galilee B</w:t>
                </w:r>
                <w:r w:rsidRPr="00E06009">
                  <w:rPr>
                    <w:rFonts w:ascii="Arial" w:hAnsi="Arial" w:cs="Arial"/>
                    <w:color w:val="808080" w:themeColor="background1" w:themeShade="80"/>
                    <w:sz w:val="20"/>
                    <w:szCs w:val="20"/>
                  </w:rPr>
                  <w:t>asins</w:t>
                </w:r>
              </w:p>
              <w:p w:rsidR="00B45E8E" w:rsidRDefault="00B45E8E" w:rsidP="001C3374"/>
            </w:txbxContent>
          </v:textbox>
        </v:shape>
      </w:pict>
    </w:r>
  </w:p>
</w:hdr>
</file>

<file path=word/header2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45E8E" w:rsidRDefault="00E23933" w:rsidP="002A5173">
    <w:pPr>
      <w:pStyle w:val="Header"/>
      <w:ind w:hanging="1418"/>
    </w:pPr>
    <w:r>
      <w:rPr>
        <w:noProof/>
        <w:lang w:val="en-AU" w:eastAsia="en-AU"/>
      </w:rPr>
      <w:pict>
        <v:shapetype id="_x0000_t202" coordsize="21600,21600" o:spt="202" path="m,l,21600r21600,l21600,xe">
          <v:stroke joinstyle="miter"/>
          <v:path gradientshapeok="t" o:connecttype="rect"/>
        </v:shapetype>
        <v:shape id="_x0000_s2233" type="#_x0000_t202" style="position:absolute;margin-left:202.35pt;margin-top:71.25pt;width:498.75pt;height:23.25pt;z-index:251729408;visibility:visible;mso-wrap-distance-left:0;mso-wrap-distance-top:0;mso-wrap-distance-right:0;mso-wrap-distance-bottom:8.5pt;mso-position-horizontal-relative:text;mso-position-vertical-relative:text;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" filled="f" stroked="f">
          <v:path arrowok="t"/>
          <v:textbox style="mso-next-textbox:#_x0000_s2233" inset="0,,0">
            <w:txbxContent>
              <w:p w:rsidR="00B45E8E" w:rsidRPr="00E06009" w:rsidRDefault="00B45E8E" w:rsidP="001C3374">
                <w:pPr>
                  <w:pStyle w:val="BasicParagraph"/>
                  <w:rPr>
                    <w:rFonts w:ascii="Arial" w:hAnsi="Arial" w:cs="Arial"/>
                    <w:color w:val="808080" w:themeColor="background1" w:themeShade="80"/>
                    <w:sz w:val="20"/>
                    <w:szCs w:val="20"/>
                  </w:rPr>
                </w:pPr>
                <w:r w:rsidRPr="00E06009">
                  <w:rPr>
                    <w:rFonts w:ascii="Arial" w:hAnsi="Arial" w:cs="Arial"/>
                    <w:color w:val="808080" w:themeColor="background1" w:themeShade="80"/>
                    <w:sz w:val="20"/>
                    <w:szCs w:val="20"/>
                  </w:rPr>
                  <w:t>Background review: aquifer connectivity within the Great Artesian</w:t>
                </w:r>
                <w:r>
                  <w:rPr>
                    <w:rFonts w:ascii="Arial" w:hAnsi="Arial" w:cs="Arial"/>
                    <w:color w:val="808080" w:themeColor="background1" w:themeShade="80"/>
                    <w:sz w:val="20"/>
                    <w:szCs w:val="20"/>
                  </w:rPr>
                  <w:t xml:space="preserve"> Basin</w:t>
                </w:r>
                <w:r w:rsidRPr="00E06009">
                  <w:rPr>
                    <w:rFonts w:ascii="Arial" w:hAnsi="Arial" w:cs="Arial"/>
                    <w:color w:val="808080" w:themeColor="background1" w:themeShade="80"/>
                    <w:sz w:val="20"/>
                    <w:szCs w:val="20"/>
                  </w:rPr>
                  <w:t>,</w:t>
                </w:r>
                <w:r>
                  <w:rPr>
                    <w:rFonts w:ascii="Arial" w:hAnsi="Arial" w:cs="Arial"/>
                    <w:color w:val="808080" w:themeColor="background1" w:themeShade="80"/>
                    <w:sz w:val="20"/>
                    <w:szCs w:val="20"/>
                  </w:rPr>
                  <w:t xml:space="preserve"> and</w:t>
                </w:r>
                <w:r w:rsidRPr="00E06009">
                  <w:rPr>
                    <w:rFonts w:ascii="Arial" w:hAnsi="Arial" w:cs="Arial"/>
                    <w:color w:val="808080" w:themeColor="background1" w:themeShade="80"/>
                    <w:sz w:val="20"/>
                    <w:szCs w:val="20"/>
                  </w:rPr>
                  <w:t xml:space="preserve"> Sur</w:t>
                </w:r>
                <w:r>
                  <w:rPr>
                    <w:rFonts w:ascii="Arial" w:hAnsi="Arial" w:cs="Arial"/>
                    <w:color w:val="808080" w:themeColor="background1" w:themeShade="80"/>
                    <w:sz w:val="20"/>
                    <w:szCs w:val="20"/>
                  </w:rPr>
                  <w:t>at, Bowen and Galilee B</w:t>
                </w:r>
                <w:r w:rsidRPr="00E06009">
                  <w:rPr>
                    <w:rFonts w:ascii="Arial" w:hAnsi="Arial" w:cs="Arial"/>
                    <w:color w:val="808080" w:themeColor="background1" w:themeShade="80"/>
                    <w:sz w:val="20"/>
                    <w:szCs w:val="20"/>
                  </w:rPr>
                  <w:t>asins</w:t>
                </w:r>
              </w:p>
              <w:p w:rsidR="00B45E8E" w:rsidRPr="00E06009" w:rsidRDefault="00B45E8E" w:rsidP="001C3374">
                <w:pPr>
                  <w:rPr>
                    <w:color w:val="808080" w:themeColor="background1" w:themeShade="80"/>
                  </w:rPr>
                </w:pPr>
              </w:p>
            </w:txbxContent>
          </v:textbox>
          <w10:wrap type="square"/>
        </v:shape>
      </w:pict>
    </w:r>
    <w:r w:rsidR="00B45E8E">
      <w:rPr>
        <w:noProof/>
        <w:lang w:val="en-AU" w:eastAsia="en-AU"/>
      </w:rPr>
      <w:drawing>
        <wp:inline distT="0" distB="0" distL="0" distR="0">
          <wp:extent cx="10801350" cy="942975"/>
          <wp:effectExtent l="0" t="0" r="0" b="0"/>
          <wp:docPr id="56" name="Picture 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12121"/>
                  <a:stretch/>
                </pic:blipFill>
                <pic:spPr bwMode="auto">
                  <a:xfrm>
                    <a:off x="0" y="0"/>
                    <a:ext cx="10796808" cy="942578"/>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hdr>
</file>

<file path=word/header2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45E8E" w:rsidRDefault="00E23933" w:rsidP="002A5173">
    <w:pPr>
      <w:pStyle w:val="Header"/>
      <w:ind w:hanging="1418"/>
    </w:pPr>
    <w:r>
      <w:rPr>
        <w:noProof/>
        <w:lang w:val="en-AU" w:eastAsia="en-AU"/>
      </w:rPr>
      <w:pict>
        <v:shapetype id="_x0000_t202" coordsize="21600,21600" o:spt="202" path="m,l,21600r21600,l21600,xe">
          <v:stroke joinstyle="miter"/>
          <v:path gradientshapeok="t" o:connecttype="rect"/>
        </v:shapetype>
        <v:shape id="_x0000_s2125" type="#_x0000_t202" style="position:absolute;margin-left:210.5pt;margin-top:71.45pt;width:503.1pt;height:23.25pt;z-index:251703808;visibility:visible;mso-wrap-distance-left:9pt;mso-wrap-distance-top:0;mso-wrap-distance-right:9pt;mso-wrap-distance-bottom:0;mso-position-horizontal-relative:text;mso-position-vertical-relative:text;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" filled="f" stroked="f">
          <v:path arrowok="t"/>
          <v:textbox style="mso-next-textbox:#_x0000_s2125" inset="0,,0">
            <w:txbxContent>
              <w:p w:rsidR="00B45E8E" w:rsidRPr="00E06009" w:rsidRDefault="00B45E8E" w:rsidP="001C3374">
                <w:pPr>
                  <w:pStyle w:val="BasicParagraph"/>
                  <w:rPr>
                    <w:rFonts w:ascii="Arial" w:hAnsi="Arial" w:cs="Arial"/>
                    <w:color w:val="808080" w:themeColor="background1" w:themeShade="80"/>
                    <w:sz w:val="20"/>
                    <w:szCs w:val="20"/>
                  </w:rPr>
                </w:pPr>
                <w:r w:rsidRPr="00E06009">
                  <w:rPr>
                    <w:rFonts w:ascii="Arial" w:hAnsi="Arial" w:cs="Arial"/>
                    <w:color w:val="808080" w:themeColor="background1" w:themeShade="80"/>
                    <w:sz w:val="20"/>
                    <w:szCs w:val="20"/>
                  </w:rPr>
                  <w:t>Background review: aquifer connectivity within the Great Artesian</w:t>
                </w:r>
                <w:r>
                  <w:rPr>
                    <w:rFonts w:ascii="Arial" w:hAnsi="Arial" w:cs="Arial"/>
                    <w:color w:val="808080" w:themeColor="background1" w:themeShade="80"/>
                    <w:sz w:val="20"/>
                    <w:szCs w:val="20"/>
                  </w:rPr>
                  <w:t xml:space="preserve"> Basin</w:t>
                </w:r>
                <w:r w:rsidRPr="00E06009">
                  <w:rPr>
                    <w:rFonts w:ascii="Arial" w:hAnsi="Arial" w:cs="Arial"/>
                    <w:color w:val="808080" w:themeColor="background1" w:themeShade="80"/>
                    <w:sz w:val="20"/>
                    <w:szCs w:val="20"/>
                  </w:rPr>
                  <w:t>,</w:t>
                </w:r>
                <w:r>
                  <w:rPr>
                    <w:rFonts w:ascii="Arial" w:hAnsi="Arial" w:cs="Arial"/>
                    <w:color w:val="808080" w:themeColor="background1" w:themeShade="80"/>
                    <w:sz w:val="20"/>
                    <w:szCs w:val="20"/>
                  </w:rPr>
                  <w:t xml:space="preserve"> and</w:t>
                </w:r>
                <w:r w:rsidRPr="00E06009">
                  <w:rPr>
                    <w:rFonts w:ascii="Arial" w:hAnsi="Arial" w:cs="Arial"/>
                    <w:color w:val="808080" w:themeColor="background1" w:themeShade="80"/>
                    <w:sz w:val="20"/>
                    <w:szCs w:val="20"/>
                  </w:rPr>
                  <w:t xml:space="preserve"> Surat, Bowen and Galilee basins</w:t>
                </w:r>
              </w:p>
              <w:p w:rsidR="00B45E8E" w:rsidRDefault="00B45E8E" w:rsidP="001C3374"/>
            </w:txbxContent>
          </v:textbox>
        </v:shape>
      </w:pict>
    </w:r>
    <w:r w:rsidR="00984C82">
      <w:rPr>
        <w:noProof/>
        <w:lang w:val="en-AU" w:eastAsia="en-AU"/>
      </w:rPr>
      <w:drawing>
        <wp:anchor distT="0" distB="0" distL="114300" distR="114300" simplePos="0" relativeHeight="251643384" behindDoc="0" locked="0" layoutInCell="1" allowOverlap="1">
          <wp:simplePos x="0" y="0"/>
          <wp:positionH relativeFrom="page">
            <wp:posOffset>-69574</wp:posOffset>
          </wp:positionH>
          <wp:positionV relativeFrom="page">
            <wp:posOffset>109330</wp:posOffset>
          </wp:positionV>
          <wp:extent cx="10809794" cy="755374"/>
          <wp:effectExtent l="0" t="0" r="0" b="0"/>
          <wp:wrapSquare wrapText="bothSides"/>
          <wp:docPr id="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8434"/>
                  <a:stretch/>
                </pic:blipFill>
                <pic:spPr bwMode="auto">
                  <a:xfrm>
                    <a:off x="0" y="0"/>
                    <a:ext cx="10841990" cy="757624"/>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hdr>
</file>

<file path=word/header2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45E8E" w:rsidRDefault="00E23933" w:rsidP="002A5173">
    <w:pPr>
      <w:pStyle w:val="Header"/>
      <w:ind w:hanging="1418"/>
    </w:pPr>
    <w:r>
      <w:rPr>
        <w:noProof/>
        <w:lang w:val="en-AU" w:eastAsia="en-AU"/>
      </w:rPr>
      <w:pict>
        <v:shapetype id="_x0000_t202" coordsize="21600,21600" o:spt="202" path="m,l,21600r21600,l21600,xe">
          <v:stroke joinstyle="miter"/>
          <v:path gradientshapeok="t" o:connecttype="rect"/>
        </v:shapetype>
        <v:shape id="_x0000_s2234" type="#_x0000_t202" style="position:absolute;margin-left:-4.55pt;margin-top:71.25pt;width:498.75pt;height:23.25pt;z-index:251731456;visibility:visible;mso-wrap-distance-left:0;mso-wrap-distance-top:0;mso-wrap-distance-right:0;mso-wrap-distance-bottom:8.5pt;mso-position-horizontal-relative:text;mso-position-vertical-relative:text;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" filled="f" stroked="f">
          <v:path arrowok="t"/>
          <v:textbox style="mso-next-textbox:#_x0000_s2234" inset="0,,0">
            <w:txbxContent>
              <w:p w:rsidR="00B45E8E" w:rsidRPr="00E06009" w:rsidRDefault="00B45E8E" w:rsidP="001C3374">
                <w:pPr>
                  <w:pStyle w:val="BasicParagraph"/>
                  <w:rPr>
                    <w:rFonts w:ascii="Arial" w:hAnsi="Arial" w:cs="Arial"/>
                    <w:color w:val="808080" w:themeColor="background1" w:themeShade="80"/>
                    <w:sz w:val="20"/>
                    <w:szCs w:val="20"/>
                  </w:rPr>
                </w:pPr>
                <w:r w:rsidRPr="00E06009">
                  <w:rPr>
                    <w:rFonts w:ascii="Arial" w:hAnsi="Arial" w:cs="Arial"/>
                    <w:color w:val="808080" w:themeColor="background1" w:themeShade="80"/>
                    <w:sz w:val="20"/>
                    <w:szCs w:val="20"/>
                  </w:rPr>
                  <w:t>Background review: aquifer connectivity within the Great Artesian</w:t>
                </w:r>
                <w:r>
                  <w:rPr>
                    <w:rFonts w:ascii="Arial" w:hAnsi="Arial" w:cs="Arial"/>
                    <w:color w:val="808080" w:themeColor="background1" w:themeShade="80"/>
                    <w:sz w:val="20"/>
                    <w:szCs w:val="20"/>
                  </w:rPr>
                  <w:t xml:space="preserve"> Basin</w:t>
                </w:r>
                <w:r w:rsidRPr="00E06009">
                  <w:rPr>
                    <w:rFonts w:ascii="Arial" w:hAnsi="Arial" w:cs="Arial"/>
                    <w:color w:val="808080" w:themeColor="background1" w:themeShade="80"/>
                    <w:sz w:val="20"/>
                    <w:szCs w:val="20"/>
                  </w:rPr>
                  <w:t>,</w:t>
                </w:r>
                <w:r>
                  <w:rPr>
                    <w:rFonts w:ascii="Arial" w:hAnsi="Arial" w:cs="Arial"/>
                    <w:color w:val="808080" w:themeColor="background1" w:themeShade="80"/>
                    <w:sz w:val="20"/>
                    <w:szCs w:val="20"/>
                  </w:rPr>
                  <w:t xml:space="preserve"> and</w:t>
                </w:r>
                <w:r w:rsidRPr="00E06009">
                  <w:rPr>
                    <w:rFonts w:ascii="Arial" w:hAnsi="Arial" w:cs="Arial"/>
                    <w:color w:val="808080" w:themeColor="background1" w:themeShade="80"/>
                    <w:sz w:val="20"/>
                    <w:szCs w:val="20"/>
                  </w:rPr>
                  <w:t xml:space="preserve"> Sur</w:t>
                </w:r>
                <w:r>
                  <w:rPr>
                    <w:rFonts w:ascii="Arial" w:hAnsi="Arial" w:cs="Arial"/>
                    <w:color w:val="808080" w:themeColor="background1" w:themeShade="80"/>
                    <w:sz w:val="20"/>
                    <w:szCs w:val="20"/>
                  </w:rPr>
                  <w:t>at, Bowen and Galilee B</w:t>
                </w:r>
                <w:r w:rsidRPr="00E06009">
                  <w:rPr>
                    <w:rFonts w:ascii="Arial" w:hAnsi="Arial" w:cs="Arial"/>
                    <w:color w:val="808080" w:themeColor="background1" w:themeShade="80"/>
                    <w:sz w:val="20"/>
                    <w:szCs w:val="20"/>
                  </w:rPr>
                  <w:t>asins</w:t>
                </w:r>
              </w:p>
              <w:p w:rsidR="00B45E8E" w:rsidRPr="00E06009" w:rsidRDefault="00B45E8E" w:rsidP="001C3374">
                <w:pPr>
                  <w:rPr>
                    <w:color w:val="808080" w:themeColor="background1" w:themeShade="80"/>
                  </w:rPr>
                </w:pPr>
              </w:p>
            </w:txbxContent>
          </v:textbox>
          <w10:wrap type="square"/>
        </v:shape>
      </w:pict>
    </w:r>
    <w:r w:rsidR="00B45E8E">
      <w:rPr>
        <w:noProof/>
        <w:lang w:val="en-AU" w:eastAsia="en-AU"/>
      </w:rPr>
      <w:drawing>
        <wp:inline distT="0" distB="0" distL="0" distR="0">
          <wp:extent cx="7534275" cy="942975"/>
          <wp:effectExtent l="0" t="0" r="0" b="0"/>
          <wp:docPr id="58" name="Picture 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12121"/>
                  <a:stretch/>
                </pic:blipFill>
                <pic:spPr bwMode="auto">
                  <a:xfrm>
                    <a:off x="0" y="0"/>
                    <a:ext cx="7531107" cy="942578"/>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hdr>
</file>

<file path=word/header2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45E8E" w:rsidRDefault="00984C82" w:rsidP="002A5173">
    <w:pPr>
      <w:pStyle w:val="Header"/>
      <w:ind w:hanging="1418"/>
    </w:pPr>
    <w:r>
      <w:rPr>
        <w:noProof/>
        <w:lang w:val="en-AU" w:eastAsia="en-AU"/>
      </w:rPr>
      <w:drawing>
        <wp:anchor distT="0" distB="0" distL="114300" distR="114300" simplePos="0" relativeHeight="251642359" behindDoc="0" locked="0" layoutInCell="1" allowOverlap="1">
          <wp:simplePos x="0" y="0"/>
          <wp:positionH relativeFrom="page">
            <wp:posOffset>-69574</wp:posOffset>
          </wp:positionH>
          <wp:positionV relativeFrom="page">
            <wp:posOffset>109330</wp:posOffset>
          </wp:positionV>
          <wp:extent cx="7666196" cy="755374"/>
          <wp:effectExtent l="0" t="0" r="0" b="0"/>
          <wp:wrapSquare wrapText="bothSides"/>
          <wp:docPr id="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8434"/>
                  <a:stretch/>
                </pic:blipFill>
                <pic:spPr bwMode="auto">
                  <a:xfrm>
                    <a:off x="0" y="0"/>
                    <a:ext cx="7694930" cy="75820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00E23933">
      <w:rPr>
        <w:noProof/>
        <w:lang w:val="en-AU" w:eastAsia="en-AU"/>
      </w:rPr>
      <w:pict>
        <v:shapetype id="_x0000_t202" coordsize="21600,21600" o:spt="202" path="m,l,21600r21600,l21600,xe">
          <v:stroke joinstyle="miter"/>
          <v:path gradientshapeok="t" o:connecttype="rect"/>
        </v:shapetype>
        <v:shape id="_x0000_s2126" type="#_x0000_t202" style="position:absolute;margin-left:1.25pt;margin-top:67.5pt;width:503.1pt;height:23.25pt;z-index:251705856;visibility:visible;mso-wrap-distance-left:9pt;mso-wrap-distance-top:0;mso-wrap-distance-right:9pt;mso-wrap-distance-bottom:0;mso-position-horizontal-relative:text;mso-position-vertical-relative:text;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" filled="f" stroked="f">
          <v:path arrowok="t"/>
          <v:textbox style="mso-next-textbox:#_x0000_s2126" inset="0,,0">
            <w:txbxContent>
              <w:p w:rsidR="00B45E8E" w:rsidRPr="00E06009" w:rsidRDefault="00B45E8E" w:rsidP="001C3374">
                <w:pPr>
                  <w:pStyle w:val="BasicParagraph"/>
                  <w:rPr>
                    <w:rFonts w:ascii="Arial" w:hAnsi="Arial" w:cs="Arial"/>
                    <w:color w:val="808080" w:themeColor="background1" w:themeShade="80"/>
                    <w:sz w:val="20"/>
                    <w:szCs w:val="20"/>
                  </w:rPr>
                </w:pPr>
                <w:r w:rsidRPr="00E06009">
                  <w:rPr>
                    <w:rFonts w:ascii="Arial" w:hAnsi="Arial" w:cs="Arial"/>
                    <w:color w:val="808080" w:themeColor="background1" w:themeShade="80"/>
                    <w:sz w:val="20"/>
                    <w:szCs w:val="20"/>
                  </w:rPr>
                  <w:t>Background review: aquifer connectivity within the Great Artesian</w:t>
                </w:r>
                <w:r>
                  <w:rPr>
                    <w:rFonts w:ascii="Arial" w:hAnsi="Arial" w:cs="Arial"/>
                    <w:color w:val="808080" w:themeColor="background1" w:themeShade="80"/>
                    <w:sz w:val="20"/>
                    <w:szCs w:val="20"/>
                  </w:rPr>
                  <w:t xml:space="preserve"> Basin</w:t>
                </w:r>
                <w:r w:rsidRPr="00E06009">
                  <w:rPr>
                    <w:rFonts w:ascii="Arial" w:hAnsi="Arial" w:cs="Arial"/>
                    <w:color w:val="808080" w:themeColor="background1" w:themeShade="80"/>
                    <w:sz w:val="20"/>
                    <w:szCs w:val="20"/>
                  </w:rPr>
                  <w:t>,</w:t>
                </w:r>
                <w:r>
                  <w:rPr>
                    <w:rFonts w:ascii="Arial" w:hAnsi="Arial" w:cs="Arial"/>
                    <w:color w:val="808080" w:themeColor="background1" w:themeShade="80"/>
                    <w:sz w:val="20"/>
                    <w:szCs w:val="20"/>
                  </w:rPr>
                  <w:t xml:space="preserve"> and Surat, Bowen and Galilee B</w:t>
                </w:r>
                <w:r w:rsidRPr="00E06009">
                  <w:rPr>
                    <w:rFonts w:ascii="Arial" w:hAnsi="Arial" w:cs="Arial"/>
                    <w:color w:val="808080" w:themeColor="background1" w:themeShade="80"/>
                    <w:sz w:val="20"/>
                    <w:szCs w:val="20"/>
                  </w:rPr>
                  <w:t>asins</w:t>
                </w:r>
              </w:p>
              <w:p w:rsidR="00B45E8E" w:rsidRDefault="00B45E8E" w:rsidP="001C3374"/>
            </w:txbxContent>
          </v:textbox>
        </v:shape>
      </w:pict>
    </w:r>
  </w:p>
</w:hdr>
</file>

<file path=word/header2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45E8E" w:rsidRDefault="00E23933" w:rsidP="002A5173">
    <w:pPr>
      <w:pStyle w:val="Header"/>
      <w:ind w:hanging="1418"/>
    </w:pPr>
    <w:r>
      <w:rPr>
        <w:noProof/>
        <w:lang w:val="en-AU" w:eastAsia="en-AU"/>
      </w:rPr>
      <w:pict>
        <v:shapetype id="_x0000_t202" coordsize="21600,21600" o:spt="202" path="m,l,21600r21600,l21600,xe">
          <v:stroke joinstyle="miter"/>
          <v:path gradientshapeok="t" o:connecttype="rect"/>
        </v:shapetype>
        <v:shape id="_x0000_s2128" type="#_x0000_t202" style="position:absolute;margin-left:224.6pt;margin-top:69.75pt;width:498.75pt;height:23.25pt;z-index:251709952;visibility:visible;mso-wrap-distance-left:0;mso-wrap-distance-top:0;mso-wrap-distance-right:0;mso-wrap-distance-bottom:8.5pt;mso-position-horizontal-relative:text;mso-position-vertical-relative:text;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" filled="f" stroked="f">
          <v:path arrowok="t"/>
          <v:textbox style="mso-next-textbox:#_x0000_s2128" inset="0,,0">
            <w:txbxContent>
              <w:p w:rsidR="00B45E8E" w:rsidRPr="00E06009" w:rsidRDefault="00B45E8E" w:rsidP="001C3374">
                <w:pPr>
                  <w:pStyle w:val="BasicParagraph"/>
                  <w:rPr>
                    <w:rFonts w:ascii="Arial" w:hAnsi="Arial" w:cs="Arial"/>
                    <w:color w:val="808080" w:themeColor="background1" w:themeShade="80"/>
                    <w:sz w:val="20"/>
                    <w:szCs w:val="20"/>
                  </w:rPr>
                </w:pPr>
                <w:r w:rsidRPr="00E06009">
                  <w:rPr>
                    <w:rFonts w:ascii="Arial" w:hAnsi="Arial" w:cs="Arial"/>
                    <w:color w:val="808080" w:themeColor="background1" w:themeShade="80"/>
                    <w:sz w:val="20"/>
                    <w:szCs w:val="20"/>
                  </w:rPr>
                  <w:t>Background review: aquifer connectivity within the Great Artesian</w:t>
                </w:r>
                <w:r>
                  <w:rPr>
                    <w:rFonts w:ascii="Arial" w:hAnsi="Arial" w:cs="Arial"/>
                    <w:color w:val="808080" w:themeColor="background1" w:themeShade="80"/>
                    <w:sz w:val="20"/>
                    <w:szCs w:val="20"/>
                  </w:rPr>
                  <w:t xml:space="preserve"> Basin</w:t>
                </w:r>
                <w:r w:rsidRPr="00E06009">
                  <w:rPr>
                    <w:rFonts w:ascii="Arial" w:hAnsi="Arial" w:cs="Arial"/>
                    <w:color w:val="808080" w:themeColor="background1" w:themeShade="80"/>
                    <w:sz w:val="20"/>
                    <w:szCs w:val="20"/>
                  </w:rPr>
                  <w:t>,</w:t>
                </w:r>
                <w:r>
                  <w:rPr>
                    <w:rFonts w:ascii="Arial" w:hAnsi="Arial" w:cs="Arial"/>
                    <w:color w:val="808080" w:themeColor="background1" w:themeShade="80"/>
                    <w:sz w:val="20"/>
                    <w:szCs w:val="20"/>
                  </w:rPr>
                  <w:t xml:space="preserve"> and Surat, Bowen and Galilee B</w:t>
                </w:r>
                <w:r w:rsidRPr="00E06009">
                  <w:rPr>
                    <w:rFonts w:ascii="Arial" w:hAnsi="Arial" w:cs="Arial"/>
                    <w:color w:val="808080" w:themeColor="background1" w:themeShade="80"/>
                    <w:sz w:val="20"/>
                    <w:szCs w:val="20"/>
                  </w:rPr>
                  <w:t>asins</w:t>
                </w:r>
              </w:p>
              <w:p w:rsidR="00B45E8E" w:rsidRPr="00E06009" w:rsidRDefault="00B45E8E" w:rsidP="001C3374">
                <w:pPr>
                  <w:rPr>
                    <w:color w:val="808080" w:themeColor="background1" w:themeShade="80"/>
                  </w:rPr>
                </w:pPr>
              </w:p>
            </w:txbxContent>
          </v:textbox>
          <w10:wrap type="square"/>
        </v:shape>
      </w:pict>
    </w:r>
    <w:r w:rsidR="00B45E8E">
      <w:rPr>
        <w:noProof/>
        <w:lang w:val="en-AU" w:eastAsia="en-AU"/>
      </w:rPr>
      <w:drawing>
        <wp:inline distT="0" distB="0" distL="0" distR="0">
          <wp:extent cx="10715625" cy="942974"/>
          <wp:effectExtent l="0" t="0" r="0" b="0"/>
          <wp:docPr id="60" name="Picture 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12121"/>
                  <a:stretch/>
                </pic:blipFill>
                <pic:spPr bwMode="auto">
                  <a:xfrm>
                    <a:off x="0" y="0"/>
                    <a:ext cx="10711119" cy="942578"/>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hdr>
</file>

<file path=word/header2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45E8E" w:rsidRDefault="002919C5" w:rsidP="002A5173">
    <w:pPr>
      <w:pStyle w:val="Header"/>
      <w:ind w:hanging="1418"/>
    </w:pPr>
    <w:r>
      <w:rPr>
        <w:noProof/>
        <w:lang w:val="en-AU" w:eastAsia="en-AU"/>
      </w:rPr>
      <w:drawing>
        <wp:anchor distT="0" distB="0" distL="114300" distR="114300" simplePos="0" relativeHeight="251641334" behindDoc="0" locked="0" layoutInCell="1" allowOverlap="1">
          <wp:simplePos x="0" y="0"/>
          <wp:positionH relativeFrom="page">
            <wp:posOffset>-70338</wp:posOffset>
          </wp:positionH>
          <wp:positionV relativeFrom="page">
            <wp:posOffset>110533</wp:posOffset>
          </wp:positionV>
          <wp:extent cx="10796914" cy="753626"/>
          <wp:effectExtent l="0" t="0" r="0" b="0"/>
          <wp:wrapSquare wrapText="bothSides"/>
          <wp:docPr id="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8537"/>
                  <a:stretch/>
                </pic:blipFill>
                <pic:spPr bwMode="auto">
                  <a:xfrm>
                    <a:off x="0" y="0"/>
                    <a:ext cx="10841990" cy="756772"/>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00E23933">
      <w:rPr>
        <w:noProof/>
        <w:lang w:val="en-AU" w:eastAsia="en-AU"/>
      </w:rPr>
      <w:pict>
        <v:shapetype id="_x0000_t202" coordsize="21600,21600" o:spt="202" path="m,l,21600r21600,l21600,xe">
          <v:stroke joinstyle="miter"/>
          <v:path gradientshapeok="t" o:connecttype="rect"/>
        </v:shapetype>
        <v:shape id="_x0000_s2127" type="#_x0000_t202" style="position:absolute;margin-left:231.5pt;margin-top:67.5pt;width:503.1pt;height:23.25pt;z-index:251707904;visibility:visible;mso-wrap-distance-left:9pt;mso-wrap-distance-top:0;mso-wrap-distance-right:9pt;mso-wrap-distance-bottom:0;mso-position-horizontal-relative:text;mso-position-vertical-relative:text;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" filled="f" stroked="f">
          <v:path arrowok="t"/>
          <v:textbox style="mso-next-textbox:#_x0000_s2127" inset="0,,0">
            <w:txbxContent>
              <w:p w:rsidR="00B45E8E" w:rsidRPr="00E06009" w:rsidRDefault="00B45E8E" w:rsidP="001C3374">
                <w:pPr>
                  <w:pStyle w:val="BasicParagraph"/>
                  <w:rPr>
                    <w:rFonts w:ascii="Arial" w:hAnsi="Arial" w:cs="Arial"/>
                    <w:color w:val="808080" w:themeColor="background1" w:themeShade="80"/>
                    <w:sz w:val="20"/>
                    <w:szCs w:val="20"/>
                  </w:rPr>
                </w:pPr>
                <w:r w:rsidRPr="00E06009">
                  <w:rPr>
                    <w:rFonts w:ascii="Arial" w:hAnsi="Arial" w:cs="Arial"/>
                    <w:color w:val="808080" w:themeColor="background1" w:themeShade="80"/>
                    <w:sz w:val="20"/>
                    <w:szCs w:val="20"/>
                  </w:rPr>
                  <w:t>Background review: aquifer connectivity within the Great Artesian</w:t>
                </w:r>
                <w:r>
                  <w:rPr>
                    <w:rFonts w:ascii="Arial" w:hAnsi="Arial" w:cs="Arial"/>
                    <w:color w:val="808080" w:themeColor="background1" w:themeShade="80"/>
                    <w:sz w:val="20"/>
                    <w:szCs w:val="20"/>
                  </w:rPr>
                  <w:t xml:space="preserve"> Basin</w:t>
                </w:r>
                <w:r w:rsidRPr="00E06009">
                  <w:rPr>
                    <w:rFonts w:ascii="Arial" w:hAnsi="Arial" w:cs="Arial"/>
                    <w:color w:val="808080" w:themeColor="background1" w:themeShade="80"/>
                    <w:sz w:val="20"/>
                    <w:szCs w:val="20"/>
                  </w:rPr>
                  <w:t>,</w:t>
                </w:r>
                <w:r>
                  <w:rPr>
                    <w:rFonts w:ascii="Arial" w:hAnsi="Arial" w:cs="Arial"/>
                    <w:color w:val="808080" w:themeColor="background1" w:themeShade="80"/>
                    <w:sz w:val="20"/>
                    <w:szCs w:val="20"/>
                  </w:rPr>
                  <w:t xml:space="preserve"> and Surat, Bowen and Galilee B</w:t>
                </w:r>
                <w:r w:rsidRPr="00E06009">
                  <w:rPr>
                    <w:rFonts w:ascii="Arial" w:hAnsi="Arial" w:cs="Arial"/>
                    <w:color w:val="808080" w:themeColor="background1" w:themeShade="80"/>
                    <w:sz w:val="20"/>
                    <w:szCs w:val="20"/>
                  </w:rPr>
                  <w:t>asins</w:t>
                </w:r>
              </w:p>
              <w:p w:rsidR="00B45E8E" w:rsidRDefault="00B45E8E" w:rsidP="001C3374"/>
            </w:txbxContent>
          </v:textbox>
        </v:shape>
      </w:pict>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45E8E" w:rsidRDefault="00B45E8E" w:rsidP="00BE7A62">
    <w:pPr>
      <w:pStyle w:val="Header"/>
    </w:pPr>
    <w:r>
      <w:rPr>
        <w:noProof/>
        <w:lang w:val="en-AU" w:eastAsia="en-AU"/>
      </w:rPr>
      <w:drawing>
        <wp:anchor distT="0" distB="0" distL="114300" distR="114300" simplePos="0" relativeHeight="251744768" behindDoc="0" locked="0" layoutInCell="1" allowOverlap="1">
          <wp:simplePos x="0" y="0"/>
          <wp:positionH relativeFrom="page">
            <wp:posOffset>-107950</wp:posOffset>
          </wp:positionH>
          <wp:positionV relativeFrom="page">
            <wp:posOffset>107950</wp:posOffset>
          </wp:positionV>
          <wp:extent cx="7740000" cy="1284542"/>
          <wp:effectExtent l="0" t="0" r="0" b="0"/>
          <wp:wrapTopAndBottom/>
          <wp:docPr id="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57339"/>
                  <a:stretch/>
                </pic:blipFill>
                <pic:spPr bwMode="auto">
                  <a:xfrm>
                    <a:off x="0" y="0"/>
                    <a:ext cx="7740000" cy="1284542"/>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hdr>
</file>

<file path=word/header3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45E8E" w:rsidRDefault="00E23933" w:rsidP="002A5173">
    <w:pPr>
      <w:pStyle w:val="Header"/>
      <w:ind w:hanging="1418"/>
    </w:pPr>
    <w:r>
      <w:rPr>
        <w:noProof/>
        <w:lang w:val="en-AU" w:eastAsia="en-AU"/>
      </w:rPr>
      <w:pict>
        <v:shapetype id="_x0000_t202" coordsize="21600,21600" o:spt="202" path="m,l,21600r21600,l21600,xe">
          <v:stroke joinstyle="miter"/>
          <v:path gradientshapeok="t" o:connecttype="rect"/>
        </v:shapetype>
        <v:shape id="_x0000_s2238" type="#_x0000_t202" style="position:absolute;margin-left:-7.55pt;margin-top:69.75pt;width:498.75pt;height:23.25pt;z-index:251734528;visibility:visible;mso-wrap-distance-left:0;mso-wrap-distance-top:0;mso-wrap-distance-right:0;mso-wrap-distance-bottom:8.5pt;mso-position-horizontal-relative:text;mso-position-vertical-relative:text;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" filled="f" stroked="f">
          <v:path arrowok="t"/>
          <v:textbox style="mso-next-textbox:#_x0000_s2238" inset="0,,0">
            <w:txbxContent>
              <w:p w:rsidR="00B45E8E" w:rsidRPr="00E06009" w:rsidRDefault="00B45E8E" w:rsidP="001C3374">
                <w:pPr>
                  <w:pStyle w:val="BasicParagraph"/>
                  <w:rPr>
                    <w:rFonts w:ascii="Arial" w:hAnsi="Arial" w:cs="Arial"/>
                    <w:color w:val="808080" w:themeColor="background1" w:themeShade="80"/>
                    <w:sz w:val="20"/>
                    <w:szCs w:val="20"/>
                  </w:rPr>
                </w:pPr>
                <w:r w:rsidRPr="00E06009">
                  <w:rPr>
                    <w:rFonts w:ascii="Arial" w:hAnsi="Arial" w:cs="Arial"/>
                    <w:color w:val="808080" w:themeColor="background1" w:themeShade="80"/>
                    <w:sz w:val="20"/>
                    <w:szCs w:val="20"/>
                  </w:rPr>
                  <w:t>Background review: aquifer connectivity within the Great Artesian</w:t>
                </w:r>
                <w:r>
                  <w:rPr>
                    <w:rFonts w:ascii="Arial" w:hAnsi="Arial" w:cs="Arial"/>
                    <w:color w:val="808080" w:themeColor="background1" w:themeShade="80"/>
                    <w:sz w:val="20"/>
                    <w:szCs w:val="20"/>
                  </w:rPr>
                  <w:t xml:space="preserve"> Basin</w:t>
                </w:r>
                <w:r w:rsidRPr="00E06009">
                  <w:rPr>
                    <w:rFonts w:ascii="Arial" w:hAnsi="Arial" w:cs="Arial"/>
                    <w:color w:val="808080" w:themeColor="background1" w:themeShade="80"/>
                    <w:sz w:val="20"/>
                    <w:szCs w:val="20"/>
                  </w:rPr>
                  <w:t>,</w:t>
                </w:r>
                <w:r>
                  <w:rPr>
                    <w:rFonts w:ascii="Arial" w:hAnsi="Arial" w:cs="Arial"/>
                    <w:color w:val="808080" w:themeColor="background1" w:themeShade="80"/>
                    <w:sz w:val="20"/>
                    <w:szCs w:val="20"/>
                  </w:rPr>
                  <w:t xml:space="preserve"> and Surat, Bowen and Galilee B</w:t>
                </w:r>
                <w:r w:rsidRPr="00E06009">
                  <w:rPr>
                    <w:rFonts w:ascii="Arial" w:hAnsi="Arial" w:cs="Arial"/>
                    <w:color w:val="808080" w:themeColor="background1" w:themeShade="80"/>
                    <w:sz w:val="20"/>
                    <w:szCs w:val="20"/>
                  </w:rPr>
                  <w:t>asins</w:t>
                </w:r>
              </w:p>
              <w:p w:rsidR="00B45E8E" w:rsidRPr="00E06009" w:rsidRDefault="00B45E8E" w:rsidP="001C3374">
                <w:pPr>
                  <w:rPr>
                    <w:color w:val="808080" w:themeColor="background1" w:themeShade="80"/>
                  </w:rPr>
                </w:pPr>
              </w:p>
            </w:txbxContent>
          </v:textbox>
          <w10:wrap type="square"/>
        </v:shape>
      </w:pict>
    </w:r>
    <w:r w:rsidR="00B45E8E">
      <w:rPr>
        <w:noProof/>
        <w:lang w:val="en-AU" w:eastAsia="en-AU"/>
      </w:rPr>
      <w:drawing>
        <wp:inline distT="0" distB="0" distL="0" distR="0">
          <wp:extent cx="7600950" cy="942975"/>
          <wp:effectExtent l="0" t="0" r="0" b="0"/>
          <wp:docPr id="62" name="Picture 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12121"/>
                  <a:stretch/>
                </pic:blipFill>
                <pic:spPr bwMode="auto">
                  <a:xfrm>
                    <a:off x="0" y="0"/>
                    <a:ext cx="7597754" cy="942578"/>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hdr>
</file>

<file path=word/header3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45E8E" w:rsidRDefault="002919C5" w:rsidP="0054698A">
    <w:pPr>
      <w:pStyle w:val="Header"/>
      <w:ind w:hanging="1418"/>
    </w:pPr>
    <w:r>
      <w:rPr>
        <w:noProof/>
        <w:lang w:val="en-AU" w:eastAsia="en-AU"/>
      </w:rPr>
      <w:drawing>
        <wp:anchor distT="0" distB="0" distL="114300" distR="114300" simplePos="0" relativeHeight="251640309" behindDoc="0" locked="0" layoutInCell="1" allowOverlap="1">
          <wp:simplePos x="0" y="0"/>
          <wp:positionH relativeFrom="page">
            <wp:posOffset>-70338</wp:posOffset>
          </wp:positionH>
          <wp:positionV relativeFrom="page">
            <wp:posOffset>110533</wp:posOffset>
          </wp:positionV>
          <wp:extent cx="7633682" cy="753626"/>
          <wp:effectExtent l="0" t="0" r="0" b="0"/>
          <wp:wrapSquare wrapText="bothSides"/>
          <wp:docPr id="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8537"/>
                  <a:stretch/>
                </pic:blipFill>
                <pic:spPr bwMode="auto">
                  <a:xfrm>
                    <a:off x="0" y="0"/>
                    <a:ext cx="7671435" cy="757353"/>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00E23933">
      <w:rPr>
        <w:noProof/>
        <w:lang w:val="en-AU" w:eastAsia="en-AU"/>
      </w:rPr>
      <w:pict>
        <v:shapetype id="_x0000_t202" coordsize="21600,21600" o:spt="202" path="m,l,21600r21600,l21600,xe">
          <v:stroke joinstyle="miter"/>
          <v:path gradientshapeok="t" o:connecttype="rect"/>
        </v:shapetype>
        <v:shape id="_x0000_s2237" type="#_x0000_t202" style="position:absolute;margin-left:-6pt;margin-top:70.5pt;width:498.75pt;height:23.25pt;z-index:251732480;visibility:visible;mso-wrap-distance-left:0;mso-wrap-distance-top:0;mso-wrap-distance-right:0;mso-wrap-distance-bottom:8.5pt;mso-position-horizontal-relative:text;mso-position-vertical-relative:text;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" filled="f" stroked="f">
          <v:path arrowok="t"/>
          <v:textbox style="mso-next-textbox:#_x0000_s2237" inset="0,,0">
            <w:txbxContent>
              <w:p w:rsidR="00B45E8E" w:rsidRPr="00E06009" w:rsidRDefault="00B45E8E" w:rsidP="0054698A">
                <w:pPr>
                  <w:pStyle w:val="BasicParagraph"/>
                  <w:rPr>
                    <w:rFonts w:ascii="Arial" w:hAnsi="Arial" w:cs="Arial"/>
                    <w:color w:val="808080" w:themeColor="background1" w:themeShade="80"/>
                    <w:sz w:val="20"/>
                    <w:szCs w:val="20"/>
                  </w:rPr>
                </w:pPr>
                <w:r w:rsidRPr="00E06009">
                  <w:rPr>
                    <w:rFonts w:ascii="Arial" w:hAnsi="Arial" w:cs="Arial"/>
                    <w:color w:val="808080" w:themeColor="background1" w:themeShade="80"/>
                    <w:sz w:val="20"/>
                    <w:szCs w:val="20"/>
                  </w:rPr>
                  <w:t>Background review: aquifer connectivity within the Great Artesian</w:t>
                </w:r>
                <w:r>
                  <w:rPr>
                    <w:rFonts w:ascii="Arial" w:hAnsi="Arial" w:cs="Arial"/>
                    <w:color w:val="808080" w:themeColor="background1" w:themeShade="80"/>
                    <w:sz w:val="20"/>
                    <w:szCs w:val="20"/>
                  </w:rPr>
                  <w:t xml:space="preserve"> Basin</w:t>
                </w:r>
                <w:r w:rsidRPr="00E06009">
                  <w:rPr>
                    <w:rFonts w:ascii="Arial" w:hAnsi="Arial" w:cs="Arial"/>
                    <w:color w:val="808080" w:themeColor="background1" w:themeShade="80"/>
                    <w:sz w:val="20"/>
                    <w:szCs w:val="20"/>
                  </w:rPr>
                  <w:t>,</w:t>
                </w:r>
                <w:r>
                  <w:rPr>
                    <w:rFonts w:ascii="Arial" w:hAnsi="Arial" w:cs="Arial"/>
                    <w:color w:val="808080" w:themeColor="background1" w:themeShade="80"/>
                    <w:sz w:val="20"/>
                    <w:szCs w:val="20"/>
                  </w:rPr>
                  <w:t xml:space="preserve"> and Surat, Bowen and Galilee B</w:t>
                </w:r>
                <w:r w:rsidRPr="00E06009">
                  <w:rPr>
                    <w:rFonts w:ascii="Arial" w:hAnsi="Arial" w:cs="Arial"/>
                    <w:color w:val="808080" w:themeColor="background1" w:themeShade="80"/>
                    <w:sz w:val="20"/>
                    <w:szCs w:val="20"/>
                  </w:rPr>
                  <w:t>asins</w:t>
                </w:r>
              </w:p>
              <w:p w:rsidR="00B45E8E" w:rsidRPr="00E06009" w:rsidRDefault="00B45E8E" w:rsidP="0054698A">
                <w:pPr>
                  <w:rPr>
                    <w:color w:val="808080" w:themeColor="background1" w:themeShade="80"/>
                  </w:rPr>
                </w:pPr>
              </w:p>
            </w:txbxContent>
          </v:textbox>
          <w10:wrap type="square"/>
        </v:shape>
      </w:pict>
    </w:r>
  </w:p>
</w:hdr>
</file>

<file path=word/header3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45E8E" w:rsidRDefault="00B45E8E" w:rsidP="001C3374">
    <w:pPr>
      <w:pStyle w:val="Header"/>
    </w:pPr>
    <w:r>
      <w:rPr>
        <w:noProof/>
        <w:lang w:val="en-AU" w:eastAsia="en-AU"/>
      </w:rPr>
      <w:drawing>
        <wp:anchor distT="0" distB="0" distL="114300" distR="114300" simplePos="0" relativeHeight="251666944" behindDoc="1" locked="0" layoutInCell="1" allowOverlap="1">
          <wp:simplePos x="0" y="0"/>
          <wp:positionH relativeFrom="margin">
            <wp:align>center</wp:align>
          </wp:positionH>
          <wp:positionV relativeFrom="margin">
            <wp:align>center</wp:align>
          </wp:positionV>
          <wp:extent cx="7559040" cy="10692130"/>
          <wp:effectExtent l="0" t="0" r="10160" b="1270"/>
          <wp:wrapNone/>
          <wp:docPr id="64" name="Picture 64" descr="page_spread_b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page_spread_back"/>
                  <pic:cNvPicPr>
                    <a:picLocks noChangeAspect="1" noChangeArrowheads="1"/>
                  </pic:cNvPicPr>
                </pic:nvPicPr>
                <pic:blipFill>
                  <a:blip r:embed="rId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559040" cy="10692130"/>
                  </a:xfrm>
                  <a:prstGeom prst="rect">
                    <a:avLst/>
                  </a:prstGeom>
                  <a:noFill/>
                </pic:spPr>
              </pic:pic>
            </a:graphicData>
          </a:graphic>
        </wp:anchor>
      </w:drawing>
    </w:r>
  </w:p>
</w:hdr>
</file>

<file path=word/header3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45E8E" w:rsidRDefault="002919C5" w:rsidP="00654198">
    <w:pPr>
      <w:pStyle w:val="Header"/>
      <w:ind w:hanging="1952"/>
    </w:pPr>
    <w:r>
      <w:rPr>
        <w:noProof/>
        <w:lang w:val="en-AU" w:eastAsia="en-AU"/>
      </w:rPr>
      <w:drawing>
        <wp:anchor distT="0" distB="0" distL="114300" distR="114300" simplePos="0" relativeHeight="251639284" behindDoc="0" locked="0" layoutInCell="1" allowOverlap="1">
          <wp:simplePos x="0" y="0"/>
          <wp:positionH relativeFrom="page">
            <wp:posOffset>-69574</wp:posOffset>
          </wp:positionH>
          <wp:positionV relativeFrom="page">
            <wp:posOffset>109330</wp:posOffset>
          </wp:positionV>
          <wp:extent cx="10777465" cy="755374"/>
          <wp:effectExtent l="0" t="0" r="0" b="0"/>
          <wp:wrapSquare wrapText="bothSides"/>
          <wp:docPr id="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8434"/>
                  <a:stretch/>
                </pic:blipFill>
                <pic:spPr bwMode="auto">
                  <a:xfrm>
                    <a:off x="0" y="0"/>
                    <a:ext cx="10817860" cy="75820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00E23933">
      <w:rPr>
        <w:noProof/>
        <w:lang w:val="en-AU" w:eastAsia="en-AU"/>
      </w:rPr>
      <w:pict>
        <v:shapetype id="_x0000_t202" coordsize="21600,21600" o:spt="202" path="m,l,21600r21600,l21600,xe">
          <v:stroke joinstyle="miter"/>
          <v:path gradientshapeok="t" o:connecttype="rect"/>
        </v:shapetype>
        <v:shape id="_x0000_s2239" type="#_x0000_t202" style="position:absolute;margin-left:177.3pt;margin-top:70.5pt;width:498.75pt;height:23.25pt;z-index:251736576;visibility:visible;mso-wrap-distance-left:0;mso-wrap-distance-top:0;mso-wrap-distance-right:0;mso-wrap-distance-bottom:8.5pt;mso-position-horizontal-relative:text;mso-position-vertical-relative:text;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" filled="f" stroked="f">
          <v:path arrowok="t"/>
          <v:textbox style="mso-next-textbox:#_x0000_s2239" inset="0,,0">
            <w:txbxContent>
              <w:p w:rsidR="00B45E8E" w:rsidRPr="00E06009" w:rsidRDefault="00B45E8E" w:rsidP="0054698A">
                <w:pPr>
                  <w:pStyle w:val="BasicParagraph"/>
                  <w:rPr>
                    <w:rFonts w:ascii="Arial" w:hAnsi="Arial" w:cs="Arial"/>
                    <w:color w:val="808080" w:themeColor="background1" w:themeShade="80"/>
                    <w:sz w:val="20"/>
                    <w:szCs w:val="20"/>
                  </w:rPr>
                </w:pPr>
                <w:r w:rsidRPr="00E06009">
                  <w:rPr>
                    <w:rFonts w:ascii="Arial" w:hAnsi="Arial" w:cs="Arial"/>
                    <w:color w:val="808080" w:themeColor="background1" w:themeShade="80"/>
                    <w:sz w:val="20"/>
                    <w:szCs w:val="20"/>
                  </w:rPr>
                  <w:t>Background review: aquifer connectivity within the Great Artesian</w:t>
                </w:r>
                <w:r>
                  <w:rPr>
                    <w:rFonts w:ascii="Arial" w:hAnsi="Arial" w:cs="Arial"/>
                    <w:color w:val="808080" w:themeColor="background1" w:themeShade="80"/>
                    <w:sz w:val="20"/>
                    <w:szCs w:val="20"/>
                  </w:rPr>
                  <w:t xml:space="preserve"> Basin</w:t>
                </w:r>
                <w:r w:rsidRPr="00E06009">
                  <w:rPr>
                    <w:rFonts w:ascii="Arial" w:hAnsi="Arial" w:cs="Arial"/>
                    <w:color w:val="808080" w:themeColor="background1" w:themeShade="80"/>
                    <w:sz w:val="20"/>
                    <w:szCs w:val="20"/>
                  </w:rPr>
                  <w:t>,</w:t>
                </w:r>
                <w:r>
                  <w:rPr>
                    <w:rFonts w:ascii="Arial" w:hAnsi="Arial" w:cs="Arial"/>
                    <w:color w:val="808080" w:themeColor="background1" w:themeShade="80"/>
                    <w:sz w:val="20"/>
                    <w:szCs w:val="20"/>
                  </w:rPr>
                  <w:t xml:space="preserve"> and Surat, Bowen and Galilee B</w:t>
                </w:r>
                <w:r w:rsidRPr="00E06009">
                  <w:rPr>
                    <w:rFonts w:ascii="Arial" w:hAnsi="Arial" w:cs="Arial"/>
                    <w:color w:val="808080" w:themeColor="background1" w:themeShade="80"/>
                    <w:sz w:val="20"/>
                    <w:szCs w:val="20"/>
                  </w:rPr>
                  <w:t>asins</w:t>
                </w:r>
              </w:p>
              <w:p w:rsidR="00B45E8E" w:rsidRPr="00E06009" w:rsidRDefault="00B45E8E" w:rsidP="0054698A">
                <w:pPr>
                  <w:rPr>
                    <w:color w:val="808080" w:themeColor="background1" w:themeShade="80"/>
                  </w:rPr>
                </w:pPr>
              </w:p>
            </w:txbxContent>
          </v:textbox>
          <w10:wrap type="square"/>
        </v:shape>
      </w:pict>
    </w:r>
  </w:p>
</w:hdr>
</file>

<file path=word/header3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45E8E" w:rsidRDefault="00B45E8E" w:rsidP="001C3374">
    <w:pPr>
      <w:pStyle w:val="Header"/>
    </w:pPr>
    <w:r>
      <w:rPr>
        <w:noProof/>
        <w:lang w:val="en-AU" w:eastAsia="en-AU"/>
      </w:rPr>
      <w:drawing>
        <wp:anchor distT="0" distB="0" distL="114300" distR="114300" simplePos="0" relativeHeight="251651584" behindDoc="1" locked="0" layoutInCell="1" allowOverlap="1">
          <wp:simplePos x="0" y="0"/>
          <wp:positionH relativeFrom="margin">
            <wp:align>center</wp:align>
          </wp:positionH>
          <wp:positionV relativeFrom="margin">
            <wp:align>center</wp:align>
          </wp:positionV>
          <wp:extent cx="7559040" cy="10692130"/>
          <wp:effectExtent l="0" t="0" r="10160" b="1270"/>
          <wp:wrapNone/>
          <wp:docPr id="69" name="Picture 69" descr="page_spread_b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page_spread_back"/>
                  <pic:cNvPicPr>
                    <a:picLocks noChangeAspect="1" noChangeArrowheads="1"/>
                  </pic:cNvPicPr>
                </pic:nvPicPr>
                <pic:blipFill>
                  <a:blip r:embed="rId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559040" cy="10692130"/>
                  </a:xfrm>
                  <a:prstGeom prst="rect">
                    <a:avLst/>
                  </a:prstGeom>
                  <a:noFill/>
                </pic:spPr>
              </pic:pic>
            </a:graphicData>
          </a:graphic>
        </wp:anchor>
      </w:drawing>
    </w:r>
  </w:p>
</w:hdr>
</file>

<file path=word/header3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45E8E" w:rsidRDefault="002919C5" w:rsidP="00654198">
    <w:pPr>
      <w:pStyle w:val="Header"/>
      <w:ind w:hanging="1418"/>
    </w:pPr>
    <w:r>
      <w:rPr>
        <w:noProof/>
        <w:lang w:val="en-AU" w:eastAsia="en-AU"/>
      </w:rPr>
      <w:drawing>
        <wp:anchor distT="0" distB="0" distL="114300" distR="114300" simplePos="0" relativeHeight="251638259" behindDoc="0" locked="0" layoutInCell="1" allowOverlap="1">
          <wp:simplePos x="0" y="0"/>
          <wp:positionH relativeFrom="page">
            <wp:posOffset>-69215</wp:posOffset>
          </wp:positionH>
          <wp:positionV relativeFrom="page">
            <wp:posOffset>109220</wp:posOffset>
          </wp:positionV>
          <wp:extent cx="7682865" cy="774700"/>
          <wp:effectExtent l="0" t="0" r="0" b="0"/>
          <wp:wrapSquare wrapText="bothSides"/>
          <wp:docPr id="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7999"/>
                  <a:stretch/>
                </pic:blipFill>
                <pic:spPr bwMode="auto">
                  <a:xfrm>
                    <a:off x="0" y="0"/>
                    <a:ext cx="7682865" cy="7747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00E23933">
      <w:rPr>
        <w:noProof/>
        <w:lang w:val="en-AU" w:eastAsia="en-AU"/>
      </w:rPr>
      <w:pict>
        <v:shapetype id="_x0000_t202" coordsize="21600,21600" o:spt="202" path="m,l,21600r21600,l21600,xe">
          <v:stroke joinstyle="miter"/>
          <v:path gradientshapeok="t" o:connecttype="rect"/>
        </v:shapetype>
        <v:shape id="_x0000_s2240" type="#_x0000_t202" style="position:absolute;margin-left:-2.65pt;margin-top:70.5pt;width:498.75pt;height:23.25pt;z-index:251738624;visibility:visible;mso-wrap-distance-left:0;mso-wrap-distance-top:0;mso-wrap-distance-right:0;mso-wrap-distance-bottom:8.5pt;mso-position-horizontal-relative:text;mso-position-vertical-relative:text;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" filled="f" stroked="f">
          <v:path arrowok="t"/>
          <v:textbox style="mso-next-textbox:#_x0000_s2240" inset="0,,0">
            <w:txbxContent>
              <w:p w:rsidR="00B45E8E" w:rsidRPr="00E06009" w:rsidRDefault="00B45E8E" w:rsidP="0054698A">
                <w:pPr>
                  <w:pStyle w:val="BasicParagraph"/>
                  <w:rPr>
                    <w:rFonts w:ascii="Arial" w:hAnsi="Arial" w:cs="Arial"/>
                    <w:color w:val="808080" w:themeColor="background1" w:themeShade="80"/>
                    <w:sz w:val="20"/>
                    <w:szCs w:val="20"/>
                  </w:rPr>
                </w:pPr>
                <w:r w:rsidRPr="00E06009">
                  <w:rPr>
                    <w:rFonts w:ascii="Arial" w:hAnsi="Arial" w:cs="Arial"/>
                    <w:color w:val="808080" w:themeColor="background1" w:themeShade="80"/>
                    <w:sz w:val="20"/>
                    <w:szCs w:val="20"/>
                  </w:rPr>
                  <w:t>Background review: aquifer connectivity within the Great Artesian</w:t>
                </w:r>
                <w:r>
                  <w:rPr>
                    <w:rFonts w:ascii="Arial" w:hAnsi="Arial" w:cs="Arial"/>
                    <w:color w:val="808080" w:themeColor="background1" w:themeShade="80"/>
                    <w:sz w:val="20"/>
                    <w:szCs w:val="20"/>
                  </w:rPr>
                  <w:t xml:space="preserve"> Basin</w:t>
                </w:r>
                <w:r w:rsidRPr="00E06009">
                  <w:rPr>
                    <w:rFonts w:ascii="Arial" w:hAnsi="Arial" w:cs="Arial"/>
                    <w:color w:val="808080" w:themeColor="background1" w:themeShade="80"/>
                    <w:sz w:val="20"/>
                    <w:szCs w:val="20"/>
                  </w:rPr>
                  <w:t>,</w:t>
                </w:r>
                <w:r>
                  <w:rPr>
                    <w:rFonts w:ascii="Arial" w:hAnsi="Arial" w:cs="Arial"/>
                    <w:color w:val="808080" w:themeColor="background1" w:themeShade="80"/>
                    <w:sz w:val="20"/>
                    <w:szCs w:val="20"/>
                  </w:rPr>
                  <w:t xml:space="preserve"> and Surat, Bowen and Galilee B</w:t>
                </w:r>
                <w:r w:rsidRPr="00E06009">
                  <w:rPr>
                    <w:rFonts w:ascii="Arial" w:hAnsi="Arial" w:cs="Arial"/>
                    <w:color w:val="808080" w:themeColor="background1" w:themeShade="80"/>
                    <w:sz w:val="20"/>
                    <w:szCs w:val="20"/>
                  </w:rPr>
                  <w:t>asins</w:t>
                </w:r>
              </w:p>
              <w:p w:rsidR="00B45E8E" w:rsidRPr="00E06009" w:rsidRDefault="00B45E8E" w:rsidP="0054698A">
                <w:pPr>
                  <w:rPr>
                    <w:color w:val="808080" w:themeColor="background1" w:themeShade="80"/>
                  </w:rPr>
                </w:pPr>
              </w:p>
            </w:txbxContent>
          </v:textbox>
          <w10:wrap type="square"/>
        </v:shape>
      </w:pict>
    </w: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45E8E" w:rsidRDefault="00E23933" w:rsidP="002A5173">
    <w:pPr>
      <w:pStyle w:val="Header"/>
      <w:ind w:hanging="1418"/>
    </w:pPr>
    <w:r>
      <w:rPr>
        <w:noProof/>
        <w:lang w:val="en-AU" w:eastAsia="en-AU"/>
      </w:rPr>
      <w:pict>
        <v:shapetype id="_x0000_t202" coordsize="21600,21600" o:spt="202" path="m,l,21600r21600,l21600,xe">
          <v:stroke joinstyle="miter"/>
          <v:path gradientshapeok="t" o:connecttype="rect"/>
        </v:shapetype>
        <v:shape id="_x0000_s2088" type="#_x0000_t202" style="position:absolute;margin-left:1.85pt;margin-top:62.25pt;width:493.5pt;height:23.25pt;z-index:251679232;visibility:visible;mso-wrap-distance-left:0;mso-wrap-distance-top:0;mso-wrap-distance-right:0;mso-wrap-distance-bottom:8.5pt;mso-position-horizontal-relative:text;mso-position-vertical-relative:text;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" filled="f" stroked="f">
          <v:path arrowok="t"/>
          <v:textbox style="mso-next-textbox:#_x0000_s2088" inset="0,,0">
            <w:txbxContent>
              <w:p w:rsidR="00B45E8E" w:rsidRPr="00E06009" w:rsidRDefault="00B45E8E" w:rsidP="001C3374">
                <w:pPr>
                  <w:pStyle w:val="BasicParagraph"/>
                  <w:rPr>
                    <w:rFonts w:ascii="Arial" w:hAnsi="Arial" w:cs="Arial"/>
                    <w:color w:val="808080" w:themeColor="background1" w:themeShade="80"/>
                    <w:sz w:val="20"/>
                    <w:szCs w:val="20"/>
                  </w:rPr>
                </w:pPr>
                <w:r w:rsidRPr="00E06009">
                  <w:rPr>
                    <w:rFonts w:ascii="Arial" w:hAnsi="Arial" w:cs="Arial"/>
                    <w:color w:val="808080" w:themeColor="background1" w:themeShade="80"/>
                    <w:sz w:val="20"/>
                    <w:szCs w:val="20"/>
                  </w:rPr>
                  <w:t>Background review: aquifer connectivity within the Great Artesian</w:t>
                </w:r>
                <w:r>
                  <w:rPr>
                    <w:rFonts w:ascii="Arial" w:hAnsi="Arial" w:cs="Arial"/>
                    <w:color w:val="808080" w:themeColor="background1" w:themeShade="80"/>
                    <w:sz w:val="20"/>
                    <w:szCs w:val="20"/>
                  </w:rPr>
                  <w:t xml:space="preserve"> Basin</w:t>
                </w:r>
                <w:r w:rsidRPr="00E06009">
                  <w:rPr>
                    <w:rFonts w:ascii="Arial" w:hAnsi="Arial" w:cs="Arial"/>
                    <w:color w:val="808080" w:themeColor="background1" w:themeShade="80"/>
                    <w:sz w:val="20"/>
                    <w:szCs w:val="20"/>
                  </w:rPr>
                  <w:t xml:space="preserve">, </w:t>
                </w:r>
                <w:r>
                  <w:rPr>
                    <w:rFonts w:ascii="Arial" w:hAnsi="Arial" w:cs="Arial"/>
                    <w:color w:val="808080" w:themeColor="background1" w:themeShade="80"/>
                    <w:sz w:val="20"/>
                    <w:szCs w:val="20"/>
                  </w:rPr>
                  <w:t>and Surat, Bowen and Galilee B</w:t>
                </w:r>
                <w:r w:rsidRPr="00E06009">
                  <w:rPr>
                    <w:rFonts w:ascii="Arial" w:hAnsi="Arial" w:cs="Arial"/>
                    <w:color w:val="808080" w:themeColor="background1" w:themeShade="80"/>
                    <w:sz w:val="20"/>
                    <w:szCs w:val="20"/>
                  </w:rPr>
                  <w:t>asins</w:t>
                </w:r>
              </w:p>
              <w:p w:rsidR="00B45E8E" w:rsidRPr="00E06009" w:rsidRDefault="00B45E8E" w:rsidP="001C3374">
                <w:pPr>
                  <w:rPr>
                    <w:color w:val="808080" w:themeColor="background1" w:themeShade="80"/>
                  </w:rPr>
                </w:pPr>
              </w:p>
            </w:txbxContent>
          </v:textbox>
          <w10:wrap type="square"/>
        </v:shape>
      </w:pict>
    </w:r>
    <w:r w:rsidR="00B45E8E">
      <w:rPr>
        <w:noProof/>
        <w:lang w:val="en-AU" w:eastAsia="en-AU"/>
      </w:rPr>
      <w:drawing>
        <wp:inline distT="0" distB="0" distL="0" distR="0">
          <wp:extent cx="7664400" cy="828000"/>
          <wp:effectExtent l="0" t="0" r="0" b="0"/>
          <wp:docPr id="3" name="Pictur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12121"/>
                  <a:stretch/>
                </pic:blipFill>
                <pic:spPr bwMode="auto">
                  <a:xfrm>
                    <a:off x="0" y="0"/>
                    <a:ext cx="7664400" cy="8280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45E8E" w:rsidRDefault="000C6202" w:rsidP="002A5173">
    <w:pPr>
      <w:pStyle w:val="Header"/>
      <w:ind w:hanging="1418"/>
    </w:pPr>
    <w:r>
      <w:rPr>
        <w:noProof/>
        <w:lang w:val="en-AU" w:eastAsia="en-AU"/>
      </w:rPr>
      <w:drawing>
        <wp:anchor distT="0" distB="0" distL="114300" distR="114300" simplePos="0" relativeHeight="251747840" behindDoc="0" locked="0" layoutInCell="1" allowOverlap="1">
          <wp:simplePos x="0" y="0"/>
          <wp:positionH relativeFrom="page">
            <wp:posOffset>-69215</wp:posOffset>
          </wp:positionH>
          <wp:positionV relativeFrom="page">
            <wp:posOffset>109220</wp:posOffset>
          </wp:positionV>
          <wp:extent cx="7700645" cy="735330"/>
          <wp:effectExtent l="0" t="0" r="0" b="0"/>
          <wp:wrapSquare wrapText="bothSides"/>
          <wp:docPr id="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11905"/>
                  <a:stretch/>
                </pic:blipFill>
                <pic:spPr bwMode="auto">
                  <a:xfrm>
                    <a:off x="0" y="0"/>
                    <a:ext cx="7700645" cy="73533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00E23933">
      <w:rPr>
        <w:noProof/>
        <w:lang w:val="en-AU" w:eastAsia="en-AU"/>
      </w:rPr>
      <w:pict>
        <v:shapetype id="_x0000_t202" coordsize="21600,21600" o:spt="202" path="m,l,21600r21600,l21600,xe">
          <v:stroke joinstyle="miter"/>
          <v:path gradientshapeok="t" o:connecttype="rect"/>
        </v:shapetype>
        <v:shape id="_x0000_s2113" type="#_x0000_t202" style="position:absolute;margin-left:-4.75pt;margin-top:66.75pt;width:503.1pt;height:23.25pt;z-index:251748864;visibility:visible;mso-wrap-distance-left:9pt;mso-wrap-distance-top:0;mso-wrap-distance-right:9pt;mso-wrap-distance-bottom:0;mso-position-horizontal-relative:text;mso-position-vertical-relative:text;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" filled="f" stroked="f">
          <v:path arrowok="t"/>
          <v:textbox style="mso-next-textbox:#_x0000_s2113" inset="0,,0">
            <w:txbxContent>
              <w:p w:rsidR="00B45E8E" w:rsidRPr="00E06009" w:rsidRDefault="00B45E8E" w:rsidP="001C3374">
                <w:pPr>
                  <w:pStyle w:val="BasicParagraph"/>
                  <w:rPr>
                    <w:rFonts w:ascii="Arial" w:hAnsi="Arial" w:cs="Arial"/>
                    <w:color w:val="808080" w:themeColor="background1" w:themeShade="80"/>
                    <w:sz w:val="20"/>
                    <w:szCs w:val="20"/>
                  </w:rPr>
                </w:pPr>
                <w:r w:rsidRPr="00E06009">
                  <w:rPr>
                    <w:rFonts w:ascii="Arial" w:hAnsi="Arial" w:cs="Arial"/>
                    <w:color w:val="808080" w:themeColor="background1" w:themeShade="80"/>
                    <w:sz w:val="20"/>
                    <w:szCs w:val="20"/>
                  </w:rPr>
                  <w:t>Background review: aquifer connectivity within the Great Artesian</w:t>
                </w:r>
                <w:r>
                  <w:rPr>
                    <w:rFonts w:ascii="Arial" w:hAnsi="Arial" w:cs="Arial"/>
                    <w:color w:val="808080" w:themeColor="background1" w:themeShade="80"/>
                    <w:sz w:val="20"/>
                    <w:szCs w:val="20"/>
                  </w:rPr>
                  <w:t xml:space="preserve"> Basin</w:t>
                </w:r>
                <w:r w:rsidRPr="00E06009">
                  <w:rPr>
                    <w:rFonts w:ascii="Arial" w:hAnsi="Arial" w:cs="Arial"/>
                    <w:color w:val="808080" w:themeColor="background1" w:themeShade="80"/>
                    <w:sz w:val="20"/>
                    <w:szCs w:val="20"/>
                  </w:rPr>
                  <w:t>,</w:t>
                </w:r>
                <w:r>
                  <w:rPr>
                    <w:rFonts w:ascii="Arial" w:hAnsi="Arial" w:cs="Arial"/>
                    <w:color w:val="808080" w:themeColor="background1" w:themeShade="80"/>
                    <w:sz w:val="20"/>
                    <w:szCs w:val="20"/>
                  </w:rPr>
                  <w:t xml:space="preserve"> and Surat, Bowen and Galilee B</w:t>
                </w:r>
                <w:r w:rsidRPr="00E06009">
                  <w:rPr>
                    <w:rFonts w:ascii="Arial" w:hAnsi="Arial" w:cs="Arial"/>
                    <w:color w:val="808080" w:themeColor="background1" w:themeShade="80"/>
                    <w:sz w:val="20"/>
                    <w:szCs w:val="20"/>
                  </w:rPr>
                  <w:t>asins</w:t>
                </w:r>
              </w:p>
              <w:p w:rsidR="00B45E8E" w:rsidRDefault="00B45E8E" w:rsidP="001C3374"/>
            </w:txbxContent>
          </v:textbox>
        </v:shape>
      </w:pict>
    </w: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45E8E" w:rsidRDefault="00E23933" w:rsidP="001C3374">
    <w:pPr>
      <w:pStyle w:val="Header"/>
    </w:pPr>
    <w:r>
      <w:rPr>
        <w:noProof/>
        <w:lang w:val="en-AU" w:eastAsia="en-AU"/>
      </w:rPr>
      <w:pict>
        <v:shapetype id="_x0000_t202" coordsize="21600,21600" o:spt="202" path="m,l,21600r21600,l21600,xe">
          <v:stroke joinstyle="miter"/>
          <v:path gradientshapeok="t" o:connecttype="rect"/>
        </v:shapetype>
        <v:shape id="_x0000_s2270" type="#_x0000_t202" style="position:absolute;margin-left:-21.75pt;margin-top:62.8pt;width:503.1pt;height:23.25pt;z-index:251740672;visibility:visible;mso-wrap-distance-left:9pt;mso-wrap-distance-top:0;mso-wrap-distance-right:9pt;mso-wrap-distance-bottom:0;mso-position-horizontal-relative:text;mso-position-vertical-relative:text;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" filled="f" stroked="f">
          <v:path arrowok="t"/>
          <v:textbox style="mso-next-textbox:#_x0000_s2270" inset="0,,0">
            <w:txbxContent>
              <w:p w:rsidR="00B45E8E" w:rsidRPr="00E06009" w:rsidRDefault="00B45E8E" w:rsidP="00861793">
                <w:pPr>
                  <w:pStyle w:val="BasicParagraph"/>
                  <w:rPr>
                    <w:rFonts w:ascii="Arial" w:hAnsi="Arial" w:cs="Arial"/>
                    <w:color w:val="808080" w:themeColor="background1" w:themeShade="80"/>
                    <w:sz w:val="20"/>
                    <w:szCs w:val="20"/>
                  </w:rPr>
                </w:pPr>
                <w:r w:rsidRPr="00E06009">
                  <w:rPr>
                    <w:rFonts w:ascii="Arial" w:hAnsi="Arial" w:cs="Arial"/>
                    <w:color w:val="808080" w:themeColor="background1" w:themeShade="80"/>
                    <w:sz w:val="20"/>
                    <w:szCs w:val="20"/>
                  </w:rPr>
                  <w:t>Background review: aquifer connectivity within the Great Artesian</w:t>
                </w:r>
                <w:r>
                  <w:rPr>
                    <w:rFonts w:ascii="Arial" w:hAnsi="Arial" w:cs="Arial"/>
                    <w:color w:val="808080" w:themeColor="background1" w:themeShade="80"/>
                    <w:sz w:val="20"/>
                    <w:szCs w:val="20"/>
                  </w:rPr>
                  <w:t xml:space="preserve"> Basin</w:t>
                </w:r>
                <w:r w:rsidRPr="00E06009">
                  <w:rPr>
                    <w:rFonts w:ascii="Arial" w:hAnsi="Arial" w:cs="Arial"/>
                    <w:color w:val="808080" w:themeColor="background1" w:themeShade="80"/>
                    <w:sz w:val="20"/>
                    <w:szCs w:val="20"/>
                  </w:rPr>
                  <w:t>,</w:t>
                </w:r>
                <w:r>
                  <w:rPr>
                    <w:rFonts w:ascii="Arial" w:hAnsi="Arial" w:cs="Arial"/>
                    <w:color w:val="808080" w:themeColor="background1" w:themeShade="80"/>
                    <w:sz w:val="20"/>
                    <w:szCs w:val="20"/>
                  </w:rPr>
                  <w:t xml:space="preserve"> and Surat, Bowen and Galilee B</w:t>
                </w:r>
                <w:r w:rsidRPr="00E06009">
                  <w:rPr>
                    <w:rFonts w:ascii="Arial" w:hAnsi="Arial" w:cs="Arial"/>
                    <w:color w:val="808080" w:themeColor="background1" w:themeShade="80"/>
                    <w:sz w:val="20"/>
                    <w:szCs w:val="20"/>
                  </w:rPr>
                  <w:t>asins</w:t>
                </w:r>
              </w:p>
              <w:p w:rsidR="00B45E8E" w:rsidRDefault="00B45E8E" w:rsidP="00861793"/>
            </w:txbxContent>
          </v:textbox>
        </v:shape>
      </w:pict>
    </w:r>
    <w:r w:rsidR="00B45E8E">
      <w:rPr>
        <w:noProof/>
        <w:lang w:val="en-AU" w:eastAsia="en-AU"/>
      </w:rPr>
      <w:drawing>
        <wp:anchor distT="0" distB="0" distL="114300" distR="114300" simplePos="0" relativeHeight="251739648" behindDoc="0" locked="0" layoutInCell="1" allowOverlap="1">
          <wp:simplePos x="0" y="0"/>
          <wp:positionH relativeFrom="column">
            <wp:posOffset>-982980</wp:posOffset>
          </wp:positionH>
          <wp:positionV relativeFrom="paragraph">
            <wp:posOffset>0</wp:posOffset>
          </wp:positionV>
          <wp:extent cx="7623810" cy="914400"/>
          <wp:effectExtent l="0" t="0" r="0" b="0"/>
          <wp:wrapTopAndBottom/>
          <wp:docPr id="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623810" cy="914400"/>
                  </a:xfrm>
                  <a:prstGeom prst="rect">
                    <a:avLst/>
                  </a:prstGeom>
                  <a:noFill/>
                  <a:ln w="9525">
                    <a:noFill/>
                    <a:miter lim="800000"/>
                    <a:headEnd/>
                    <a:tailEnd/>
                  </a:ln>
                </pic:spPr>
              </pic:pic>
            </a:graphicData>
          </a:graphic>
        </wp:anchor>
      </w:drawing>
    </w: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45E8E" w:rsidRDefault="00E23933" w:rsidP="002A5173">
    <w:pPr>
      <w:pStyle w:val="Header"/>
      <w:ind w:hanging="1418"/>
    </w:pPr>
    <w:r>
      <w:rPr>
        <w:noProof/>
        <w:lang w:val="en-AU" w:eastAsia="en-AU"/>
      </w:rPr>
      <w:pict>
        <v:shapetype id="_x0000_t202" coordsize="21600,21600" o:spt="202" path="m,l,21600r21600,l21600,xe">
          <v:stroke joinstyle="miter"/>
          <v:path gradientshapeok="t" o:connecttype="rect"/>
        </v:shapetype>
        <v:shape id="_x0000_s2114" type="#_x0000_t202" style="position:absolute;margin-left:195.35pt;margin-top:58.5pt;width:498.75pt;height:23.25pt;z-index:251683328;visibility:visible;mso-wrap-distance-left:0;mso-wrap-distance-top:0;mso-wrap-distance-right:0;mso-wrap-distance-bottom:8.5pt;mso-position-horizontal-relative:text;mso-position-vertical-relative:text;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" filled="f" stroked="f">
          <v:path arrowok="t"/>
          <v:textbox style="mso-next-textbox:#_x0000_s2114" inset="0,,0">
            <w:txbxContent>
              <w:p w:rsidR="00B45E8E" w:rsidRPr="00E06009" w:rsidRDefault="00B45E8E" w:rsidP="001C3374">
                <w:pPr>
                  <w:pStyle w:val="BasicParagraph"/>
                  <w:rPr>
                    <w:rFonts w:ascii="Arial" w:hAnsi="Arial" w:cs="Arial"/>
                    <w:color w:val="808080" w:themeColor="background1" w:themeShade="80"/>
                    <w:sz w:val="20"/>
                    <w:szCs w:val="20"/>
                  </w:rPr>
                </w:pPr>
                <w:r w:rsidRPr="00E06009">
                  <w:rPr>
                    <w:rFonts w:ascii="Arial" w:hAnsi="Arial" w:cs="Arial"/>
                    <w:color w:val="808080" w:themeColor="background1" w:themeShade="80"/>
                    <w:sz w:val="20"/>
                    <w:szCs w:val="20"/>
                  </w:rPr>
                  <w:t>Background review: aquifer connectivity within the Great Artesian</w:t>
                </w:r>
                <w:r>
                  <w:rPr>
                    <w:rFonts w:ascii="Arial" w:hAnsi="Arial" w:cs="Arial"/>
                    <w:color w:val="808080" w:themeColor="background1" w:themeShade="80"/>
                    <w:sz w:val="20"/>
                    <w:szCs w:val="20"/>
                  </w:rPr>
                  <w:t xml:space="preserve"> Basin</w:t>
                </w:r>
                <w:r w:rsidRPr="00E06009">
                  <w:rPr>
                    <w:rFonts w:ascii="Arial" w:hAnsi="Arial" w:cs="Arial"/>
                    <w:color w:val="808080" w:themeColor="background1" w:themeShade="80"/>
                    <w:sz w:val="20"/>
                    <w:szCs w:val="20"/>
                  </w:rPr>
                  <w:t>,</w:t>
                </w:r>
                <w:r>
                  <w:rPr>
                    <w:rFonts w:ascii="Arial" w:hAnsi="Arial" w:cs="Arial"/>
                    <w:color w:val="808080" w:themeColor="background1" w:themeShade="80"/>
                    <w:sz w:val="20"/>
                    <w:szCs w:val="20"/>
                  </w:rPr>
                  <w:t xml:space="preserve"> and Surat, Bowen and Galilee B</w:t>
                </w:r>
                <w:r w:rsidRPr="00E06009">
                  <w:rPr>
                    <w:rFonts w:ascii="Arial" w:hAnsi="Arial" w:cs="Arial"/>
                    <w:color w:val="808080" w:themeColor="background1" w:themeShade="80"/>
                    <w:sz w:val="20"/>
                    <w:szCs w:val="20"/>
                  </w:rPr>
                  <w:t>asins</w:t>
                </w:r>
              </w:p>
              <w:p w:rsidR="00B45E8E" w:rsidRPr="00E06009" w:rsidRDefault="00B45E8E" w:rsidP="001C3374">
                <w:pPr>
                  <w:rPr>
                    <w:color w:val="808080" w:themeColor="background1" w:themeShade="80"/>
                  </w:rPr>
                </w:pPr>
              </w:p>
            </w:txbxContent>
          </v:textbox>
          <w10:wrap type="square"/>
        </v:shape>
      </w:pict>
    </w:r>
    <w:r w:rsidR="00B45E8E">
      <w:rPr>
        <w:noProof/>
        <w:lang w:val="en-AU" w:eastAsia="en-AU"/>
      </w:rPr>
      <w:drawing>
        <wp:inline distT="0" distB="0" distL="0" distR="0">
          <wp:extent cx="10820400" cy="828348"/>
          <wp:effectExtent l="0" t="0" r="0" b="0"/>
          <wp:docPr id="30" name="Picture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12121"/>
                  <a:stretch/>
                </pic:blipFill>
                <pic:spPr bwMode="auto">
                  <a:xfrm>
                    <a:off x="0" y="0"/>
                    <a:ext cx="10815849" cy="8280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45E8E" w:rsidRDefault="000C6202" w:rsidP="002A5173">
    <w:pPr>
      <w:pStyle w:val="Header"/>
      <w:ind w:hanging="1418"/>
    </w:pPr>
    <w:r>
      <w:rPr>
        <w:noProof/>
        <w:lang w:val="en-AU" w:eastAsia="en-AU"/>
      </w:rPr>
      <w:drawing>
        <wp:anchor distT="0" distB="0" distL="114300" distR="114300" simplePos="0" relativeHeight="251650559" behindDoc="0" locked="0" layoutInCell="1" allowOverlap="1">
          <wp:simplePos x="0" y="0"/>
          <wp:positionH relativeFrom="page">
            <wp:posOffset>-67945</wp:posOffset>
          </wp:positionH>
          <wp:positionV relativeFrom="page">
            <wp:posOffset>38735</wp:posOffset>
          </wp:positionV>
          <wp:extent cx="10836275" cy="826770"/>
          <wp:effectExtent l="0" t="0" r="0" b="0"/>
          <wp:wrapSquare wrapText="bothSides"/>
          <wp:docPr id="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836275" cy="826770"/>
                  </a:xfrm>
                  <a:prstGeom prst="rect">
                    <a:avLst/>
                  </a:prstGeom>
                  <a:noFill/>
                  <a:ln w="9525">
                    <a:noFill/>
                    <a:miter lim="800000"/>
                    <a:headEnd/>
                    <a:tailEnd/>
                  </a:ln>
                </pic:spPr>
              </pic:pic>
            </a:graphicData>
          </a:graphic>
        </wp:anchor>
      </w:drawing>
    </w:r>
    <w:r w:rsidR="00E23933">
      <w:rPr>
        <w:noProof/>
        <w:lang w:val="en-AU" w:eastAsia="en-AU"/>
      </w:rPr>
      <w:pict>
        <v:shapetype id="_x0000_t202" coordsize="21600,21600" o:spt="202" path="m,l,21600r21600,l21600,xe">
          <v:stroke joinstyle="miter"/>
          <v:path gradientshapeok="t" o:connecttype="rect"/>
        </v:shapetype>
        <v:shape id="_x0000_s2116" type="#_x0000_t202" style="position:absolute;margin-left:204.6pt;margin-top:70.95pt;width:503.1pt;height:18.65pt;z-index:251687424;visibility:visible;mso-wrap-distance-left:9pt;mso-wrap-distance-top:0;mso-wrap-distance-right:9pt;mso-wrap-distance-bottom:0;mso-position-horizontal-relative:text;mso-position-vertical-relative:text;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" filled="f" stroked="f">
          <v:path arrowok="t"/>
          <v:textbox style="mso-next-textbox:#_x0000_s2116" inset="0,,0">
            <w:txbxContent>
              <w:p w:rsidR="00B45E8E" w:rsidRPr="00E06009" w:rsidRDefault="00B45E8E" w:rsidP="001C3374">
                <w:pPr>
                  <w:pStyle w:val="BasicParagraph"/>
                  <w:rPr>
                    <w:rFonts w:ascii="Arial" w:hAnsi="Arial" w:cs="Arial"/>
                    <w:color w:val="808080" w:themeColor="background1" w:themeShade="80"/>
                    <w:sz w:val="20"/>
                    <w:szCs w:val="20"/>
                  </w:rPr>
                </w:pPr>
                <w:r w:rsidRPr="00E06009">
                  <w:rPr>
                    <w:rFonts w:ascii="Arial" w:hAnsi="Arial" w:cs="Arial"/>
                    <w:color w:val="808080" w:themeColor="background1" w:themeShade="80"/>
                    <w:sz w:val="20"/>
                    <w:szCs w:val="20"/>
                  </w:rPr>
                  <w:t>Background review: aquifer connectivity within the Great Artesian</w:t>
                </w:r>
                <w:r>
                  <w:rPr>
                    <w:rFonts w:ascii="Arial" w:hAnsi="Arial" w:cs="Arial"/>
                    <w:color w:val="808080" w:themeColor="background1" w:themeShade="80"/>
                    <w:sz w:val="20"/>
                    <w:szCs w:val="20"/>
                  </w:rPr>
                  <w:t xml:space="preserve"> Basin</w:t>
                </w:r>
                <w:r w:rsidRPr="00E06009">
                  <w:rPr>
                    <w:rFonts w:ascii="Arial" w:hAnsi="Arial" w:cs="Arial"/>
                    <w:color w:val="808080" w:themeColor="background1" w:themeShade="80"/>
                    <w:sz w:val="20"/>
                    <w:szCs w:val="20"/>
                  </w:rPr>
                  <w:t>,</w:t>
                </w:r>
                <w:r>
                  <w:rPr>
                    <w:rFonts w:ascii="Arial" w:hAnsi="Arial" w:cs="Arial"/>
                    <w:color w:val="808080" w:themeColor="background1" w:themeShade="80"/>
                    <w:sz w:val="20"/>
                    <w:szCs w:val="20"/>
                  </w:rPr>
                  <w:t xml:space="preserve"> and Surat, Bowen and Galilee B</w:t>
                </w:r>
                <w:r w:rsidRPr="00E06009">
                  <w:rPr>
                    <w:rFonts w:ascii="Arial" w:hAnsi="Arial" w:cs="Arial"/>
                    <w:color w:val="808080" w:themeColor="background1" w:themeShade="80"/>
                    <w:sz w:val="20"/>
                    <w:szCs w:val="20"/>
                  </w:rPr>
                  <w:t>asins</w:t>
                </w:r>
              </w:p>
              <w:p w:rsidR="00B45E8E" w:rsidRDefault="00B45E8E" w:rsidP="001C3374"/>
            </w:txbxContent>
          </v:textbox>
        </v:shape>
      </w:pict>
    </w:r>
  </w:p>
</w:hdr>
</file>

<file path=word/header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45E8E" w:rsidRDefault="00E23933" w:rsidP="002A5173">
    <w:pPr>
      <w:pStyle w:val="Header"/>
      <w:ind w:hanging="1418"/>
    </w:pPr>
    <w:r>
      <w:rPr>
        <w:noProof/>
        <w:lang w:val="en-AU" w:eastAsia="en-AU"/>
      </w:rPr>
      <w:pict>
        <v:shapetype id="_x0000_t202" coordsize="21600,21600" o:spt="202" path="m,l,21600r21600,l21600,xe">
          <v:stroke joinstyle="miter"/>
          <v:path gradientshapeok="t" o:connecttype="rect"/>
        </v:shapetype>
        <v:shape id="_x0000_s2115" type="#_x0000_t202" style="position:absolute;margin-left:-13.65pt;margin-top:66pt;width:498.75pt;height:23.25pt;z-index:251685376;visibility:visible;mso-wrap-distance-left:0;mso-wrap-distance-top:0;mso-wrap-distance-right:0;mso-wrap-distance-bottom:8.5pt;mso-position-horizontal-relative:text;mso-position-vertical-relative:text;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" filled="f" stroked="f">
          <v:path arrowok="t"/>
          <v:textbox style="mso-next-textbox:#_x0000_s2115" inset="0,,0">
            <w:txbxContent>
              <w:p w:rsidR="00B45E8E" w:rsidRPr="00E06009" w:rsidRDefault="00B45E8E" w:rsidP="001C3374">
                <w:pPr>
                  <w:pStyle w:val="BasicParagraph"/>
                  <w:rPr>
                    <w:rFonts w:ascii="Arial" w:hAnsi="Arial" w:cs="Arial"/>
                    <w:color w:val="808080" w:themeColor="background1" w:themeShade="80"/>
                    <w:sz w:val="20"/>
                    <w:szCs w:val="20"/>
                  </w:rPr>
                </w:pPr>
                <w:r w:rsidRPr="00E06009">
                  <w:rPr>
                    <w:rFonts w:ascii="Arial" w:hAnsi="Arial" w:cs="Arial"/>
                    <w:color w:val="808080" w:themeColor="background1" w:themeShade="80"/>
                    <w:sz w:val="20"/>
                    <w:szCs w:val="20"/>
                  </w:rPr>
                  <w:t>Background review: aquifer connectivity within the Great Artesian</w:t>
                </w:r>
                <w:r>
                  <w:rPr>
                    <w:rFonts w:ascii="Arial" w:hAnsi="Arial" w:cs="Arial"/>
                    <w:color w:val="808080" w:themeColor="background1" w:themeShade="80"/>
                    <w:sz w:val="20"/>
                    <w:szCs w:val="20"/>
                  </w:rPr>
                  <w:t xml:space="preserve"> Basin</w:t>
                </w:r>
                <w:r w:rsidRPr="00E06009">
                  <w:rPr>
                    <w:rFonts w:ascii="Arial" w:hAnsi="Arial" w:cs="Arial"/>
                    <w:color w:val="808080" w:themeColor="background1" w:themeShade="80"/>
                    <w:sz w:val="20"/>
                    <w:szCs w:val="20"/>
                  </w:rPr>
                  <w:t>,</w:t>
                </w:r>
                <w:r>
                  <w:rPr>
                    <w:rFonts w:ascii="Arial" w:hAnsi="Arial" w:cs="Arial"/>
                    <w:color w:val="808080" w:themeColor="background1" w:themeShade="80"/>
                    <w:sz w:val="20"/>
                    <w:szCs w:val="20"/>
                  </w:rPr>
                  <w:t xml:space="preserve"> and Surat, Bowen and Galilee B</w:t>
                </w:r>
                <w:r w:rsidRPr="00E06009">
                  <w:rPr>
                    <w:rFonts w:ascii="Arial" w:hAnsi="Arial" w:cs="Arial"/>
                    <w:color w:val="808080" w:themeColor="background1" w:themeShade="80"/>
                    <w:sz w:val="20"/>
                    <w:szCs w:val="20"/>
                  </w:rPr>
                  <w:t>asins</w:t>
                </w:r>
              </w:p>
              <w:p w:rsidR="00B45E8E" w:rsidRPr="00E06009" w:rsidRDefault="00B45E8E" w:rsidP="001C3374">
                <w:pPr>
                  <w:rPr>
                    <w:color w:val="808080" w:themeColor="background1" w:themeShade="80"/>
                  </w:rPr>
                </w:pPr>
              </w:p>
            </w:txbxContent>
          </v:textbox>
          <w10:wrap type="square"/>
        </v:shape>
      </w:pict>
    </w:r>
    <w:r w:rsidR="00B45E8E">
      <w:rPr>
        <w:noProof/>
        <w:lang w:val="en-AU" w:eastAsia="en-AU"/>
      </w:rPr>
      <w:drawing>
        <wp:inline distT="0" distB="0" distL="0" distR="0">
          <wp:extent cx="7572375" cy="828348"/>
          <wp:effectExtent l="0" t="0" r="0" b="0"/>
          <wp:docPr id="33" name="Picture 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12121"/>
                  <a:stretch/>
                </pic:blipFill>
                <pic:spPr bwMode="auto">
                  <a:xfrm>
                    <a:off x="0" y="0"/>
                    <a:ext cx="7569190" cy="8280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6C97B0B"/>
    <w:multiLevelType w:val="hybridMultilevel"/>
    <w:tmpl w:val="8E5CD0AC"/>
    <w:lvl w:ilvl="0" w:tplc="0E2AD58A">
      <w:numFmt w:val="bullet"/>
      <w:lvlText w:val=""/>
      <w:lvlJc w:val="left"/>
      <w:pPr>
        <w:ind w:left="360" w:hanging="360"/>
      </w:pPr>
      <w:rPr>
        <w:rFonts w:ascii="Symbol" w:eastAsia="Times New Roman" w:hAnsi="Symbol" w:cs="Calibri"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
    <w:nsid w:val="0752098F"/>
    <w:multiLevelType w:val="multilevel"/>
    <w:tmpl w:val="05B09C9E"/>
    <w:lvl w:ilvl="0">
      <w:start w:val="1"/>
      <w:numFmt w:val="bullet"/>
      <w:lvlText w:val=""/>
      <w:lvlJc w:val="left"/>
      <w:pPr>
        <w:tabs>
          <w:tab w:val="num" w:pos="720"/>
        </w:tabs>
        <w:ind w:left="720" w:hanging="360"/>
      </w:pPr>
      <w:rPr>
        <w:rFonts w:ascii="Symbol" w:hAnsi="Symbol" w:hint="default"/>
        <w:sz w:val="20"/>
      </w:rPr>
    </w:lvl>
    <w:lvl w:ilvl="1">
      <w:numFmt w:val="bullet"/>
      <w:pStyle w:val="2ndbullet"/>
      <w:lvlText w:val="−"/>
      <w:lvlJc w:val="left"/>
      <w:pPr>
        <w:tabs>
          <w:tab w:val="num" w:pos="1440"/>
        </w:tabs>
        <w:ind w:left="1440" w:hanging="360"/>
      </w:pPr>
      <w:rPr>
        <w:rFonts w:ascii="Arial" w:eastAsia="Times New Roman" w:hAnsi="Arial"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0768604B"/>
    <w:multiLevelType w:val="multilevel"/>
    <w:tmpl w:val="D0D0522C"/>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
    <w:nsid w:val="0BB55E02"/>
    <w:multiLevelType w:val="hybridMultilevel"/>
    <w:tmpl w:val="66C8A5FC"/>
    <w:lvl w:ilvl="0" w:tplc="0409000F">
      <w:start w:val="5"/>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12405F4D"/>
    <w:multiLevelType w:val="multilevel"/>
    <w:tmpl w:val="A0A6729C"/>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5">
    <w:nsid w:val="16097DE7"/>
    <w:multiLevelType w:val="singleLevel"/>
    <w:tmpl w:val="D31428E8"/>
    <w:lvl w:ilvl="0">
      <w:start w:val="1"/>
      <w:numFmt w:val="bullet"/>
      <w:pStyle w:val="Para0bullet"/>
      <w:lvlText w:val=""/>
      <w:lvlJc w:val="left"/>
      <w:pPr>
        <w:tabs>
          <w:tab w:val="num" w:pos="360"/>
        </w:tabs>
        <w:ind w:left="284" w:hanging="284"/>
      </w:pPr>
      <w:rPr>
        <w:rFonts w:ascii="Wingdings" w:hAnsi="Wingdings" w:hint="default"/>
        <w:sz w:val="12"/>
      </w:rPr>
    </w:lvl>
  </w:abstractNum>
  <w:abstractNum w:abstractNumId="6">
    <w:nsid w:val="17FC635C"/>
    <w:multiLevelType w:val="hybridMultilevel"/>
    <w:tmpl w:val="1E527CA0"/>
    <w:lvl w:ilvl="0" w:tplc="479EE060">
      <w:numFmt w:val="bullet"/>
      <w:lvlText w:val=""/>
      <w:lvlJc w:val="left"/>
      <w:pPr>
        <w:ind w:left="360" w:hanging="360"/>
      </w:pPr>
      <w:rPr>
        <w:rFonts w:ascii="Symbol" w:eastAsia="Times New Roman" w:hAnsi="Symbol" w:cs="Calibri"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7">
    <w:nsid w:val="189E10A2"/>
    <w:multiLevelType w:val="singleLevel"/>
    <w:tmpl w:val="4B36D596"/>
    <w:lvl w:ilvl="0">
      <w:start w:val="1"/>
      <w:numFmt w:val="bullet"/>
      <w:lvlText w:val=""/>
      <w:lvlJc w:val="left"/>
      <w:pPr>
        <w:tabs>
          <w:tab w:val="num" w:pos="397"/>
        </w:tabs>
        <w:ind w:left="397" w:hanging="397"/>
      </w:pPr>
      <w:rPr>
        <w:rFonts w:ascii="Wingdings" w:hAnsi="Wingdings" w:hint="default"/>
        <w:sz w:val="12"/>
      </w:rPr>
    </w:lvl>
  </w:abstractNum>
  <w:abstractNum w:abstractNumId="8">
    <w:nsid w:val="1CFE649B"/>
    <w:multiLevelType w:val="hybridMultilevel"/>
    <w:tmpl w:val="F69694B0"/>
    <w:lvl w:ilvl="0" w:tplc="EA2AFC56">
      <w:numFmt w:val="bullet"/>
      <w:lvlText w:val=""/>
      <w:lvlJc w:val="left"/>
      <w:pPr>
        <w:ind w:left="360" w:hanging="360"/>
      </w:pPr>
      <w:rPr>
        <w:rFonts w:ascii="Symbol" w:eastAsia="Times New Roman" w:hAnsi="Symbol" w:cs="Calibri"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9">
    <w:nsid w:val="23F76EE9"/>
    <w:multiLevelType w:val="hybridMultilevel"/>
    <w:tmpl w:val="69E282C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nsid w:val="269C5B4E"/>
    <w:multiLevelType w:val="hybridMultilevel"/>
    <w:tmpl w:val="16003B7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nsid w:val="273E3D05"/>
    <w:multiLevelType w:val="hybridMultilevel"/>
    <w:tmpl w:val="60F2AE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27E7762B"/>
    <w:multiLevelType w:val="hybridMultilevel"/>
    <w:tmpl w:val="2EECA3B6"/>
    <w:lvl w:ilvl="0" w:tplc="479EE060">
      <w:numFmt w:val="bullet"/>
      <w:lvlText w:val=""/>
      <w:lvlJc w:val="left"/>
      <w:pPr>
        <w:ind w:left="360" w:hanging="360"/>
      </w:pPr>
      <w:rPr>
        <w:rFonts w:ascii="Symbol" w:eastAsia="Times New Roman" w:hAnsi="Symbol"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nsid w:val="285D43BB"/>
    <w:multiLevelType w:val="hybridMultilevel"/>
    <w:tmpl w:val="400C7E26"/>
    <w:lvl w:ilvl="0" w:tplc="0C09000F">
      <w:start w:val="1"/>
      <w:numFmt w:val="decimal"/>
      <w:lvlText w:val="%1."/>
      <w:lvlJc w:val="left"/>
      <w:pPr>
        <w:ind w:left="720"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nsid w:val="292A79B2"/>
    <w:multiLevelType w:val="hybridMultilevel"/>
    <w:tmpl w:val="FCC24E7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5">
    <w:nsid w:val="29FC767A"/>
    <w:multiLevelType w:val="hybridMultilevel"/>
    <w:tmpl w:val="FAA2B4BC"/>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6">
    <w:nsid w:val="2DBB0C4B"/>
    <w:multiLevelType w:val="singleLevel"/>
    <w:tmpl w:val="748C8546"/>
    <w:lvl w:ilvl="0">
      <w:start w:val="1"/>
      <w:numFmt w:val="bullet"/>
      <w:lvlText w:val=""/>
      <w:lvlJc w:val="left"/>
      <w:pPr>
        <w:tabs>
          <w:tab w:val="num" w:pos="425"/>
        </w:tabs>
        <w:ind w:left="425" w:hanging="425"/>
      </w:pPr>
      <w:rPr>
        <w:rFonts w:ascii="Wingdings" w:hAnsi="Wingdings" w:hint="default"/>
        <w:color w:val="000000"/>
        <w:sz w:val="12"/>
      </w:rPr>
    </w:lvl>
  </w:abstractNum>
  <w:abstractNum w:abstractNumId="17">
    <w:nsid w:val="318B4E67"/>
    <w:multiLevelType w:val="multilevel"/>
    <w:tmpl w:val="33F231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34392751"/>
    <w:multiLevelType w:val="hybridMultilevel"/>
    <w:tmpl w:val="C638FECE"/>
    <w:lvl w:ilvl="0" w:tplc="E62CD868">
      <w:start w:val="7"/>
      <w:numFmt w:val="bullet"/>
      <w:lvlText w:val=""/>
      <w:lvlJc w:val="left"/>
      <w:pPr>
        <w:ind w:left="720" w:hanging="360"/>
      </w:pPr>
      <w:rPr>
        <w:rFonts w:ascii="Symbol" w:eastAsiaTheme="minorEastAsia" w:hAnsi="Symbol" w:cs="ArialMT"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nsid w:val="357B5D32"/>
    <w:multiLevelType w:val="hybridMultilevel"/>
    <w:tmpl w:val="40C8972A"/>
    <w:lvl w:ilvl="0" w:tplc="B6CC57CA">
      <w:start w:val="1"/>
      <w:numFmt w:val="bullet"/>
      <w:pStyle w:val="Bulletpoint"/>
      <w:lvlText w:val=""/>
      <w:lvlJc w:val="left"/>
      <w:pPr>
        <w:ind w:left="720" w:hanging="360"/>
      </w:pPr>
      <w:rPr>
        <w:rFonts w:ascii="Symbol" w:hAnsi="Symbol" w:hint="default"/>
      </w:rPr>
    </w:lvl>
    <w:lvl w:ilvl="1" w:tplc="C79EA71A">
      <w:numFmt w:val="bullet"/>
      <w:pStyle w:val="2ndbulletpoint"/>
      <w:lvlText w:val="−"/>
      <w:lvlJc w:val="left"/>
      <w:pPr>
        <w:ind w:left="1440" w:hanging="360"/>
      </w:pPr>
      <w:rPr>
        <w:rFonts w:ascii="Arial" w:eastAsia="Times New Roman" w:hAnsi="Arial"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nsid w:val="3B556EA4"/>
    <w:multiLevelType w:val="singleLevel"/>
    <w:tmpl w:val="3F90E8BE"/>
    <w:lvl w:ilvl="0">
      <w:start w:val="1"/>
      <w:numFmt w:val="bullet"/>
      <w:lvlText w:val=""/>
      <w:lvlJc w:val="left"/>
      <w:pPr>
        <w:tabs>
          <w:tab w:val="num" w:pos="425"/>
        </w:tabs>
        <w:ind w:left="425" w:hanging="425"/>
      </w:pPr>
      <w:rPr>
        <w:rFonts w:ascii="Wingdings" w:hAnsi="Wingdings" w:hint="default"/>
        <w:color w:val="000000"/>
        <w:sz w:val="12"/>
      </w:rPr>
    </w:lvl>
  </w:abstractNum>
  <w:abstractNum w:abstractNumId="21">
    <w:nsid w:val="3C106D5E"/>
    <w:multiLevelType w:val="hybridMultilevel"/>
    <w:tmpl w:val="763EC640"/>
    <w:lvl w:ilvl="0" w:tplc="008C5C26">
      <w:start w:val="1"/>
      <w:numFmt w:val="upperLetter"/>
      <w:lvlText w:val="(%1)"/>
      <w:lvlJc w:val="left"/>
      <w:pPr>
        <w:ind w:left="2520" w:hanging="360"/>
      </w:pPr>
      <w:rPr>
        <w:rFonts w:hint="default"/>
      </w:rPr>
    </w:lvl>
    <w:lvl w:ilvl="1" w:tplc="0C090019" w:tentative="1">
      <w:start w:val="1"/>
      <w:numFmt w:val="lowerLetter"/>
      <w:lvlText w:val="%2."/>
      <w:lvlJc w:val="left"/>
      <w:pPr>
        <w:ind w:left="3240" w:hanging="360"/>
      </w:pPr>
    </w:lvl>
    <w:lvl w:ilvl="2" w:tplc="0C09001B" w:tentative="1">
      <w:start w:val="1"/>
      <w:numFmt w:val="lowerRoman"/>
      <w:lvlText w:val="%3."/>
      <w:lvlJc w:val="right"/>
      <w:pPr>
        <w:ind w:left="3960" w:hanging="180"/>
      </w:pPr>
    </w:lvl>
    <w:lvl w:ilvl="3" w:tplc="0C09000F" w:tentative="1">
      <w:start w:val="1"/>
      <w:numFmt w:val="decimal"/>
      <w:lvlText w:val="%4."/>
      <w:lvlJc w:val="left"/>
      <w:pPr>
        <w:ind w:left="4680" w:hanging="360"/>
      </w:pPr>
    </w:lvl>
    <w:lvl w:ilvl="4" w:tplc="0C090019" w:tentative="1">
      <w:start w:val="1"/>
      <w:numFmt w:val="lowerLetter"/>
      <w:lvlText w:val="%5."/>
      <w:lvlJc w:val="left"/>
      <w:pPr>
        <w:ind w:left="5400" w:hanging="360"/>
      </w:pPr>
    </w:lvl>
    <w:lvl w:ilvl="5" w:tplc="0C09001B" w:tentative="1">
      <w:start w:val="1"/>
      <w:numFmt w:val="lowerRoman"/>
      <w:lvlText w:val="%6."/>
      <w:lvlJc w:val="right"/>
      <w:pPr>
        <w:ind w:left="6120" w:hanging="180"/>
      </w:pPr>
    </w:lvl>
    <w:lvl w:ilvl="6" w:tplc="0C09000F" w:tentative="1">
      <w:start w:val="1"/>
      <w:numFmt w:val="decimal"/>
      <w:lvlText w:val="%7."/>
      <w:lvlJc w:val="left"/>
      <w:pPr>
        <w:ind w:left="6840" w:hanging="360"/>
      </w:pPr>
    </w:lvl>
    <w:lvl w:ilvl="7" w:tplc="0C090019" w:tentative="1">
      <w:start w:val="1"/>
      <w:numFmt w:val="lowerLetter"/>
      <w:lvlText w:val="%8."/>
      <w:lvlJc w:val="left"/>
      <w:pPr>
        <w:ind w:left="7560" w:hanging="360"/>
      </w:pPr>
    </w:lvl>
    <w:lvl w:ilvl="8" w:tplc="0C09001B" w:tentative="1">
      <w:start w:val="1"/>
      <w:numFmt w:val="lowerRoman"/>
      <w:lvlText w:val="%9."/>
      <w:lvlJc w:val="right"/>
      <w:pPr>
        <w:ind w:left="8280" w:hanging="180"/>
      </w:pPr>
    </w:lvl>
  </w:abstractNum>
  <w:abstractNum w:abstractNumId="22">
    <w:nsid w:val="40B35B14"/>
    <w:multiLevelType w:val="singleLevel"/>
    <w:tmpl w:val="BC28FECC"/>
    <w:lvl w:ilvl="0">
      <w:start w:val="1"/>
      <w:numFmt w:val="bullet"/>
      <w:lvlText w:val=""/>
      <w:lvlJc w:val="left"/>
      <w:pPr>
        <w:tabs>
          <w:tab w:val="num" w:pos="425"/>
        </w:tabs>
        <w:ind w:left="425" w:hanging="425"/>
      </w:pPr>
      <w:rPr>
        <w:rFonts w:ascii="Wingdings" w:hAnsi="Wingdings" w:hint="default"/>
        <w:color w:val="000000"/>
        <w:sz w:val="12"/>
      </w:rPr>
    </w:lvl>
  </w:abstractNum>
  <w:abstractNum w:abstractNumId="23">
    <w:nsid w:val="43DF7FD1"/>
    <w:multiLevelType w:val="multilevel"/>
    <w:tmpl w:val="0C09001F"/>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4">
    <w:nsid w:val="453676CE"/>
    <w:multiLevelType w:val="multilevel"/>
    <w:tmpl w:val="02BC59B2"/>
    <w:lvl w:ilvl="0">
      <w:start w:val="7"/>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5">
    <w:nsid w:val="45D4060D"/>
    <w:multiLevelType w:val="hybridMultilevel"/>
    <w:tmpl w:val="9A7E75A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6">
    <w:nsid w:val="462C59B9"/>
    <w:multiLevelType w:val="hybridMultilevel"/>
    <w:tmpl w:val="9F1214D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nsid w:val="497D120B"/>
    <w:multiLevelType w:val="hybridMultilevel"/>
    <w:tmpl w:val="DA1600DE"/>
    <w:lvl w:ilvl="0" w:tplc="04090001">
      <w:start w:val="1"/>
      <w:numFmt w:val="bullet"/>
      <w:lvlText w:val=""/>
      <w:lvlJc w:val="left"/>
      <w:pPr>
        <w:ind w:left="100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nsid w:val="4D770745"/>
    <w:multiLevelType w:val="hybridMultilevel"/>
    <w:tmpl w:val="1F08E1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4FF4782F"/>
    <w:multiLevelType w:val="hybridMultilevel"/>
    <w:tmpl w:val="DB24777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nsid w:val="5183612A"/>
    <w:multiLevelType w:val="hybridMultilevel"/>
    <w:tmpl w:val="486CE2FC"/>
    <w:lvl w:ilvl="0" w:tplc="479EE060">
      <w:numFmt w:val="bullet"/>
      <w:lvlText w:val=""/>
      <w:lvlJc w:val="left"/>
      <w:pPr>
        <w:ind w:left="360" w:hanging="360"/>
      </w:pPr>
      <w:rPr>
        <w:rFonts w:ascii="Symbol" w:eastAsia="Times New Roman" w:hAnsi="Symbol" w:cs="Calibri"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1">
    <w:nsid w:val="53583029"/>
    <w:multiLevelType w:val="hybridMultilevel"/>
    <w:tmpl w:val="80E69FB6"/>
    <w:lvl w:ilvl="0" w:tplc="04090001">
      <w:start w:val="1"/>
      <w:numFmt w:val="bullet"/>
      <w:lvlText w:val=""/>
      <w:lvlJc w:val="left"/>
      <w:pPr>
        <w:ind w:left="100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
    <w:nsid w:val="58212D5E"/>
    <w:multiLevelType w:val="hybridMultilevel"/>
    <w:tmpl w:val="584CBAB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3">
    <w:nsid w:val="59C46FF7"/>
    <w:multiLevelType w:val="hybridMultilevel"/>
    <w:tmpl w:val="5CD0EC6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
    <w:nsid w:val="5C8E6A73"/>
    <w:multiLevelType w:val="hybridMultilevel"/>
    <w:tmpl w:val="F7C8627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5">
    <w:nsid w:val="5E761ACD"/>
    <w:multiLevelType w:val="singleLevel"/>
    <w:tmpl w:val="397A461A"/>
    <w:lvl w:ilvl="0">
      <w:start w:val="1"/>
      <w:numFmt w:val="decimal"/>
      <w:lvlText w:val="%1)"/>
      <w:lvlJc w:val="left"/>
      <w:pPr>
        <w:tabs>
          <w:tab w:val="num" w:pos="425"/>
        </w:tabs>
        <w:ind w:left="425" w:hanging="425"/>
      </w:pPr>
    </w:lvl>
  </w:abstractNum>
  <w:abstractNum w:abstractNumId="36">
    <w:nsid w:val="60753555"/>
    <w:multiLevelType w:val="hybridMultilevel"/>
    <w:tmpl w:val="6B04EF4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7">
    <w:nsid w:val="624B262B"/>
    <w:multiLevelType w:val="hybridMultilevel"/>
    <w:tmpl w:val="2F82E7B4"/>
    <w:lvl w:ilvl="0" w:tplc="04090001">
      <w:start w:val="1"/>
      <w:numFmt w:val="bullet"/>
      <w:lvlText w:val=""/>
      <w:lvlJc w:val="left"/>
      <w:pPr>
        <w:ind w:left="1000" w:hanging="360"/>
      </w:pPr>
      <w:rPr>
        <w:rFonts w:ascii="Symbol" w:hAnsi="Symbol" w:hint="default"/>
      </w:rPr>
    </w:lvl>
    <w:lvl w:ilvl="1" w:tplc="04090003" w:tentative="1">
      <w:start w:val="1"/>
      <w:numFmt w:val="bullet"/>
      <w:lvlText w:val="o"/>
      <w:lvlJc w:val="left"/>
      <w:pPr>
        <w:ind w:left="1720" w:hanging="360"/>
      </w:pPr>
      <w:rPr>
        <w:rFonts w:ascii="Courier New" w:hAnsi="Courier New" w:hint="default"/>
      </w:rPr>
    </w:lvl>
    <w:lvl w:ilvl="2" w:tplc="04090005" w:tentative="1">
      <w:start w:val="1"/>
      <w:numFmt w:val="bullet"/>
      <w:lvlText w:val=""/>
      <w:lvlJc w:val="left"/>
      <w:pPr>
        <w:ind w:left="2440" w:hanging="360"/>
      </w:pPr>
      <w:rPr>
        <w:rFonts w:ascii="Wingdings" w:hAnsi="Wingdings" w:hint="default"/>
      </w:rPr>
    </w:lvl>
    <w:lvl w:ilvl="3" w:tplc="04090001" w:tentative="1">
      <w:start w:val="1"/>
      <w:numFmt w:val="bullet"/>
      <w:lvlText w:val=""/>
      <w:lvlJc w:val="left"/>
      <w:pPr>
        <w:ind w:left="3160" w:hanging="360"/>
      </w:pPr>
      <w:rPr>
        <w:rFonts w:ascii="Symbol" w:hAnsi="Symbol" w:hint="default"/>
      </w:rPr>
    </w:lvl>
    <w:lvl w:ilvl="4" w:tplc="04090003" w:tentative="1">
      <w:start w:val="1"/>
      <w:numFmt w:val="bullet"/>
      <w:lvlText w:val="o"/>
      <w:lvlJc w:val="left"/>
      <w:pPr>
        <w:ind w:left="3880" w:hanging="360"/>
      </w:pPr>
      <w:rPr>
        <w:rFonts w:ascii="Courier New" w:hAnsi="Courier New" w:hint="default"/>
      </w:rPr>
    </w:lvl>
    <w:lvl w:ilvl="5" w:tplc="04090005" w:tentative="1">
      <w:start w:val="1"/>
      <w:numFmt w:val="bullet"/>
      <w:lvlText w:val=""/>
      <w:lvlJc w:val="left"/>
      <w:pPr>
        <w:ind w:left="4600" w:hanging="360"/>
      </w:pPr>
      <w:rPr>
        <w:rFonts w:ascii="Wingdings" w:hAnsi="Wingdings" w:hint="default"/>
      </w:rPr>
    </w:lvl>
    <w:lvl w:ilvl="6" w:tplc="04090001" w:tentative="1">
      <w:start w:val="1"/>
      <w:numFmt w:val="bullet"/>
      <w:lvlText w:val=""/>
      <w:lvlJc w:val="left"/>
      <w:pPr>
        <w:ind w:left="5320" w:hanging="360"/>
      </w:pPr>
      <w:rPr>
        <w:rFonts w:ascii="Symbol" w:hAnsi="Symbol" w:hint="default"/>
      </w:rPr>
    </w:lvl>
    <w:lvl w:ilvl="7" w:tplc="04090003" w:tentative="1">
      <w:start w:val="1"/>
      <w:numFmt w:val="bullet"/>
      <w:lvlText w:val="o"/>
      <w:lvlJc w:val="left"/>
      <w:pPr>
        <w:ind w:left="6040" w:hanging="360"/>
      </w:pPr>
      <w:rPr>
        <w:rFonts w:ascii="Courier New" w:hAnsi="Courier New" w:hint="default"/>
      </w:rPr>
    </w:lvl>
    <w:lvl w:ilvl="8" w:tplc="04090005" w:tentative="1">
      <w:start w:val="1"/>
      <w:numFmt w:val="bullet"/>
      <w:lvlText w:val=""/>
      <w:lvlJc w:val="left"/>
      <w:pPr>
        <w:ind w:left="6760" w:hanging="360"/>
      </w:pPr>
      <w:rPr>
        <w:rFonts w:ascii="Wingdings" w:hAnsi="Wingdings" w:hint="default"/>
      </w:rPr>
    </w:lvl>
  </w:abstractNum>
  <w:abstractNum w:abstractNumId="38">
    <w:nsid w:val="6B9F7246"/>
    <w:multiLevelType w:val="hybridMultilevel"/>
    <w:tmpl w:val="2C32CCC6"/>
    <w:lvl w:ilvl="0" w:tplc="3BBE3A0C">
      <w:start w:val="7"/>
      <w:numFmt w:val="bullet"/>
      <w:lvlText w:val=""/>
      <w:lvlJc w:val="left"/>
      <w:pPr>
        <w:ind w:left="720" w:hanging="360"/>
      </w:pPr>
      <w:rPr>
        <w:rFonts w:ascii="Symbol" w:eastAsiaTheme="minorEastAsia" w:hAnsi="Symbol"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9">
    <w:nsid w:val="6BD776B7"/>
    <w:multiLevelType w:val="hybridMultilevel"/>
    <w:tmpl w:val="242ADB8A"/>
    <w:lvl w:ilvl="0" w:tplc="04090001">
      <w:start w:val="1"/>
      <w:numFmt w:val="bullet"/>
      <w:lvlText w:val=""/>
      <w:lvlJc w:val="left"/>
      <w:pPr>
        <w:ind w:left="1000" w:hanging="360"/>
      </w:pPr>
      <w:rPr>
        <w:rFonts w:ascii="Symbol" w:hAnsi="Symbol" w:hint="default"/>
      </w:rPr>
    </w:lvl>
    <w:lvl w:ilvl="1" w:tplc="04090003" w:tentative="1">
      <w:start w:val="1"/>
      <w:numFmt w:val="bullet"/>
      <w:lvlText w:val="o"/>
      <w:lvlJc w:val="left"/>
      <w:pPr>
        <w:ind w:left="1720" w:hanging="360"/>
      </w:pPr>
      <w:rPr>
        <w:rFonts w:ascii="Courier New" w:hAnsi="Courier New" w:hint="default"/>
      </w:rPr>
    </w:lvl>
    <w:lvl w:ilvl="2" w:tplc="04090005" w:tentative="1">
      <w:start w:val="1"/>
      <w:numFmt w:val="bullet"/>
      <w:lvlText w:val=""/>
      <w:lvlJc w:val="left"/>
      <w:pPr>
        <w:ind w:left="2440" w:hanging="360"/>
      </w:pPr>
      <w:rPr>
        <w:rFonts w:ascii="Wingdings" w:hAnsi="Wingdings" w:hint="default"/>
      </w:rPr>
    </w:lvl>
    <w:lvl w:ilvl="3" w:tplc="04090001" w:tentative="1">
      <w:start w:val="1"/>
      <w:numFmt w:val="bullet"/>
      <w:lvlText w:val=""/>
      <w:lvlJc w:val="left"/>
      <w:pPr>
        <w:ind w:left="3160" w:hanging="360"/>
      </w:pPr>
      <w:rPr>
        <w:rFonts w:ascii="Symbol" w:hAnsi="Symbol" w:hint="default"/>
      </w:rPr>
    </w:lvl>
    <w:lvl w:ilvl="4" w:tplc="04090003" w:tentative="1">
      <w:start w:val="1"/>
      <w:numFmt w:val="bullet"/>
      <w:lvlText w:val="o"/>
      <w:lvlJc w:val="left"/>
      <w:pPr>
        <w:ind w:left="3880" w:hanging="360"/>
      </w:pPr>
      <w:rPr>
        <w:rFonts w:ascii="Courier New" w:hAnsi="Courier New" w:hint="default"/>
      </w:rPr>
    </w:lvl>
    <w:lvl w:ilvl="5" w:tplc="04090005" w:tentative="1">
      <w:start w:val="1"/>
      <w:numFmt w:val="bullet"/>
      <w:lvlText w:val=""/>
      <w:lvlJc w:val="left"/>
      <w:pPr>
        <w:ind w:left="4600" w:hanging="360"/>
      </w:pPr>
      <w:rPr>
        <w:rFonts w:ascii="Wingdings" w:hAnsi="Wingdings" w:hint="default"/>
      </w:rPr>
    </w:lvl>
    <w:lvl w:ilvl="6" w:tplc="04090001" w:tentative="1">
      <w:start w:val="1"/>
      <w:numFmt w:val="bullet"/>
      <w:lvlText w:val=""/>
      <w:lvlJc w:val="left"/>
      <w:pPr>
        <w:ind w:left="5320" w:hanging="360"/>
      </w:pPr>
      <w:rPr>
        <w:rFonts w:ascii="Symbol" w:hAnsi="Symbol" w:hint="default"/>
      </w:rPr>
    </w:lvl>
    <w:lvl w:ilvl="7" w:tplc="04090003" w:tentative="1">
      <w:start w:val="1"/>
      <w:numFmt w:val="bullet"/>
      <w:lvlText w:val="o"/>
      <w:lvlJc w:val="left"/>
      <w:pPr>
        <w:ind w:left="6040" w:hanging="360"/>
      </w:pPr>
      <w:rPr>
        <w:rFonts w:ascii="Courier New" w:hAnsi="Courier New" w:hint="default"/>
      </w:rPr>
    </w:lvl>
    <w:lvl w:ilvl="8" w:tplc="04090005" w:tentative="1">
      <w:start w:val="1"/>
      <w:numFmt w:val="bullet"/>
      <w:lvlText w:val=""/>
      <w:lvlJc w:val="left"/>
      <w:pPr>
        <w:ind w:left="6760" w:hanging="360"/>
      </w:pPr>
      <w:rPr>
        <w:rFonts w:ascii="Wingdings" w:hAnsi="Wingdings" w:hint="default"/>
      </w:rPr>
    </w:lvl>
  </w:abstractNum>
  <w:abstractNum w:abstractNumId="40">
    <w:nsid w:val="70AA7BA2"/>
    <w:multiLevelType w:val="hybridMultilevel"/>
    <w:tmpl w:val="8BD024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nsid w:val="71B27C21"/>
    <w:multiLevelType w:val="multilevel"/>
    <w:tmpl w:val="560C8A9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nsid w:val="7709728B"/>
    <w:multiLevelType w:val="hybridMultilevel"/>
    <w:tmpl w:val="1FB846B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3">
    <w:nsid w:val="792C5364"/>
    <w:multiLevelType w:val="hybridMultilevel"/>
    <w:tmpl w:val="EC42255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4">
    <w:nsid w:val="7B0B3448"/>
    <w:multiLevelType w:val="hybridMultilevel"/>
    <w:tmpl w:val="3586BC3A"/>
    <w:lvl w:ilvl="0" w:tplc="9F2850C0">
      <w:start w:val="1"/>
      <w:numFmt w:val="decimal"/>
      <w:pStyle w:val="BRnumberlist"/>
      <w:lvlText w:val="%1."/>
      <w:lvlJc w:val="left"/>
      <w:pPr>
        <w:ind w:left="720"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37"/>
  </w:num>
  <w:num w:numId="2">
    <w:abstractNumId w:val="39"/>
  </w:num>
  <w:num w:numId="3">
    <w:abstractNumId w:val="11"/>
  </w:num>
  <w:num w:numId="4">
    <w:abstractNumId w:val="40"/>
  </w:num>
  <w:num w:numId="5">
    <w:abstractNumId w:val="42"/>
  </w:num>
  <w:num w:numId="6">
    <w:abstractNumId w:val="33"/>
  </w:num>
  <w:num w:numId="7">
    <w:abstractNumId w:val="15"/>
  </w:num>
  <w:num w:numId="8">
    <w:abstractNumId w:val="8"/>
  </w:num>
  <w:num w:numId="9">
    <w:abstractNumId w:val="0"/>
  </w:num>
  <w:num w:numId="10">
    <w:abstractNumId w:val="30"/>
  </w:num>
  <w:num w:numId="11">
    <w:abstractNumId w:val="12"/>
  </w:num>
  <w:num w:numId="12">
    <w:abstractNumId w:val="16"/>
  </w:num>
  <w:num w:numId="13">
    <w:abstractNumId w:val="5"/>
  </w:num>
  <w:num w:numId="14">
    <w:abstractNumId w:val="3"/>
  </w:num>
  <w:num w:numId="15">
    <w:abstractNumId w:val="2"/>
  </w:num>
  <w:num w:numId="16">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7"/>
  </w:num>
  <w:num w:numId="18">
    <w:abstractNumId w:val="35"/>
  </w:num>
  <w:num w:numId="19">
    <w:abstractNumId w:val="18"/>
  </w:num>
  <w:num w:numId="20">
    <w:abstractNumId w:val="38"/>
  </w:num>
  <w:num w:numId="21">
    <w:abstractNumId w:val="24"/>
  </w:num>
  <w:num w:numId="22">
    <w:abstractNumId w:val="20"/>
  </w:num>
  <w:num w:numId="23">
    <w:abstractNumId w:val="22"/>
  </w:num>
  <w:num w:numId="24">
    <w:abstractNumId w:val="28"/>
  </w:num>
  <w:num w:numId="25">
    <w:abstractNumId w:val="10"/>
  </w:num>
  <w:num w:numId="26">
    <w:abstractNumId w:val="9"/>
  </w:num>
  <w:num w:numId="27">
    <w:abstractNumId w:val="25"/>
  </w:num>
  <w:num w:numId="28">
    <w:abstractNumId w:val="14"/>
  </w:num>
  <w:num w:numId="29">
    <w:abstractNumId w:val="6"/>
  </w:num>
  <w:num w:numId="30">
    <w:abstractNumId w:val="36"/>
  </w:num>
  <w:num w:numId="31">
    <w:abstractNumId w:val="29"/>
  </w:num>
  <w:num w:numId="32">
    <w:abstractNumId w:val="43"/>
  </w:num>
  <w:num w:numId="33">
    <w:abstractNumId w:val="13"/>
  </w:num>
  <w:num w:numId="34">
    <w:abstractNumId w:val="19"/>
  </w:num>
  <w:num w:numId="35">
    <w:abstractNumId w:val="32"/>
  </w:num>
  <w:num w:numId="36">
    <w:abstractNumId w:val="31"/>
  </w:num>
  <w:num w:numId="37">
    <w:abstractNumId w:val="27"/>
  </w:num>
  <w:num w:numId="38">
    <w:abstractNumId w:val="26"/>
  </w:num>
  <w:num w:numId="39">
    <w:abstractNumId w:val="4"/>
  </w:num>
  <w:num w:numId="40">
    <w:abstractNumId w:val="23"/>
  </w:num>
  <w:num w:numId="41">
    <w:abstractNumId w:val="7"/>
  </w:num>
  <w:num w:numId="42">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44"/>
  </w:num>
  <w:num w:numId="44">
    <w:abstractNumId w:val="44"/>
    <w:lvlOverride w:ilvl="0">
      <w:startOverride w:val="1"/>
    </w:lvlOverride>
  </w:num>
  <w:num w:numId="45">
    <w:abstractNumId w:val="44"/>
    <w:lvlOverride w:ilvl="0">
      <w:startOverride w:val="1"/>
    </w:lvlOverride>
  </w:num>
  <w:num w:numId="46">
    <w:abstractNumId w:val="44"/>
    <w:lvlOverride w:ilvl="0">
      <w:startOverride w:val="1"/>
    </w:lvlOverride>
  </w:num>
  <w:num w:numId="47">
    <w:abstractNumId w:val="21"/>
  </w:num>
  <w:num w:numId="48">
    <w:abstractNumId w:val="34"/>
  </w:num>
  <w:num w:numId="49">
    <w:abstractNumId w:val="41"/>
  </w:num>
  <w:num w:numId="50">
    <w:abstractNumId w:val="1"/>
  </w:num>
  <w:numIdMacAtCleanup w:val="13"/>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Ray Evans">
    <w15:presenceInfo w15:providerId="Windows Live" w15:userId="801cb87736ac340e"/>
  </w15:person>
</w15:people>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3"/>
  <w:removePersonalInformation/>
  <w:removeDateAndTime/>
  <w:displayBackgroundShape/>
  <w:embedSystemFonts/>
  <w:hideSpellingErrors/>
  <w:proofState w:grammar="clean"/>
  <w:defaultTabStop w:val="720"/>
  <w:drawingGridHorizontalSpacing w:val="120"/>
  <w:drawingGridVerticalSpacing w:val="360"/>
  <w:displayHorizontalDrawingGridEvery w:val="0"/>
  <w:displayVerticalDrawingGridEvery w:val="0"/>
  <w:characterSpacingControl w:val="doNotCompress"/>
  <w:hdrShapeDefaults>
    <o:shapedefaults v:ext="edit" spidmax="2334"/>
    <o:shapelayout v:ext="edit">
      <o:idmap v:ext="edit" data="2"/>
    </o:shapelayout>
  </w:hdrShapeDefaults>
  <w:footnotePr>
    <w:footnote w:id="-1"/>
    <w:footnote w:id="0"/>
  </w:footnotePr>
  <w:endnotePr>
    <w:endnote w:id="-1"/>
    <w:endnote w:id="0"/>
  </w:endnotePr>
  <w:compat>
    <w:useFELayout/>
  </w:compat>
  <w:docVars>
    <w:docVar w:name="EN.InstantFormat" w:val="&lt;ENInstantFormat&gt;&lt;Enabled&gt;1&lt;/Enabled&gt;&lt;ScanUnformatted&gt;1&lt;/ScanUnformatted&gt;&lt;ScanChanges&gt;1&lt;/ScanChanges&gt;&lt;Suspended&gt;1&lt;/Suspended&gt;&lt;/ENInstantFormat&gt;"/>
    <w:docVar w:name="EN.Layout" w:val="&lt;ENLayout&gt;&lt;Style&gt;Harvard&lt;/Style&gt;&lt;LeftDelim&gt;{&lt;/LeftDelim&gt;&lt;RightDelim&gt;}&lt;/RightDelim&gt;&lt;FontName&gt;Calibri&lt;/FontName&gt;&lt;FontSize&gt;9&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Layout&gt;"/>
    <w:docVar w:name="EN.Libraries" w:val="&lt;Libraries&gt;&lt;item db-id=&quot;eaf0ftf5nxr5t5e9asever0kxd25wrss9era&quot;&gt;Hydrogeology&lt;record-ids&gt;&lt;item&gt;20&lt;/item&gt;&lt;item&gt;21&lt;/item&gt;&lt;/record-ids&gt;&lt;/item&gt;&lt;/Libraries&gt;"/>
  </w:docVars>
  <w:rsids>
    <w:rsidRoot w:val="00DA4153"/>
    <w:rsid w:val="00004485"/>
    <w:rsid w:val="00005720"/>
    <w:rsid w:val="00011E2B"/>
    <w:rsid w:val="00012BFA"/>
    <w:rsid w:val="00012D0F"/>
    <w:rsid w:val="00015558"/>
    <w:rsid w:val="000163AE"/>
    <w:rsid w:val="0001701F"/>
    <w:rsid w:val="000170A8"/>
    <w:rsid w:val="000179B8"/>
    <w:rsid w:val="00017FB9"/>
    <w:rsid w:val="00021A8D"/>
    <w:rsid w:val="0002205E"/>
    <w:rsid w:val="00023337"/>
    <w:rsid w:val="00026A0A"/>
    <w:rsid w:val="00027026"/>
    <w:rsid w:val="0003024A"/>
    <w:rsid w:val="00031534"/>
    <w:rsid w:val="00033AFD"/>
    <w:rsid w:val="000357A5"/>
    <w:rsid w:val="000357A9"/>
    <w:rsid w:val="000357BE"/>
    <w:rsid w:val="00036E2D"/>
    <w:rsid w:val="00040945"/>
    <w:rsid w:val="00040E84"/>
    <w:rsid w:val="00041306"/>
    <w:rsid w:val="00043407"/>
    <w:rsid w:val="000463E7"/>
    <w:rsid w:val="000471BB"/>
    <w:rsid w:val="00047551"/>
    <w:rsid w:val="00047D64"/>
    <w:rsid w:val="000558B2"/>
    <w:rsid w:val="00055AEB"/>
    <w:rsid w:val="00055B5E"/>
    <w:rsid w:val="00056B34"/>
    <w:rsid w:val="0005748F"/>
    <w:rsid w:val="00057668"/>
    <w:rsid w:val="000610A6"/>
    <w:rsid w:val="0006214B"/>
    <w:rsid w:val="0006333A"/>
    <w:rsid w:val="0006544E"/>
    <w:rsid w:val="00065594"/>
    <w:rsid w:val="00065B40"/>
    <w:rsid w:val="00066388"/>
    <w:rsid w:val="0006689A"/>
    <w:rsid w:val="0007164B"/>
    <w:rsid w:val="000722F1"/>
    <w:rsid w:val="00073198"/>
    <w:rsid w:val="00073EE0"/>
    <w:rsid w:val="00075A06"/>
    <w:rsid w:val="0008061F"/>
    <w:rsid w:val="00080B94"/>
    <w:rsid w:val="00081550"/>
    <w:rsid w:val="00082354"/>
    <w:rsid w:val="000827A0"/>
    <w:rsid w:val="0008536C"/>
    <w:rsid w:val="00091F29"/>
    <w:rsid w:val="000923D1"/>
    <w:rsid w:val="00093C40"/>
    <w:rsid w:val="0009402D"/>
    <w:rsid w:val="000945CF"/>
    <w:rsid w:val="00097D4D"/>
    <w:rsid w:val="000A05FD"/>
    <w:rsid w:val="000A25BD"/>
    <w:rsid w:val="000A3CFF"/>
    <w:rsid w:val="000A475C"/>
    <w:rsid w:val="000A6B5C"/>
    <w:rsid w:val="000A7A7D"/>
    <w:rsid w:val="000B0EC4"/>
    <w:rsid w:val="000B1D24"/>
    <w:rsid w:val="000B5135"/>
    <w:rsid w:val="000B5A9B"/>
    <w:rsid w:val="000B7315"/>
    <w:rsid w:val="000C144E"/>
    <w:rsid w:val="000C5378"/>
    <w:rsid w:val="000C6202"/>
    <w:rsid w:val="000C6964"/>
    <w:rsid w:val="000C6ADC"/>
    <w:rsid w:val="000C79D3"/>
    <w:rsid w:val="000D0DF0"/>
    <w:rsid w:val="000D12AF"/>
    <w:rsid w:val="000D1C58"/>
    <w:rsid w:val="000D27E1"/>
    <w:rsid w:val="000D401A"/>
    <w:rsid w:val="000D5C48"/>
    <w:rsid w:val="000D600C"/>
    <w:rsid w:val="000D7424"/>
    <w:rsid w:val="000D7FF4"/>
    <w:rsid w:val="000E0D08"/>
    <w:rsid w:val="000E1083"/>
    <w:rsid w:val="000E13A7"/>
    <w:rsid w:val="000E1443"/>
    <w:rsid w:val="000E240B"/>
    <w:rsid w:val="000E2789"/>
    <w:rsid w:val="000E351F"/>
    <w:rsid w:val="000E3A2D"/>
    <w:rsid w:val="000E4541"/>
    <w:rsid w:val="000E5531"/>
    <w:rsid w:val="000E57DF"/>
    <w:rsid w:val="000E5FFE"/>
    <w:rsid w:val="000E7731"/>
    <w:rsid w:val="000F143F"/>
    <w:rsid w:val="000F4123"/>
    <w:rsid w:val="000F4AA8"/>
    <w:rsid w:val="000F5575"/>
    <w:rsid w:val="000F6089"/>
    <w:rsid w:val="000F6939"/>
    <w:rsid w:val="0010123B"/>
    <w:rsid w:val="001026AA"/>
    <w:rsid w:val="00103038"/>
    <w:rsid w:val="001035AE"/>
    <w:rsid w:val="00104710"/>
    <w:rsid w:val="00104C1A"/>
    <w:rsid w:val="001053A1"/>
    <w:rsid w:val="001056F6"/>
    <w:rsid w:val="00105ABD"/>
    <w:rsid w:val="00110014"/>
    <w:rsid w:val="00115ACF"/>
    <w:rsid w:val="001168AD"/>
    <w:rsid w:val="00117243"/>
    <w:rsid w:val="00120F38"/>
    <w:rsid w:val="0012267A"/>
    <w:rsid w:val="00122914"/>
    <w:rsid w:val="001244FD"/>
    <w:rsid w:val="0012724F"/>
    <w:rsid w:val="00127CD2"/>
    <w:rsid w:val="00127D88"/>
    <w:rsid w:val="00127EC7"/>
    <w:rsid w:val="00130442"/>
    <w:rsid w:val="0013328B"/>
    <w:rsid w:val="001340A3"/>
    <w:rsid w:val="001349A5"/>
    <w:rsid w:val="001363E4"/>
    <w:rsid w:val="00136EB5"/>
    <w:rsid w:val="00137027"/>
    <w:rsid w:val="0014212E"/>
    <w:rsid w:val="001435CC"/>
    <w:rsid w:val="0014361E"/>
    <w:rsid w:val="0014369C"/>
    <w:rsid w:val="00146FB3"/>
    <w:rsid w:val="00147C15"/>
    <w:rsid w:val="00150A15"/>
    <w:rsid w:val="001519A5"/>
    <w:rsid w:val="00152118"/>
    <w:rsid w:val="00152997"/>
    <w:rsid w:val="00152ABE"/>
    <w:rsid w:val="0015331F"/>
    <w:rsid w:val="00155D9D"/>
    <w:rsid w:val="00156D62"/>
    <w:rsid w:val="00160868"/>
    <w:rsid w:val="00162D9B"/>
    <w:rsid w:val="00162DA3"/>
    <w:rsid w:val="001642A1"/>
    <w:rsid w:val="00164F3E"/>
    <w:rsid w:val="00167A67"/>
    <w:rsid w:val="00167AA0"/>
    <w:rsid w:val="00167E75"/>
    <w:rsid w:val="00170FB2"/>
    <w:rsid w:val="001722AD"/>
    <w:rsid w:val="00172423"/>
    <w:rsid w:val="001754AF"/>
    <w:rsid w:val="0017766C"/>
    <w:rsid w:val="00180E50"/>
    <w:rsid w:val="00181C7D"/>
    <w:rsid w:val="001821EB"/>
    <w:rsid w:val="00183208"/>
    <w:rsid w:val="0018436E"/>
    <w:rsid w:val="00184A80"/>
    <w:rsid w:val="001857FC"/>
    <w:rsid w:val="00185F41"/>
    <w:rsid w:val="00187733"/>
    <w:rsid w:val="00187FA6"/>
    <w:rsid w:val="00190CDF"/>
    <w:rsid w:val="00191B0C"/>
    <w:rsid w:val="00191ED4"/>
    <w:rsid w:val="001922A0"/>
    <w:rsid w:val="00195F11"/>
    <w:rsid w:val="00196FC6"/>
    <w:rsid w:val="0019723D"/>
    <w:rsid w:val="001A4223"/>
    <w:rsid w:val="001A4734"/>
    <w:rsid w:val="001A7237"/>
    <w:rsid w:val="001A7735"/>
    <w:rsid w:val="001B1E5E"/>
    <w:rsid w:val="001B1FD7"/>
    <w:rsid w:val="001B611D"/>
    <w:rsid w:val="001B62B8"/>
    <w:rsid w:val="001C0FC3"/>
    <w:rsid w:val="001C2C37"/>
    <w:rsid w:val="001C3374"/>
    <w:rsid w:val="001C3E82"/>
    <w:rsid w:val="001C64D5"/>
    <w:rsid w:val="001C7D1F"/>
    <w:rsid w:val="001D09C6"/>
    <w:rsid w:val="001D3BCA"/>
    <w:rsid w:val="001D7247"/>
    <w:rsid w:val="001D767A"/>
    <w:rsid w:val="001E40D4"/>
    <w:rsid w:val="001E4906"/>
    <w:rsid w:val="001E4BC2"/>
    <w:rsid w:val="001E50DC"/>
    <w:rsid w:val="001E6C5C"/>
    <w:rsid w:val="001E78BD"/>
    <w:rsid w:val="001E7FB7"/>
    <w:rsid w:val="001F0464"/>
    <w:rsid w:val="001F1056"/>
    <w:rsid w:val="001F21BF"/>
    <w:rsid w:val="001F5BA5"/>
    <w:rsid w:val="001F62C8"/>
    <w:rsid w:val="001F6885"/>
    <w:rsid w:val="00200ACB"/>
    <w:rsid w:val="002022F4"/>
    <w:rsid w:val="002068B3"/>
    <w:rsid w:val="00206AF8"/>
    <w:rsid w:val="00206EE5"/>
    <w:rsid w:val="00210C37"/>
    <w:rsid w:val="00210D44"/>
    <w:rsid w:val="00210E3A"/>
    <w:rsid w:val="00211739"/>
    <w:rsid w:val="00211976"/>
    <w:rsid w:val="00211A1B"/>
    <w:rsid w:val="00212993"/>
    <w:rsid w:val="002134A3"/>
    <w:rsid w:val="002139D1"/>
    <w:rsid w:val="00214732"/>
    <w:rsid w:val="00214F80"/>
    <w:rsid w:val="002204D1"/>
    <w:rsid w:val="00220B9F"/>
    <w:rsid w:val="00221D79"/>
    <w:rsid w:val="00224DD1"/>
    <w:rsid w:val="0022535B"/>
    <w:rsid w:val="00227151"/>
    <w:rsid w:val="00227738"/>
    <w:rsid w:val="00227755"/>
    <w:rsid w:val="0023118C"/>
    <w:rsid w:val="002311E2"/>
    <w:rsid w:val="00232FD7"/>
    <w:rsid w:val="00233CFE"/>
    <w:rsid w:val="002360A4"/>
    <w:rsid w:val="00236E7A"/>
    <w:rsid w:val="0023769E"/>
    <w:rsid w:val="002414FE"/>
    <w:rsid w:val="00241E93"/>
    <w:rsid w:val="002460DF"/>
    <w:rsid w:val="00247D17"/>
    <w:rsid w:val="00252428"/>
    <w:rsid w:val="00252ECD"/>
    <w:rsid w:val="00254008"/>
    <w:rsid w:val="00254300"/>
    <w:rsid w:val="00254550"/>
    <w:rsid w:val="00254FAA"/>
    <w:rsid w:val="002560B7"/>
    <w:rsid w:val="002562E6"/>
    <w:rsid w:val="002565B6"/>
    <w:rsid w:val="00256C4E"/>
    <w:rsid w:val="002601B5"/>
    <w:rsid w:val="00260DA2"/>
    <w:rsid w:val="002616B1"/>
    <w:rsid w:val="00262AB7"/>
    <w:rsid w:val="002631E7"/>
    <w:rsid w:val="002635AA"/>
    <w:rsid w:val="00264F1A"/>
    <w:rsid w:val="00266482"/>
    <w:rsid w:val="00267A5F"/>
    <w:rsid w:val="002709F9"/>
    <w:rsid w:val="002731CF"/>
    <w:rsid w:val="002739B7"/>
    <w:rsid w:val="00274FD3"/>
    <w:rsid w:val="0027567C"/>
    <w:rsid w:val="0027668F"/>
    <w:rsid w:val="0027710C"/>
    <w:rsid w:val="00277AFF"/>
    <w:rsid w:val="00280B51"/>
    <w:rsid w:val="00280D4D"/>
    <w:rsid w:val="00284399"/>
    <w:rsid w:val="00287F9A"/>
    <w:rsid w:val="002919C5"/>
    <w:rsid w:val="002925CC"/>
    <w:rsid w:val="0029309F"/>
    <w:rsid w:val="00295469"/>
    <w:rsid w:val="002A0A38"/>
    <w:rsid w:val="002A3833"/>
    <w:rsid w:val="002A3F2E"/>
    <w:rsid w:val="002A5173"/>
    <w:rsid w:val="002A602F"/>
    <w:rsid w:val="002A7337"/>
    <w:rsid w:val="002B0D94"/>
    <w:rsid w:val="002B0F71"/>
    <w:rsid w:val="002B18C3"/>
    <w:rsid w:val="002B1D43"/>
    <w:rsid w:val="002B2A12"/>
    <w:rsid w:val="002B3AB8"/>
    <w:rsid w:val="002B3D9B"/>
    <w:rsid w:val="002B7489"/>
    <w:rsid w:val="002B7FA6"/>
    <w:rsid w:val="002C143F"/>
    <w:rsid w:val="002C36E7"/>
    <w:rsid w:val="002C58BA"/>
    <w:rsid w:val="002C7A36"/>
    <w:rsid w:val="002D3240"/>
    <w:rsid w:val="002D338B"/>
    <w:rsid w:val="002D3670"/>
    <w:rsid w:val="002D3B8E"/>
    <w:rsid w:val="002D5C91"/>
    <w:rsid w:val="002D632B"/>
    <w:rsid w:val="002D6A86"/>
    <w:rsid w:val="002E02A1"/>
    <w:rsid w:val="002E350D"/>
    <w:rsid w:val="002E672A"/>
    <w:rsid w:val="002E6C1D"/>
    <w:rsid w:val="002E7ECD"/>
    <w:rsid w:val="002F0B30"/>
    <w:rsid w:val="002F0DB7"/>
    <w:rsid w:val="002F1811"/>
    <w:rsid w:val="002F2461"/>
    <w:rsid w:val="002F2F76"/>
    <w:rsid w:val="002F446A"/>
    <w:rsid w:val="002F4A30"/>
    <w:rsid w:val="002F4E8C"/>
    <w:rsid w:val="002F611D"/>
    <w:rsid w:val="0030042E"/>
    <w:rsid w:val="00300F65"/>
    <w:rsid w:val="00302AB8"/>
    <w:rsid w:val="0030300D"/>
    <w:rsid w:val="003031AC"/>
    <w:rsid w:val="0030371F"/>
    <w:rsid w:val="00303DB4"/>
    <w:rsid w:val="0030405A"/>
    <w:rsid w:val="003052BE"/>
    <w:rsid w:val="003055C9"/>
    <w:rsid w:val="00306A02"/>
    <w:rsid w:val="00307AE2"/>
    <w:rsid w:val="003116D0"/>
    <w:rsid w:val="00314DFB"/>
    <w:rsid w:val="00315792"/>
    <w:rsid w:val="00316983"/>
    <w:rsid w:val="00317878"/>
    <w:rsid w:val="0032004F"/>
    <w:rsid w:val="0032023C"/>
    <w:rsid w:val="0032170B"/>
    <w:rsid w:val="003218CA"/>
    <w:rsid w:val="00321DB3"/>
    <w:rsid w:val="0032568D"/>
    <w:rsid w:val="00325BBF"/>
    <w:rsid w:val="0032623B"/>
    <w:rsid w:val="00327967"/>
    <w:rsid w:val="00327E68"/>
    <w:rsid w:val="0033002C"/>
    <w:rsid w:val="00332397"/>
    <w:rsid w:val="00332401"/>
    <w:rsid w:val="00332853"/>
    <w:rsid w:val="00334FE0"/>
    <w:rsid w:val="003370A0"/>
    <w:rsid w:val="00340C9A"/>
    <w:rsid w:val="00341214"/>
    <w:rsid w:val="00341D72"/>
    <w:rsid w:val="00343919"/>
    <w:rsid w:val="00351EC6"/>
    <w:rsid w:val="003529E5"/>
    <w:rsid w:val="00353000"/>
    <w:rsid w:val="0035517A"/>
    <w:rsid w:val="0035565D"/>
    <w:rsid w:val="00357636"/>
    <w:rsid w:val="00357C74"/>
    <w:rsid w:val="0036086B"/>
    <w:rsid w:val="00360DB8"/>
    <w:rsid w:val="003614FB"/>
    <w:rsid w:val="00361D8C"/>
    <w:rsid w:val="00363822"/>
    <w:rsid w:val="00365155"/>
    <w:rsid w:val="003653DD"/>
    <w:rsid w:val="003655C8"/>
    <w:rsid w:val="003665F6"/>
    <w:rsid w:val="003667FB"/>
    <w:rsid w:val="00373A28"/>
    <w:rsid w:val="00373B2F"/>
    <w:rsid w:val="00374C76"/>
    <w:rsid w:val="00374D28"/>
    <w:rsid w:val="003765BF"/>
    <w:rsid w:val="003811B2"/>
    <w:rsid w:val="00381336"/>
    <w:rsid w:val="003846FB"/>
    <w:rsid w:val="00384BA9"/>
    <w:rsid w:val="0038540D"/>
    <w:rsid w:val="0038787B"/>
    <w:rsid w:val="00387BFE"/>
    <w:rsid w:val="0039190F"/>
    <w:rsid w:val="00391A22"/>
    <w:rsid w:val="00391BBF"/>
    <w:rsid w:val="003943E5"/>
    <w:rsid w:val="00394C21"/>
    <w:rsid w:val="003964E3"/>
    <w:rsid w:val="003A0731"/>
    <w:rsid w:val="003A09DF"/>
    <w:rsid w:val="003A0D3E"/>
    <w:rsid w:val="003A0F75"/>
    <w:rsid w:val="003A1092"/>
    <w:rsid w:val="003A236A"/>
    <w:rsid w:val="003A40F4"/>
    <w:rsid w:val="003B1829"/>
    <w:rsid w:val="003B1AEC"/>
    <w:rsid w:val="003B2C0A"/>
    <w:rsid w:val="003B3A7F"/>
    <w:rsid w:val="003B42BA"/>
    <w:rsid w:val="003B495E"/>
    <w:rsid w:val="003B4FEB"/>
    <w:rsid w:val="003B7141"/>
    <w:rsid w:val="003C1824"/>
    <w:rsid w:val="003C7A89"/>
    <w:rsid w:val="003D257F"/>
    <w:rsid w:val="003D34A2"/>
    <w:rsid w:val="003D3675"/>
    <w:rsid w:val="003D5478"/>
    <w:rsid w:val="003D673A"/>
    <w:rsid w:val="003E0BD0"/>
    <w:rsid w:val="003E121A"/>
    <w:rsid w:val="003E23B0"/>
    <w:rsid w:val="003E27BE"/>
    <w:rsid w:val="003E35D3"/>
    <w:rsid w:val="003E445C"/>
    <w:rsid w:val="003E452F"/>
    <w:rsid w:val="003E6601"/>
    <w:rsid w:val="003E6686"/>
    <w:rsid w:val="003F172F"/>
    <w:rsid w:val="003F25E1"/>
    <w:rsid w:val="003F43DE"/>
    <w:rsid w:val="003F54B0"/>
    <w:rsid w:val="00403501"/>
    <w:rsid w:val="00404F2A"/>
    <w:rsid w:val="004127EC"/>
    <w:rsid w:val="00413352"/>
    <w:rsid w:val="00414659"/>
    <w:rsid w:val="00415099"/>
    <w:rsid w:val="0041531B"/>
    <w:rsid w:val="00420CDD"/>
    <w:rsid w:val="00425B17"/>
    <w:rsid w:val="0042677E"/>
    <w:rsid w:val="0042792F"/>
    <w:rsid w:val="00430F44"/>
    <w:rsid w:val="004349B6"/>
    <w:rsid w:val="004350AA"/>
    <w:rsid w:val="004362AF"/>
    <w:rsid w:val="00436D47"/>
    <w:rsid w:val="00437AF5"/>
    <w:rsid w:val="00441E4A"/>
    <w:rsid w:val="00443221"/>
    <w:rsid w:val="004439BA"/>
    <w:rsid w:val="00443DD0"/>
    <w:rsid w:val="0045089D"/>
    <w:rsid w:val="00452341"/>
    <w:rsid w:val="00453910"/>
    <w:rsid w:val="00453DC8"/>
    <w:rsid w:val="00454153"/>
    <w:rsid w:val="00454377"/>
    <w:rsid w:val="00455453"/>
    <w:rsid w:val="00457657"/>
    <w:rsid w:val="00460B59"/>
    <w:rsid w:val="0046328D"/>
    <w:rsid w:val="00463C90"/>
    <w:rsid w:val="00463D14"/>
    <w:rsid w:val="00465045"/>
    <w:rsid w:val="00465496"/>
    <w:rsid w:val="0046597B"/>
    <w:rsid w:val="00466054"/>
    <w:rsid w:val="00466261"/>
    <w:rsid w:val="004665FC"/>
    <w:rsid w:val="00467B4B"/>
    <w:rsid w:val="0047079D"/>
    <w:rsid w:val="00470AD4"/>
    <w:rsid w:val="004715C3"/>
    <w:rsid w:val="00471A93"/>
    <w:rsid w:val="00472702"/>
    <w:rsid w:val="00472BD6"/>
    <w:rsid w:val="0047387A"/>
    <w:rsid w:val="00476D93"/>
    <w:rsid w:val="0048087E"/>
    <w:rsid w:val="004825DD"/>
    <w:rsid w:val="0048273A"/>
    <w:rsid w:val="00486FE8"/>
    <w:rsid w:val="004911EE"/>
    <w:rsid w:val="004926C6"/>
    <w:rsid w:val="0049311C"/>
    <w:rsid w:val="004942ED"/>
    <w:rsid w:val="004946C2"/>
    <w:rsid w:val="00494C56"/>
    <w:rsid w:val="004957B4"/>
    <w:rsid w:val="00497B72"/>
    <w:rsid w:val="004A3E10"/>
    <w:rsid w:val="004A5BF7"/>
    <w:rsid w:val="004A6CB1"/>
    <w:rsid w:val="004A7DA9"/>
    <w:rsid w:val="004B069C"/>
    <w:rsid w:val="004B12F9"/>
    <w:rsid w:val="004B1AE9"/>
    <w:rsid w:val="004B3C10"/>
    <w:rsid w:val="004B54F4"/>
    <w:rsid w:val="004B5B7E"/>
    <w:rsid w:val="004B676F"/>
    <w:rsid w:val="004C3291"/>
    <w:rsid w:val="004C32C0"/>
    <w:rsid w:val="004C342C"/>
    <w:rsid w:val="004C474F"/>
    <w:rsid w:val="004C5C2E"/>
    <w:rsid w:val="004C5CE0"/>
    <w:rsid w:val="004C5E60"/>
    <w:rsid w:val="004C7B5A"/>
    <w:rsid w:val="004D082B"/>
    <w:rsid w:val="004D1E4D"/>
    <w:rsid w:val="004D2187"/>
    <w:rsid w:val="004D41F2"/>
    <w:rsid w:val="004D48F9"/>
    <w:rsid w:val="004D74B5"/>
    <w:rsid w:val="004D7683"/>
    <w:rsid w:val="004D7C20"/>
    <w:rsid w:val="004E04CE"/>
    <w:rsid w:val="004E0715"/>
    <w:rsid w:val="004E179A"/>
    <w:rsid w:val="004E1C10"/>
    <w:rsid w:val="004E2B82"/>
    <w:rsid w:val="004E3B1B"/>
    <w:rsid w:val="004E5011"/>
    <w:rsid w:val="004E58DA"/>
    <w:rsid w:val="004E787D"/>
    <w:rsid w:val="004F18C7"/>
    <w:rsid w:val="004F237A"/>
    <w:rsid w:val="004F58BC"/>
    <w:rsid w:val="004F7C54"/>
    <w:rsid w:val="00500371"/>
    <w:rsid w:val="0050190B"/>
    <w:rsid w:val="00502E7D"/>
    <w:rsid w:val="00504032"/>
    <w:rsid w:val="00507924"/>
    <w:rsid w:val="00511559"/>
    <w:rsid w:val="00511E61"/>
    <w:rsid w:val="00512D4D"/>
    <w:rsid w:val="00512F44"/>
    <w:rsid w:val="00514B80"/>
    <w:rsid w:val="005151D4"/>
    <w:rsid w:val="00515854"/>
    <w:rsid w:val="00515CA3"/>
    <w:rsid w:val="0052008C"/>
    <w:rsid w:val="005211E0"/>
    <w:rsid w:val="00521A5B"/>
    <w:rsid w:val="005234F3"/>
    <w:rsid w:val="00523D6A"/>
    <w:rsid w:val="00525CA1"/>
    <w:rsid w:val="00526F71"/>
    <w:rsid w:val="005276F3"/>
    <w:rsid w:val="005279DC"/>
    <w:rsid w:val="0053011E"/>
    <w:rsid w:val="00531164"/>
    <w:rsid w:val="005329BE"/>
    <w:rsid w:val="00537AB5"/>
    <w:rsid w:val="005404B3"/>
    <w:rsid w:val="00540795"/>
    <w:rsid w:val="00542FE1"/>
    <w:rsid w:val="005434AB"/>
    <w:rsid w:val="005439AE"/>
    <w:rsid w:val="00544404"/>
    <w:rsid w:val="00544A2C"/>
    <w:rsid w:val="0054534B"/>
    <w:rsid w:val="0054698A"/>
    <w:rsid w:val="00547D6C"/>
    <w:rsid w:val="00550C65"/>
    <w:rsid w:val="00552D5F"/>
    <w:rsid w:val="005540F4"/>
    <w:rsid w:val="00555D6F"/>
    <w:rsid w:val="00557D9A"/>
    <w:rsid w:val="00561462"/>
    <w:rsid w:val="00563B43"/>
    <w:rsid w:val="00566235"/>
    <w:rsid w:val="0056736E"/>
    <w:rsid w:val="005700F2"/>
    <w:rsid w:val="005719E8"/>
    <w:rsid w:val="0057314B"/>
    <w:rsid w:val="00573A2E"/>
    <w:rsid w:val="00574133"/>
    <w:rsid w:val="0057420D"/>
    <w:rsid w:val="005749AA"/>
    <w:rsid w:val="00574A8A"/>
    <w:rsid w:val="00576AC9"/>
    <w:rsid w:val="0057736C"/>
    <w:rsid w:val="00584B3A"/>
    <w:rsid w:val="005858EA"/>
    <w:rsid w:val="005902F7"/>
    <w:rsid w:val="00590832"/>
    <w:rsid w:val="0059227B"/>
    <w:rsid w:val="00593EAF"/>
    <w:rsid w:val="0059439B"/>
    <w:rsid w:val="00594564"/>
    <w:rsid w:val="005958AB"/>
    <w:rsid w:val="005A2899"/>
    <w:rsid w:val="005A3281"/>
    <w:rsid w:val="005A47EB"/>
    <w:rsid w:val="005A70BC"/>
    <w:rsid w:val="005B08CC"/>
    <w:rsid w:val="005B1E64"/>
    <w:rsid w:val="005B2B28"/>
    <w:rsid w:val="005B4886"/>
    <w:rsid w:val="005B4A68"/>
    <w:rsid w:val="005B4A76"/>
    <w:rsid w:val="005B4F94"/>
    <w:rsid w:val="005B776E"/>
    <w:rsid w:val="005C1350"/>
    <w:rsid w:val="005C16DC"/>
    <w:rsid w:val="005C1C66"/>
    <w:rsid w:val="005C296F"/>
    <w:rsid w:val="005C5386"/>
    <w:rsid w:val="005C6117"/>
    <w:rsid w:val="005C6B7B"/>
    <w:rsid w:val="005C7505"/>
    <w:rsid w:val="005C7B83"/>
    <w:rsid w:val="005D00BE"/>
    <w:rsid w:val="005D22C5"/>
    <w:rsid w:val="005D39DD"/>
    <w:rsid w:val="005D5D20"/>
    <w:rsid w:val="005D6B34"/>
    <w:rsid w:val="005D6B63"/>
    <w:rsid w:val="005D7701"/>
    <w:rsid w:val="005E07C1"/>
    <w:rsid w:val="005E0971"/>
    <w:rsid w:val="005E25D6"/>
    <w:rsid w:val="005E3519"/>
    <w:rsid w:val="005E4BB7"/>
    <w:rsid w:val="005E6F9A"/>
    <w:rsid w:val="005F1698"/>
    <w:rsid w:val="005F1D9C"/>
    <w:rsid w:val="005F34EF"/>
    <w:rsid w:val="005F3C90"/>
    <w:rsid w:val="005F44C0"/>
    <w:rsid w:val="005F56D1"/>
    <w:rsid w:val="005F6513"/>
    <w:rsid w:val="006011BB"/>
    <w:rsid w:val="0060383F"/>
    <w:rsid w:val="006043F8"/>
    <w:rsid w:val="00607782"/>
    <w:rsid w:val="00610628"/>
    <w:rsid w:val="006106C5"/>
    <w:rsid w:val="0061213E"/>
    <w:rsid w:val="00613C06"/>
    <w:rsid w:val="00616B65"/>
    <w:rsid w:val="00616F83"/>
    <w:rsid w:val="00621F4D"/>
    <w:rsid w:val="00623596"/>
    <w:rsid w:val="00624B37"/>
    <w:rsid w:val="00626238"/>
    <w:rsid w:val="006271FD"/>
    <w:rsid w:val="006306FA"/>
    <w:rsid w:val="00636914"/>
    <w:rsid w:val="00640F01"/>
    <w:rsid w:val="00642C37"/>
    <w:rsid w:val="00643041"/>
    <w:rsid w:val="0064419B"/>
    <w:rsid w:val="00644465"/>
    <w:rsid w:val="006466F8"/>
    <w:rsid w:val="0064790D"/>
    <w:rsid w:val="00650684"/>
    <w:rsid w:val="00651F0C"/>
    <w:rsid w:val="006526BB"/>
    <w:rsid w:val="00654198"/>
    <w:rsid w:val="0066135A"/>
    <w:rsid w:val="00661549"/>
    <w:rsid w:val="00661ABC"/>
    <w:rsid w:val="00663587"/>
    <w:rsid w:val="006701A9"/>
    <w:rsid w:val="00671D1D"/>
    <w:rsid w:val="00671E24"/>
    <w:rsid w:val="00671E8F"/>
    <w:rsid w:val="0067302C"/>
    <w:rsid w:val="00674BE9"/>
    <w:rsid w:val="0067555F"/>
    <w:rsid w:val="006759EB"/>
    <w:rsid w:val="00675E00"/>
    <w:rsid w:val="0067638E"/>
    <w:rsid w:val="006778C4"/>
    <w:rsid w:val="00677957"/>
    <w:rsid w:val="006817D9"/>
    <w:rsid w:val="00681E8C"/>
    <w:rsid w:val="00681EBA"/>
    <w:rsid w:val="00682C36"/>
    <w:rsid w:val="006851EA"/>
    <w:rsid w:val="0068584D"/>
    <w:rsid w:val="0068599F"/>
    <w:rsid w:val="00686BB7"/>
    <w:rsid w:val="00687506"/>
    <w:rsid w:val="00690F4C"/>
    <w:rsid w:val="0069206E"/>
    <w:rsid w:val="0069487B"/>
    <w:rsid w:val="006948B3"/>
    <w:rsid w:val="006956DC"/>
    <w:rsid w:val="00695813"/>
    <w:rsid w:val="00695AAA"/>
    <w:rsid w:val="00695B43"/>
    <w:rsid w:val="0069724C"/>
    <w:rsid w:val="006A185D"/>
    <w:rsid w:val="006A55DE"/>
    <w:rsid w:val="006A69CB"/>
    <w:rsid w:val="006B0EC2"/>
    <w:rsid w:val="006B3418"/>
    <w:rsid w:val="006B35E1"/>
    <w:rsid w:val="006B3817"/>
    <w:rsid w:val="006B4625"/>
    <w:rsid w:val="006B50D0"/>
    <w:rsid w:val="006B5166"/>
    <w:rsid w:val="006B5DF8"/>
    <w:rsid w:val="006B67E1"/>
    <w:rsid w:val="006B79CA"/>
    <w:rsid w:val="006C0BB0"/>
    <w:rsid w:val="006C1877"/>
    <w:rsid w:val="006C1A57"/>
    <w:rsid w:val="006C1E9E"/>
    <w:rsid w:val="006C2B61"/>
    <w:rsid w:val="006C2E21"/>
    <w:rsid w:val="006C3DAE"/>
    <w:rsid w:val="006C3F45"/>
    <w:rsid w:val="006C5BC2"/>
    <w:rsid w:val="006D019E"/>
    <w:rsid w:val="006D0A7A"/>
    <w:rsid w:val="006D1382"/>
    <w:rsid w:val="006D2803"/>
    <w:rsid w:val="006D2D54"/>
    <w:rsid w:val="006D3481"/>
    <w:rsid w:val="006D38EA"/>
    <w:rsid w:val="006D4C4A"/>
    <w:rsid w:val="006D645A"/>
    <w:rsid w:val="006E1924"/>
    <w:rsid w:val="006E2D9F"/>
    <w:rsid w:val="006E583A"/>
    <w:rsid w:val="006E5BFC"/>
    <w:rsid w:val="006E6148"/>
    <w:rsid w:val="006E7858"/>
    <w:rsid w:val="006F030C"/>
    <w:rsid w:val="006F0FDA"/>
    <w:rsid w:val="006F2B3C"/>
    <w:rsid w:val="006F4D3C"/>
    <w:rsid w:val="006F5B76"/>
    <w:rsid w:val="00702943"/>
    <w:rsid w:val="007031ED"/>
    <w:rsid w:val="00703989"/>
    <w:rsid w:val="00704D86"/>
    <w:rsid w:val="007052AC"/>
    <w:rsid w:val="00706F16"/>
    <w:rsid w:val="00713979"/>
    <w:rsid w:val="00714EB5"/>
    <w:rsid w:val="0071502D"/>
    <w:rsid w:val="00715186"/>
    <w:rsid w:val="007156A8"/>
    <w:rsid w:val="00720279"/>
    <w:rsid w:val="00725C65"/>
    <w:rsid w:val="007269F4"/>
    <w:rsid w:val="0072748C"/>
    <w:rsid w:val="007305CD"/>
    <w:rsid w:val="007308B9"/>
    <w:rsid w:val="007311C9"/>
    <w:rsid w:val="00731DF1"/>
    <w:rsid w:val="00732B2E"/>
    <w:rsid w:val="0073444E"/>
    <w:rsid w:val="0073472A"/>
    <w:rsid w:val="00734B52"/>
    <w:rsid w:val="00737A6B"/>
    <w:rsid w:val="00737EA2"/>
    <w:rsid w:val="007410F7"/>
    <w:rsid w:val="007414C2"/>
    <w:rsid w:val="00742C90"/>
    <w:rsid w:val="007461E0"/>
    <w:rsid w:val="00746430"/>
    <w:rsid w:val="007468C4"/>
    <w:rsid w:val="007469EA"/>
    <w:rsid w:val="007471E4"/>
    <w:rsid w:val="007472B5"/>
    <w:rsid w:val="00747C59"/>
    <w:rsid w:val="00754693"/>
    <w:rsid w:val="007548A9"/>
    <w:rsid w:val="00756AEE"/>
    <w:rsid w:val="007576B2"/>
    <w:rsid w:val="007605B7"/>
    <w:rsid w:val="00767318"/>
    <w:rsid w:val="007711B1"/>
    <w:rsid w:val="007723E4"/>
    <w:rsid w:val="00773E25"/>
    <w:rsid w:val="00775180"/>
    <w:rsid w:val="0077719D"/>
    <w:rsid w:val="00777790"/>
    <w:rsid w:val="0078189E"/>
    <w:rsid w:val="00782A86"/>
    <w:rsid w:val="00786AED"/>
    <w:rsid w:val="00790666"/>
    <w:rsid w:val="00790C5B"/>
    <w:rsid w:val="0079231E"/>
    <w:rsid w:val="007927AB"/>
    <w:rsid w:val="00792A5A"/>
    <w:rsid w:val="00793EED"/>
    <w:rsid w:val="0079449F"/>
    <w:rsid w:val="007977BE"/>
    <w:rsid w:val="007A0E4E"/>
    <w:rsid w:val="007A1D5C"/>
    <w:rsid w:val="007A62B9"/>
    <w:rsid w:val="007B0FFB"/>
    <w:rsid w:val="007B3AED"/>
    <w:rsid w:val="007B4A9F"/>
    <w:rsid w:val="007B5A99"/>
    <w:rsid w:val="007B5C4F"/>
    <w:rsid w:val="007B6001"/>
    <w:rsid w:val="007C0592"/>
    <w:rsid w:val="007C1608"/>
    <w:rsid w:val="007C1690"/>
    <w:rsid w:val="007C18C8"/>
    <w:rsid w:val="007C3072"/>
    <w:rsid w:val="007C42E9"/>
    <w:rsid w:val="007C44A7"/>
    <w:rsid w:val="007C4F0F"/>
    <w:rsid w:val="007C5C79"/>
    <w:rsid w:val="007C5CB5"/>
    <w:rsid w:val="007C7837"/>
    <w:rsid w:val="007C7A5E"/>
    <w:rsid w:val="007C7AEA"/>
    <w:rsid w:val="007D1F47"/>
    <w:rsid w:val="007D6866"/>
    <w:rsid w:val="007D6DBF"/>
    <w:rsid w:val="007E0B7D"/>
    <w:rsid w:val="007E11FC"/>
    <w:rsid w:val="007E16B7"/>
    <w:rsid w:val="007E48A8"/>
    <w:rsid w:val="007E5895"/>
    <w:rsid w:val="007E61A2"/>
    <w:rsid w:val="007E6D87"/>
    <w:rsid w:val="007E76FB"/>
    <w:rsid w:val="007F239E"/>
    <w:rsid w:val="007F4BD0"/>
    <w:rsid w:val="007F57FE"/>
    <w:rsid w:val="007F7CD3"/>
    <w:rsid w:val="0080294C"/>
    <w:rsid w:val="00802ADA"/>
    <w:rsid w:val="008031B1"/>
    <w:rsid w:val="008031B5"/>
    <w:rsid w:val="00803236"/>
    <w:rsid w:val="00803D98"/>
    <w:rsid w:val="008054BE"/>
    <w:rsid w:val="00807362"/>
    <w:rsid w:val="00807A2F"/>
    <w:rsid w:val="0081465B"/>
    <w:rsid w:val="00815A55"/>
    <w:rsid w:val="0081630C"/>
    <w:rsid w:val="008170B3"/>
    <w:rsid w:val="00820988"/>
    <w:rsid w:val="00822E2C"/>
    <w:rsid w:val="00823AF5"/>
    <w:rsid w:val="00823BA0"/>
    <w:rsid w:val="00823BCA"/>
    <w:rsid w:val="00823C14"/>
    <w:rsid w:val="008267FC"/>
    <w:rsid w:val="0082757D"/>
    <w:rsid w:val="00830DA5"/>
    <w:rsid w:val="0083215D"/>
    <w:rsid w:val="00833EA5"/>
    <w:rsid w:val="008343C4"/>
    <w:rsid w:val="008366D4"/>
    <w:rsid w:val="00836D74"/>
    <w:rsid w:val="0083742E"/>
    <w:rsid w:val="00840689"/>
    <w:rsid w:val="008430B9"/>
    <w:rsid w:val="00843A99"/>
    <w:rsid w:val="00845528"/>
    <w:rsid w:val="00845861"/>
    <w:rsid w:val="00847FCA"/>
    <w:rsid w:val="008530AE"/>
    <w:rsid w:val="00853EFE"/>
    <w:rsid w:val="00856458"/>
    <w:rsid w:val="00861793"/>
    <w:rsid w:val="00862D43"/>
    <w:rsid w:val="008641B8"/>
    <w:rsid w:val="00867A14"/>
    <w:rsid w:val="00872205"/>
    <w:rsid w:val="00872565"/>
    <w:rsid w:val="008734C3"/>
    <w:rsid w:val="00873F3A"/>
    <w:rsid w:val="008765ED"/>
    <w:rsid w:val="00880755"/>
    <w:rsid w:val="0088149D"/>
    <w:rsid w:val="008849A7"/>
    <w:rsid w:val="00886264"/>
    <w:rsid w:val="008901F2"/>
    <w:rsid w:val="0089678B"/>
    <w:rsid w:val="00896ABD"/>
    <w:rsid w:val="008978C4"/>
    <w:rsid w:val="008A011C"/>
    <w:rsid w:val="008A02A9"/>
    <w:rsid w:val="008A0413"/>
    <w:rsid w:val="008A12A6"/>
    <w:rsid w:val="008A2D80"/>
    <w:rsid w:val="008A3429"/>
    <w:rsid w:val="008A34F5"/>
    <w:rsid w:val="008A37A3"/>
    <w:rsid w:val="008A3A89"/>
    <w:rsid w:val="008A3E76"/>
    <w:rsid w:val="008A5401"/>
    <w:rsid w:val="008A5D76"/>
    <w:rsid w:val="008A702D"/>
    <w:rsid w:val="008A78DB"/>
    <w:rsid w:val="008B00B9"/>
    <w:rsid w:val="008B1661"/>
    <w:rsid w:val="008B41DF"/>
    <w:rsid w:val="008B6149"/>
    <w:rsid w:val="008B760E"/>
    <w:rsid w:val="008C391B"/>
    <w:rsid w:val="008C6965"/>
    <w:rsid w:val="008C7D54"/>
    <w:rsid w:val="008D0426"/>
    <w:rsid w:val="008D18D9"/>
    <w:rsid w:val="008D33E6"/>
    <w:rsid w:val="008D3AD6"/>
    <w:rsid w:val="008D59AA"/>
    <w:rsid w:val="008D6B5A"/>
    <w:rsid w:val="008E0CE3"/>
    <w:rsid w:val="008E1651"/>
    <w:rsid w:val="008E1FF0"/>
    <w:rsid w:val="008E276F"/>
    <w:rsid w:val="008E2B02"/>
    <w:rsid w:val="008E300E"/>
    <w:rsid w:val="008E306F"/>
    <w:rsid w:val="008E392B"/>
    <w:rsid w:val="008E3C5C"/>
    <w:rsid w:val="008E40D2"/>
    <w:rsid w:val="008E4332"/>
    <w:rsid w:val="008E4761"/>
    <w:rsid w:val="008F171D"/>
    <w:rsid w:val="008F1AB8"/>
    <w:rsid w:val="008F3680"/>
    <w:rsid w:val="008F43B9"/>
    <w:rsid w:val="008F6B1E"/>
    <w:rsid w:val="008F7281"/>
    <w:rsid w:val="008F79F9"/>
    <w:rsid w:val="0090284F"/>
    <w:rsid w:val="009036D6"/>
    <w:rsid w:val="00905429"/>
    <w:rsid w:val="00905625"/>
    <w:rsid w:val="00906A19"/>
    <w:rsid w:val="009078BE"/>
    <w:rsid w:val="0091235E"/>
    <w:rsid w:val="0091339E"/>
    <w:rsid w:val="00913492"/>
    <w:rsid w:val="00913EB5"/>
    <w:rsid w:val="00914D0A"/>
    <w:rsid w:val="009229BC"/>
    <w:rsid w:val="00924E8E"/>
    <w:rsid w:val="0092621F"/>
    <w:rsid w:val="009267A5"/>
    <w:rsid w:val="009308A0"/>
    <w:rsid w:val="00931CD8"/>
    <w:rsid w:val="00934D4D"/>
    <w:rsid w:val="009355F1"/>
    <w:rsid w:val="009401DC"/>
    <w:rsid w:val="009406E5"/>
    <w:rsid w:val="00941857"/>
    <w:rsid w:val="0094247F"/>
    <w:rsid w:val="00943343"/>
    <w:rsid w:val="00943F86"/>
    <w:rsid w:val="00944B5C"/>
    <w:rsid w:val="00947A79"/>
    <w:rsid w:val="00951A13"/>
    <w:rsid w:val="00953177"/>
    <w:rsid w:val="00953749"/>
    <w:rsid w:val="00954AFD"/>
    <w:rsid w:val="00954DFB"/>
    <w:rsid w:val="00960B67"/>
    <w:rsid w:val="00965026"/>
    <w:rsid w:val="00966937"/>
    <w:rsid w:val="00967143"/>
    <w:rsid w:val="009677C9"/>
    <w:rsid w:val="009703FC"/>
    <w:rsid w:val="00972C12"/>
    <w:rsid w:val="009738A8"/>
    <w:rsid w:val="009746F5"/>
    <w:rsid w:val="00974C20"/>
    <w:rsid w:val="0097620E"/>
    <w:rsid w:val="00980ADF"/>
    <w:rsid w:val="00980C5B"/>
    <w:rsid w:val="00981648"/>
    <w:rsid w:val="00981CC8"/>
    <w:rsid w:val="00982255"/>
    <w:rsid w:val="00984C82"/>
    <w:rsid w:val="00993361"/>
    <w:rsid w:val="00993A43"/>
    <w:rsid w:val="00993F60"/>
    <w:rsid w:val="009947F0"/>
    <w:rsid w:val="00995602"/>
    <w:rsid w:val="0099736F"/>
    <w:rsid w:val="009A0132"/>
    <w:rsid w:val="009A0BDE"/>
    <w:rsid w:val="009A11C8"/>
    <w:rsid w:val="009A1896"/>
    <w:rsid w:val="009A1C2B"/>
    <w:rsid w:val="009A34DF"/>
    <w:rsid w:val="009A4ADA"/>
    <w:rsid w:val="009A58E5"/>
    <w:rsid w:val="009A7314"/>
    <w:rsid w:val="009B069D"/>
    <w:rsid w:val="009B3812"/>
    <w:rsid w:val="009B432B"/>
    <w:rsid w:val="009B685E"/>
    <w:rsid w:val="009B7933"/>
    <w:rsid w:val="009C10B9"/>
    <w:rsid w:val="009C28DE"/>
    <w:rsid w:val="009C316A"/>
    <w:rsid w:val="009C35F8"/>
    <w:rsid w:val="009C54A1"/>
    <w:rsid w:val="009C5CC7"/>
    <w:rsid w:val="009C5F8A"/>
    <w:rsid w:val="009D1AF7"/>
    <w:rsid w:val="009D2008"/>
    <w:rsid w:val="009D3316"/>
    <w:rsid w:val="009D4DA8"/>
    <w:rsid w:val="009D6ACE"/>
    <w:rsid w:val="009D78E7"/>
    <w:rsid w:val="009E18CE"/>
    <w:rsid w:val="009E3D4B"/>
    <w:rsid w:val="009E79AD"/>
    <w:rsid w:val="009E7BFE"/>
    <w:rsid w:val="009F2AAD"/>
    <w:rsid w:val="009F30FD"/>
    <w:rsid w:val="009F330D"/>
    <w:rsid w:val="009F3C97"/>
    <w:rsid w:val="009F6EEC"/>
    <w:rsid w:val="009F6F83"/>
    <w:rsid w:val="009F6FDA"/>
    <w:rsid w:val="00A01A5F"/>
    <w:rsid w:val="00A03A49"/>
    <w:rsid w:val="00A06146"/>
    <w:rsid w:val="00A10088"/>
    <w:rsid w:val="00A10FBA"/>
    <w:rsid w:val="00A11676"/>
    <w:rsid w:val="00A12308"/>
    <w:rsid w:val="00A14A2D"/>
    <w:rsid w:val="00A14DC2"/>
    <w:rsid w:val="00A151FF"/>
    <w:rsid w:val="00A1594C"/>
    <w:rsid w:val="00A15B68"/>
    <w:rsid w:val="00A21AEE"/>
    <w:rsid w:val="00A2552E"/>
    <w:rsid w:val="00A255D4"/>
    <w:rsid w:val="00A270E4"/>
    <w:rsid w:val="00A3205C"/>
    <w:rsid w:val="00A32390"/>
    <w:rsid w:val="00A330E9"/>
    <w:rsid w:val="00A33D82"/>
    <w:rsid w:val="00A35C2D"/>
    <w:rsid w:val="00A406C5"/>
    <w:rsid w:val="00A4307D"/>
    <w:rsid w:val="00A4407F"/>
    <w:rsid w:val="00A44939"/>
    <w:rsid w:val="00A44A04"/>
    <w:rsid w:val="00A4654F"/>
    <w:rsid w:val="00A46790"/>
    <w:rsid w:val="00A47329"/>
    <w:rsid w:val="00A47F3D"/>
    <w:rsid w:val="00A516C8"/>
    <w:rsid w:val="00A518AB"/>
    <w:rsid w:val="00A5219C"/>
    <w:rsid w:val="00A526D0"/>
    <w:rsid w:val="00A52C3B"/>
    <w:rsid w:val="00A54552"/>
    <w:rsid w:val="00A56415"/>
    <w:rsid w:val="00A6039A"/>
    <w:rsid w:val="00A61D31"/>
    <w:rsid w:val="00A62253"/>
    <w:rsid w:val="00A62514"/>
    <w:rsid w:val="00A66B8B"/>
    <w:rsid w:val="00A678C7"/>
    <w:rsid w:val="00A71A61"/>
    <w:rsid w:val="00A71ACE"/>
    <w:rsid w:val="00A72268"/>
    <w:rsid w:val="00A72A81"/>
    <w:rsid w:val="00A73C0D"/>
    <w:rsid w:val="00A748EC"/>
    <w:rsid w:val="00A7547F"/>
    <w:rsid w:val="00A75CDD"/>
    <w:rsid w:val="00A76016"/>
    <w:rsid w:val="00A7722D"/>
    <w:rsid w:val="00A775E4"/>
    <w:rsid w:val="00A805D9"/>
    <w:rsid w:val="00A81474"/>
    <w:rsid w:val="00A8166D"/>
    <w:rsid w:val="00A821A6"/>
    <w:rsid w:val="00A827C4"/>
    <w:rsid w:val="00A8346E"/>
    <w:rsid w:val="00A86305"/>
    <w:rsid w:val="00A87C2A"/>
    <w:rsid w:val="00A913B5"/>
    <w:rsid w:val="00A92231"/>
    <w:rsid w:val="00A94561"/>
    <w:rsid w:val="00A963B1"/>
    <w:rsid w:val="00A971D4"/>
    <w:rsid w:val="00A97EF6"/>
    <w:rsid w:val="00AA413A"/>
    <w:rsid w:val="00AA7BE8"/>
    <w:rsid w:val="00AB7EF3"/>
    <w:rsid w:val="00AC2DE3"/>
    <w:rsid w:val="00AC53B9"/>
    <w:rsid w:val="00AC7FDD"/>
    <w:rsid w:val="00AD125C"/>
    <w:rsid w:val="00AD2671"/>
    <w:rsid w:val="00AD4570"/>
    <w:rsid w:val="00AD5CC4"/>
    <w:rsid w:val="00AD6698"/>
    <w:rsid w:val="00AD674F"/>
    <w:rsid w:val="00AE02EF"/>
    <w:rsid w:val="00AE14C5"/>
    <w:rsid w:val="00AE251A"/>
    <w:rsid w:val="00AE304E"/>
    <w:rsid w:val="00AE6A83"/>
    <w:rsid w:val="00AE725F"/>
    <w:rsid w:val="00AF4E7C"/>
    <w:rsid w:val="00AF58A7"/>
    <w:rsid w:val="00AF79C8"/>
    <w:rsid w:val="00B00A9B"/>
    <w:rsid w:val="00B011CD"/>
    <w:rsid w:val="00B02EA5"/>
    <w:rsid w:val="00B04AF6"/>
    <w:rsid w:val="00B04E46"/>
    <w:rsid w:val="00B06722"/>
    <w:rsid w:val="00B0787B"/>
    <w:rsid w:val="00B10ABD"/>
    <w:rsid w:val="00B12C11"/>
    <w:rsid w:val="00B14743"/>
    <w:rsid w:val="00B150B8"/>
    <w:rsid w:val="00B16A85"/>
    <w:rsid w:val="00B171FE"/>
    <w:rsid w:val="00B20785"/>
    <w:rsid w:val="00B22574"/>
    <w:rsid w:val="00B23833"/>
    <w:rsid w:val="00B23BE1"/>
    <w:rsid w:val="00B2421E"/>
    <w:rsid w:val="00B24671"/>
    <w:rsid w:val="00B255AD"/>
    <w:rsid w:val="00B26625"/>
    <w:rsid w:val="00B30600"/>
    <w:rsid w:val="00B32025"/>
    <w:rsid w:val="00B32F53"/>
    <w:rsid w:val="00B33448"/>
    <w:rsid w:val="00B3378C"/>
    <w:rsid w:val="00B34856"/>
    <w:rsid w:val="00B36720"/>
    <w:rsid w:val="00B3689C"/>
    <w:rsid w:val="00B40F90"/>
    <w:rsid w:val="00B41D78"/>
    <w:rsid w:val="00B45E8E"/>
    <w:rsid w:val="00B468FC"/>
    <w:rsid w:val="00B47249"/>
    <w:rsid w:val="00B47CA1"/>
    <w:rsid w:val="00B51320"/>
    <w:rsid w:val="00B5271A"/>
    <w:rsid w:val="00B54EAA"/>
    <w:rsid w:val="00B57559"/>
    <w:rsid w:val="00B57FD2"/>
    <w:rsid w:val="00B606B7"/>
    <w:rsid w:val="00B631EF"/>
    <w:rsid w:val="00B63344"/>
    <w:rsid w:val="00B672CE"/>
    <w:rsid w:val="00B70656"/>
    <w:rsid w:val="00B70F74"/>
    <w:rsid w:val="00B72490"/>
    <w:rsid w:val="00B72A98"/>
    <w:rsid w:val="00B74054"/>
    <w:rsid w:val="00B7644F"/>
    <w:rsid w:val="00B76920"/>
    <w:rsid w:val="00B77F67"/>
    <w:rsid w:val="00B83176"/>
    <w:rsid w:val="00B836D4"/>
    <w:rsid w:val="00B83F7E"/>
    <w:rsid w:val="00B843D3"/>
    <w:rsid w:val="00B92DCB"/>
    <w:rsid w:val="00B9376C"/>
    <w:rsid w:val="00B94CD1"/>
    <w:rsid w:val="00B96347"/>
    <w:rsid w:val="00B9679A"/>
    <w:rsid w:val="00BA06E8"/>
    <w:rsid w:val="00BA0BD4"/>
    <w:rsid w:val="00BA4421"/>
    <w:rsid w:val="00BA511F"/>
    <w:rsid w:val="00BA52E2"/>
    <w:rsid w:val="00BA7698"/>
    <w:rsid w:val="00BA7E09"/>
    <w:rsid w:val="00BB1772"/>
    <w:rsid w:val="00BB1E9B"/>
    <w:rsid w:val="00BB269F"/>
    <w:rsid w:val="00BB2E86"/>
    <w:rsid w:val="00BB3591"/>
    <w:rsid w:val="00BB3D1B"/>
    <w:rsid w:val="00BB40FE"/>
    <w:rsid w:val="00BB4C11"/>
    <w:rsid w:val="00BB6CA4"/>
    <w:rsid w:val="00BB7A0E"/>
    <w:rsid w:val="00BC0B25"/>
    <w:rsid w:val="00BC0EF3"/>
    <w:rsid w:val="00BC1B89"/>
    <w:rsid w:val="00BC6689"/>
    <w:rsid w:val="00BC716B"/>
    <w:rsid w:val="00BC7307"/>
    <w:rsid w:val="00BD122E"/>
    <w:rsid w:val="00BD28B1"/>
    <w:rsid w:val="00BD2EB3"/>
    <w:rsid w:val="00BD641A"/>
    <w:rsid w:val="00BD64D4"/>
    <w:rsid w:val="00BD7312"/>
    <w:rsid w:val="00BE1861"/>
    <w:rsid w:val="00BE2903"/>
    <w:rsid w:val="00BE35C8"/>
    <w:rsid w:val="00BE366C"/>
    <w:rsid w:val="00BE3B80"/>
    <w:rsid w:val="00BE3FF2"/>
    <w:rsid w:val="00BE40E2"/>
    <w:rsid w:val="00BE457B"/>
    <w:rsid w:val="00BE579B"/>
    <w:rsid w:val="00BE6AF5"/>
    <w:rsid w:val="00BE7153"/>
    <w:rsid w:val="00BE7A62"/>
    <w:rsid w:val="00BE7E0B"/>
    <w:rsid w:val="00BF01BE"/>
    <w:rsid w:val="00BF2609"/>
    <w:rsid w:val="00BF38D3"/>
    <w:rsid w:val="00C005BF"/>
    <w:rsid w:val="00C01839"/>
    <w:rsid w:val="00C029B0"/>
    <w:rsid w:val="00C06E3C"/>
    <w:rsid w:val="00C12181"/>
    <w:rsid w:val="00C148A1"/>
    <w:rsid w:val="00C149E2"/>
    <w:rsid w:val="00C14FA5"/>
    <w:rsid w:val="00C15CFA"/>
    <w:rsid w:val="00C162C3"/>
    <w:rsid w:val="00C21593"/>
    <w:rsid w:val="00C227CD"/>
    <w:rsid w:val="00C22B4C"/>
    <w:rsid w:val="00C23078"/>
    <w:rsid w:val="00C25399"/>
    <w:rsid w:val="00C26557"/>
    <w:rsid w:val="00C26C02"/>
    <w:rsid w:val="00C27167"/>
    <w:rsid w:val="00C27302"/>
    <w:rsid w:val="00C2793F"/>
    <w:rsid w:val="00C27F00"/>
    <w:rsid w:val="00C32A53"/>
    <w:rsid w:val="00C353DD"/>
    <w:rsid w:val="00C3641C"/>
    <w:rsid w:val="00C3694D"/>
    <w:rsid w:val="00C36BC7"/>
    <w:rsid w:val="00C426CD"/>
    <w:rsid w:val="00C42C5C"/>
    <w:rsid w:val="00C43147"/>
    <w:rsid w:val="00C43193"/>
    <w:rsid w:val="00C43532"/>
    <w:rsid w:val="00C45EE3"/>
    <w:rsid w:val="00C469D6"/>
    <w:rsid w:val="00C474A6"/>
    <w:rsid w:val="00C47647"/>
    <w:rsid w:val="00C50031"/>
    <w:rsid w:val="00C5073F"/>
    <w:rsid w:val="00C51D60"/>
    <w:rsid w:val="00C52255"/>
    <w:rsid w:val="00C525B2"/>
    <w:rsid w:val="00C537C4"/>
    <w:rsid w:val="00C54918"/>
    <w:rsid w:val="00C5500D"/>
    <w:rsid w:val="00C57F85"/>
    <w:rsid w:val="00C61ADE"/>
    <w:rsid w:val="00C64D17"/>
    <w:rsid w:val="00C671C5"/>
    <w:rsid w:val="00C67FF4"/>
    <w:rsid w:val="00C700E7"/>
    <w:rsid w:val="00C70DBC"/>
    <w:rsid w:val="00C71F86"/>
    <w:rsid w:val="00C72CD1"/>
    <w:rsid w:val="00C73ED2"/>
    <w:rsid w:val="00C7498B"/>
    <w:rsid w:val="00C74CF3"/>
    <w:rsid w:val="00C75A0B"/>
    <w:rsid w:val="00C760CA"/>
    <w:rsid w:val="00C76142"/>
    <w:rsid w:val="00C773C2"/>
    <w:rsid w:val="00C84EDD"/>
    <w:rsid w:val="00C86366"/>
    <w:rsid w:val="00C87FF5"/>
    <w:rsid w:val="00C90F83"/>
    <w:rsid w:val="00C919F2"/>
    <w:rsid w:val="00C92D49"/>
    <w:rsid w:val="00C9305F"/>
    <w:rsid w:val="00C93281"/>
    <w:rsid w:val="00C935CB"/>
    <w:rsid w:val="00C97A45"/>
    <w:rsid w:val="00CA06DD"/>
    <w:rsid w:val="00CA2E73"/>
    <w:rsid w:val="00CA3468"/>
    <w:rsid w:val="00CA48B9"/>
    <w:rsid w:val="00CA5875"/>
    <w:rsid w:val="00CA72BF"/>
    <w:rsid w:val="00CA794F"/>
    <w:rsid w:val="00CB0755"/>
    <w:rsid w:val="00CB2FBB"/>
    <w:rsid w:val="00CB3AEC"/>
    <w:rsid w:val="00CB4347"/>
    <w:rsid w:val="00CB60AA"/>
    <w:rsid w:val="00CB761B"/>
    <w:rsid w:val="00CC0A99"/>
    <w:rsid w:val="00CC2D6B"/>
    <w:rsid w:val="00CC6E2F"/>
    <w:rsid w:val="00CC7392"/>
    <w:rsid w:val="00CD06ED"/>
    <w:rsid w:val="00CD1684"/>
    <w:rsid w:val="00CD37B2"/>
    <w:rsid w:val="00CD4F96"/>
    <w:rsid w:val="00CD56AF"/>
    <w:rsid w:val="00CD57CB"/>
    <w:rsid w:val="00CD5D6D"/>
    <w:rsid w:val="00CD70D3"/>
    <w:rsid w:val="00CE24DF"/>
    <w:rsid w:val="00CE2A00"/>
    <w:rsid w:val="00CE2EC8"/>
    <w:rsid w:val="00CE3D3D"/>
    <w:rsid w:val="00CE5DBF"/>
    <w:rsid w:val="00CF058C"/>
    <w:rsid w:val="00CF322B"/>
    <w:rsid w:val="00CF3E45"/>
    <w:rsid w:val="00CF45E7"/>
    <w:rsid w:val="00CF5137"/>
    <w:rsid w:val="00CF78C5"/>
    <w:rsid w:val="00D039BF"/>
    <w:rsid w:val="00D046F8"/>
    <w:rsid w:val="00D047AA"/>
    <w:rsid w:val="00D04A68"/>
    <w:rsid w:val="00D069A9"/>
    <w:rsid w:val="00D12864"/>
    <w:rsid w:val="00D128F5"/>
    <w:rsid w:val="00D12E9F"/>
    <w:rsid w:val="00D16BE1"/>
    <w:rsid w:val="00D17713"/>
    <w:rsid w:val="00D20800"/>
    <w:rsid w:val="00D20998"/>
    <w:rsid w:val="00D2193D"/>
    <w:rsid w:val="00D21B43"/>
    <w:rsid w:val="00D22203"/>
    <w:rsid w:val="00D229F2"/>
    <w:rsid w:val="00D251D3"/>
    <w:rsid w:val="00D2548F"/>
    <w:rsid w:val="00D25979"/>
    <w:rsid w:val="00D26D09"/>
    <w:rsid w:val="00D31768"/>
    <w:rsid w:val="00D37FE6"/>
    <w:rsid w:val="00D40B43"/>
    <w:rsid w:val="00D40ED2"/>
    <w:rsid w:val="00D414C3"/>
    <w:rsid w:val="00D416C6"/>
    <w:rsid w:val="00D43540"/>
    <w:rsid w:val="00D43D3D"/>
    <w:rsid w:val="00D440D7"/>
    <w:rsid w:val="00D4564C"/>
    <w:rsid w:val="00D46AAD"/>
    <w:rsid w:val="00D506C2"/>
    <w:rsid w:val="00D50E21"/>
    <w:rsid w:val="00D51933"/>
    <w:rsid w:val="00D52027"/>
    <w:rsid w:val="00D52323"/>
    <w:rsid w:val="00D52B61"/>
    <w:rsid w:val="00D63BDC"/>
    <w:rsid w:val="00D65F94"/>
    <w:rsid w:val="00D70993"/>
    <w:rsid w:val="00D70E4E"/>
    <w:rsid w:val="00D71565"/>
    <w:rsid w:val="00D75F1D"/>
    <w:rsid w:val="00D77D34"/>
    <w:rsid w:val="00D80933"/>
    <w:rsid w:val="00D8503B"/>
    <w:rsid w:val="00D9035C"/>
    <w:rsid w:val="00D90839"/>
    <w:rsid w:val="00D90EFF"/>
    <w:rsid w:val="00D91439"/>
    <w:rsid w:val="00D93568"/>
    <w:rsid w:val="00D94205"/>
    <w:rsid w:val="00D96EEE"/>
    <w:rsid w:val="00D974C7"/>
    <w:rsid w:val="00DA109F"/>
    <w:rsid w:val="00DA4153"/>
    <w:rsid w:val="00DA507A"/>
    <w:rsid w:val="00DA68BA"/>
    <w:rsid w:val="00DB1454"/>
    <w:rsid w:val="00DB20D0"/>
    <w:rsid w:val="00DB2C17"/>
    <w:rsid w:val="00DB2DDA"/>
    <w:rsid w:val="00DB63B7"/>
    <w:rsid w:val="00DB7646"/>
    <w:rsid w:val="00DC0ABC"/>
    <w:rsid w:val="00DC0F5A"/>
    <w:rsid w:val="00DC1B48"/>
    <w:rsid w:val="00DC1CBC"/>
    <w:rsid w:val="00DC27E9"/>
    <w:rsid w:val="00DC65B5"/>
    <w:rsid w:val="00DC6744"/>
    <w:rsid w:val="00DC79D2"/>
    <w:rsid w:val="00DD0108"/>
    <w:rsid w:val="00DD067C"/>
    <w:rsid w:val="00DD07AF"/>
    <w:rsid w:val="00DD140E"/>
    <w:rsid w:val="00DD5B06"/>
    <w:rsid w:val="00DE0EC8"/>
    <w:rsid w:val="00DE139E"/>
    <w:rsid w:val="00DE2951"/>
    <w:rsid w:val="00DE307E"/>
    <w:rsid w:val="00DE35D6"/>
    <w:rsid w:val="00DE4470"/>
    <w:rsid w:val="00DE5248"/>
    <w:rsid w:val="00DE54C8"/>
    <w:rsid w:val="00DE637B"/>
    <w:rsid w:val="00DF254F"/>
    <w:rsid w:val="00DF2E53"/>
    <w:rsid w:val="00DF364C"/>
    <w:rsid w:val="00DF3B34"/>
    <w:rsid w:val="00DF3F06"/>
    <w:rsid w:val="00DF65FB"/>
    <w:rsid w:val="00DF6B3A"/>
    <w:rsid w:val="00DF7F0E"/>
    <w:rsid w:val="00E006EC"/>
    <w:rsid w:val="00E00A9C"/>
    <w:rsid w:val="00E02A05"/>
    <w:rsid w:val="00E0340A"/>
    <w:rsid w:val="00E03710"/>
    <w:rsid w:val="00E04FB5"/>
    <w:rsid w:val="00E054D6"/>
    <w:rsid w:val="00E06009"/>
    <w:rsid w:val="00E06CE4"/>
    <w:rsid w:val="00E07540"/>
    <w:rsid w:val="00E07F07"/>
    <w:rsid w:val="00E124FA"/>
    <w:rsid w:val="00E12D79"/>
    <w:rsid w:val="00E130F1"/>
    <w:rsid w:val="00E1411D"/>
    <w:rsid w:val="00E1557C"/>
    <w:rsid w:val="00E1602F"/>
    <w:rsid w:val="00E17BAF"/>
    <w:rsid w:val="00E17E0C"/>
    <w:rsid w:val="00E2046B"/>
    <w:rsid w:val="00E21F7B"/>
    <w:rsid w:val="00E22752"/>
    <w:rsid w:val="00E23003"/>
    <w:rsid w:val="00E23933"/>
    <w:rsid w:val="00E242CF"/>
    <w:rsid w:val="00E24408"/>
    <w:rsid w:val="00E25461"/>
    <w:rsid w:val="00E254B0"/>
    <w:rsid w:val="00E27E0D"/>
    <w:rsid w:val="00E30C1F"/>
    <w:rsid w:val="00E31337"/>
    <w:rsid w:val="00E31339"/>
    <w:rsid w:val="00E31DD0"/>
    <w:rsid w:val="00E34580"/>
    <w:rsid w:val="00E34608"/>
    <w:rsid w:val="00E34885"/>
    <w:rsid w:val="00E352B3"/>
    <w:rsid w:val="00E35903"/>
    <w:rsid w:val="00E36200"/>
    <w:rsid w:val="00E41712"/>
    <w:rsid w:val="00E4193B"/>
    <w:rsid w:val="00E43729"/>
    <w:rsid w:val="00E44D45"/>
    <w:rsid w:val="00E4592D"/>
    <w:rsid w:val="00E461B1"/>
    <w:rsid w:val="00E50EB9"/>
    <w:rsid w:val="00E52014"/>
    <w:rsid w:val="00E554D8"/>
    <w:rsid w:val="00E55A81"/>
    <w:rsid w:val="00E617F3"/>
    <w:rsid w:val="00E63114"/>
    <w:rsid w:val="00E633CB"/>
    <w:rsid w:val="00E6521A"/>
    <w:rsid w:val="00E670A4"/>
    <w:rsid w:val="00E70318"/>
    <w:rsid w:val="00E73D05"/>
    <w:rsid w:val="00E74A0C"/>
    <w:rsid w:val="00E757EE"/>
    <w:rsid w:val="00E75833"/>
    <w:rsid w:val="00E76A17"/>
    <w:rsid w:val="00E76DC3"/>
    <w:rsid w:val="00E77592"/>
    <w:rsid w:val="00E77F4B"/>
    <w:rsid w:val="00E77F9C"/>
    <w:rsid w:val="00E82669"/>
    <w:rsid w:val="00E84B6A"/>
    <w:rsid w:val="00E87373"/>
    <w:rsid w:val="00E87496"/>
    <w:rsid w:val="00E879F5"/>
    <w:rsid w:val="00E9337F"/>
    <w:rsid w:val="00E935CD"/>
    <w:rsid w:val="00E94250"/>
    <w:rsid w:val="00E95593"/>
    <w:rsid w:val="00E95660"/>
    <w:rsid w:val="00E95C37"/>
    <w:rsid w:val="00E969FF"/>
    <w:rsid w:val="00E97BDB"/>
    <w:rsid w:val="00EA1EE8"/>
    <w:rsid w:val="00EA2138"/>
    <w:rsid w:val="00EA3628"/>
    <w:rsid w:val="00EA37CA"/>
    <w:rsid w:val="00EA3C9E"/>
    <w:rsid w:val="00EA3EEF"/>
    <w:rsid w:val="00EA417C"/>
    <w:rsid w:val="00EA6894"/>
    <w:rsid w:val="00EB02E0"/>
    <w:rsid w:val="00EB102B"/>
    <w:rsid w:val="00EB14C5"/>
    <w:rsid w:val="00EB2048"/>
    <w:rsid w:val="00EB4429"/>
    <w:rsid w:val="00EB5DA5"/>
    <w:rsid w:val="00EB7F8D"/>
    <w:rsid w:val="00EC0BF5"/>
    <w:rsid w:val="00EC3093"/>
    <w:rsid w:val="00EC6215"/>
    <w:rsid w:val="00EC6218"/>
    <w:rsid w:val="00EC7C18"/>
    <w:rsid w:val="00ED080E"/>
    <w:rsid w:val="00ED0884"/>
    <w:rsid w:val="00ED2895"/>
    <w:rsid w:val="00ED28E0"/>
    <w:rsid w:val="00ED2A07"/>
    <w:rsid w:val="00ED37F1"/>
    <w:rsid w:val="00ED5A10"/>
    <w:rsid w:val="00ED7DC9"/>
    <w:rsid w:val="00EE0085"/>
    <w:rsid w:val="00EE2904"/>
    <w:rsid w:val="00EE2E53"/>
    <w:rsid w:val="00EE7156"/>
    <w:rsid w:val="00EF0ECE"/>
    <w:rsid w:val="00EF13AB"/>
    <w:rsid w:val="00EF19A9"/>
    <w:rsid w:val="00EF292D"/>
    <w:rsid w:val="00EF4658"/>
    <w:rsid w:val="00F020FE"/>
    <w:rsid w:val="00F025AD"/>
    <w:rsid w:val="00F032A0"/>
    <w:rsid w:val="00F036C2"/>
    <w:rsid w:val="00F03962"/>
    <w:rsid w:val="00F04E04"/>
    <w:rsid w:val="00F06426"/>
    <w:rsid w:val="00F06960"/>
    <w:rsid w:val="00F10C7A"/>
    <w:rsid w:val="00F114D6"/>
    <w:rsid w:val="00F1579C"/>
    <w:rsid w:val="00F15818"/>
    <w:rsid w:val="00F15E76"/>
    <w:rsid w:val="00F161F2"/>
    <w:rsid w:val="00F1644F"/>
    <w:rsid w:val="00F16FE6"/>
    <w:rsid w:val="00F170A7"/>
    <w:rsid w:val="00F170DC"/>
    <w:rsid w:val="00F173FD"/>
    <w:rsid w:val="00F17CF0"/>
    <w:rsid w:val="00F20281"/>
    <w:rsid w:val="00F209EE"/>
    <w:rsid w:val="00F20A3D"/>
    <w:rsid w:val="00F22EE5"/>
    <w:rsid w:val="00F23986"/>
    <w:rsid w:val="00F250F9"/>
    <w:rsid w:val="00F2574C"/>
    <w:rsid w:val="00F3084B"/>
    <w:rsid w:val="00F31C58"/>
    <w:rsid w:val="00F31E71"/>
    <w:rsid w:val="00F329DE"/>
    <w:rsid w:val="00F33173"/>
    <w:rsid w:val="00F331DF"/>
    <w:rsid w:val="00F3366F"/>
    <w:rsid w:val="00F339F0"/>
    <w:rsid w:val="00F34CB6"/>
    <w:rsid w:val="00F359B4"/>
    <w:rsid w:val="00F3689D"/>
    <w:rsid w:val="00F37B8C"/>
    <w:rsid w:val="00F408C8"/>
    <w:rsid w:val="00F40999"/>
    <w:rsid w:val="00F412F7"/>
    <w:rsid w:val="00F418B3"/>
    <w:rsid w:val="00F41F92"/>
    <w:rsid w:val="00F420DF"/>
    <w:rsid w:val="00F42674"/>
    <w:rsid w:val="00F44499"/>
    <w:rsid w:val="00F44860"/>
    <w:rsid w:val="00F468F8"/>
    <w:rsid w:val="00F506B6"/>
    <w:rsid w:val="00F50A10"/>
    <w:rsid w:val="00F525E6"/>
    <w:rsid w:val="00F54DAA"/>
    <w:rsid w:val="00F54E5F"/>
    <w:rsid w:val="00F55CBC"/>
    <w:rsid w:val="00F56FE8"/>
    <w:rsid w:val="00F57EBF"/>
    <w:rsid w:val="00F60268"/>
    <w:rsid w:val="00F62758"/>
    <w:rsid w:val="00F62DD5"/>
    <w:rsid w:val="00F71ADA"/>
    <w:rsid w:val="00F75694"/>
    <w:rsid w:val="00F7615D"/>
    <w:rsid w:val="00F76257"/>
    <w:rsid w:val="00F7637B"/>
    <w:rsid w:val="00F81CD3"/>
    <w:rsid w:val="00F82B28"/>
    <w:rsid w:val="00F84E73"/>
    <w:rsid w:val="00F858C6"/>
    <w:rsid w:val="00F85957"/>
    <w:rsid w:val="00F863AB"/>
    <w:rsid w:val="00F87DE2"/>
    <w:rsid w:val="00F91BEF"/>
    <w:rsid w:val="00F91F90"/>
    <w:rsid w:val="00F921DB"/>
    <w:rsid w:val="00F922F5"/>
    <w:rsid w:val="00F927A1"/>
    <w:rsid w:val="00F931D3"/>
    <w:rsid w:val="00F96572"/>
    <w:rsid w:val="00F976E1"/>
    <w:rsid w:val="00F97C72"/>
    <w:rsid w:val="00F97FF3"/>
    <w:rsid w:val="00FA1EE5"/>
    <w:rsid w:val="00FA2486"/>
    <w:rsid w:val="00FA3335"/>
    <w:rsid w:val="00FA401E"/>
    <w:rsid w:val="00FA4B57"/>
    <w:rsid w:val="00FA5429"/>
    <w:rsid w:val="00FA5E15"/>
    <w:rsid w:val="00FA792E"/>
    <w:rsid w:val="00FB1A11"/>
    <w:rsid w:val="00FB1DE3"/>
    <w:rsid w:val="00FB3AF8"/>
    <w:rsid w:val="00FB421E"/>
    <w:rsid w:val="00FB47F0"/>
    <w:rsid w:val="00FB4FA3"/>
    <w:rsid w:val="00FB5A67"/>
    <w:rsid w:val="00FB68BD"/>
    <w:rsid w:val="00FC12E2"/>
    <w:rsid w:val="00FC1D6B"/>
    <w:rsid w:val="00FC38DF"/>
    <w:rsid w:val="00FC4FCE"/>
    <w:rsid w:val="00FC6FF6"/>
    <w:rsid w:val="00FD05CB"/>
    <w:rsid w:val="00FD1991"/>
    <w:rsid w:val="00FD5714"/>
    <w:rsid w:val="00FD581D"/>
    <w:rsid w:val="00FD6221"/>
    <w:rsid w:val="00FD66E3"/>
    <w:rsid w:val="00FD7142"/>
    <w:rsid w:val="00FD7C2D"/>
    <w:rsid w:val="00FE07FC"/>
    <w:rsid w:val="00FE0E00"/>
    <w:rsid w:val="00FE1114"/>
    <w:rsid w:val="00FE18D2"/>
    <w:rsid w:val="00FE1B28"/>
    <w:rsid w:val="00FE4713"/>
    <w:rsid w:val="00FE5C40"/>
    <w:rsid w:val="00FE5C4D"/>
    <w:rsid w:val="00FF116E"/>
    <w:rsid w:val="00FF2FFD"/>
    <w:rsid w:val="00FF3D25"/>
    <w:rsid w:val="00FF4DEE"/>
    <w:rsid w:val="00FF6601"/>
  </w:rsids>
  <m:mathPr>
    <m:mathFont m:val="Cambria Math"/>
    <m:brkBin m:val="before"/>
    <m:brkBinSub m:val="--"/>
    <m:smallFrac m:val="off"/>
    <m:dispDef m:val="off"/>
    <m:lMargin m:val="0"/>
    <m:rMargin m:val="0"/>
    <m:defJc m:val="centerGroup"/>
    <m:wrapRight/>
    <m:intLim m:val="subSup"/>
    <m:naryLim m:val="subSup"/>
  </m:mathPr>
  <w:themeFontLang w:val="en-AU"/>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33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Arial" w:eastAsiaTheme="minorEastAsia" w:hAnsi="Arial" w:cs="Arial"/>
        <w:color w:val="000000"/>
        <w:sz w:val="22"/>
        <w:szCs w:val="22"/>
        <w:lang w:val="en-US" w:eastAsia="ja-JP" w:bidi="ar-SA"/>
      </w:rPr>
    </w:rPrDefault>
    <w:pPrDefault>
      <w:pPr>
        <w:spacing w:after="200"/>
      </w:pPr>
    </w:pPrDefault>
  </w:docDefaults>
  <w:latentStyles w:defLockedState="0" w:defUIPriority="99" w:defSemiHidden="1" w:defUnhideWhenUsed="1" w:defQFormat="0" w:count="267">
    <w:lsdException w:name="Normal" w:semiHidden="0" w:uiPriority="0" w:unhideWhenUsed="0"/>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10" w:unhideWhenUsed="0"/>
    <w:lsdException w:name="Default Paragraph Font" w:uiPriority="1"/>
    <w:lsdException w:name="Subtitle" w:semiHidden="0" w:uiPriority="11" w:unhideWhenUsed="0"/>
    <w:lsdException w:name="Strong" w:semiHidden="0" w:uiPriority="22" w:unhideWhenUsed="0"/>
    <w:lsdException w:name="Emphasis" w:semiHidden="0" w:uiPriority="20" w:unhideWhenUsed="0"/>
    <w:lsdException w:name="Table Grid" w:semiHidden="0" w:uiPriority="59"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lsdException w:name="Quote" w:semiHidden="0" w:uiPriority="29" w:unhideWhenUsed="0" w:qFormat="1"/>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latentStyles>
  <w:style w:type="paragraph" w:default="1" w:styleId="Normal">
    <w:name w:val="Normal"/>
    <w:rsid w:val="001C3374"/>
    <w:pPr>
      <w:widowControl w:val="0"/>
      <w:suppressAutoHyphens/>
      <w:autoSpaceDE w:val="0"/>
      <w:autoSpaceDN w:val="0"/>
      <w:adjustRightInd w:val="0"/>
      <w:spacing w:after="113" w:line="280" w:lineRule="atLeast"/>
      <w:textAlignment w:val="center"/>
    </w:pPr>
  </w:style>
  <w:style w:type="paragraph" w:styleId="Heading1">
    <w:name w:val="heading 1"/>
    <w:basedOn w:val="H1"/>
    <w:next w:val="Normal"/>
    <w:link w:val="Heading1Char"/>
    <w:uiPriority w:val="9"/>
    <w:qFormat/>
    <w:rsid w:val="005F6513"/>
    <w:pPr>
      <w:numPr>
        <w:numId w:val="39"/>
      </w:numPr>
      <w:ind w:left="567" w:hanging="567"/>
      <w:outlineLvl w:val="0"/>
    </w:pPr>
    <w:rPr>
      <w:rFonts w:ascii="Arial" w:hAnsi="Arial" w:cs="Arial"/>
      <w:color w:val="1F497D" w:themeColor="text2"/>
    </w:rPr>
  </w:style>
  <w:style w:type="paragraph" w:styleId="Heading2">
    <w:name w:val="heading 2"/>
    <w:basedOn w:val="BRHeading2"/>
    <w:next w:val="Normal"/>
    <w:link w:val="Heading2Char"/>
    <w:uiPriority w:val="9"/>
    <w:unhideWhenUsed/>
    <w:qFormat/>
    <w:rsid w:val="005F6513"/>
    <w:pPr>
      <w:numPr>
        <w:ilvl w:val="1"/>
      </w:numPr>
      <w:outlineLvl w:val="1"/>
    </w:pPr>
    <w:rPr>
      <w:i w:val="0"/>
    </w:rPr>
  </w:style>
  <w:style w:type="paragraph" w:styleId="Heading3">
    <w:name w:val="heading 3"/>
    <w:basedOn w:val="H3"/>
    <w:next w:val="Normal"/>
    <w:link w:val="Heading3Char"/>
    <w:uiPriority w:val="9"/>
    <w:unhideWhenUsed/>
    <w:qFormat/>
    <w:rsid w:val="005F6513"/>
    <w:pPr>
      <w:numPr>
        <w:ilvl w:val="2"/>
        <w:numId w:val="39"/>
      </w:numPr>
      <w:outlineLvl w:val="2"/>
    </w:pPr>
    <w:rPr>
      <w:rFonts w:ascii="Arial" w:hAnsi="Arial" w:cs="Arial"/>
      <w:i/>
      <w:color w:val="1F497D" w:themeColor="text2"/>
      <w:sz w:val="26"/>
      <w:szCs w:val="26"/>
      <w:lang w:val="en-GB"/>
    </w:rPr>
  </w:style>
  <w:style w:type="paragraph" w:styleId="Heading4">
    <w:name w:val="heading 4"/>
    <w:basedOn w:val="Normal"/>
    <w:next w:val="Normal"/>
    <w:link w:val="Heading4Char"/>
    <w:uiPriority w:val="9"/>
    <w:unhideWhenUsed/>
    <w:qFormat/>
    <w:rsid w:val="00BE7A62"/>
    <w:pPr>
      <w:keepNext/>
      <w:keepLines/>
      <w:numPr>
        <w:ilvl w:val="3"/>
        <w:numId w:val="39"/>
      </w:numPr>
      <w:spacing w:before="200" w:after="0"/>
      <w:outlineLvl w:val="3"/>
    </w:pPr>
    <w:rPr>
      <w:rFonts w:eastAsiaTheme="majorEastAsia"/>
      <w:b/>
      <w:bCs/>
      <w:iCs/>
      <w:color w:val="1F497D" w:themeColor="text2"/>
    </w:rPr>
  </w:style>
  <w:style w:type="paragraph" w:styleId="Heading5">
    <w:name w:val="heading 5"/>
    <w:basedOn w:val="Normal"/>
    <w:next w:val="Normal"/>
    <w:link w:val="Heading5Char"/>
    <w:uiPriority w:val="9"/>
    <w:unhideWhenUsed/>
    <w:qFormat/>
    <w:rsid w:val="00BE7A62"/>
    <w:pPr>
      <w:keepNext/>
      <w:keepLines/>
      <w:spacing w:before="200" w:after="0"/>
      <w:ind w:left="1008" w:hanging="1008"/>
      <w:outlineLvl w:val="4"/>
    </w:pPr>
    <w:rPr>
      <w:rFonts w:eastAsiaTheme="majorEastAsia"/>
      <w:b/>
      <w:color w:val="1F497D" w:themeColor="text2"/>
      <w:u w:val="single"/>
    </w:rPr>
  </w:style>
  <w:style w:type="paragraph" w:styleId="Heading6">
    <w:name w:val="heading 6"/>
    <w:basedOn w:val="Normal"/>
    <w:next w:val="Normal"/>
    <w:link w:val="Heading6Char"/>
    <w:uiPriority w:val="9"/>
    <w:semiHidden/>
    <w:unhideWhenUsed/>
    <w:qFormat/>
    <w:rsid w:val="003031AC"/>
    <w:pPr>
      <w:keepNext/>
      <w:keepLines/>
      <w:numPr>
        <w:ilvl w:val="5"/>
        <w:numId w:val="39"/>
      </w:numPr>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3031AC"/>
    <w:pPr>
      <w:keepNext/>
      <w:keepLines/>
      <w:numPr>
        <w:ilvl w:val="6"/>
        <w:numId w:val="39"/>
      </w:numPr>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3031AC"/>
    <w:pPr>
      <w:keepNext/>
      <w:keepLines/>
      <w:numPr>
        <w:ilvl w:val="7"/>
        <w:numId w:val="39"/>
      </w:numPr>
      <w:spacing w:before="200" w:after="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3031AC"/>
    <w:pPr>
      <w:keepNext/>
      <w:keepLines/>
      <w:numPr>
        <w:ilvl w:val="8"/>
        <w:numId w:val="39"/>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F6513"/>
    <w:rPr>
      <w:b/>
      <w:bCs/>
      <w:color w:val="1F497D" w:themeColor="text2"/>
      <w:sz w:val="48"/>
      <w:szCs w:val="48"/>
    </w:rPr>
  </w:style>
  <w:style w:type="paragraph" w:customStyle="1" w:styleId="Head1Headingstyles">
    <w:name w:val="Head_1 (Heading styles)"/>
    <w:basedOn w:val="Normal"/>
    <w:uiPriority w:val="99"/>
    <w:rsid w:val="00DA4153"/>
    <w:pPr>
      <w:spacing w:after="567" w:line="660" w:lineRule="atLeast"/>
    </w:pPr>
    <w:rPr>
      <w:rFonts w:ascii="Calibri-Bold" w:hAnsi="Calibri-Bold" w:cs="Calibri-Bold"/>
      <w:b/>
      <w:bCs/>
      <w:color w:val="32D1FF"/>
      <w:sz w:val="48"/>
      <w:szCs w:val="48"/>
    </w:rPr>
  </w:style>
  <w:style w:type="paragraph" w:customStyle="1" w:styleId="Head2Headingstyles">
    <w:name w:val="Head_2 (Heading styles)"/>
    <w:basedOn w:val="Normal"/>
    <w:uiPriority w:val="99"/>
    <w:rsid w:val="00DA4153"/>
    <w:pPr>
      <w:spacing w:before="227" w:line="288" w:lineRule="auto"/>
    </w:pPr>
    <w:rPr>
      <w:rFonts w:ascii="Calibri-Bold" w:hAnsi="Calibri-Bold" w:cs="Calibri-Bold"/>
      <w:b/>
      <w:bCs/>
      <w:color w:val="32D1FF"/>
      <w:sz w:val="30"/>
      <w:szCs w:val="30"/>
    </w:rPr>
  </w:style>
  <w:style w:type="paragraph" w:customStyle="1" w:styleId="BodyTextstyles">
    <w:name w:val="Body (Text styles)"/>
    <w:basedOn w:val="Normal"/>
    <w:uiPriority w:val="99"/>
    <w:rsid w:val="00DA4153"/>
    <w:rPr>
      <w:rFonts w:ascii="Calibri" w:hAnsi="Calibri" w:cs="Calibri"/>
      <w:sz w:val="18"/>
      <w:szCs w:val="18"/>
    </w:rPr>
  </w:style>
  <w:style w:type="paragraph" w:customStyle="1" w:styleId="Head3Headingstyles">
    <w:name w:val="Head_3 (Heading styles)"/>
    <w:basedOn w:val="Normal"/>
    <w:uiPriority w:val="99"/>
    <w:rsid w:val="00DA4153"/>
    <w:pPr>
      <w:spacing w:before="170" w:after="57" w:line="288" w:lineRule="auto"/>
    </w:pPr>
    <w:rPr>
      <w:rFonts w:ascii="Calibri-Bold" w:hAnsi="Calibri-Bold" w:cs="Calibri-Bold"/>
      <w:b/>
      <w:bCs/>
      <w:color w:val="32D1FF"/>
    </w:rPr>
  </w:style>
  <w:style w:type="paragraph" w:customStyle="1" w:styleId="BulletTextstyles">
    <w:name w:val="Bullet (Text styles)"/>
    <w:basedOn w:val="Normal"/>
    <w:uiPriority w:val="99"/>
    <w:rsid w:val="00DA4153"/>
    <w:pPr>
      <w:ind w:left="560" w:hanging="280"/>
    </w:pPr>
    <w:rPr>
      <w:rFonts w:ascii="Calibri" w:hAnsi="Calibri" w:cs="Calibri"/>
      <w:sz w:val="18"/>
      <w:szCs w:val="18"/>
    </w:rPr>
  </w:style>
  <w:style w:type="paragraph" w:customStyle="1" w:styleId="BasicParagraph">
    <w:name w:val="[Basic Paragraph]"/>
    <w:basedOn w:val="Normal"/>
    <w:uiPriority w:val="99"/>
    <w:rsid w:val="00DA4153"/>
    <w:pPr>
      <w:spacing w:after="0" w:line="288" w:lineRule="auto"/>
    </w:pPr>
    <w:rPr>
      <w:rFonts w:ascii="MinionPro-Regular" w:hAnsi="MinionPro-Regular" w:cs="MinionPro-Regular"/>
    </w:rPr>
  </w:style>
  <w:style w:type="paragraph" w:styleId="Header">
    <w:name w:val="header"/>
    <w:basedOn w:val="Normal"/>
    <w:link w:val="HeaderChar"/>
    <w:unhideWhenUsed/>
    <w:rsid w:val="00BB2E86"/>
    <w:pPr>
      <w:tabs>
        <w:tab w:val="center" w:pos="4320"/>
        <w:tab w:val="right" w:pos="8640"/>
      </w:tabs>
      <w:spacing w:after="0"/>
    </w:pPr>
  </w:style>
  <w:style w:type="paragraph" w:customStyle="1" w:styleId="H1">
    <w:name w:val="H1"/>
    <w:basedOn w:val="Head1Headingstyles"/>
    <w:qFormat/>
    <w:rsid w:val="007E5895"/>
    <w:rPr>
      <w:color w:val="00AEEF"/>
    </w:rPr>
  </w:style>
  <w:style w:type="paragraph" w:customStyle="1" w:styleId="H2">
    <w:name w:val="H2"/>
    <w:basedOn w:val="Head2Headingstyles"/>
    <w:rsid w:val="007E5895"/>
    <w:rPr>
      <w:color w:val="00AEEF"/>
    </w:rPr>
  </w:style>
  <w:style w:type="paragraph" w:customStyle="1" w:styleId="H3">
    <w:name w:val="H3"/>
    <w:basedOn w:val="Head3Headingstyles"/>
    <w:rsid w:val="005F1698"/>
    <w:rPr>
      <w:color w:val="486886"/>
    </w:rPr>
  </w:style>
  <w:style w:type="paragraph" w:customStyle="1" w:styleId="Body">
    <w:name w:val="Body"/>
    <w:basedOn w:val="BodyTextstyles"/>
    <w:link w:val="BodyChar"/>
    <w:qFormat/>
    <w:rsid w:val="00DA4153"/>
  </w:style>
  <w:style w:type="paragraph" w:customStyle="1" w:styleId="Bullet">
    <w:name w:val="Bullet"/>
    <w:basedOn w:val="BulletTextstyles"/>
    <w:rsid w:val="00DA4153"/>
  </w:style>
  <w:style w:type="character" w:customStyle="1" w:styleId="HeaderChar">
    <w:name w:val="Header Char"/>
    <w:basedOn w:val="DefaultParagraphFont"/>
    <w:link w:val="Header"/>
    <w:rsid w:val="00BB2E86"/>
  </w:style>
  <w:style w:type="paragraph" w:styleId="Footer">
    <w:name w:val="footer"/>
    <w:aliases w:val="Footer1"/>
    <w:basedOn w:val="Normal"/>
    <w:link w:val="FooterChar"/>
    <w:uiPriority w:val="99"/>
    <w:unhideWhenUsed/>
    <w:rsid w:val="00BB2E86"/>
    <w:pPr>
      <w:tabs>
        <w:tab w:val="center" w:pos="4320"/>
        <w:tab w:val="right" w:pos="8640"/>
      </w:tabs>
      <w:spacing w:after="0"/>
    </w:pPr>
  </w:style>
  <w:style w:type="character" w:customStyle="1" w:styleId="FooterChar">
    <w:name w:val="Footer Char"/>
    <w:aliases w:val="Footer1 Char"/>
    <w:basedOn w:val="DefaultParagraphFont"/>
    <w:link w:val="Footer"/>
    <w:uiPriority w:val="99"/>
    <w:rsid w:val="00BB2E86"/>
  </w:style>
  <w:style w:type="paragraph" w:styleId="BalloonText">
    <w:name w:val="Balloon Text"/>
    <w:basedOn w:val="Normal"/>
    <w:link w:val="BalloonTextChar"/>
    <w:uiPriority w:val="99"/>
    <w:semiHidden/>
    <w:unhideWhenUsed/>
    <w:rsid w:val="008A2D80"/>
    <w:pPr>
      <w:spacing w:after="0"/>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8A2D80"/>
    <w:rPr>
      <w:rFonts w:ascii="Lucida Grande" w:hAnsi="Lucida Grande" w:cs="Lucida Grande"/>
      <w:sz w:val="18"/>
      <w:szCs w:val="18"/>
    </w:rPr>
  </w:style>
  <w:style w:type="character" w:styleId="PageNumber">
    <w:name w:val="page number"/>
    <w:basedOn w:val="DefaultParagraphFont"/>
    <w:uiPriority w:val="99"/>
    <w:semiHidden/>
    <w:unhideWhenUsed/>
    <w:rsid w:val="008031B5"/>
  </w:style>
  <w:style w:type="paragraph" w:customStyle="1" w:styleId="ImagecaptionTextstyles">
    <w:name w:val="Image caption (Text styles)"/>
    <w:basedOn w:val="Normal"/>
    <w:uiPriority w:val="99"/>
    <w:rsid w:val="00A3205C"/>
    <w:pPr>
      <w:pBdr>
        <w:top w:val="single" w:sz="4" w:space="8" w:color="auto"/>
      </w:pBdr>
      <w:spacing w:after="0" w:line="240" w:lineRule="atLeast"/>
    </w:pPr>
    <w:rPr>
      <w:rFonts w:ascii="Calibri-BoldItalic" w:hAnsi="Calibri-BoldItalic" w:cs="Calibri-BoldItalic"/>
      <w:b/>
      <w:bCs/>
      <w:i/>
      <w:iCs/>
      <w:sz w:val="14"/>
      <w:szCs w:val="14"/>
    </w:rPr>
  </w:style>
  <w:style w:type="paragraph" w:customStyle="1" w:styleId="Imagecaption">
    <w:name w:val="Image caption"/>
    <w:basedOn w:val="Body"/>
    <w:rsid w:val="000558B2"/>
    <w:pPr>
      <w:pBdr>
        <w:top w:val="single" w:sz="4" w:space="1" w:color="auto"/>
      </w:pBdr>
    </w:pPr>
    <w:rPr>
      <w:rFonts w:ascii="Arial" w:hAnsi="Arial" w:cs="Arial"/>
      <w:sz w:val="20"/>
      <w:szCs w:val="20"/>
    </w:rPr>
  </w:style>
  <w:style w:type="paragraph" w:styleId="TOCHeading">
    <w:name w:val="TOC Heading"/>
    <w:basedOn w:val="Heading1"/>
    <w:next w:val="Normal"/>
    <w:link w:val="TOCHeadingChar"/>
    <w:uiPriority w:val="39"/>
    <w:unhideWhenUsed/>
    <w:rsid w:val="0010123B"/>
    <w:pPr>
      <w:spacing w:line="276" w:lineRule="auto"/>
      <w:outlineLvl w:val="9"/>
    </w:pPr>
    <w:rPr>
      <w:color w:val="365F91" w:themeColor="accent1" w:themeShade="BF"/>
      <w:sz w:val="28"/>
      <w:szCs w:val="28"/>
      <w:lang w:eastAsia="en-US"/>
    </w:rPr>
  </w:style>
  <w:style w:type="character" w:customStyle="1" w:styleId="Heading2Char">
    <w:name w:val="Heading 2 Char"/>
    <w:basedOn w:val="DefaultParagraphFont"/>
    <w:link w:val="Heading2"/>
    <w:uiPriority w:val="9"/>
    <w:rsid w:val="005F6513"/>
    <w:rPr>
      <w:b/>
      <w:bCs/>
      <w:color w:val="1F497D" w:themeColor="text2"/>
      <w:sz w:val="30"/>
      <w:szCs w:val="26"/>
    </w:rPr>
  </w:style>
  <w:style w:type="character" w:customStyle="1" w:styleId="Heading3Char">
    <w:name w:val="Heading 3 Char"/>
    <w:basedOn w:val="DefaultParagraphFont"/>
    <w:link w:val="Heading3"/>
    <w:uiPriority w:val="9"/>
    <w:rsid w:val="005F6513"/>
    <w:rPr>
      <w:b/>
      <w:bCs/>
      <w:i/>
      <w:color w:val="1F497D" w:themeColor="text2"/>
      <w:sz w:val="26"/>
      <w:szCs w:val="26"/>
      <w:lang w:val="en-GB"/>
    </w:rPr>
  </w:style>
  <w:style w:type="paragraph" w:styleId="TOC1">
    <w:name w:val="toc 1"/>
    <w:basedOn w:val="Normal"/>
    <w:next w:val="Normal"/>
    <w:autoRedefine/>
    <w:uiPriority w:val="39"/>
    <w:unhideWhenUsed/>
    <w:rsid w:val="002F446A"/>
    <w:pPr>
      <w:spacing w:after="100"/>
    </w:pPr>
    <w:rPr>
      <w:sz w:val="20"/>
    </w:rPr>
  </w:style>
  <w:style w:type="paragraph" w:styleId="TOC2">
    <w:name w:val="toc 2"/>
    <w:basedOn w:val="Normal"/>
    <w:next w:val="Normal"/>
    <w:autoRedefine/>
    <w:uiPriority w:val="39"/>
    <w:unhideWhenUsed/>
    <w:rsid w:val="002F446A"/>
    <w:pPr>
      <w:spacing w:after="100"/>
      <w:ind w:left="240"/>
    </w:pPr>
    <w:rPr>
      <w:sz w:val="20"/>
    </w:rPr>
  </w:style>
  <w:style w:type="paragraph" w:styleId="TOC3">
    <w:name w:val="toc 3"/>
    <w:basedOn w:val="Normal"/>
    <w:next w:val="Normal"/>
    <w:autoRedefine/>
    <w:uiPriority w:val="39"/>
    <w:unhideWhenUsed/>
    <w:rsid w:val="002F446A"/>
    <w:pPr>
      <w:spacing w:after="100"/>
      <w:ind w:left="480"/>
    </w:pPr>
    <w:rPr>
      <w:sz w:val="20"/>
    </w:rPr>
  </w:style>
  <w:style w:type="character" w:styleId="Hyperlink">
    <w:name w:val="Hyperlink"/>
    <w:basedOn w:val="DefaultParagraphFont"/>
    <w:uiPriority w:val="99"/>
    <w:unhideWhenUsed/>
    <w:rsid w:val="0010123B"/>
    <w:rPr>
      <w:color w:val="0000FF" w:themeColor="hyperlink"/>
      <w:u w:val="single"/>
    </w:rPr>
  </w:style>
  <w:style w:type="paragraph" w:styleId="DocumentMap">
    <w:name w:val="Document Map"/>
    <w:basedOn w:val="Normal"/>
    <w:link w:val="DocumentMapChar"/>
    <w:uiPriority w:val="99"/>
    <w:semiHidden/>
    <w:unhideWhenUsed/>
    <w:rsid w:val="004D7683"/>
    <w:pPr>
      <w:spacing w:after="0"/>
    </w:pPr>
    <w:rPr>
      <w:rFonts w:ascii="Tahoma" w:hAnsi="Tahoma" w:cs="Tahoma"/>
      <w:sz w:val="16"/>
      <w:szCs w:val="16"/>
    </w:rPr>
  </w:style>
  <w:style w:type="character" w:customStyle="1" w:styleId="DocumentMapChar">
    <w:name w:val="Document Map Char"/>
    <w:basedOn w:val="DefaultParagraphFont"/>
    <w:link w:val="DocumentMap"/>
    <w:uiPriority w:val="99"/>
    <w:semiHidden/>
    <w:rsid w:val="004D7683"/>
    <w:rPr>
      <w:rFonts w:ascii="Tahoma" w:hAnsi="Tahoma" w:cs="Tahoma"/>
      <w:sz w:val="16"/>
      <w:szCs w:val="16"/>
    </w:rPr>
  </w:style>
  <w:style w:type="character" w:styleId="PlaceholderText">
    <w:name w:val="Placeholder Text"/>
    <w:basedOn w:val="DefaultParagraphFont"/>
    <w:uiPriority w:val="99"/>
    <w:semiHidden/>
    <w:rsid w:val="008B760E"/>
    <w:rPr>
      <w:color w:val="808080"/>
    </w:rPr>
  </w:style>
  <w:style w:type="paragraph" w:styleId="Caption">
    <w:name w:val="caption"/>
    <w:aliases w:val="Figure Caption"/>
    <w:basedOn w:val="Normal"/>
    <w:next w:val="Normal"/>
    <w:link w:val="CaptionChar"/>
    <w:uiPriority w:val="35"/>
    <w:unhideWhenUsed/>
    <w:qFormat/>
    <w:rsid w:val="000558B2"/>
    <w:rPr>
      <w:bCs/>
      <w:noProof/>
      <w:color w:val="auto"/>
      <w:sz w:val="20"/>
      <w:szCs w:val="20"/>
      <w:lang w:val="en-AU" w:eastAsia="en-AU"/>
    </w:rPr>
  </w:style>
  <w:style w:type="paragraph" w:customStyle="1" w:styleId="DecimalAligned">
    <w:name w:val="Decimal Aligned"/>
    <w:basedOn w:val="Normal"/>
    <w:uiPriority w:val="40"/>
    <w:rsid w:val="00F23986"/>
    <w:pPr>
      <w:tabs>
        <w:tab w:val="decimal" w:pos="360"/>
      </w:tabs>
      <w:spacing w:line="276" w:lineRule="auto"/>
    </w:pPr>
    <w:rPr>
      <w:lang w:eastAsia="en-US"/>
    </w:rPr>
  </w:style>
  <w:style w:type="paragraph" w:styleId="FootnoteText">
    <w:name w:val="footnote text"/>
    <w:basedOn w:val="Normal"/>
    <w:link w:val="FootnoteTextChar"/>
    <w:uiPriority w:val="99"/>
    <w:unhideWhenUsed/>
    <w:rsid w:val="00F23986"/>
    <w:pPr>
      <w:spacing w:after="0"/>
    </w:pPr>
    <w:rPr>
      <w:sz w:val="20"/>
      <w:szCs w:val="20"/>
      <w:lang w:eastAsia="en-US"/>
    </w:rPr>
  </w:style>
  <w:style w:type="character" w:customStyle="1" w:styleId="FootnoteTextChar">
    <w:name w:val="Footnote Text Char"/>
    <w:basedOn w:val="DefaultParagraphFont"/>
    <w:link w:val="FootnoteText"/>
    <w:uiPriority w:val="99"/>
    <w:rsid w:val="00F23986"/>
    <w:rPr>
      <w:sz w:val="20"/>
      <w:szCs w:val="20"/>
      <w:lang w:eastAsia="en-US"/>
    </w:rPr>
  </w:style>
  <w:style w:type="character" w:styleId="SubtleEmphasis">
    <w:name w:val="Subtle Emphasis"/>
    <w:basedOn w:val="DefaultParagraphFont"/>
    <w:uiPriority w:val="19"/>
    <w:rsid w:val="00F23986"/>
    <w:rPr>
      <w:rFonts w:eastAsiaTheme="minorEastAsia" w:cstheme="minorBidi"/>
      <w:bCs w:val="0"/>
      <w:i/>
      <w:iCs/>
      <w:color w:val="808080" w:themeColor="text1" w:themeTint="7F"/>
      <w:szCs w:val="22"/>
      <w:lang w:val="en-US"/>
    </w:rPr>
  </w:style>
  <w:style w:type="table" w:customStyle="1" w:styleId="LightShading-Accent11">
    <w:name w:val="Light Shading - Accent 11"/>
    <w:basedOn w:val="TableNormal"/>
    <w:uiPriority w:val="60"/>
    <w:rsid w:val="00F23986"/>
    <w:pPr>
      <w:spacing w:after="0"/>
    </w:pPr>
    <w:rPr>
      <w:color w:val="365F91" w:themeColor="accent1" w:themeShade="BF"/>
      <w:lang w:eastAsia="en-US" w:bidi="en-US"/>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TableGrid">
    <w:name w:val="Table Grid"/>
    <w:basedOn w:val="TableNormal"/>
    <w:uiPriority w:val="59"/>
    <w:rsid w:val="00594564"/>
    <w:pPr>
      <w:spacing w:after="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4Char">
    <w:name w:val="Heading 4 Char"/>
    <w:basedOn w:val="DefaultParagraphFont"/>
    <w:link w:val="Heading4"/>
    <w:uiPriority w:val="9"/>
    <w:rsid w:val="00BE7A62"/>
    <w:rPr>
      <w:rFonts w:eastAsiaTheme="majorEastAsia"/>
      <w:b/>
      <w:bCs/>
      <w:iCs/>
      <w:color w:val="1F497D" w:themeColor="text2"/>
    </w:rPr>
  </w:style>
  <w:style w:type="character" w:styleId="CommentReference">
    <w:name w:val="annotation reference"/>
    <w:basedOn w:val="DefaultParagraphFont"/>
    <w:uiPriority w:val="99"/>
    <w:semiHidden/>
    <w:unhideWhenUsed/>
    <w:rsid w:val="005F44C0"/>
    <w:rPr>
      <w:sz w:val="18"/>
      <w:szCs w:val="18"/>
    </w:rPr>
  </w:style>
  <w:style w:type="paragraph" w:styleId="CommentText">
    <w:name w:val="annotation text"/>
    <w:basedOn w:val="Normal"/>
    <w:link w:val="CommentTextChar"/>
    <w:uiPriority w:val="99"/>
    <w:semiHidden/>
    <w:unhideWhenUsed/>
    <w:rsid w:val="005F44C0"/>
  </w:style>
  <w:style w:type="character" w:customStyle="1" w:styleId="CommentTextChar">
    <w:name w:val="Comment Text Char"/>
    <w:basedOn w:val="DefaultParagraphFont"/>
    <w:link w:val="CommentText"/>
    <w:uiPriority w:val="99"/>
    <w:semiHidden/>
    <w:rsid w:val="005F44C0"/>
  </w:style>
  <w:style w:type="paragraph" w:styleId="CommentSubject">
    <w:name w:val="annotation subject"/>
    <w:basedOn w:val="CommentText"/>
    <w:next w:val="CommentText"/>
    <w:link w:val="CommentSubjectChar"/>
    <w:uiPriority w:val="99"/>
    <w:semiHidden/>
    <w:unhideWhenUsed/>
    <w:rsid w:val="005F44C0"/>
    <w:rPr>
      <w:b/>
      <w:bCs/>
      <w:sz w:val="20"/>
      <w:szCs w:val="20"/>
    </w:rPr>
  </w:style>
  <w:style w:type="character" w:customStyle="1" w:styleId="CommentSubjectChar">
    <w:name w:val="Comment Subject Char"/>
    <w:basedOn w:val="CommentTextChar"/>
    <w:link w:val="CommentSubject"/>
    <w:uiPriority w:val="99"/>
    <w:semiHidden/>
    <w:rsid w:val="005F44C0"/>
    <w:rPr>
      <w:b/>
      <w:bCs/>
      <w:sz w:val="20"/>
      <w:szCs w:val="20"/>
    </w:rPr>
  </w:style>
  <w:style w:type="paragraph" w:styleId="Revision">
    <w:name w:val="Revision"/>
    <w:hidden/>
    <w:uiPriority w:val="99"/>
    <w:semiHidden/>
    <w:rsid w:val="00D93568"/>
    <w:pPr>
      <w:spacing w:after="0"/>
    </w:pPr>
  </w:style>
  <w:style w:type="paragraph" w:customStyle="1" w:styleId="BodyText">
    <w:name w:val="Body (Text)"/>
    <w:basedOn w:val="Normal"/>
    <w:uiPriority w:val="99"/>
    <w:rsid w:val="00C51D60"/>
    <w:pPr>
      <w:spacing w:after="567"/>
    </w:pPr>
    <w:rPr>
      <w:rFonts w:ascii="Calibri" w:hAnsi="Calibri" w:cs="Calibri"/>
      <w:color w:val="486886"/>
      <w:sz w:val="20"/>
      <w:szCs w:val="20"/>
    </w:rPr>
  </w:style>
  <w:style w:type="paragraph" w:customStyle="1" w:styleId="Head1Headings">
    <w:name w:val="Head_1 (Headings)"/>
    <w:basedOn w:val="Normal"/>
    <w:uiPriority w:val="99"/>
    <w:rsid w:val="00C51D60"/>
    <w:pPr>
      <w:pBdr>
        <w:top w:val="single" w:sz="4" w:space="28" w:color="auto"/>
        <w:bottom w:val="single" w:sz="4" w:space="14" w:color="auto"/>
      </w:pBdr>
      <w:spacing w:after="397" w:line="288" w:lineRule="auto"/>
    </w:pPr>
    <w:rPr>
      <w:rFonts w:ascii="Calibri-Bold" w:hAnsi="Calibri-Bold" w:cs="Calibri-Bold"/>
      <w:b/>
      <w:bCs/>
      <w:color w:val="00ADEF"/>
      <w:sz w:val="48"/>
      <w:szCs w:val="48"/>
    </w:rPr>
  </w:style>
  <w:style w:type="paragraph" w:customStyle="1" w:styleId="Head2Headings">
    <w:name w:val="Head_2 (Headings)"/>
    <w:basedOn w:val="Normal"/>
    <w:uiPriority w:val="99"/>
    <w:rsid w:val="00C51D60"/>
    <w:pPr>
      <w:spacing w:after="567" w:line="288" w:lineRule="auto"/>
    </w:pPr>
    <w:rPr>
      <w:rFonts w:ascii="Calibri" w:hAnsi="Calibri" w:cs="Calibri"/>
      <w:caps/>
      <w:color w:val="486886"/>
    </w:rPr>
  </w:style>
  <w:style w:type="paragraph" w:customStyle="1" w:styleId="Head3Headings">
    <w:name w:val="Head_3 (Headings)"/>
    <w:basedOn w:val="Normal"/>
    <w:link w:val="Head3HeadingsChar"/>
    <w:rsid w:val="00C51D60"/>
    <w:pPr>
      <w:spacing w:after="57"/>
    </w:pPr>
    <w:rPr>
      <w:rFonts w:ascii="Calibri-Bold" w:hAnsi="Calibri-Bold" w:cs="Calibri-Bold"/>
      <w:b/>
      <w:bCs/>
      <w:color w:val="00ADEF"/>
      <w:sz w:val="20"/>
      <w:szCs w:val="20"/>
    </w:rPr>
  </w:style>
  <w:style w:type="character" w:customStyle="1" w:styleId="BodyCAPS">
    <w:name w:val="Body CAPS"/>
    <w:uiPriority w:val="99"/>
    <w:rsid w:val="00C51D60"/>
    <w:rPr>
      <w:caps/>
    </w:rPr>
  </w:style>
  <w:style w:type="table" w:customStyle="1" w:styleId="LightShading-Accent12">
    <w:name w:val="Light Shading - Accent 12"/>
    <w:basedOn w:val="TableNormal"/>
    <w:uiPriority w:val="60"/>
    <w:rsid w:val="00C51D60"/>
    <w:pPr>
      <w:spacing w:after="0"/>
    </w:pPr>
    <w:rPr>
      <w:rFonts w:eastAsiaTheme="minorHAnsi"/>
      <w:color w:val="365F91" w:themeColor="accent1" w:themeShade="BF"/>
      <w:lang w:val="en-AU" w:eastAsia="en-US"/>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character" w:customStyle="1" w:styleId="author">
    <w:name w:val="author"/>
    <w:basedOn w:val="DefaultParagraphFont"/>
    <w:rsid w:val="00C51D60"/>
  </w:style>
  <w:style w:type="paragraph" w:styleId="ListParagraph">
    <w:name w:val="List Paragraph"/>
    <w:basedOn w:val="Normal"/>
    <w:uiPriority w:val="34"/>
    <w:rsid w:val="00C51D60"/>
    <w:pPr>
      <w:spacing w:line="276" w:lineRule="auto"/>
      <w:ind w:left="720"/>
      <w:contextualSpacing/>
    </w:pPr>
    <w:rPr>
      <w:rFonts w:eastAsiaTheme="minorHAnsi"/>
      <w:lang w:val="en-AU" w:eastAsia="en-US"/>
    </w:rPr>
  </w:style>
  <w:style w:type="paragraph" w:styleId="TOC4">
    <w:name w:val="toc 4"/>
    <w:basedOn w:val="Normal"/>
    <w:next w:val="Normal"/>
    <w:autoRedefine/>
    <w:uiPriority w:val="39"/>
    <w:unhideWhenUsed/>
    <w:rsid w:val="00C51D60"/>
    <w:pPr>
      <w:pBdr>
        <w:between w:val="double" w:sz="6" w:space="0" w:color="auto"/>
      </w:pBdr>
      <w:spacing w:after="0" w:line="360" w:lineRule="atLeast"/>
      <w:ind w:left="480"/>
      <w:jc w:val="both"/>
      <w:textAlignment w:val="baseline"/>
    </w:pPr>
    <w:rPr>
      <w:rFonts w:ascii="Times New Roman" w:eastAsia="Times New Roman" w:hAnsi="Times New Roman" w:cs="Times New Roman"/>
      <w:sz w:val="20"/>
      <w:szCs w:val="20"/>
      <w:lang w:val="en-AU" w:eastAsia="en-AU"/>
    </w:rPr>
  </w:style>
  <w:style w:type="paragraph" w:styleId="TOC5">
    <w:name w:val="toc 5"/>
    <w:basedOn w:val="Normal"/>
    <w:next w:val="Normal"/>
    <w:autoRedefine/>
    <w:uiPriority w:val="39"/>
    <w:unhideWhenUsed/>
    <w:rsid w:val="00C51D60"/>
    <w:pPr>
      <w:pBdr>
        <w:between w:val="double" w:sz="6" w:space="0" w:color="auto"/>
      </w:pBdr>
      <w:spacing w:after="0" w:line="360" w:lineRule="atLeast"/>
      <w:ind w:left="720"/>
      <w:jc w:val="both"/>
      <w:textAlignment w:val="baseline"/>
    </w:pPr>
    <w:rPr>
      <w:rFonts w:ascii="Times New Roman" w:eastAsia="Times New Roman" w:hAnsi="Times New Roman" w:cs="Times New Roman"/>
      <w:sz w:val="20"/>
      <w:szCs w:val="20"/>
      <w:lang w:val="en-AU" w:eastAsia="en-AU"/>
    </w:rPr>
  </w:style>
  <w:style w:type="paragraph" w:styleId="TOC6">
    <w:name w:val="toc 6"/>
    <w:basedOn w:val="Normal"/>
    <w:next w:val="Normal"/>
    <w:autoRedefine/>
    <w:uiPriority w:val="39"/>
    <w:unhideWhenUsed/>
    <w:rsid w:val="00C51D60"/>
    <w:pPr>
      <w:pBdr>
        <w:between w:val="double" w:sz="6" w:space="0" w:color="auto"/>
      </w:pBdr>
      <w:spacing w:after="0" w:line="360" w:lineRule="atLeast"/>
      <w:ind w:left="960"/>
      <w:jc w:val="both"/>
      <w:textAlignment w:val="baseline"/>
    </w:pPr>
    <w:rPr>
      <w:rFonts w:ascii="Times New Roman" w:eastAsia="Times New Roman" w:hAnsi="Times New Roman" w:cs="Times New Roman"/>
      <w:sz w:val="20"/>
      <w:szCs w:val="20"/>
      <w:lang w:val="en-AU" w:eastAsia="en-AU"/>
    </w:rPr>
  </w:style>
  <w:style w:type="paragraph" w:styleId="TOC7">
    <w:name w:val="toc 7"/>
    <w:basedOn w:val="Normal"/>
    <w:next w:val="Normal"/>
    <w:autoRedefine/>
    <w:uiPriority w:val="39"/>
    <w:unhideWhenUsed/>
    <w:rsid w:val="00C51D60"/>
    <w:pPr>
      <w:pBdr>
        <w:between w:val="double" w:sz="6" w:space="0" w:color="auto"/>
      </w:pBdr>
      <w:spacing w:after="0" w:line="360" w:lineRule="atLeast"/>
      <w:ind w:left="1200"/>
      <w:jc w:val="both"/>
      <w:textAlignment w:val="baseline"/>
    </w:pPr>
    <w:rPr>
      <w:rFonts w:ascii="Times New Roman" w:eastAsia="Times New Roman" w:hAnsi="Times New Roman" w:cs="Times New Roman"/>
      <w:sz w:val="20"/>
      <w:szCs w:val="20"/>
      <w:lang w:val="en-AU" w:eastAsia="en-AU"/>
    </w:rPr>
  </w:style>
  <w:style w:type="paragraph" w:styleId="TOC8">
    <w:name w:val="toc 8"/>
    <w:basedOn w:val="Normal"/>
    <w:next w:val="Normal"/>
    <w:autoRedefine/>
    <w:uiPriority w:val="39"/>
    <w:unhideWhenUsed/>
    <w:rsid w:val="00C51D60"/>
    <w:pPr>
      <w:pBdr>
        <w:between w:val="double" w:sz="6" w:space="0" w:color="auto"/>
      </w:pBdr>
      <w:spacing w:after="0" w:line="360" w:lineRule="atLeast"/>
      <w:ind w:left="1440"/>
      <w:jc w:val="both"/>
      <w:textAlignment w:val="baseline"/>
    </w:pPr>
    <w:rPr>
      <w:rFonts w:ascii="Times New Roman" w:eastAsia="Times New Roman" w:hAnsi="Times New Roman" w:cs="Times New Roman"/>
      <w:sz w:val="20"/>
      <w:szCs w:val="20"/>
      <w:lang w:val="en-AU" w:eastAsia="en-AU"/>
    </w:rPr>
  </w:style>
  <w:style w:type="paragraph" w:styleId="TOC9">
    <w:name w:val="toc 9"/>
    <w:basedOn w:val="Normal"/>
    <w:next w:val="Normal"/>
    <w:autoRedefine/>
    <w:uiPriority w:val="39"/>
    <w:unhideWhenUsed/>
    <w:rsid w:val="00C51D60"/>
    <w:pPr>
      <w:pBdr>
        <w:between w:val="double" w:sz="6" w:space="0" w:color="auto"/>
      </w:pBdr>
      <w:spacing w:after="0" w:line="360" w:lineRule="atLeast"/>
      <w:ind w:left="1680"/>
      <w:jc w:val="both"/>
      <w:textAlignment w:val="baseline"/>
    </w:pPr>
    <w:rPr>
      <w:rFonts w:ascii="Times New Roman" w:eastAsia="Times New Roman" w:hAnsi="Times New Roman" w:cs="Times New Roman"/>
      <w:sz w:val="20"/>
      <w:szCs w:val="20"/>
      <w:lang w:val="en-AU" w:eastAsia="en-AU"/>
    </w:rPr>
  </w:style>
  <w:style w:type="paragraph" w:customStyle="1" w:styleId="Default">
    <w:name w:val="Default"/>
    <w:rsid w:val="00C51D60"/>
    <w:pPr>
      <w:widowControl w:val="0"/>
      <w:autoSpaceDE w:val="0"/>
      <w:autoSpaceDN w:val="0"/>
      <w:adjustRightInd w:val="0"/>
      <w:spacing w:after="0" w:line="360" w:lineRule="atLeast"/>
      <w:jc w:val="both"/>
      <w:textAlignment w:val="baseline"/>
    </w:pPr>
    <w:rPr>
      <w:rFonts w:ascii="Calibri" w:eastAsia="Times New Roman" w:hAnsi="Calibri" w:cs="Times New Roman"/>
      <w:sz w:val="20"/>
      <w:szCs w:val="20"/>
      <w:lang w:val="en-AU" w:eastAsia="en-AU"/>
    </w:rPr>
  </w:style>
  <w:style w:type="table" w:customStyle="1" w:styleId="TableGrid1">
    <w:name w:val="Table Grid1"/>
    <w:basedOn w:val="TableNormal"/>
    <w:uiPriority w:val="59"/>
    <w:rsid w:val="00C51D60"/>
    <w:pPr>
      <w:spacing w:after="0"/>
    </w:pPr>
    <w:rPr>
      <w:rFonts w:eastAsia="MS Minch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
    <w:name w:val="Table Grid11"/>
    <w:basedOn w:val="TableNormal"/>
    <w:uiPriority w:val="59"/>
    <w:rsid w:val="00C51D60"/>
    <w:pPr>
      <w:spacing w:after="0"/>
    </w:pPr>
    <w:rPr>
      <w:rFonts w:eastAsia="MS Minch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1">
    <w:name w:val="Table Grid111"/>
    <w:basedOn w:val="TableNormal"/>
    <w:uiPriority w:val="59"/>
    <w:rsid w:val="00C51D60"/>
    <w:pPr>
      <w:spacing w:after="0"/>
    </w:pPr>
    <w:rPr>
      <w:rFonts w:eastAsia="MS Minch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5Char">
    <w:name w:val="Heading 5 Char"/>
    <w:basedOn w:val="DefaultParagraphFont"/>
    <w:link w:val="Heading5"/>
    <w:uiPriority w:val="9"/>
    <w:rsid w:val="00BE7A62"/>
    <w:rPr>
      <w:rFonts w:eastAsiaTheme="majorEastAsia"/>
      <w:b/>
      <w:color w:val="1F497D" w:themeColor="text2"/>
      <w:u w:val="single"/>
    </w:rPr>
  </w:style>
  <w:style w:type="paragraph" w:customStyle="1" w:styleId="Para0bullet">
    <w:name w:val="Para 0 bullet"/>
    <w:basedOn w:val="Normal"/>
    <w:link w:val="Para0bulletCharChar"/>
    <w:rsid w:val="00C51D60"/>
    <w:pPr>
      <w:numPr>
        <w:numId w:val="13"/>
      </w:numPr>
      <w:tabs>
        <w:tab w:val="left" w:pos="284"/>
      </w:tabs>
      <w:spacing w:before="20" w:after="0" w:line="300" w:lineRule="auto"/>
    </w:pPr>
    <w:rPr>
      <w:rFonts w:eastAsia="Times New Roman" w:cs="Times New Roman"/>
      <w:sz w:val="18"/>
      <w:szCs w:val="20"/>
      <w:lang w:eastAsia="en-AU"/>
    </w:rPr>
  </w:style>
  <w:style w:type="character" w:customStyle="1" w:styleId="Para0bulletCharChar">
    <w:name w:val="Para 0 bullet Char Char"/>
    <w:basedOn w:val="DefaultParagraphFont"/>
    <w:link w:val="Para0bullet"/>
    <w:locked/>
    <w:rsid w:val="00C51D60"/>
    <w:rPr>
      <w:rFonts w:ascii="Arial" w:eastAsia="Times New Roman" w:hAnsi="Arial" w:cs="Times New Roman"/>
      <w:color w:val="000000"/>
      <w:sz w:val="18"/>
      <w:szCs w:val="20"/>
      <w:lang w:val="en-GB" w:eastAsia="en-AU"/>
    </w:rPr>
  </w:style>
  <w:style w:type="paragraph" w:styleId="NormalWeb">
    <w:name w:val="Normal (Web)"/>
    <w:basedOn w:val="Normal"/>
    <w:uiPriority w:val="99"/>
    <w:semiHidden/>
    <w:unhideWhenUsed/>
    <w:rsid w:val="00C51D60"/>
    <w:pPr>
      <w:spacing w:before="100" w:beforeAutospacing="1" w:after="100" w:afterAutospacing="1"/>
    </w:pPr>
    <w:rPr>
      <w:rFonts w:ascii="Times New Roman" w:eastAsia="Times New Roman" w:hAnsi="Times New Roman" w:cs="Times New Roman"/>
      <w:lang w:val="en-AU" w:eastAsia="en-AU"/>
    </w:rPr>
  </w:style>
  <w:style w:type="character" w:styleId="Strong">
    <w:name w:val="Strong"/>
    <w:basedOn w:val="DefaultParagraphFont"/>
    <w:uiPriority w:val="22"/>
    <w:rsid w:val="00C51D60"/>
    <w:rPr>
      <w:b/>
      <w:bCs/>
    </w:rPr>
  </w:style>
  <w:style w:type="paragraph" w:customStyle="1" w:styleId="first">
    <w:name w:val="first"/>
    <w:basedOn w:val="Normal"/>
    <w:rsid w:val="00C51D60"/>
    <w:pPr>
      <w:spacing w:before="100" w:beforeAutospacing="1" w:after="100" w:afterAutospacing="1"/>
    </w:pPr>
    <w:rPr>
      <w:rFonts w:ascii="Times New Roman" w:eastAsia="Times New Roman" w:hAnsi="Times New Roman" w:cs="Times New Roman"/>
      <w:lang w:val="en-AU" w:eastAsia="en-AU"/>
    </w:rPr>
  </w:style>
  <w:style w:type="character" w:styleId="FollowedHyperlink">
    <w:name w:val="FollowedHyperlink"/>
    <w:basedOn w:val="DefaultParagraphFont"/>
    <w:uiPriority w:val="99"/>
    <w:semiHidden/>
    <w:unhideWhenUsed/>
    <w:rsid w:val="00C51D60"/>
    <w:rPr>
      <w:color w:val="800080" w:themeColor="followedHyperlink"/>
      <w:u w:val="single"/>
    </w:rPr>
  </w:style>
  <w:style w:type="character" w:styleId="FootnoteReference">
    <w:name w:val="footnote reference"/>
    <w:basedOn w:val="DefaultParagraphFont"/>
    <w:uiPriority w:val="99"/>
    <w:unhideWhenUsed/>
    <w:rsid w:val="00C51D60"/>
    <w:rPr>
      <w:vertAlign w:val="superscript"/>
    </w:rPr>
  </w:style>
  <w:style w:type="table" w:customStyle="1" w:styleId="LightShading1">
    <w:name w:val="Light Shading1"/>
    <w:basedOn w:val="TableNormal"/>
    <w:uiPriority w:val="60"/>
    <w:rsid w:val="002C36E7"/>
    <w:pPr>
      <w:spacing w:after="0"/>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styleId="BodyText0">
    <w:name w:val="Body Text"/>
    <w:basedOn w:val="Normal"/>
    <w:link w:val="BodyTextChar"/>
    <w:uiPriority w:val="99"/>
    <w:rsid w:val="00BE2903"/>
    <w:pPr>
      <w:spacing w:after="0" w:line="260" w:lineRule="atLeast"/>
      <w:jc w:val="both"/>
    </w:pPr>
    <w:rPr>
      <w:rFonts w:ascii="Verdana" w:eastAsia="Times New Roman" w:hAnsi="Verdana" w:cs="Times New Roman"/>
      <w:sz w:val="18"/>
      <w:szCs w:val="20"/>
      <w:lang w:val="en-AU" w:eastAsia="en-US"/>
    </w:rPr>
  </w:style>
  <w:style w:type="character" w:customStyle="1" w:styleId="BodyTextChar">
    <w:name w:val="Body Text Char"/>
    <w:basedOn w:val="DefaultParagraphFont"/>
    <w:link w:val="BodyText0"/>
    <w:uiPriority w:val="99"/>
    <w:rsid w:val="00BE2903"/>
    <w:rPr>
      <w:rFonts w:ascii="Verdana" w:eastAsia="Times New Roman" w:hAnsi="Verdana" w:cs="Times New Roman"/>
      <w:sz w:val="18"/>
      <w:szCs w:val="20"/>
      <w:lang w:val="en-AU" w:eastAsia="en-US"/>
    </w:rPr>
  </w:style>
  <w:style w:type="character" w:customStyle="1" w:styleId="BodyChar">
    <w:name w:val="Body Char"/>
    <w:basedOn w:val="DefaultParagraphFont"/>
    <w:link w:val="Body"/>
    <w:rsid w:val="00981CC8"/>
    <w:rPr>
      <w:rFonts w:ascii="Calibri" w:hAnsi="Calibri" w:cs="Calibri"/>
      <w:color w:val="000000"/>
      <w:sz w:val="18"/>
      <w:szCs w:val="18"/>
      <w:lang w:val="en-GB"/>
    </w:rPr>
  </w:style>
  <w:style w:type="paragraph" w:customStyle="1" w:styleId="BRHeading2">
    <w:name w:val="BR Heading 2"/>
    <w:basedOn w:val="Heading3"/>
    <w:link w:val="BRHeading2Char"/>
    <w:rsid w:val="00872565"/>
    <w:rPr>
      <w:sz w:val="30"/>
    </w:rPr>
  </w:style>
  <w:style w:type="character" w:customStyle="1" w:styleId="BRHeading2Char">
    <w:name w:val="BR Heading 2 Char"/>
    <w:basedOn w:val="Heading3Char"/>
    <w:link w:val="BRHeading2"/>
    <w:rsid w:val="00872565"/>
    <w:rPr>
      <w:rFonts w:ascii="Arial" w:hAnsi="Arial" w:cs="Arial"/>
      <w:b/>
      <w:bCs/>
      <w:i/>
      <w:color w:val="00B0F0"/>
      <w:sz w:val="30"/>
      <w:szCs w:val="26"/>
      <w:lang w:val="en-GB"/>
    </w:rPr>
  </w:style>
  <w:style w:type="paragraph" w:customStyle="1" w:styleId="BR-normal-CopyrightPage">
    <w:name w:val="BR - normal - Copyright Page"/>
    <w:basedOn w:val="Body"/>
    <w:link w:val="BR-normal-CopyrightPageChar"/>
    <w:qFormat/>
    <w:rsid w:val="0067638E"/>
    <w:pPr>
      <w:widowControl/>
      <w:suppressAutoHyphens w:val="0"/>
      <w:adjustRightInd/>
      <w:spacing w:after="200" w:line="240" w:lineRule="auto"/>
      <w:textAlignment w:val="auto"/>
    </w:pPr>
    <w:rPr>
      <w:rFonts w:ascii="Arial" w:eastAsiaTheme="minorHAnsi" w:hAnsi="Arial" w:cs="Arial"/>
      <w:sz w:val="20"/>
      <w:szCs w:val="20"/>
      <w:lang w:val="en-AU" w:eastAsia="en-AU"/>
    </w:rPr>
  </w:style>
  <w:style w:type="character" w:customStyle="1" w:styleId="BR-normal-CopyrightPageChar">
    <w:name w:val="BR - normal - Copyright Page Char"/>
    <w:basedOn w:val="BodyChar"/>
    <w:link w:val="BR-normal-CopyrightPage"/>
    <w:rsid w:val="0067638E"/>
    <w:rPr>
      <w:rFonts w:ascii="Arial" w:eastAsiaTheme="minorHAnsi" w:hAnsi="Arial" w:cs="Arial"/>
      <w:color w:val="000000"/>
      <w:sz w:val="20"/>
      <w:szCs w:val="20"/>
      <w:lang w:val="en-AU" w:eastAsia="en-AU"/>
    </w:rPr>
  </w:style>
  <w:style w:type="paragraph" w:customStyle="1" w:styleId="Margincomment">
    <w:name w:val="Margin comment"/>
    <w:basedOn w:val="Normal"/>
    <w:rsid w:val="00EF13AB"/>
    <w:pPr>
      <w:spacing w:after="0" w:line="300" w:lineRule="auto"/>
      <w:jc w:val="right"/>
    </w:pPr>
    <w:rPr>
      <w:rFonts w:ascii="Arial Narrow" w:eastAsia="Times New Roman" w:hAnsi="Arial Narrow" w:cs="Times New Roman"/>
      <w:i/>
      <w:color w:val="808000"/>
      <w:sz w:val="18"/>
      <w:szCs w:val="20"/>
      <w:lang w:eastAsia="en-US"/>
    </w:rPr>
  </w:style>
  <w:style w:type="paragraph" w:customStyle="1" w:styleId="Bulletpoint">
    <w:name w:val="Bullet point"/>
    <w:basedOn w:val="Body"/>
    <w:link w:val="BulletpointChar"/>
    <w:qFormat/>
    <w:rsid w:val="001C3374"/>
    <w:pPr>
      <w:numPr>
        <w:numId w:val="34"/>
      </w:numPr>
      <w:ind w:left="426" w:hanging="426"/>
    </w:pPr>
    <w:rPr>
      <w:rFonts w:ascii="Arial" w:hAnsi="Arial" w:cs="Arial"/>
      <w:sz w:val="22"/>
      <w:szCs w:val="22"/>
    </w:rPr>
  </w:style>
  <w:style w:type="paragraph" w:customStyle="1" w:styleId="TitlepageA">
    <w:name w:val="Title page A"/>
    <w:basedOn w:val="Head3Headings"/>
    <w:link w:val="TitlepageAChar"/>
    <w:qFormat/>
    <w:rsid w:val="00A92231"/>
    <w:rPr>
      <w:rFonts w:ascii="Arial" w:hAnsi="Arial" w:cs="Arial"/>
      <w:color w:val="1F497D" w:themeColor="text2"/>
      <w:sz w:val="52"/>
      <w:szCs w:val="52"/>
      <w:lang w:val="en-AU"/>
    </w:rPr>
  </w:style>
  <w:style w:type="character" w:customStyle="1" w:styleId="BulletpointChar">
    <w:name w:val="Bullet point Char"/>
    <w:basedOn w:val="BodyChar"/>
    <w:link w:val="Bulletpoint"/>
    <w:rsid w:val="001C3374"/>
    <w:rPr>
      <w:rFonts w:ascii="Arial" w:hAnsi="Arial" w:cs="Arial"/>
      <w:color w:val="000000"/>
      <w:sz w:val="22"/>
      <w:szCs w:val="22"/>
      <w:lang w:val="en-GB"/>
    </w:rPr>
  </w:style>
  <w:style w:type="paragraph" w:customStyle="1" w:styleId="TitlepageB">
    <w:name w:val="Title page B"/>
    <w:basedOn w:val="Body"/>
    <w:link w:val="TitlepageBChar"/>
    <w:qFormat/>
    <w:rsid w:val="00550C65"/>
    <w:rPr>
      <w:rFonts w:ascii="Arial" w:hAnsi="Arial" w:cs="Arial"/>
      <w:i/>
      <w:color w:val="1F497D" w:themeColor="text2"/>
      <w:sz w:val="24"/>
      <w:szCs w:val="24"/>
    </w:rPr>
  </w:style>
  <w:style w:type="character" w:customStyle="1" w:styleId="Head3HeadingsChar">
    <w:name w:val="Head_3 (Headings) Char"/>
    <w:basedOn w:val="DefaultParagraphFont"/>
    <w:link w:val="Head3Headings"/>
    <w:rsid w:val="000D7424"/>
    <w:rPr>
      <w:rFonts w:ascii="Calibri-Bold" w:hAnsi="Calibri-Bold" w:cs="Calibri-Bold"/>
      <w:b/>
      <w:bCs/>
      <w:color w:val="00ADEF"/>
      <w:sz w:val="20"/>
      <w:szCs w:val="20"/>
      <w:lang w:val="en-GB"/>
    </w:rPr>
  </w:style>
  <w:style w:type="character" w:customStyle="1" w:styleId="TitlepageAChar">
    <w:name w:val="Title page A Char"/>
    <w:basedOn w:val="Head3HeadingsChar"/>
    <w:link w:val="TitlepageA"/>
    <w:rsid w:val="00A92231"/>
    <w:rPr>
      <w:rFonts w:ascii="Calibri-Bold" w:hAnsi="Calibri-Bold" w:cs="Calibri-Bold"/>
      <w:b/>
      <w:bCs/>
      <w:color w:val="1F497D" w:themeColor="text2"/>
      <w:sz w:val="52"/>
      <w:szCs w:val="52"/>
      <w:lang w:val="en-AU"/>
    </w:rPr>
  </w:style>
  <w:style w:type="paragraph" w:customStyle="1" w:styleId="Titlepage-normal">
    <w:name w:val="Title page - normal"/>
    <w:basedOn w:val="BR-normal-CopyrightPage"/>
    <w:link w:val="Titlepage-normalChar"/>
    <w:qFormat/>
    <w:rsid w:val="00550C65"/>
    <w:rPr>
      <w:color w:val="1F497D" w:themeColor="text2"/>
    </w:rPr>
  </w:style>
  <w:style w:type="character" w:customStyle="1" w:styleId="TitlepageBChar">
    <w:name w:val="Title page B Char"/>
    <w:basedOn w:val="BodyChar"/>
    <w:link w:val="TitlepageB"/>
    <w:rsid w:val="00550C65"/>
    <w:rPr>
      <w:rFonts w:ascii="Arial" w:hAnsi="Arial" w:cs="Arial"/>
      <w:i/>
      <w:color w:val="1F497D" w:themeColor="text2"/>
      <w:sz w:val="18"/>
      <w:szCs w:val="18"/>
      <w:lang w:val="en-GB"/>
    </w:rPr>
  </w:style>
  <w:style w:type="paragraph" w:customStyle="1" w:styleId="SummaryH1">
    <w:name w:val="Summary H1"/>
    <w:basedOn w:val="Heading1"/>
    <w:link w:val="SummaryH1Char"/>
    <w:qFormat/>
    <w:rsid w:val="005F6513"/>
    <w:pPr>
      <w:numPr>
        <w:numId w:val="0"/>
      </w:numPr>
    </w:pPr>
  </w:style>
  <w:style w:type="character" w:customStyle="1" w:styleId="Titlepage-normalChar">
    <w:name w:val="Title page - normal Char"/>
    <w:basedOn w:val="BR-normal-CopyrightPageChar"/>
    <w:link w:val="Titlepage-normal"/>
    <w:rsid w:val="00550C65"/>
    <w:rPr>
      <w:rFonts w:ascii="Arial" w:eastAsiaTheme="minorHAnsi" w:hAnsi="Arial" w:cs="Arial"/>
      <w:color w:val="1F497D" w:themeColor="text2"/>
      <w:sz w:val="20"/>
      <w:szCs w:val="20"/>
      <w:lang w:val="en-AU" w:eastAsia="en-AU"/>
    </w:rPr>
  </w:style>
  <w:style w:type="paragraph" w:customStyle="1" w:styleId="TOCHeading1">
    <w:name w:val="TOC Heading1"/>
    <w:basedOn w:val="TOCHeading"/>
    <w:link w:val="TOCheadingChar0"/>
    <w:qFormat/>
    <w:rsid w:val="005F6513"/>
    <w:pPr>
      <w:numPr>
        <w:numId w:val="0"/>
      </w:numPr>
    </w:pPr>
    <w:rPr>
      <w:color w:val="1F497D" w:themeColor="text2"/>
      <w:sz w:val="48"/>
      <w:szCs w:val="48"/>
    </w:rPr>
  </w:style>
  <w:style w:type="character" w:customStyle="1" w:styleId="SummaryH1Char">
    <w:name w:val="Summary H1 Char"/>
    <w:basedOn w:val="Heading1Char"/>
    <w:link w:val="SummaryH1"/>
    <w:rsid w:val="005F6513"/>
    <w:rPr>
      <w:b/>
      <w:bCs/>
      <w:color w:val="1F497D" w:themeColor="text2"/>
      <w:sz w:val="48"/>
      <w:szCs w:val="48"/>
    </w:rPr>
  </w:style>
  <w:style w:type="paragraph" w:customStyle="1" w:styleId="Page2Heading2">
    <w:name w:val="Page 2 Heading 2"/>
    <w:basedOn w:val="Heading2"/>
    <w:link w:val="Page2Heading2Char"/>
    <w:qFormat/>
    <w:rsid w:val="005F6513"/>
    <w:pPr>
      <w:numPr>
        <w:ilvl w:val="0"/>
        <w:numId w:val="0"/>
      </w:numPr>
    </w:pPr>
  </w:style>
  <w:style w:type="character" w:customStyle="1" w:styleId="TOCHeadingChar">
    <w:name w:val="TOC Heading Char"/>
    <w:basedOn w:val="Heading1Char"/>
    <w:link w:val="TOCHeading"/>
    <w:uiPriority w:val="39"/>
    <w:rsid w:val="00F7637B"/>
    <w:rPr>
      <w:rFonts w:ascii="Arial" w:hAnsi="Arial" w:cs="Arial"/>
      <w:b/>
      <w:bCs/>
      <w:color w:val="365F91" w:themeColor="accent1" w:themeShade="BF"/>
      <w:sz w:val="28"/>
      <w:szCs w:val="28"/>
      <w:lang w:val="en-GB" w:eastAsia="en-US"/>
    </w:rPr>
  </w:style>
  <w:style w:type="character" w:customStyle="1" w:styleId="TOCheadingChar0">
    <w:name w:val="TOC heading Char"/>
    <w:basedOn w:val="TOCHeadingChar"/>
    <w:link w:val="TOCHeading1"/>
    <w:rsid w:val="005F6513"/>
    <w:rPr>
      <w:rFonts w:ascii="Arial" w:hAnsi="Arial" w:cs="Arial"/>
      <w:b/>
      <w:bCs/>
      <w:color w:val="1F497D" w:themeColor="text2"/>
      <w:sz w:val="48"/>
      <w:szCs w:val="48"/>
      <w:lang w:val="en-GB" w:eastAsia="en-US"/>
    </w:rPr>
  </w:style>
  <w:style w:type="paragraph" w:customStyle="1" w:styleId="BRNormal">
    <w:name w:val="BR Normal"/>
    <w:basedOn w:val="BR-normal-CopyrightPage"/>
    <w:link w:val="BRNormalChar"/>
    <w:qFormat/>
    <w:rsid w:val="000558B2"/>
    <w:rPr>
      <w:sz w:val="22"/>
      <w:szCs w:val="22"/>
    </w:rPr>
  </w:style>
  <w:style w:type="character" w:customStyle="1" w:styleId="Page2Heading2Char">
    <w:name w:val="Page 2 Heading 2 Char"/>
    <w:basedOn w:val="Heading2Char"/>
    <w:link w:val="Page2Heading2"/>
    <w:rsid w:val="005F6513"/>
    <w:rPr>
      <w:b/>
      <w:bCs/>
      <w:color w:val="1F497D" w:themeColor="text2"/>
      <w:sz w:val="30"/>
      <w:szCs w:val="26"/>
    </w:rPr>
  </w:style>
  <w:style w:type="character" w:customStyle="1" w:styleId="CaptionChar">
    <w:name w:val="Caption Char"/>
    <w:aliases w:val="Figure Caption Char"/>
    <w:link w:val="Caption"/>
    <w:uiPriority w:val="35"/>
    <w:rsid w:val="000558B2"/>
    <w:rPr>
      <w:rFonts w:ascii="Arial" w:hAnsi="Arial" w:cs="Arial"/>
      <w:bCs/>
      <w:noProof/>
      <w:sz w:val="20"/>
      <w:szCs w:val="20"/>
      <w:lang w:val="en-AU" w:eastAsia="en-AU"/>
    </w:rPr>
  </w:style>
  <w:style w:type="character" w:customStyle="1" w:styleId="BRNormalChar">
    <w:name w:val="BR Normal Char"/>
    <w:basedOn w:val="BR-normal-CopyrightPageChar"/>
    <w:link w:val="BRNormal"/>
    <w:rsid w:val="000558B2"/>
    <w:rPr>
      <w:rFonts w:ascii="Arial" w:eastAsiaTheme="minorHAnsi" w:hAnsi="Arial" w:cs="Arial"/>
      <w:color w:val="000000"/>
      <w:sz w:val="22"/>
      <w:szCs w:val="22"/>
      <w:lang w:val="en-AU" w:eastAsia="en-AU"/>
    </w:rPr>
  </w:style>
  <w:style w:type="character" w:customStyle="1" w:styleId="Heading6Char">
    <w:name w:val="Heading 6 Char"/>
    <w:basedOn w:val="DefaultParagraphFont"/>
    <w:link w:val="Heading6"/>
    <w:uiPriority w:val="9"/>
    <w:semiHidden/>
    <w:rsid w:val="003031AC"/>
    <w:rPr>
      <w:rFonts w:asciiTheme="majorHAnsi" w:eastAsiaTheme="majorEastAsia" w:hAnsiTheme="majorHAnsi" w:cstheme="majorBidi"/>
      <w:i/>
      <w:iCs/>
      <w:color w:val="243F60" w:themeColor="accent1" w:themeShade="7F"/>
      <w:sz w:val="22"/>
      <w:szCs w:val="22"/>
      <w:lang w:val="en-GB"/>
    </w:rPr>
  </w:style>
  <w:style w:type="character" w:customStyle="1" w:styleId="Heading7Char">
    <w:name w:val="Heading 7 Char"/>
    <w:basedOn w:val="DefaultParagraphFont"/>
    <w:link w:val="Heading7"/>
    <w:uiPriority w:val="9"/>
    <w:semiHidden/>
    <w:rsid w:val="003031AC"/>
    <w:rPr>
      <w:rFonts w:asciiTheme="majorHAnsi" w:eastAsiaTheme="majorEastAsia" w:hAnsiTheme="majorHAnsi" w:cstheme="majorBidi"/>
      <w:i/>
      <w:iCs/>
      <w:color w:val="404040" w:themeColor="text1" w:themeTint="BF"/>
      <w:sz w:val="22"/>
      <w:szCs w:val="22"/>
      <w:lang w:val="en-GB"/>
    </w:rPr>
  </w:style>
  <w:style w:type="character" w:customStyle="1" w:styleId="Heading8Char">
    <w:name w:val="Heading 8 Char"/>
    <w:basedOn w:val="DefaultParagraphFont"/>
    <w:link w:val="Heading8"/>
    <w:uiPriority w:val="9"/>
    <w:semiHidden/>
    <w:rsid w:val="003031AC"/>
    <w:rPr>
      <w:rFonts w:asciiTheme="majorHAnsi" w:eastAsiaTheme="majorEastAsia" w:hAnsiTheme="majorHAnsi" w:cstheme="majorBidi"/>
      <w:color w:val="404040" w:themeColor="text1" w:themeTint="BF"/>
      <w:sz w:val="20"/>
      <w:szCs w:val="20"/>
      <w:lang w:val="en-GB"/>
    </w:rPr>
  </w:style>
  <w:style w:type="character" w:customStyle="1" w:styleId="Heading9Char">
    <w:name w:val="Heading 9 Char"/>
    <w:basedOn w:val="DefaultParagraphFont"/>
    <w:link w:val="Heading9"/>
    <w:uiPriority w:val="9"/>
    <w:semiHidden/>
    <w:rsid w:val="003031AC"/>
    <w:rPr>
      <w:rFonts w:asciiTheme="majorHAnsi" w:eastAsiaTheme="majorEastAsia" w:hAnsiTheme="majorHAnsi" w:cstheme="majorBidi"/>
      <w:i/>
      <w:iCs/>
      <w:color w:val="404040" w:themeColor="text1" w:themeTint="BF"/>
      <w:sz w:val="20"/>
      <w:szCs w:val="20"/>
      <w:lang w:val="en-GB"/>
    </w:rPr>
  </w:style>
  <w:style w:type="paragraph" w:customStyle="1" w:styleId="BRQuote">
    <w:name w:val="BR Quote"/>
    <w:basedOn w:val="BRNormal"/>
    <w:link w:val="BRQuoteChar"/>
    <w:qFormat/>
    <w:rsid w:val="003A0D3E"/>
    <w:pPr>
      <w:ind w:left="567"/>
    </w:pPr>
    <w:rPr>
      <w:i/>
    </w:rPr>
  </w:style>
  <w:style w:type="character" w:customStyle="1" w:styleId="BRQuoteChar">
    <w:name w:val="BR Quote Char"/>
    <w:basedOn w:val="BRNormalChar"/>
    <w:link w:val="BRQuote"/>
    <w:rsid w:val="003A0D3E"/>
    <w:rPr>
      <w:rFonts w:ascii="Arial" w:eastAsiaTheme="minorHAnsi" w:hAnsi="Arial" w:cs="Arial"/>
      <w:i/>
      <w:color w:val="000000"/>
      <w:sz w:val="22"/>
      <w:szCs w:val="22"/>
      <w:lang w:val="en-AU" w:eastAsia="en-AU"/>
    </w:rPr>
  </w:style>
  <w:style w:type="paragraph" w:customStyle="1" w:styleId="BRnumberlist">
    <w:name w:val="BR number list"/>
    <w:basedOn w:val="Bulletpoint"/>
    <w:link w:val="BRnumberlistChar"/>
    <w:qFormat/>
    <w:rsid w:val="007052AC"/>
    <w:pPr>
      <w:numPr>
        <w:numId w:val="43"/>
      </w:numPr>
      <w:ind w:left="426" w:hanging="426"/>
    </w:pPr>
  </w:style>
  <w:style w:type="character" w:customStyle="1" w:styleId="BRnumberlistChar">
    <w:name w:val="BR number list Char"/>
    <w:basedOn w:val="BulletpointChar"/>
    <w:link w:val="BRnumberlist"/>
    <w:rsid w:val="007052AC"/>
    <w:rPr>
      <w:rFonts w:ascii="Arial" w:hAnsi="Arial" w:cs="Arial"/>
      <w:color w:val="000000"/>
      <w:sz w:val="22"/>
      <w:szCs w:val="22"/>
      <w:lang w:val="en-GB"/>
    </w:rPr>
  </w:style>
  <w:style w:type="paragraph" w:customStyle="1" w:styleId="2ndbulletpoint">
    <w:name w:val="2nd bullet point"/>
    <w:basedOn w:val="Bulletpoint"/>
    <w:link w:val="2ndbulletpointChar"/>
    <w:qFormat/>
    <w:rsid w:val="00E87496"/>
    <w:pPr>
      <w:numPr>
        <w:ilvl w:val="1"/>
      </w:numPr>
      <w:ind w:left="1276" w:hanging="425"/>
    </w:pPr>
  </w:style>
  <w:style w:type="paragraph" w:customStyle="1" w:styleId="Appendix">
    <w:name w:val="Appendix"/>
    <w:basedOn w:val="Heading1"/>
    <w:link w:val="AppendixChar"/>
    <w:qFormat/>
    <w:rsid w:val="000C6964"/>
    <w:pPr>
      <w:numPr>
        <w:numId w:val="0"/>
      </w:numPr>
      <w:ind w:left="432" w:hanging="432"/>
    </w:pPr>
  </w:style>
  <w:style w:type="character" w:customStyle="1" w:styleId="2ndbulletpointChar">
    <w:name w:val="2nd bullet point Char"/>
    <w:basedOn w:val="BulletpointChar"/>
    <w:link w:val="2ndbulletpoint"/>
    <w:rsid w:val="00E87496"/>
    <w:rPr>
      <w:rFonts w:ascii="Arial" w:hAnsi="Arial" w:cs="Arial"/>
      <w:color w:val="000000"/>
      <w:sz w:val="22"/>
      <w:szCs w:val="22"/>
      <w:lang w:val="en-GB"/>
    </w:rPr>
  </w:style>
  <w:style w:type="paragraph" w:customStyle="1" w:styleId="BRnormal11pt">
    <w:name w:val="BR normal 11pt"/>
    <w:basedOn w:val="Body"/>
    <w:link w:val="BRnormal11ptChar"/>
    <w:rsid w:val="00E95593"/>
    <w:pPr>
      <w:widowControl/>
      <w:suppressAutoHyphens w:val="0"/>
      <w:adjustRightInd/>
      <w:spacing w:after="200" w:line="240" w:lineRule="auto"/>
      <w:textAlignment w:val="auto"/>
    </w:pPr>
    <w:rPr>
      <w:rFonts w:eastAsiaTheme="minorHAnsi"/>
      <w:color w:val="auto"/>
      <w:lang w:val="en-AU" w:eastAsia="en-AU"/>
    </w:rPr>
  </w:style>
  <w:style w:type="character" w:customStyle="1" w:styleId="AppendixChar">
    <w:name w:val="Appendix Char"/>
    <w:basedOn w:val="Heading1Char"/>
    <w:link w:val="Appendix"/>
    <w:rsid w:val="000C6964"/>
    <w:rPr>
      <w:rFonts w:ascii="Arial" w:hAnsi="Arial" w:cs="Arial"/>
      <w:b/>
      <w:bCs/>
      <w:color w:val="00B0F0"/>
      <w:sz w:val="48"/>
      <w:szCs w:val="48"/>
      <w:lang w:val="en-GB"/>
    </w:rPr>
  </w:style>
  <w:style w:type="character" w:customStyle="1" w:styleId="BRnormal11ptChar">
    <w:name w:val="BR normal 11pt Char"/>
    <w:basedOn w:val="BodyChar"/>
    <w:link w:val="BRnormal11pt"/>
    <w:rsid w:val="00E95593"/>
    <w:rPr>
      <w:rFonts w:ascii="Calibri" w:eastAsiaTheme="minorHAnsi" w:hAnsi="Calibri" w:cs="Calibri"/>
      <w:color w:val="auto"/>
      <w:sz w:val="18"/>
      <w:szCs w:val="18"/>
      <w:lang w:val="en-AU" w:eastAsia="en-AU"/>
    </w:rPr>
  </w:style>
  <w:style w:type="paragraph" w:customStyle="1" w:styleId="BRdotpoints">
    <w:name w:val="BR dot points"/>
    <w:basedOn w:val="Bulletpoint"/>
    <w:link w:val="BRdotpointsChar"/>
    <w:qFormat/>
    <w:rsid w:val="009D2008"/>
  </w:style>
  <w:style w:type="character" w:customStyle="1" w:styleId="BRdotpointsChar">
    <w:name w:val="BR dot points Char"/>
    <w:basedOn w:val="DefaultParagraphFont"/>
    <w:link w:val="BRdotpoints"/>
    <w:rsid w:val="009D2008"/>
  </w:style>
  <w:style w:type="paragraph" w:customStyle="1" w:styleId="2ndbullet">
    <w:name w:val="2nd bullet"/>
    <w:basedOn w:val="2ndbulletpoint"/>
    <w:link w:val="2ndbulletChar"/>
    <w:qFormat/>
    <w:rsid w:val="002A3833"/>
    <w:pPr>
      <w:numPr>
        <w:numId w:val="50"/>
      </w:numPr>
      <w:tabs>
        <w:tab w:val="clear" w:pos="1440"/>
        <w:tab w:val="num" w:pos="1134"/>
      </w:tabs>
      <w:ind w:left="1134" w:hanging="425"/>
    </w:pPr>
    <w:rPr>
      <w:rFonts w:eastAsiaTheme="minorHAnsi"/>
      <w:lang w:val="en-AU" w:eastAsia="en-AU"/>
    </w:rPr>
  </w:style>
  <w:style w:type="character" w:customStyle="1" w:styleId="2ndbulletChar">
    <w:name w:val="2nd bullet Char"/>
    <w:basedOn w:val="2ndbulletpointChar"/>
    <w:link w:val="2ndbullet"/>
    <w:rsid w:val="002A3833"/>
    <w:rPr>
      <w:rFonts w:ascii="Arial" w:eastAsiaTheme="minorHAnsi" w:hAnsi="Arial" w:cs="Arial"/>
      <w:color w:val="000000"/>
      <w:sz w:val="22"/>
      <w:szCs w:val="22"/>
      <w:lang w:val="en-AU" w:eastAsia="en-AU"/>
    </w:rPr>
  </w:style>
  <w:style w:type="character" w:customStyle="1" w:styleId="apple-converted-space">
    <w:name w:val="apple-converted-space"/>
    <w:basedOn w:val="DefaultParagraphFont"/>
    <w:rsid w:val="003B1829"/>
  </w:style>
  <w:style w:type="paragraph" w:customStyle="1" w:styleId="Tableheading">
    <w:name w:val="Table heading"/>
    <w:basedOn w:val="Body"/>
    <w:link w:val="TableheadingChar"/>
    <w:qFormat/>
    <w:rsid w:val="00470AD4"/>
    <w:pPr>
      <w:spacing w:before="60" w:after="60" w:line="240" w:lineRule="auto"/>
    </w:pPr>
    <w:rPr>
      <w:rFonts w:ascii="Arial" w:eastAsiaTheme="minorHAnsi" w:hAnsi="Arial" w:cs="Arial"/>
      <w:b/>
      <w:color w:val="auto"/>
      <w:sz w:val="20"/>
      <w:szCs w:val="20"/>
      <w:lang w:val="en-AU" w:eastAsia="en-US"/>
    </w:rPr>
  </w:style>
  <w:style w:type="paragraph" w:customStyle="1" w:styleId="Tabletext">
    <w:name w:val="Table text"/>
    <w:basedOn w:val="Body"/>
    <w:link w:val="TabletextChar"/>
    <w:qFormat/>
    <w:rsid w:val="00CB2FBB"/>
    <w:pPr>
      <w:spacing w:before="60" w:after="60" w:line="240" w:lineRule="auto"/>
    </w:pPr>
    <w:rPr>
      <w:rFonts w:ascii="Arial" w:eastAsiaTheme="minorHAnsi" w:hAnsi="Arial" w:cs="Arial"/>
      <w:bCs/>
      <w:color w:val="auto"/>
      <w:sz w:val="20"/>
      <w:szCs w:val="20"/>
      <w:lang w:val="en-AU" w:eastAsia="en-US"/>
    </w:rPr>
  </w:style>
  <w:style w:type="character" w:customStyle="1" w:styleId="TableheadingChar">
    <w:name w:val="Table heading Char"/>
    <w:basedOn w:val="BodyChar"/>
    <w:link w:val="Tableheading"/>
    <w:rsid w:val="00470AD4"/>
    <w:rPr>
      <w:rFonts w:ascii="Calibri" w:eastAsiaTheme="minorHAnsi" w:hAnsi="Calibri" w:cs="Calibri"/>
      <w:b/>
      <w:color w:val="auto"/>
      <w:sz w:val="20"/>
      <w:szCs w:val="20"/>
      <w:lang w:val="en-AU" w:eastAsia="en-US"/>
    </w:rPr>
  </w:style>
  <w:style w:type="character" w:customStyle="1" w:styleId="TabletextChar">
    <w:name w:val="Table text Char"/>
    <w:basedOn w:val="BodyChar"/>
    <w:link w:val="Tabletext"/>
    <w:rsid w:val="00CB2FBB"/>
    <w:rPr>
      <w:rFonts w:ascii="Calibri" w:eastAsiaTheme="minorHAnsi" w:hAnsi="Calibri" w:cs="Calibri"/>
      <w:bCs/>
      <w:color w:val="auto"/>
      <w:sz w:val="20"/>
      <w:szCs w:val="20"/>
      <w:lang w:val="en-AU" w:eastAsia="en-US"/>
    </w:rPr>
  </w:style>
  <w:style w:type="paragraph" w:customStyle="1" w:styleId="SummaryH2">
    <w:name w:val="Summary H2"/>
    <w:basedOn w:val="BR-normal-CopyrightPage"/>
    <w:link w:val="SummaryH2Char"/>
    <w:qFormat/>
    <w:rsid w:val="005F6513"/>
    <w:rPr>
      <w:b/>
      <w:color w:val="1F497D" w:themeColor="text2"/>
      <w:sz w:val="30"/>
      <w:szCs w:val="30"/>
    </w:rPr>
  </w:style>
  <w:style w:type="character" w:customStyle="1" w:styleId="SummaryH2Char">
    <w:name w:val="Summary H2 Char"/>
    <w:basedOn w:val="BR-normal-CopyrightPageChar"/>
    <w:link w:val="SummaryH2"/>
    <w:rsid w:val="005F6513"/>
    <w:rPr>
      <w:rFonts w:ascii="Arial" w:eastAsiaTheme="minorHAnsi" w:hAnsi="Arial" w:cs="Arial"/>
      <w:b/>
      <w:color w:val="1F497D" w:themeColor="text2"/>
      <w:sz w:val="30"/>
      <w:szCs w:val="30"/>
      <w:lang w:val="en-AU" w:eastAsia="en-AU"/>
    </w:rPr>
  </w:style>
  <w:style w:type="paragraph" w:customStyle="1" w:styleId="BRCoverPageH2">
    <w:name w:val="BR Cover Page H2"/>
    <w:basedOn w:val="SummaryH2"/>
    <w:link w:val="BRCoverPageH2Char"/>
    <w:qFormat/>
    <w:rsid w:val="00F71ADA"/>
    <w:pPr>
      <w:spacing w:before="480" w:after="600"/>
      <w:ind w:left="2410"/>
    </w:pPr>
    <w:rPr>
      <w:rFonts w:ascii="Calibri-Bold" w:hAnsi="Calibri-Bold" w:cs="Calibri-Bold"/>
      <w:sz w:val="52"/>
      <w:szCs w:val="52"/>
    </w:rPr>
  </w:style>
  <w:style w:type="paragraph" w:customStyle="1" w:styleId="BRCoverPageH1">
    <w:name w:val="BR Cover Page H1"/>
    <w:basedOn w:val="H1"/>
    <w:link w:val="BRCoverPageH1Char"/>
    <w:qFormat/>
    <w:rsid w:val="00F71ADA"/>
    <w:pPr>
      <w:spacing w:line="240" w:lineRule="auto"/>
    </w:pPr>
    <w:rPr>
      <w:rFonts w:ascii="Calibri" w:eastAsia="Times New Roman" w:hAnsi="Calibri"/>
      <w:b w:val="0"/>
      <w:i/>
      <w:color w:val="1F497D" w:themeColor="text2"/>
      <w:sz w:val="24"/>
      <w:lang w:val="en-GB" w:eastAsia="en-AU"/>
    </w:rPr>
  </w:style>
  <w:style w:type="character" w:customStyle="1" w:styleId="BRCoverPageH2Char">
    <w:name w:val="BR Cover Page H2 Char"/>
    <w:basedOn w:val="Head3HeadingsChar"/>
    <w:link w:val="BRCoverPageH2"/>
    <w:rsid w:val="00F71ADA"/>
    <w:rPr>
      <w:rFonts w:ascii="Calibri-Bold" w:eastAsiaTheme="minorHAnsi" w:hAnsi="Calibri-Bold" w:cs="Calibri-Bold"/>
      <w:b/>
      <w:bCs w:val="0"/>
      <w:color w:val="1F497D" w:themeColor="text2"/>
      <w:sz w:val="52"/>
      <w:szCs w:val="52"/>
      <w:lang w:val="en-AU" w:eastAsia="en-AU"/>
    </w:rPr>
  </w:style>
  <w:style w:type="character" w:customStyle="1" w:styleId="BRCoverPageH1Char">
    <w:name w:val="BR Cover Page H1 Char"/>
    <w:basedOn w:val="BodyChar"/>
    <w:link w:val="BRCoverPageH1"/>
    <w:rsid w:val="00F71ADA"/>
    <w:rPr>
      <w:rFonts w:ascii="Calibri" w:eastAsia="Times New Roman" w:hAnsi="Calibri" w:cs="Calibri-Bold"/>
      <w:bCs/>
      <w:i/>
      <w:color w:val="1F497D" w:themeColor="text2"/>
      <w:sz w:val="24"/>
      <w:szCs w:val="48"/>
      <w:lang w:val="en-GB" w:eastAsia="en-AU"/>
    </w:rPr>
  </w:style>
  <w:style w:type="paragraph" w:customStyle="1" w:styleId="BRCoverPageH3">
    <w:name w:val="BR Cover Page H3"/>
    <w:basedOn w:val="H3"/>
    <w:link w:val="BRCoverPageH3Char"/>
    <w:qFormat/>
    <w:rsid w:val="00F71ADA"/>
    <w:pPr>
      <w:spacing w:before="840"/>
      <w:ind w:left="2410"/>
    </w:pPr>
    <w:rPr>
      <w:rFonts w:ascii="Arial" w:eastAsiaTheme="minorHAnsi" w:hAnsi="Arial"/>
      <w:b w:val="0"/>
      <w:color w:val="1F497D" w:themeColor="text2"/>
      <w:sz w:val="20"/>
      <w:lang w:val="en-GB" w:eastAsia="en-AU"/>
    </w:rPr>
  </w:style>
  <w:style w:type="character" w:customStyle="1" w:styleId="BRCoverPageH3Char">
    <w:name w:val="BR Cover Page H3 Char"/>
    <w:basedOn w:val="DefaultParagraphFont"/>
    <w:link w:val="BRCoverPageH3"/>
    <w:rsid w:val="00F71ADA"/>
    <w:rPr>
      <w:rFonts w:eastAsiaTheme="minorHAnsi" w:cs="Calibri-Bold"/>
      <w:bCs/>
      <w:color w:val="1F497D" w:themeColor="text2"/>
      <w:sz w:val="20"/>
      <w:lang w:val="en-GB" w:eastAsia="en-A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AU" w:eastAsia="en-A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r="http://schemas.openxmlformats.org/officeDocument/2006/relationships" xmlns:w="http://schemas.openxmlformats.org/wordprocessingml/2006/main">
  <w:divs>
    <w:div w:id="268128096">
      <w:bodyDiv w:val="1"/>
      <w:marLeft w:val="0"/>
      <w:marRight w:val="0"/>
      <w:marTop w:val="0"/>
      <w:marBottom w:val="0"/>
      <w:divBdr>
        <w:top w:val="none" w:sz="0" w:space="0" w:color="auto"/>
        <w:left w:val="none" w:sz="0" w:space="0" w:color="auto"/>
        <w:bottom w:val="none" w:sz="0" w:space="0" w:color="auto"/>
        <w:right w:val="none" w:sz="0" w:space="0" w:color="auto"/>
      </w:divBdr>
    </w:div>
    <w:div w:id="312833282">
      <w:bodyDiv w:val="1"/>
      <w:marLeft w:val="0"/>
      <w:marRight w:val="0"/>
      <w:marTop w:val="0"/>
      <w:marBottom w:val="0"/>
      <w:divBdr>
        <w:top w:val="none" w:sz="0" w:space="0" w:color="auto"/>
        <w:left w:val="none" w:sz="0" w:space="0" w:color="auto"/>
        <w:bottom w:val="none" w:sz="0" w:space="0" w:color="auto"/>
        <w:right w:val="none" w:sz="0" w:space="0" w:color="auto"/>
      </w:divBdr>
    </w:div>
    <w:div w:id="404375342">
      <w:bodyDiv w:val="1"/>
      <w:marLeft w:val="0"/>
      <w:marRight w:val="0"/>
      <w:marTop w:val="0"/>
      <w:marBottom w:val="0"/>
      <w:divBdr>
        <w:top w:val="none" w:sz="0" w:space="0" w:color="auto"/>
        <w:left w:val="none" w:sz="0" w:space="0" w:color="auto"/>
        <w:bottom w:val="none" w:sz="0" w:space="0" w:color="auto"/>
        <w:right w:val="none" w:sz="0" w:space="0" w:color="auto"/>
      </w:divBdr>
    </w:div>
    <w:div w:id="489954420">
      <w:bodyDiv w:val="1"/>
      <w:marLeft w:val="0"/>
      <w:marRight w:val="0"/>
      <w:marTop w:val="0"/>
      <w:marBottom w:val="0"/>
      <w:divBdr>
        <w:top w:val="none" w:sz="0" w:space="0" w:color="auto"/>
        <w:left w:val="none" w:sz="0" w:space="0" w:color="auto"/>
        <w:bottom w:val="none" w:sz="0" w:space="0" w:color="auto"/>
        <w:right w:val="none" w:sz="0" w:space="0" w:color="auto"/>
      </w:divBdr>
    </w:div>
    <w:div w:id="706176656">
      <w:bodyDiv w:val="1"/>
      <w:marLeft w:val="0"/>
      <w:marRight w:val="0"/>
      <w:marTop w:val="0"/>
      <w:marBottom w:val="0"/>
      <w:divBdr>
        <w:top w:val="none" w:sz="0" w:space="0" w:color="auto"/>
        <w:left w:val="none" w:sz="0" w:space="0" w:color="auto"/>
        <w:bottom w:val="none" w:sz="0" w:space="0" w:color="auto"/>
        <w:right w:val="none" w:sz="0" w:space="0" w:color="auto"/>
      </w:divBdr>
    </w:div>
    <w:div w:id="757748941">
      <w:bodyDiv w:val="1"/>
      <w:marLeft w:val="0"/>
      <w:marRight w:val="0"/>
      <w:marTop w:val="0"/>
      <w:marBottom w:val="0"/>
      <w:divBdr>
        <w:top w:val="none" w:sz="0" w:space="0" w:color="auto"/>
        <w:left w:val="none" w:sz="0" w:space="0" w:color="auto"/>
        <w:bottom w:val="none" w:sz="0" w:space="0" w:color="auto"/>
        <w:right w:val="none" w:sz="0" w:space="0" w:color="auto"/>
      </w:divBdr>
    </w:div>
    <w:div w:id="855389036">
      <w:bodyDiv w:val="1"/>
      <w:marLeft w:val="0"/>
      <w:marRight w:val="0"/>
      <w:marTop w:val="0"/>
      <w:marBottom w:val="0"/>
      <w:divBdr>
        <w:top w:val="none" w:sz="0" w:space="0" w:color="auto"/>
        <w:left w:val="none" w:sz="0" w:space="0" w:color="auto"/>
        <w:bottom w:val="none" w:sz="0" w:space="0" w:color="auto"/>
        <w:right w:val="none" w:sz="0" w:space="0" w:color="auto"/>
      </w:divBdr>
    </w:div>
    <w:div w:id="857620149">
      <w:bodyDiv w:val="1"/>
      <w:marLeft w:val="0"/>
      <w:marRight w:val="0"/>
      <w:marTop w:val="0"/>
      <w:marBottom w:val="0"/>
      <w:divBdr>
        <w:top w:val="none" w:sz="0" w:space="0" w:color="auto"/>
        <w:left w:val="none" w:sz="0" w:space="0" w:color="auto"/>
        <w:bottom w:val="none" w:sz="0" w:space="0" w:color="auto"/>
        <w:right w:val="none" w:sz="0" w:space="0" w:color="auto"/>
      </w:divBdr>
    </w:div>
    <w:div w:id="876162614">
      <w:bodyDiv w:val="1"/>
      <w:marLeft w:val="0"/>
      <w:marRight w:val="0"/>
      <w:marTop w:val="0"/>
      <w:marBottom w:val="0"/>
      <w:divBdr>
        <w:top w:val="none" w:sz="0" w:space="0" w:color="auto"/>
        <w:left w:val="none" w:sz="0" w:space="0" w:color="auto"/>
        <w:bottom w:val="none" w:sz="0" w:space="0" w:color="auto"/>
        <w:right w:val="none" w:sz="0" w:space="0" w:color="auto"/>
      </w:divBdr>
    </w:div>
    <w:div w:id="877199801">
      <w:bodyDiv w:val="1"/>
      <w:marLeft w:val="0"/>
      <w:marRight w:val="0"/>
      <w:marTop w:val="0"/>
      <w:marBottom w:val="0"/>
      <w:divBdr>
        <w:top w:val="none" w:sz="0" w:space="0" w:color="auto"/>
        <w:left w:val="none" w:sz="0" w:space="0" w:color="auto"/>
        <w:bottom w:val="none" w:sz="0" w:space="0" w:color="auto"/>
        <w:right w:val="none" w:sz="0" w:space="0" w:color="auto"/>
      </w:divBdr>
    </w:div>
    <w:div w:id="931553567">
      <w:bodyDiv w:val="1"/>
      <w:marLeft w:val="0"/>
      <w:marRight w:val="0"/>
      <w:marTop w:val="0"/>
      <w:marBottom w:val="0"/>
      <w:divBdr>
        <w:top w:val="none" w:sz="0" w:space="0" w:color="auto"/>
        <w:left w:val="none" w:sz="0" w:space="0" w:color="auto"/>
        <w:bottom w:val="none" w:sz="0" w:space="0" w:color="auto"/>
        <w:right w:val="none" w:sz="0" w:space="0" w:color="auto"/>
      </w:divBdr>
    </w:div>
    <w:div w:id="963124206">
      <w:bodyDiv w:val="1"/>
      <w:marLeft w:val="0"/>
      <w:marRight w:val="0"/>
      <w:marTop w:val="0"/>
      <w:marBottom w:val="0"/>
      <w:divBdr>
        <w:top w:val="none" w:sz="0" w:space="0" w:color="auto"/>
        <w:left w:val="none" w:sz="0" w:space="0" w:color="auto"/>
        <w:bottom w:val="none" w:sz="0" w:space="0" w:color="auto"/>
        <w:right w:val="none" w:sz="0" w:space="0" w:color="auto"/>
      </w:divBdr>
    </w:div>
    <w:div w:id="976764015">
      <w:bodyDiv w:val="1"/>
      <w:marLeft w:val="0"/>
      <w:marRight w:val="0"/>
      <w:marTop w:val="0"/>
      <w:marBottom w:val="0"/>
      <w:divBdr>
        <w:top w:val="none" w:sz="0" w:space="0" w:color="auto"/>
        <w:left w:val="none" w:sz="0" w:space="0" w:color="auto"/>
        <w:bottom w:val="none" w:sz="0" w:space="0" w:color="auto"/>
        <w:right w:val="none" w:sz="0" w:space="0" w:color="auto"/>
      </w:divBdr>
    </w:div>
    <w:div w:id="1169441732">
      <w:bodyDiv w:val="1"/>
      <w:marLeft w:val="0"/>
      <w:marRight w:val="0"/>
      <w:marTop w:val="0"/>
      <w:marBottom w:val="0"/>
      <w:divBdr>
        <w:top w:val="none" w:sz="0" w:space="0" w:color="auto"/>
        <w:left w:val="none" w:sz="0" w:space="0" w:color="auto"/>
        <w:bottom w:val="none" w:sz="0" w:space="0" w:color="auto"/>
        <w:right w:val="none" w:sz="0" w:space="0" w:color="auto"/>
      </w:divBdr>
    </w:div>
    <w:div w:id="1188134604">
      <w:bodyDiv w:val="1"/>
      <w:marLeft w:val="0"/>
      <w:marRight w:val="0"/>
      <w:marTop w:val="0"/>
      <w:marBottom w:val="0"/>
      <w:divBdr>
        <w:top w:val="none" w:sz="0" w:space="0" w:color="auto"/>
        <w:left w:val="none" w:sz="0" w:space="0" w:color="auto"/>
        <w:bottom w:val="none" w:sz="0" w:space="0" w:color="auto"/>
        <w:right w:val="none" w:sz="0" w:space="0" w:color="auto"/>
      </w:divBdr>
    </w:div>
    <w:div w:id="1219512133">
      <w:bodyDiv w:val="1"/>
      <w:marLeft w:val="0"/>
      <w:marRight w:val="0"/>
      <w:marTop w:val="0"/>
      <w:marBottom w:val="0"/>
      <w:divBdr>
        <w:top w:val="none" w:sz="0" w:space="0" w:color="auto"/>
        <w:left w:val="none" w:sz="0" w:space="0" w:color="auto"/>
        <w:bottom w:val="none" w:sz="0" w:space="0" w:color="auto"/>
        <w:right w:val="none" w:sz="0" w:space="0" w:color="auto"/>
      </w:divBdr>
    </w:div>
    <w:div w:id="1290433058">
      <w:bodyDiv w:val="1"/>
      <w:marLeft w:val="0"/>
      <w:marRight w:val="0"/>
      <w:marTop w:val="0"/>
      <w:marBottom w:val="0"/>
      <w:divBdr>
        <w:top w:val="none" w:sz="0" w:space="0" w:color="auto"/>
        <w:left w:val="none" w:sz="0" w:space="0" w:color="auto"/>
        <w:bottom w:val="none" w:sz="0" w:space="0" w:color="auto"/>
        <w:right w:val="none" w:sz="0" w:space="0" w:color="auto"/>
      </w:divBdr>
    </w:div>
    <w:div w:id="1294826302">
      <w:bodyDiv w:val="1"/>
      <w:marLeft w:val="0"/>
      <w:marRight w:val="0"/>
      <w:marTop w:val="0"/>
      <w:marBottom w:val="0"/>
      <w:divBdr>
        <w:top w:val="none" w:sz="0" w:space="0" w:color="auto"/>
        <w:left w:val="none" w:sz="0" w:space="0" w:color="auto"/>
        <w:bottom w:val="none" w:sz="0" w:space="0" w:color="auto"/>
        <w:right w:val="none" w:sz="0" w:space="0" w:color="auto"/>
      </w:divBdr>
    </w:div>
    <w:div w:id="1483618882">
      <w:bodyDiv w:val="1"/>
      <w:marLeft w:val="0"/>
      <w:marRight w:val="0"/>
      <w:marTop w:val="0"/>
      <w:marBottom w:val="0"/>
      <w:divBdr>
        <w:top w:val="none" w:sz="0" w:space="0" w:color="auto"/>
        <w:left w:val="none" w:sz="0" w:space="0" w:color="auto"/>
        <w:bottom w:val="none" w:sz="0" w:space="0" w:color="auto"/>
        <w:right w:val="none" w:sz="0" w:space="0" w:color="auto"/>
      </w:divBdr>
    </w:div>
    <w:div w:id="1488979365">
      <w:bodyDiv w:val="1"/>
      <w:marLeft w:val="0"/>
      <w:marRight w:val="0"/>
      <w:marTop w:val="0"/>
      <w:marBottom w:val="0"/>
      <w:divBdr>
        <w:top w:val="none" w:sz="0" w:space="0" w:color="auto"/>
        <w:left w:val="none" w:sz="0" w:space="0" w:color="auto"/>
        <w:bottom w:val="none" w:sz="0" w:space="0" w:color="auto"/>
        <w:right w:val="none" w:sz="0" w:space="0" w:color="auto"/>
      </w:divBdr>
    </w:div>
    <w:div w:id="1515531009">
      <w:bodyDiv w:val="1"/>
      <w:marLeft w:val="0"/>
      <w:marRight w:val="0"/>
      <w:marTop w:val="0"/>
      <w:marBottom w:val="0"/>
      <w:divBdr>
        <w:top w:val="none" w:sz="0" w:space="0" w:color="auto"/>
        <w:left w:val="none" w:sz="0" w:space="0" w:color="auto"/>
        <w:bottom w:val="none" w:sz="0" w:space="0" w:color="auto"/>
        <w:right w:val="none" w:sz="0" w:space="0" w:color="auto"/>
      </w:divBdr>
    </w:div>
    <w:div w:id="1599363998">
      <w:bodyDiv w:val="1"/>
      <w:marLeft w:val="0"/>
      <w:marRight w:val="0"/>
      <w:marTop w:val="0"/>
      <w:marBottom w:val="0"/>
      <w:divBdr>
        <w:top w:val="none" w:sz="0" w:space="0" w:color="auto"/>
        <w:left w:val="none" w:sz="0" w:space="0" w:color="auto"/>
        <w:bottom w:val="none" w:sz="0" w:space="0" w:color="auto"/>
        <w:right w:val="none" w:sz="0" w:space="0" w:color="auto"/>
      </w:divBdr>
    </w:div>
    <w:div w:id="1801924008">
      <w:bodyDiv w:val="1"/>
      <w:marLeft w:val="0"/>
      <w:marRight w:val="0"/>
      <w:marTop w:val="0"/>
      <w:marBottom w:val="0"/>
      <w:divBdr>
        <w:top w:val="none" w:sz="0" w:space="0" w:color="auto"/>
        <w:left w:val="none" w:sz="0" w:space="0" w:color="auto"/>
        <w:bottom w:val="none" w:sz="0" w:space="0" w:color="auto"/>
        <w:right w:val="none" w:sz="0" w:space="0" w:color="auto"/>
      </w:divBdr>
    </w:div>
    <w:div w:id="1835410753">
      <w:bodyDiv w:val="1"/>
      <w:marLeft w:val="0"/>
      <w:marRight w:val="0"/>
      <w:marTop w:val="0"/>
      <w:marBottom w:val="0"/>
      <w:divBdr>
        <w:top w:val="none" w:sz="0" w:space="0" w:color="auto"/>
        <w:left w:val="none" w:sz="0" w:space="0" w:color="auto"/>
        <w:bottom w:val="none" w:sz="0" w:space="0" w:color="auto"/>
        <w:right w:val="none" w:sz="0" w:space="0" w:color="auto"/>
      </w:divBdr>
    </w:div>
    <w:div w:id="1843279326">
      <w:bodyDiv w:val="1"/>
      <w:marLeft w:val="0"/>
      <w:marRight w:val="0"/>
      <w:marTop w:val="0"/>
      <w:marBottom w:val="0"/>
      <w:divBdr>
        <w:top w:val="none" w:sz="0" w:space="0" w:color="auto"/>
        <w:left w:val="none" w:sz="0" w:space="0" w:color="auto"/>
        <w:bottom w:val="none" w:sz="0" w:space="0" w:color="auto"/>
        <w:right w:val="none" w:sz="0" w:space="0" w:color="auto"/>
      </w:divBdr>
    </w:div>
    <w:div w:id="1860004628">
      <w:bodyDiv w:val="1"/>
      <w:marLeft w:val="0"/>
      <w:marRight w:val="0"/>
      <w:marTop w:val="0"/>
      <w:marBottom w:val="0"/>
      <w:divBdr>
        <w:top w:val="none" w:sz="0" w:space="0" w:color="auto"/>
        <w:left w:val="none" w:sz="0" w:space="0" w:color="auto"/>
        <w:bottom w:val="none" w:sz="0" w:space="0" w:color="auto"/>
        <w:right w:val="none" w:sz="0" w:space="0" w:color="auto"/>
      </w:divBdr>
    </w:div>
    <w:div w:id="2081781778">
      <w:bodyDiv w:val="1"/>
      <w:marLeft w:val="0"/>
      <w:marRight w:val="0"/>
      <w:marTop w:val="0"/>
      <w:marBottom w:val="0"/>
      <w:divBdr>
        <w:top w:val="none" w:sz="0" w:space="0" w:color="auto"/>
        <w:left w:val="none" w:sz="0" w:space="0" w:color="auto"/>
        <w:bottom w:val="none" w:sz="0" w:space="0" w:color="auto"/>
        <w:right w:val="none" w:sz="0" w:space="0" w:color="auto"/>
      </w:divBdr>
    </w:div>
    <w:div w:id="2091198724">
      <w:bodyDiv w:val="1"/>
      <w:marLeft w:val="0"/>
      <w:marRight w:val="0"/>
      <w:marTop w:val="0"/>
      <w:marBottom w:val="0"/>
      <w:divBdr>
        <w:top w:val="none" w:sz="0" w:space="0" w:color="auto"/>
        <w:left w:val="none" w:sz="0" w:space="0" w:color="auto"/>
        <w:bottom w:val="none" w:sz="0" w:space="0" w:color="auto"/>
        <w:right w:val="none" w:sz="0" w:space="0" w:color="auto"/>
      </w:divBdr>
    </w:div>
    <w:div w:id="2099137571">
      <w:bodyDiv w:val="1"/>
      <w:marLeft w:val="0"/>
      <w:marRight w:val="0"/>
      <w:marTop w:val="0"/>
      <w:marBottom w:val="0"/>
      <w:divBdr>
        <w:top w:val="none" w:sz="0" w:space="0" w:color="auto"/>
        <w:left w:val="none" w:sz="0" w:space="0" w:color="auto"/>
        <w:bottom w:val="none" w:sz="0" w:space="0" w:color="auto"/>
        <w:right w:val="none" w:sz="0" w:space="0" w:color="auto"/>
      </w:divBdr>
    </w:div>
    <w:div w:id="2102601688">
      <w:bodyDiv w:val="1"/>
      <w:marLeft w:val="0"/>
      <w:marRight w:val="0"/>
      <w:marTop w:val="0"/>
      <w:marBottom w:val="0"/>
      <w:divBdr>
        <w:top w:val="none" w:sz="0" w:space="0" w:color="auto"/>
        <w:left w:val="none" w:sz="0" w:space="0" w:color="auto"/>
        <w:bottom w:val="none" w:sz="0" w:space="0" w:color="auto"/>
        <w:right w:val="none" w:sz="0" w:space="0" w:color="auto"/>
      </w:divBdr>
    </w:div>
    <w:div w:id="211066001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emf"/><Relationship Id="rId21" Type="http://schemas.openxmlformats.org/officeDocument/2006/relationships/footer" Target="footer5.xml"/><Relationship Id="rId42" Type="http://schemas.openxmlformats.org/officeDocument/2006/relationships/image" Target="media/image23.png"/><Relationship Id="rId47" Type="http://schemas.openxmlformats.org/officeDocument/2006/relationships/image" Target="media/image28.png"/><Relationship Id="rId63" Type="http://schemas.openxmlformats.org/officeDocument/2006/relationships/image" Target="media/image38.emf"/><Relationship Id="rId68" Type="http://schemas.openxmlformats.org/officeDocument/2006/relationships/header" Target="header21.xml"/><Relationship Id="rId84" Type="http://schemas.openxmlformats.org/officeDocument/2006/relationships/image" Target="media/image49.emf"/><Relationship Id="rId89" Type="http://schemas.openxmlformats.org/officeDocument/2006/relationships/header" Target="header30.xml"/><Relationship Id="rId112" Type="http://schemas.openxmlformats.org/officeDocument/2006/relationships/fontTable" Target="fontTable.xml"/><Relationship Id="rId16" Type="http://schemas.openxmlformats.org/officeDocument/2006/relationships/hyperlink" Target="http://creativecommons.org/licenses/by/3.0/au/" TargetMode="External"/><Relationship Id="rId107" Type="http://schemas.openxmlformats.org/officeDocument/2006/relationships/hyperlink" Target="http://eprints.jcu.edu.au/1557/" TargetMode="External"/><Relationship Id="rId11" Type="http://schemas.openxmlformats.org/officeDocument/2006/relationships/footer" Target="footer1.xml"/><Relationship Id="rId24" Type="http://schemas.openxmlformats.org/officeDocument/2006/relationships/image" Target="media/image9.png"/><Relationship Id="rId32" Type="http://schemas.openxmlformats.org/officeDocument/2006/relationships/header" Target="header7.xml"/><Relationship Id="rId37" Type="http://schemas.openxmlformats.org/officeDocument/2006/relationships/image" Target="media/image18.png"/><Relationship Id="rId40" Type="http://schemas.openxmlformats.org/officeDocument/2006/relationships/image" Target="media/image21.jpeg"/><Relationship Id="rId45" Type="http://schemas.openxmlformats.org/officeDocument/2006/relationships/image" Target="media/image26.jpeg"/><Relationship Id="rId53" Type="http://schemas.openxmlformats.org/officeDocument/2006/relationships/image" Target="media/image34.emf"/><Relationship Id="rId58" Type="http://schemas.openxmlformats.org/officeDocument/2006/relationships/header" Target="header15.xml"/><Relationship Id="rId66" Type="http://schemas.openxmlformats.org/officeDocument/2006/relationships/image" Target="media/image39.png"/><Relationship Id="rId74" Type="http://schemas.openxmlformats.org/officeDocument/2006/relationships/header" Target="header25.xml"/><Relationship Id="rId79" Type="http://schemas.openxmlformats.org/officeDocument/2006/relationships/image" Target="media/image46.emf"/><Relationship Id="rId87" Type="http://schemas.openxmlformats.org/officeDocument/2006/relationships/image" Target="media/image50.emf"/><Relationship Id="rId102" Type="http://schemas.openxmlformats.org/officeDocument/2006/relationships/hyperlink" Target="http://mines.industry.qld.gov.au/geoscience/company-exploration-reports.htm" TargetMode="External"/><Relationship Id="rId110" Type="http://schemas.openxmlformats.org/officeDocument/2006/relationships/hyperlink" Target="http://or.water.usgs.gov/projs_dir/willgw/glossary.html" TargetMode="External"/><Relationship Id="rId123" Type="http://schemas.microsoft.com/office/2007/relationships/stylesWithEffects" Target="stylesWithEffects.xml"/><Relationship Id="rId5" Type="http://schemas.openxmlformats.org/officeDocument/2006/relationships/footnotes" Target="footnotes.xml"/><Relationship Id="rId61" Type="http://schemas.openxmlformats.org/officeDocument/2006/relationships/header" Target="header17.xml"/><Relationship Id="rId82" Type="http://schemas.openxmlformats.org/officeDocument/2006/relationships/header" Target="header27.xml"/><Relationship Id="rId90" Type="http://schemas.openxmlformats.org/officeDocument/2006/relationships/header" Target="header31.xml"/><Relationship Id="rId95" Type="http://schemas.openxmlformats.org/officeDocument/2006/relationships/header" Target="header33.xml"/><Relationship Id="rId19" Type="http://schemas.openxmlformats.org/officeDocument/2006/relationships/header" Target="header5.xml"/><Relationship Id="rId14" Type="http://schemas.openxmlformats.org/officeDocument/2006/relationships/footer" Target="footer3.xml"/><Relationship Id="rId22" Type="http://schemas.openxmlformats.org/officeDocument/2006/relationships/header" Target="header6.xml"/><Relationship Id="rId27" Type="http://schemas.openxmlformats.org/officeDocument/2006/relationships/image" Target="media/image12.png"/><Relationship Id="rId30" Type="http://schemas.openxmlformats.org/officeDocument/2006/relationships/image" Target="media/image15.png"/><Relationship Id="rId35" Type="http://schemas.openxmlformats.org/officeDocument/2006/relationships/header" Target="header9.xml"/><Relationship Id="rId43" Type="http://schemas.openxmlformats.org/officeDocument/2006/relationships/image" Target="media/image24.png"/><Relationship Id="rId48" Type="http://schemas.openxmlformats.org/officeDocument/2006/relationships/image" Target="media/image29.png"/><Relationship Id="rId56" Type="http://schemas.openxmlformats.org/officeDocument/2006/relationships/image" Target="media/image35.jpeg"/><Relationship Id="rId64" Type="http://schemas.openxmlformats.org/officeDocument/2006/relationships/header" Target="header18.xml"/><Relationship Id="rId69" Type="http://schemas.openxmlformats.org/officeDocument/2006/relationships/image" Target="media/image40.png"/><Relationship Id="rId77" Type="http://schemas.openxmlformats.org/officeDocument/2006/relationships/image" Target="media/image44.png"/><Relationship Id="rId100" Type="http://schemas.openxmlformats.org/officeDocument/2006/relationships/image" Target="media/image55.emf"/><Relationship Id="rId105" Type="http://schemas.openxmlformats.org/officeDocument/2006/relationships/hyperlink" Target="http://www.ga.gov.au/oceans/ea_Browse.jsp" TargetMode="External"/><Relationship Id="rId113" Type="http://schemas.openxmlformats.org/officeDocument/2006/relationships/theme" Target="theme/theme1.xml"/><Relationship Id="rId8" Type="http://schemas.openxmlformats.org/officeDocument/2006/relationships/image" Target="media/image2.png"/><Relationship Id="rId51" Type="http://schemas.openxmlformats.org/officeDocument/2006/relationships/image" Target="media/image32.png"/><Relationship Id="rId72" Type="http://schemas.openxmlformats.org/officeDocument/2006/relationships/image" Target="media/image41.emf"/><Relationship Id="rId80" Type="http://schemas.openxmlformats.org/officeDocument/2006/relationships/image" Target="media/image47.png"/><Relationship Id="rId85" Type="http://schemas.openxmlformats.org/officeDocument/2006/relationships/header" Target="header28.xml"/><Relationship Id="rId93" Type="http://schemas.openxmlformats.org/officeDocument/2006/relationships/footer" Target="footer7.xml"/><Relationship Id="rId98" Type="http://schemas.openxmlformats.org/officeDocument/2006/relationships/image" Target="media/image53.png"/><Relationship Id="rId121" Type="http://schemas.microsoft.com/office/2011/relationships/commentsExtended" Target="commentsExtended.xml"/><Relationship Id="rId3" Type="http://schemas.openxmlformats.org/officeDocument/2006/relationships/settings" Target="settings.xml"/><Relationship Id="rId12" Type="http://schemas.openxmlformats.org/officeDocument/2006/relationships/footer" Target="footer2.xml"/><Relationship Id="rId17" Type="http://schemas.openxmlformats.org/officeDocument/2006/relationships/hyperlink" Target="http://en.wikipedia.org/wiki/Aquifer" TargetMode="External"/><Relationship Id="rId25" Type="http://schemas.openxmlformats.org/officeDocument/2006/relationships/image" Target="media/image10.jpeg"/><Relationship Id="rId33" Type="http://schemas.openxmlformats.org/officeDocument/2006/relationships/header" Target="header8.xml"/><Relationship Id="rId38" Type="http://schemas.openxmlformats.org/officeDocument/2006/relationships/image" Target="media/image19.png"/><Relationship Id="rId46" Type="http://schemas.openxmlformats.org/officeDocument/2006/relationships/image" Target="media/image27.jpeg"/><Relationship Id="rId59" Type="http://schemas.openxmlformats.org/officeDocument/2006/relationships/image" Target="media/image36.png"/><Relationship Id="rId67" Type="http://schemas.openxmlformats.org/officeDocument/2006/relationships/header" Target="header20.xml"/><Relationship Id="rId103" Type="http://schemas.openxmlformats.org/officeDocument/2006/relationships/hyperlink" Target="http://mines.industry.qld.gov.au/geoscience/company-exploration-reports.htm" TargetMode="External"/><Relationship Id="rId108" Type="http://schemas.openxmlformats.org/officeDocument/2006/relationships/hyperlink" Target="http://www.pellsconsulting.com.au/selectedPapers/coalSeamGasCSG/" TargetMode="External"/><Relationship Id="rId20" Type="http://schemas.openxmlformats.org/officeDocument/2006/relationships/footer" Target="footer4.xml"/><Relationship Id="rId41" Type="http://schemas.openxmlformats.org/officeDocument/2006/relationships/image" Target="media/image22.png"/><Relationship Id="rId54" Type="http://schemas.openxmlformats.org/officeDocument/2006/relationships/header" Target="header12.xml"/><Relationship Id="rId62" Type="http://schemas.openxmlformats.org/officeDocument/2006/relationships/image" Target="media/image37.png"/><Relationship Id="rId70" Type="http://schemas.openxmlformats.org/officeDocument/2006/relationships/header" Target="header22.xml"/><Relationship Id="rId75" Type="http://schemas.openxmlformats.org/officeDocument/2006/relationships/image" Target="media/image42.png"/><Relationship Id="rId83" Type="http://schemas.openxmlformats.org/officeDocument/2006/relationships/image" Target="media/image48.emf"/><Relationship Id="rId88" Type="http://schemas.openxmlformats.org/officeDocument/2006/relationships/image" Target="media/image51.png"/><Relationship Id="rId91" Type="http://schemas.openxmlformats.org/officeDocument/2006/relationships/footer" Target="footer6.xml"/><Relationship Id="rId96" Type="http://schemas.openxmlformats.org/officeDocument/2006/relationships/header" Target="header34.xml"/><Relationship Id="rId111" Type="http://schemas.openxmlformats.org/officeDocument/2006/relationships/header" Target="header35.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5.jpeg"/><Relationship Id="rId23" Type="http://schemas.openxmlformats.org/officeDocument/2006/relationships/image" Target="media/image8.png"/><Relationship Id="rId28" Type="http://schemas.openxmlformats.org/officeDocument/2006/relationships/image" Target="media/image13.png"/><Relationship Id="rId36" Type="http://schemas.openxmlformats.org/officeDocument/2006/relationships/header" Target="header10.xml"/><Relationship Id="rId49" Type="http://schemas.openxmlformats.org/officeDocument/2006/relationships/image" Target="media/image30.png"/><Relationship Id="rId57" Type="http://schemas.openxmlformats.org/officeDocument/2006/relationships/header" Target="header14.xml"/><Relationship Id="rId106" Type="http://schemas.openxmlformats.org/officeDocument/2006/relationships/hyperlink" Target="http://www.ngwa.org/Fundamentals/use/Pages/Groundwater-facts.aspx" TargetMode="External"/><Relationship Id="rId10" Type="http://schemas.openxmlformats.org/officeDocument/2006/relationships/header" Target="header2.xml"/><Relationship Id="rId31" Type="http://schemas.openxmlformats.org/officeDocument/2006/relationships/image" Target="media/image16.png"/><Relationship Id="rId44" Type="http://schemas.openxmlformats.org/officeDocument/2006/relationships/image" Target="media/image25.png"/><Relationship Id="rId52" Type="http://schemas.openxmlformats.org/officeDocument/2006/relationships/header" Target="header11.xml"/><Relationship Id="rId60" Type="http://schemas.openxmlformats.org/officeDocument/2006/relationships/header" Target="header16.xml"/><Relationship Id="rId65" Type="http://schemas.openxmlformats.org/officeDocument/2006/relationships/header" Target="header19.xml"/><Relationship Id="rId73" Type="http://schemas.openxmlformats.org/officeDocument/2006/relationships/header" Target="header24.xml"/><Relationship Id="rId78" Type="http://schemas.openxmlformats.org/officeDocument/2006/relationships/image" Target="media/image45.jpeg"/><Relationship Id="rId81" Type="http://schemas.openxmlformats.org/officeDocument/2006/relationships/header" Target="header26.xml"/><Relationship Id="rId86" Type="http://schemas.openxmlformats.org/officeDocument/2006/relationships/header" Target="header29.xml"/><Relationship Id="rId94" Type="http://schemas.openxmlformats.org/officeDocument/2006/relationships/image" Target="media/image52.emf"/><Relationship Id="rId99" Type="http://schemas.openxmlformats.org/officeDocument/2006/relationships/image" Target="media/image54.emf"/><Relationship Id="rId101" Type="http://schemas.openxmlformats.org/officeDocument/2006/relationships/image" Target="media/image56.emf"/><Relationship Id="rId122" Type="http://schemas.microsoft.com/office/2011/relationships/people" Target="people.xml"/><Relationship Id="rId4" Type="http://schemas.openxmlformats.org/officeDocument/2006/relationships/webSettings" Target="webSettings.xml"/><Relationship Id="rId9" Type="http://schemas.openxmlformats.org/officeDocument/2006/relationships/header" Target="header1.xml"/><Relationship Id="rId13" Type="http://schemas.openxmlformats.org/officeDocument/2006/relationships/header" Target="header3.xml"/><Relationship Id="rId18" Type="http://schemas.openxmlformats.org/officeDocument/2006/relationships/header" Target="header4.xml"/><Relationship Id="rId39" Type="http://schemas.openxmlformats.org/officeDocument/2006/relationships/image" Target="media/image20.png"/><Relationship Id="rId109" Type="http://schemas.openxmlformats.org/officeDocument/2006/relationships/hyperlink" Target="http://www.pellsconsulting.com.au/selectedPapers/coalSeamGasCSG/" TargetMode="External"/><Relationship Id="rId34" Type="http://schemas.openxmlformats.org/officeDocument/2006/relationships/image" Target="media/image17.png"/><Relationship Id="rId50" Type="http://schemas.openxmlformats.org/officeDocument/2006/relationships/image" Target="media/image31.png"/><Relationship Id="rId55" Type="http://schemas.openxmlformats.org/officeDocument/2006/relationships/header" Target="header13.xml"/><Relationship Id="rId76" Type="http://schemas.openxmlformats.org/officeDocument/2006/relationships/image" Target="media/image43.png"/><Relationship Id="rId97" Type="http://schemas.openxmlformats.org/officeDocument/2006/relationships/footer" Target="footer8.xml"/><Relationship Id="rId104" Type="http://schemas.openxmlformats.org/officeDocument/2006/relationships/hyperlink" Target="http://mines.industry.qld.gov.au/geoscience/geoscience-wireline-log-data.htm" TargetMode="External"/><Relationship Id="rId7" Type="http://schemas.openxmlformats.org/officeDocument/2006/relationships/image" Target="media/image1.png"/><Relationship Id="rId71" Type="http://schemas.openxmlformats.org/officeDocument/2006/relationships/header" Target="header23.xml"/><Relationship Id="rId92" Type="http://schemas.openxmlformats.org/officeDocument/2006/relationships/header" Target="header32.xml"/><Relationship Id="rId2" Type="http://schemas.openxmlformats.org/officeDocument/2006/relationships/styles" Target="styles.xml"/><Relationship Id="rId29" Type="http://schemas.openxmlformats.org/officeDocument/2006/relationships/image" Target="media/image14.png"/></Relationships>
</file>

<file path=word/_rels/footnotes.xml.rels><?xml version="1.0" encoding="UTF-8" standalone="yes"?>
<Relationships xmlns="http://schemas.openxmlformats.org/package/2006/relationships"><Relationship Id="rId1" Type="http://schemas.openxmlformats.org/officeDocument/2006/relationships/hyperlink" Target="http://mines.industry.qld.gov.au/geoscience/company-exploration-reports.htm"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3.jpeg"/></Relationships>
</file>

<file path=word/_rels/header10.xml.rels><?xml version="1.0" encoding="UTF-8" standalone="yes"?>
<Relationships xmlns="http://schemas.openxmlformats.org/package/2006/relationships"><Relationship Id="rId1" Type="http://schemas.openxmlformats.org/officeDocument/2006/relationships/image" Target="media/image7.png"/></Relationships>
</file>

<file path=word/_rels/header11.xml.rels><?xml version="1.0" encoding="UTF-8" standalone="yes"?>
<Relationships xmlns="http://schemas.openxmlformats.org/package/2006/relationships"><Relationship Id="rId1" Type="http://schemas.openxmlformats.org/officeDocument/2006/relationships/image" Target="media/image33.jpeg"/></Relationships>
</file>

<file path=word/_rels/header12.xml.rels><?xml version="1.0" encoding="UTF-8" standalone="yes"?>
<Relationships xmlns="http://schemas.openxmlformats.org/package/2006/relationships"><Relationship Id="rId1" Type="http://schemas.openxmlformats.org/officeDocument/2006/relationships/image" Target="media/image6.png"/></Relationships>
</file>

<file path=word/_rels/header13.xml.rels><?xml version="1.0" encoding="UTF-8" standalone="yes"?>
<Relationships xmlns="http://schemas.openxmlformats.org/package/2006/relationships"><Relationship Id="rId1" Type="http://schemas.openxmlformats.org/officeDocument/2006/relationships/image" Target="media/image7.png"/></Relationships>
</file>

<file path=word/_rels/header14.xml.rels><?xml version="1.0" encoding="UTF-8" standalone="yes"?>
<Relationships xmlns="http://schemas.openxmlformats.org/package/2006/relationships"><Relationship Id="rId1" Type="http://schemas.openxmlformats.org/officeDocument/2006/relationships/image" Target="media/image6.png"/></Relationships>
</file>

<file path=word/_rels/header15.xml.rels><?xml version="1.0" encoding="UTF-8" standalone="yes"?>
<Relationships xmlns="http://schemas.openxmlformats.org/package/2006/relationships"><Relationship Id="rId1" Type="http://schemas.openxmlformats.org/officeDocument/2006/relationships/image" Target="media/image7.png"/></Relationships>
</file>

<file path=word/_rels/header16.xml.rels><?xml version="1.0" encoding="UTF-8" standalone="yes"?>
<Relationships xmlns="http://schemas.openxmlformats.org/package/2006/relationships"><Relationship Id="rId1" Type="http://schemas.openxmlformats.org/officeDocument/2006/relationships/image" Target="media/image6.png"/></Relationships>
</file>

<file path=word/_rels/header17.xml.rels><?xml version="1.0" encoding="UTF-8" standalone="yes"?>
<Relationships xmlns="http://schemas.openxmlformats.org/package/2006/relationships"><Relationship Id="rId1" Type="http://schemas.openxmlformats.org/officeDocument/2006/relationships/image" Target="media/image7.png"/></Relationships>
</file>

<file path=word/_rels/header18.xml.rels><?xml version="1.0" encoding="UTF-8" standalone="yes"?>
<Relationships xmlns="http://schemas.openxmlformats.org/package/2006/relationships"><Relationship Id="rId1" Type="http://schemas.openxmlformats.org/officeDocument/2006/relationships/image" Target="media/image6.png"/></Relationships>
</file>

<file path=word/_rels/header19.xml.rels><?xml version="1.0" encoding="UTF-8" standalone="yes"?>
<Relationships xmlns="http://schemas.openxmlformats.org/package/2006/relationships"><Relationship Id="rId1" Type="http://schemas.openxmlformats.org/officeDocument/2006/relationships/image" Target="media/image7.png"/></Relationships>
</file>

<file path=word/_rels/header2.xml.rels><?xml version="1.0" encoding="UTF-8" standalone="yes"?>
<Relationships xmlns="http://schemas.openxmlformats.org/package/2006/relationships"><Relationship Id="rId1" Type="http://schemas.openxmlformats.org/officeDocument/2006/relationships/image" Target="media/image3.jpeg"/></Relationships>
</file>

<file path=word/_rels/header20.xml.rels><?xml version="1.0" encoding="UTF-8" standalone="yes"?>
<Relationships xmlns="http://schemas.openxmlformats.org/package/2006/relationships"><Relationship Id="rId1" Type="http://schemas.openxmlformats.org/officeDocument/2006/relationships/image" Target="media/image6.png"/></Relationships>
</file>

<file path=word/_rels/header21.xml.rels><?xml version="1.0" encoding="UTF-8" standalone="yes"?>
<Relationships xmlns="http://schemas.openxmlformats.org/package/2006/relationships"><Relationship Id="rId1" Type="http://schemas.openxmlformats.org/officeDocument/2006/relationships/image" Target="media/image7.png"/></Relationships>
</file>

<file path=word/_rels/header22.xml.rels><?xml version="1.0" encoding="UTF-8" standalone="yes"?>
<Relationships xmlns="http://schemas.openxmlformats.org/package/2006/relationships"><Relationship Id="rId1" Type="http://schemas.openxmlformats.org/officeDocument/2006/relationships/image" Target="media/image6.png"/></Relationships>
</file>

<file path=word/_rels/header23.xml.rels><?xml version="1.0" encoding="UTF-8" standalone="yes"?>
<Relationships xmlns="http://schemas.openxmlformats.org/package/2006/relationships"><Relationship Id="rId1" Type="http://schemas.openxmlformats.org/officeDocument/2006/relationships/image" Target="media/image7.png"/></Relationships>
</file>

<file path=word/_rels/header24.xml.rels><?xml version="1.0" encoding="UTF-8" standalone="yes"?>
<Relationships xmlns="http://schemas.openxmlformats.org/package/2006/relationships"><Relationship Id="rId1" Type="http://schemas.openxmlformats.org/officeDocument/2006/relationships/image" Target="media/image6.png"/></Relationships>
</file>

<file path=word/_rels/header25.xml.rels><?xml version="1.0" encoding="UTF-8" standalone="yes"?>
<Relationships xmlns="http://schemas.openxmlformats.org/package/2006/relationships"><Relationship Id="rId1" Type="http://schemas.openxmlformats.org/officeDocument/2006/relationships/image" Target="media/image7.png"/></Relationships>
</file>

<file path=word/_rels/header26.xml.rels><?xml version="1.0" encoding="UTF-8" standalone="yes"?>
<Relationships xmlns="http://schemas.openxmlformats.org/package/2006/relationships"><Relationship Id="rId1" Type="http://schemas.openxmlformats.org/officeDocument/2006/relationships/image" Target="media/image6.png"/></Relationships>
</file>

<file path=word/_rels/header27.xml.rels><?xml version="1.0" encoding="UTF-8" standalone="yes"?>
<Relationships xmlns="http://schemas.openxmlformats.org/package/2006/relationships"><Relationship Id="rId1" Type="http://schemas.openxmlformats.org/officeDocument/2006/relationships/image" Target="media/image7.png"/></Relationships>
</file>

<file path=word/_rels/header28.xml.rels><?xml version="1.0" encoding="UTF-8" standalone="yes"?>
<Relationships xmlns="http://schemas.openxmlformats.org/package/2006/relationships"><Relationship Id="rId1" Type="http://schemas.openxmlformats.org/officeDocument/2006/relationships/image" Target="media/image6.png"/></Relationships>
</file>

<file path=word/_rels/header29.xml.rels><?xml version="1.0" encoding="UTF-8" standalone="yes"?>
<Relationships xmlns="http://schemas.openxmlformats.org/package/2006/relationships"><Relationship Id="rId1" Type="http://schemas.openxmlformats.org/officeDocument/2006/relationships/image" Target="media/image7.png"/></Relationships>
</file>

<file path=word/_rels/header3.xml.rels><?xml version="1.0" encoding="UTF-8" standalone="yes"?>
<Relationships xmlns="http://schemas.openxmlformats.org/package/2006/relationships"><Relationship Id="rId1" Type="http://schemas.openxmlformats.org/officeDocument/2006/relationships/image" Target="media/image4.png"/></Relationships>
</file>

<file path=word/_rels/header30.xml.rels><?xml version="1.0" encoding="UTF-8" standalone="yes"?>
<Relationships xmlns="http://schemas.openxmlformats.org/package/2006/relationships"><Relationship Id="rId1" Type="http://schemas.openxmlformats.org/officeDocument/2006/relationships/image" Target="media/image6.png"/></Relationships>
</file>

<file path=word/_rels/header31.xml.rels><?xml version="1.0" encoding="UTF-8" standalone="yes"?>
<Relationships xmlns="http://schemas.openxmlformats.org/package/2006/relationships"><Relationship Id="rId1" Type="http://schemas.openxmlformats.org/officeDocument/2006/relationships/image" Target="media/image7.png"/></Relationships>
</file>

<file path=word/_rels/header32.xml.rels><?xml version="1.0" encoding="UTF-8" standalone="yes"?>
<Relationships xmlns="http://schemas.openxmlformats.org/package/2006/relationships"><Relationship Id="rId1" Type="http://schemas.openxmlformats.org/officeDocument/2006/relationships/image" Target="media/image33.jpeg"/></Relationships>
</file>

<file path=word/_rels/header33.xml.rels><?xml version="1.0" encoding="UTF-8" standalone="yes"?>
<Relationships xmlns="http://schemas.openxmlformats.org/package/2006/relationships"><Relationship Id="rId1" Type="http://schemas.openxmlformats.org/officeDocument/2006/relationships/image" Target="media/image7.png"/></Relationships>
</file>

<file path=word/_rels/header34.xml.rels><?xml version="1.0" encoding="UTF-8" standalone="yes"?>
<Relationships xmlns="http://schemas.openxmlformats.org/package/2006/relationships"><Relationship Id="rId1" Type="http://schemas.openxmlformats.org/officeDocument/2006/relationships/image" Target="media/image33.jpeg"/></Relationships>
</file>

<file path=word/_rels/header35.xml.rels><?xml version="1.0" encoding="UTF-8" standalone="yes"?>
<Relationships xmlns="http://schemas.openxmlformats.org/package/2006/relationships"><Relationship Id="rId1" Type="http://schemas.openxmlformats.org/officeDocument/2006/relationships/image" Target="media/image7.png"/></Relationships>
</file>

<file path=word/_rels/header4.xml.rels><?xml version="1.0" encoding="UTF-8" standalone="yes"?>
<Relationships xmlns="http://schemas.openxmlformats.org/package/2006/relationships"><Relationship Id="rId1" Type="http://schemas.openxmlformats.org/officeDocument/2006/relationships/image" Target="media/image6.png"/></Relationships>
</file>

<file path=word/_rels/header5.xml.rels><?xml version="1.0" encoding="UTF-8" standalone="yes"?>
<Relationships xmlns="http://schemas.openxmlformats.org/package/2006/relationships"><Relationship Id="rId1" Type="http://schemas.openxmlformats.org/officeDocument/2006/relationships/image" Target="media/image7.png"/></Relationships>
</file>

<file path=word/_rels/header6.xml.rels><?xml version="1.0" encoding="UTF-8" standalone="yes"?>
<Relationships xmlns="http://schemas.openxmlformats.org/package/2006/relationships"><Relationship Id="rId1" Type="http://schemas.openxmlformats.org/officeDocument/2006/relationships/image" Target="media/image7.png"/></Relationships>
</file>

<file path=word/_rels/header7.xml.rels><?xml version="1.0" encoding="UTF-8" standalone="yes"?>
<Relationships xmlns="http://schemas.openxmlformats.org/package/2006/relationships"><Relationship Id="rId1" Type="http://schemas.openxmlformats.org/officeDocument/2006/relationships/image" Target="media/image6.png"/></Relationships>
</file>

<file path=word/_rels/header8.xml.rels><?xml version="1.0" encoding="UTF-8" standalone="yes"?>
<Relationships xmlns="http://schemas.openxmlformats.org/package/2006/relationships"><Relationship Id="rId1" Type="http://schemas.openxmlformats.org/officeDocument/2006/relationships/image" Target="media/image7.png"/></Relationships>
</file>

<file path=word/_rels/header9.xml.rels><?xml version="1.0" encoding="UTF-8" standalone="yes"?>
<Relationships xmlns="http://schemas.openxmlformats.org/package/2006/relationships"><Relationship Id="rId1"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209</Pages>
  <Words>80501</Words>
  <Characters>458859</Characters>
  <Application>Microsoft Office Word</Application>
  <DocSecurity>0</DocSecurity>
  <Lines>3823</Lines>
  <Paragraphs>1076</Paragraphs>
  <ScaleCrop>false</ScaleCrop>
  <LinksUpToDate>false</LinksUpToDate>
  <CharactersWithSpaces>538284</CharactersWithSpaces>
  <SharedDoc>false</SharedDoc>
  <HyperlinkBase/>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Background review: Aquifer connectivity within the Great Artesian Basin, and the Surat, Bowen and Galilee Basins</dc:title>
  <dc:creator/>
  <cp:lastModifiedBy/>
  <cp:revision>1</cp:revision>
  <dcterms:created xsi:type="dcterms:W3CDTF">2014-09-17T06:45:00Z</dcterms:created>
  <dcterms:modified xsi:type="dcterms:W3CDTF">2014-09-17T06:49:00Z</dcterms:modified>
</cp:coreProperties>
</file>